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厦门市行政中心西楼及人民会堂会务保障</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CGXM-2025-350201-00046[2025]00045</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[350201]HMGC[CS]2025001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厦门市机关事务管理局</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福建环闽工程造价咨询有限公司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厦门市机关事务管理局</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厦门市行政中心西楼及人民会堂会务保障</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现欢迎被采购人及评审专家推荐的供应商前来参加。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福建环闽工程造价咨询有限公司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厦门市行政中心西楼及人民会堂会务保障</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CGXM-2025-350201-00046[2025]00045</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[350201]HMGC[CS]2025001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9,802,600.00</w:t>
      </w:r>
    </w:p>
    <w:p>
      <w:pPr>
        <w:pStyle w:val="null3"/>
        <w:jc w:val="left"/>
      </w:pPr>
      <w:r>
        <w:rPr>
          <w:rFonts w:ascii="仿宋_GB2312" w:hAnsi="仿宋_GB2312" w:cs="仿宋_GB2312" w:eastAsia="仿宋_GB2312"/>
        </w:rPr>
        <w:t>采购包最高限价（元）: 9,802,600.00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厦门市行政中心西楼及人民会堂会务保障</w:t>
            </w:r>
          </w:p>
        </w:tc>
        <w:tc>
          <w:tcPr>
            <w:tcW w:type="dxa" w:w="1187"/>
          </w:tcPr>
          <w:p>
            <w:pPr>
              <w:pStyle w:val="null3"/>
              <w:jc w:val="right"/>
            </w:pPr>
            <w:r>
              <w:rPr>
                <w:rFonts w:ascii="仿宋_GB2312" w:hAnsi="仿宋_GB2312" w:cs="仿宋_GB2312" w:eastAsia="仿宋_GB2312"/>
              </w:rPr>
              <w:t>2.00</w:t>
            </w:r>
          </w:p>
        </w:tc>
        <w:tc>
          <w:tcPr>
            <w:tcW w:type="dxa" w:w="1187"/>
          </w:tcPr>
          <w:p>
            <w:pPr>
              <w:pStyle w:val="null3"/>
              <w:jc w:val="right"/>
            </w:pPr>
            <w:r>
              <w:rPr>
                <w:rFonts w:ascii="仿宋_GB2312" w:hAnsi="仿宋_GB2312" w:cs="仿宋_GB2312" w:eastAsia="仿宋_GB2312"/>
              </w:rPr>
              <w:t>9,802,600.00</w:t>
            </w:r>
          </w:p>
        </w:tc>
        <w:tc>
          <w:tcPr>
            <w:tcW w:type="dxa" w:w="1187"/>
          </w:tcPr>
          <w:p>
            <w:pPr>
              <w:pStyle w:val="null3"/>
              <w:jc w:val="left"/>
            </w:pPr>
            <w:r>
              <w:rPr>
                <w:rFonts w:ascii="仿宋_GB2312" w:hAnsi="仿宋_GB2312" w:cs="仿宋_GB2312" w:eastAsia="仿宋_GB2312"/>
              </w:rPr>
              <w:t>年</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厦门市行政中心西楼及人民会堂会务保障</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9,802,600.00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厦门市行政中心西楼及人民会堂会务保障</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厦门市行政中心西楼及人民会堂会务保障</w:t>
            </w:r>
          </w:p>
        </w:tc>
        <w:tc>
          <w:tcPr>
            <w:tcW w:type="dxa" w:w="2076"/>
          </w:tcPr>
          <w:p>
            <w:pPr>
              <w:pStyle w:val="null3"/>
              <w:jc w:val="left"/>
            </w:pPr>
            <w:r>
              <w:rPr>
                <w:rFonts w:ascii="仿宋_GB2312" w:hAnsi="仿宋_GB2312" w:cs="仿宋_GB2312" w:eastAsia="仿宋_GB2312"/>
              </w:rPr>
              <w:t>厦门市行政中心西楼及人民会堂会务保障</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9,802,600.00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信用记录要求（采购文件其他地方要求与本条款要求 不一致的，以本条款要求为准）</w:t>
            </w:r>
          </w:p>
        </w:tc>
        <w:tc>
          <w:tcPr>
            <w:tcW w:type="dxa" w:w="4614"/>
          </w:tcPr>
          <w:p>
            <w:pPr>
              <w:pStyle w:val="null3"/>
              <w:jc w:val="left"/>
            </w:pPr>
            <w:r>
              <w:rPr>
                <w:rFonts w:ascii="仿宋_GB2312" w:hAnsi="仿宋_GB2312" w:cs="仿宋_GB2312" w:eastAsia="仿宋_GB2312"/>
              </w:rPr>
              <w:t>1、依据《财政部关于在政府采购活动中查询及使用信用记录有关 问题的通知》财库〔2016〕125号规定及厦门市财政局《关于进一 步规范供应商信用记录查询使用的通知》（厦财采〔2020〕14号 ）的规定执行，具体要求如下： 1、信用信息查询渠道：磋商小组 通过“信用中国”网站（www.creditchina.gov.cn）、中国政府采 购网（www.ccgp.gov.cn）、“信用厦门”网站（credit.xm.gov. cn）查询所有供应商的信用信息。 2、截止时点：查询本项目磋商 截止时间点前三年内的信用信息。 3、查询记录和证据留存方式： 磋商小组将查询结果网页打印后随采购文件一并存档。 4、信用信 息的使用规则：（1）查询结果显示存在不良信用记录（包含列入 失信被执行人、重大税收违法案件当事人名单、政府采购严重违法 失信行为记录名单，且相关信用惩戒期限未满及其他不符合《中华 人民共和国政府采购法》第二十二条规定条件）的供应商，其资格 审查不合格。（2）联合体参加政府采购活动的，磋商小组将对所 有联合体成员进行信用记录查询，联合体成员存在不良信用记录的 ，视同联合体存在不良信用记录，联合体资格审查不合格。（3） 因查询渠道网站原因导致查无供应商信息的，不认定供应商资格审 查不合格；评审结束后，通过其他渠道发现供应商存在不良信用记 录的，不认定为资格审查错误，将依照有关规定进行调查处理。（ 4）供应商无需提供信用信息查询结果。若供应商自行提供查询结 果的，仍以磋商小组查询结果为准。</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厦门市机关事务管理局</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福建省厦门市思明区湖滨北路６１号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黄颖</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0592-2896332</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福建环闽工程造价咨询有限公司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中国民生银行股份有限公司厦门江头支行</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黄海峰、蒲天娇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0592-5967267</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福建环闽工程造价咨询有限公司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信用记录要求（采购文件其他地方要求与本条款要求 不一致的，以本条款要求为准）</w:t>
                  </w:r>
                </w:p>
              </w:tc>
              <w:tc>
                <w:tcPr>
                  <w:tcW w:type="dxa" w:w="1418"/>
                </w:tcPr>
                <w:p>
                  <w:pPr>
                    <w:pStyle w:val="null3"/>
                    <w:jc w:val="left"/>
                  </w:pPr>
                  <w:r>
                    <w:rPr>
                      <w:rFonts w:ascii="仿宋_GB2312" w:hAnsi="仿宋_GB2312" w:cs="仿宋_GB2312" w:eastAsia="仿宋_GB2312"/>
                    </w:rPr>
                    <w:t>1、依据《财政部关于在政府采购活动中查询及使用信用记录有关 问题的通知》财库〔2016〕125号规定及厦门市财政局《关于进一 步规范供应商信用记录查询使用的通知》（厦财采〔2020〕14号 ）的规定执行，具体要求如下： 1、信用信息查询渠道：磋商小组 通过“信用中国”网站（www.creditchina.gov.cn）、中国政府采 购网（www.ccgp.gov.cn）、“信用厦门”网站（credit.xm.gov. cn）查询所有供应商的信用信息。 2、截止时点：查询本项目磋商 截止时间点前三年内的信用信息。 3、查询记录和证据留存方式： 磋商小组将查询结果网页打印后随采购文件一并存档。 4、信用信 息的使用规则：（1）查询结果显示存在不良信用记录（包含列入 失信被执行人、重大税收违法案件当事人名单、政府采购严重违法 失信行为记录名单，且相关信用惩戒期限未满及其他不符合《中华 人民共和国政府采购法》第二十二条规定条件）的供应商，其资格 审查不合格。（2）联合体参加政府采购活动的，磋商小组将对所 有联合体成员进行信用记录查询，联合体成员存在不良信用记录的 ，视同联合体存在不良信用记录，联合体资格审查不合格。（3） 因查询渠道网站原因导致查无供应商信息的，不认定供应商资格审 查不合格；评审结束后，通过其他渠道发现供应商存在不良信用记 录的，不认定为资格审查错误，将依照有关规定进行调查处理。（ 4）供应商无需提供信用信息查询结果。若供应商自行提供查询结 果的，仍以磋商小组查询结果为准。</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本项目不收取磋商保证金</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由磋商小组确定</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厦门市财政局</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收费标准（以成交金额的一半为基数）具体为：基数≤100万元部分，按1.5%计取；100万元＜基数≤500万元部分，按0.8%计取；500万元＜基数≤1000万元部分，按0.45%计取；进行差额定率累进法计算，并按八折优惠收取。成交人在领取成交通知书时，应以转帐等付款方式向采购代 理机构一次性付清采购代 理服务费。 2.服务费缴交账户信息 开户行：中国民生银行股份有限公司厦门江头支行，开户名：福建环闽工程造价咨询有限公司厦门分公司，账号：172487738。咨询电话：0592-5967267。 3.符合中小企业政策规定且资料提供完整的企业，成交后可享受服务费下浮10%的优惠。</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2.1补充说明：提交质疑函须附上系统报名截图，来函件应为加盖供应商公章、留有联系方式的原件。代理机构地 址和联系方式详见磋商公告。2.2友情提醒网上报名：登录福建省政府采购网厦门分网http://ccgp-xiamen.gov. cn→【服务专区】→【供应商】→【操作手册】，按手册指引操作。请供应商及时进行网上报名并提前办理CA。</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自成交通知书发出之日起20个日历日内。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1、关于单位负责人授权书：电子响应文件中的本授权书可以提供原件的扫描件，也可以不提供原件的扫描件，只要有使用CA证书加盖电子章即可。 2、本项目不支持远程开标及报价，供应商授权代表须按要求送达CA并在现场配合等待进行二次报价</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rFonts w:ascii="仿宋_GB2312" w:hAnsi="仿宋_GB2312" w:cs="仿宋_GB2312" w:eastAsia="仿宋_GB2312"/>
              </w:rPr>
              <w:t xml:space="preserve"> 项目</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4153"/>
          </w:tcPr>
          <w:p>
            <w:pPr>
              <w:pStyle w:val="null3"/>
              <w:jc w:val="left"/>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本项目以价格评审优惠落实扶持中小企业政策，供应商根据 采购文件的“标的名称”和“所属行业”的内容提供符合以下要 求并提供相关证明材料的，按以下办法给予价格扣除，用扣 除后的价格参加评审：①符合以下情况之一的，给予小微企 业、个体工商户、监狱企业、残疾人福利性单位制造的货物 （承接的服务）15%的价格扣除，给予小微企业、个体工商 户、监狱企业、残疾人福利性单位承建的工程5%的价格扣 除。 a.供应商提供的所有采购标的均为小微企业、个体工商 户制造的货物（承建的工程、承接的服务），并在投标文件 中提供《中小企业声明函》的； b.供应商为监狱企业，提供 本单位制造的货物、本单位承建的工程、本单位承接的服务 ，并在投标文件中提供供应商属于监狱企业的证明文件的； c.供应商为残疾人福利性单位，提供本单位制造的货物、承 担的工程或者服务，或者提供其他残疾人福利性单位制造的 货物，并在投标文件中提供《残疾人福利性单位声明函》的 。②若本项目接受大中型企业与小微企业组成联合体，且联 合体协议约定小微企业的合同份额占到合同总金额30%以上 的，对联合体的报价给予5%（工程项目为2%）的扣除，但 组成联合体的小微企业与联合体内其他企业存在直接控股、 管理关系的，不享受价格扣除优惠政策。供应商应在投标文 件中提供《联合体协议》和《中小企业声明函》。③供应商 同时符合小微企业（含个体工商户）、监狱企业、残疾人福 利性单位中多个优惠条件的，只享受一次政策优惠。</w:t>
            </w:r>
          </w:p>
        </w:tc>
      </w:tr>
    </w:tbl>
    <w:p>
      <w:pPr>
        <w:pStyle w:val="null3"/>
        <w:jc w:val="left"/>
      </w:pPr>
      <w:r>
        <w:rPr>
          <w:rFonts w:ascii="仿宋_GB2312" w:hAnsi="仿宋_GB2312" w:cs="仿宋_GB2312" w:eastAsia="仿宋_GB2312"/>
        </w:rPr>
        <w:t>其他：无</w:t>
      </w:r>
    </w:p>
    <w:p>
      <w:pPr>
        <w:pStyle w:val="null3"/>
        <w:jc w:val="left"/>
      </w:pPr>
      <w:r>
        <w:rPr>
          <w:rFonts w:ascii="仿宋_GB2312" w:hAnsi="仿宋_GB2312" w:cs="仿宋_GB2312" w:eastAsia="仿宋_GB2312"/>
        </w:rPr>
        <w:t>技术部分评分PT 满分为65.0000分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3"/>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根据供应商针对本项目会场各项管理规定及会场现状的熟悉程度进行评价：有提供具体管理规定、会场现状资料的，每提供一项详细内容的得1.5分，满足3分。未提供的不得分。</w:t>
            </w:r>
          </w:p>
        </w:tc>
      </w:tr>
      <w:tr>
        <w:tc>
          <w:tcPr>
            <w:tcW w:type="dxa" w:w="3322"/>
          </w:tcPr>
          <w:p>
            <w:pPr>
              <w:pStyle w:val="null3"/>
              <w:jc w:val="left"/>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根据供应商提供的保洁服务方案（包括但不限于会场保洁服务方案和公务办公室保洁方案等内容）进行评价：每提供一项详细内容的得1.5分，满分3分；未提供的不得分。</w:t>
            </w:r>
          </w:p>
        </w:tc>
      </w:tr>
      <w:tr>
        <w:tc>
          <w:tcPr>
            <w:tcW w:type="dxa" w:w="3322"/>
          </w:tcPr>
          <w:p>
            <w:pPr>
              <w:pStyle w:val="null3"/>
              <w:jc w:val="left"/>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根据供应商针对本项目配备的管理服务团队（包括但不限于人员配备表、岗位工作职责等内容） 进行评价：每提供一项详细内容的得1.5分，满分3分；未提供的不得分。</w:t>
            </w:r>
          </w:p>
        </w:tc>
      </w:tr>
      <w:tr>
        <w:tc>
          <w:tcPr>
            <w:tcW w:type="dxa" w:w="3322"/>
          </w:tcPr>
          <w:p>
            <w:pPr>
              <w:pStyle w:val="null3"/>
              <w:jc w:val="left"/>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根据供应商提供的会场布置安排方案（包括但不限于会场布置和会议工作流程安排等内容进行评价：每提供一项详细内容的得1.5分，满分3分；未提供的不得分。</w:t>
            </w:r>
          </w:p>
        </w:tc>
      </w:tr>
      <w:tr>
        <w:tc>
          <w:tcPr>
            <w:tcW w:type="dxa" w:w="3322"/>
          </w:tcPr>
          <w:p>
            <w:pPr>
              <w:pStyle w:val="null3"/>
              <w:jc w:val="left"/>
            </w:pPr>
            <w:r>
              <w:rPr>
                <w:rFonts w:ascii="仿宋_GB2312" w:hAnsi="仿宋_GB2312" w:cs="仿宋_GB2312" w:eastAsia="仿宋_GB2312"/>
              </w:rPr>
              <w:t>5</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根据供应商提供的会议现场处理突发情况的应急工作预案进行评价：应急预案考虑到多种可能发生的情况，并制定对应管控措施。每提供一项详细内容的得1分，满分3分，未提供的不得分。</w:t>
            </w:r>
          </w:p>
        </w:tc>
      </w:tr>
      <w:tr>
        <w:tc>
          <w:tcPr>
            <w:tcW w:type="dxa" w:w="3322"/>
          </w:tcPr>
          <w:p>
            <w:pPr>
              <w:pStyle w:val="null3"/>
              <w:jc w:val="left"/>
            </w:pPr>
            <w:r>
              <w:rPr>
                <w:rFonts w:ascii="仿宋_GB2312" w:hAnsi="仿宋_GB2312" w:cs="仿宋_GB2312" w:eastAsia="仿宋_GB2312"/>
              </w:rPr>
              <w:t>6</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承诺：为高质量完成所有采购任务，供应商提供的服务团队在岗人员应不少于39人，其中管理人员总数不超过2人，聘用实习生总数不超过在岗人数的10%。供应商对此提供书面承诺函（格式自拟）的得3分，否则不得分。</w:t>
            </w:r>
          </w:p>
        </w:tc>
      </w:tr>
      <w:tr>
        <w:tc>
          <w:tcPr>
            <w:tcW w:type="dxa" w:w="3322"/>
          </w:tcPr>
          <w:p>
            <w:pPr>
              <w:pStyle w:val="null3"/>
              <w:jc w:val="left"/>
            </w:pPr>
            <w:r>
              <w:rPr>
                <w:rFonts w:ascii="仿宋_GB2312" w:hAnsi="仿宋_GB2312" w:cs="仿宋_GB2312" w:eastAsia="仿宋_GB2312"/>
              </w:rPr>
              <w:t>7</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拟派项目负责人在大型会议服务项目中因表现出色获得有关单位肯定表彰（如感谢信等）的得3分。供应商需提供有关证明资料和项目负责人在磋商响应截止时间前六个月内任意一个月（不含磋商响应截止时间的当月）的社保缴交证明材料。</w:t>
            </w:r>
          </w:p>
        </w:tc>
      </w:tr>
      <w:tr>
        <w:tc>
          <w:tcPr>
            <w:tcW w:type="dxa" w:w="3322"/>
          </w:tcPr>
          <w:p>
            <w:pPr>
              <w:pStyle w:val="null3"/>
              <w:jc w:val="left"/>
            </w:pPr>
            <w:r>
              <w:rPr>
                <w:rFonts w:ascii="仿宋_GB2312" w:hAnsi="仿宋_GB2312" w:cs="仿宋_GB2312" w:eastAsia="仿宋_GB2312"/>
              </w:rPr>
              <w:t>8</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除项目负责人外，供应商其他管理人员具有服务行业方面高级职业资格证书的得3分。供应商需提供有关证书复印件和在磋商响应截止时间前六个月内任意一个月（不含磋商响应截止时间的当月）的社保缴交证明材料。</w:t>
            </w:r>
          </w:p>
        </w:tc>
      </w:tr>
      <w:tr>
        <w:tc>
          <w:tcPr>
            <w:tcW w:type="dxa" w:w="3322"/>
          </w:tcPr>
          <w:p>
            <w:pPr>
              <w:pStyle w:val="null3"/>
              <w:jc w:val="left"/>
            </w:pPr>
            <w:r>
              <w:rPr>
                <w:rFonts w:ascii="仿宋_GB2312" w:hAnsi="仿宋_GB2312" w:cs="仿宋_GB2312" w:eastAsia="仿宋_GB2312"/>
              </w:rPr>
              <w:t>9</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供应商承诺： （1）成交后无条件接收愿意转岗的原服务人员； （2）服务期内，无条件接受采购人的专项财务检查，确保专款专用，转账专管； （3）供应商对服务期内非正常物品损耗，应建立赔偿惩罚机制。 供应商提供书面承诺函（格式自拟），每满足以上一点的得1分，满分3分。不满足不得分。</w:t>
            </w:r>
          </w:p>
        </w:tc>
      </w:tr>
      <w:tr>
        <w:tc>
          <w:tcPr>
            <w:tcW w:type="dxa" w:w="3322"/>
          </w:tcPr>
          <w:p>
            <w:pPr>
              <w:pStyle w:val="null3"/>
              <w:jc w:val="left"/>
            </w:pPr>
            <w:r>
              <w:rPr>
                <w:rFonts w:ascii="仿宋_GB2312" w:hAnsi="仿宋_GB2312" w:cs="仿宋_GB2312" w:eastAsia="仿宋_GB2312"/>
              </w:rPr>
              <w:t>10</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供应商承诺：根据采购人要求将积极协助会议承办单位做好会议场所的氛围布置并维护会场秩序。供应商对此提供书面承诺函（格式自拟）的得3分，否则不得分。</w:t>
            </w:r>
          </w:p>
        </w:tc>
      </w:tr>
      <w:tr>
        <w:tc>
          <w:tcPr>
            <w:tcW w:type="dxa" w:w="3322"/>
          </w:tcPr>
          <w:p>
            <w:pPr>
              <w:pStyle w:val="null3"/>
              <w:jc w:val="left"/>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供应商承诺：服务期满后一年内，采购人若有关于服务期内的遗留问题，将无条件配合采购单位解决清楚。供应商对此提供书面承诺函（格式自拟）的得3分，否则不得分。</w:t>
            </w:r>
          </w:p>
        </w:tc>
      </w:tr>
      <w:tr>
        <w:tc>
          <w:tcPr>
            <w:tcW w:type="dxa" w:w="3322"/>
          </w:tcPr>
          <w:p>
            <w:pPr>
              <w:pStyle w:val="null3"/>
              <w:jc w:val="left"/>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承诺：拟配备于本项目的工作人员品行端正、具有良好的组织纪律性，无特殊原因，中途不得随意更换。确需更换团队成员的，须经过采购人同意；并提前15个工作日提出满足要求或更优的人员资料报采购人批准。若供应商更换的人员不满足采购人要求的，视为缺岗，采购人有权按实际缺岗数扣除相应服务费。岗位缺员，采购人有权另行临时聘员或工作外协，所发生的费用由供应商承担。若因团队成员不满足工作要求或严重违反规定的，应根据采购人要求及时调换。供应商对此提供书面承诺函（格式自拟）的得3分，否则不得分。</w:t>
            </w:r>
          </w:p>
        </w:tc>
      </w:tr>
      <w:tr>
        <w:tc>
          <w:tcPr>
            <w:tcW w:type="dxa" w:w="3322"/>
          </w:tcPr>
          <w:p>
            <w:pPr>
              <w:pStyle w:val="null3"/>
              <w:jc w:val="left"/>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供应商承诺：成交后实际安排的工作人员经采购人认可，并将本单位与工作人员签订的劳动合同送采购人备案。对此提供书面承诺函（格式自拟）的得3分，否则不得分。</w:t>
            </w:r>
          </w:p>
        </w:tc>
      </w:tr>
      <w:tr>
        <w:tc>
          <w:tcPr>
            <w:tcW w:type="dxa" w:w="3322"/>
          </w:tcPr>
          <w:p>
            <w:pPr>
              <w:pStyle w:val="null3"/>
              <w:jc w:val="left"/>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供应商承诺：在合同履行期间因工作人员离岗时未按采购人要求做好工作交接，自愿承担相应的责任并支付违约金。对此提供书面承诺函（格式自拟）的的得3分，否则不得分。</w:t>
            </w:r>
          </w:p>
        </w:tc>
      </w:tr>
      <w:tr>
        <w:tc>
          <w:tcPr>
            <w:tcW w:type="dxa" w:w="3322"/>
          </w:tcPr>
          <w:p>
            <w:pPr>
              <w:pStyle w:val="null3"/>
              <w:jc w:val="left"/>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供应商承诺：提供周到的礼仪接待，岗位内容明确具体，无疏漏，以确保高质量的会务保障。对此提供书面承诺函（格式自拟）的得3分，否则不得分。</w:t>
            </w:r>
          </w:p>
        </w:tc>
      </w:tr>
      <w:tr>
        <w:tc>
          <w:tcPr>
            <w:tcW w:type="dxa" w:w="3322"/>
          </w:tcPr>
          <w:p>
            <w:pPr>
              <w:pStyle w:val="null3"/>
              <w:jc w:val="left"/>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根据供应商提供的整体执行计划方案（包括大会①会前的执行进度安排；②会中的执行进度安排；③后期的收尾保障安排）进行评价：每提供一个详细内容的得1分，满分3分；未提供的不得分。</w:t>
            </w:r>
          </w:p>
        </w:tc>
      </w:tr>
      <w:tr>
        <w:tc>
          <w:tcPr>
            <w:tcW w:type="dxa" w:w="3322"/>
          </w:tcPr>
          <w:p>
            <w:pPr>
              <w:pStyle w:val="null3"/>
              <w:jc w:val="left"/>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根据供应商提供的管理制度进行评价：至少包括人力资源管理制度、财务制度等，每提供一项制度内容的得1.5分，满分3分。未提供的不得分。</w:t>
            </w:r>
          </w:p>
        </w:tc>
      </w:tr>
      <w:tr>
        <w:tc>
          <w:tcPr>
            <w:tcW w:type="dxa" w:w="3322"/>
          </w:tcPr>
          <w:p>
            <w:pPr>
              <w:pStyle w:val="null3"/>
              <w:jc w:val="left"/>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根据供应商提供的服务质量保障方案进行评价：至少包含人员奖惩、回访等内容。每提供一项详细内容的得1.5分，满分3分。未提供的不得份。</w:t>
            </w:r>
          </w:p>
        </w:tc>
      </w:tr>
      <w:tr>
        <w:tc>
          <w:tcPr>
            <w:tcW w:type="dxa" w:w="3322"/>
          </w:tcPr>
          <w:p>
            <w:pPr>
              <w:pStyle w:val="null3"/>
              <w:jc w:val="left"/>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供应商承诺：具有一定的人员储备用于本项目应急调剂，储备人员数量不少于5人的得1分，每多提供一名备用人员的加1分，最多加2分。根据供应商提供的书面承诺函（格式自拟）进行评价，不满足的不得分。</w:t>
            </w:r>
          </w:p>
        </w:tc>
      </w:tr>
      <w:tr>
        <w:tc>
          <w:tcPr>
            <w:tcW w:type="dxa" w:w="3322"/>
          </w:tcPr>
          <w:p>
            <w:pPr>
              <w:pStyle w:val="null3"/>
              <w:jc w:val="left"/>
            </w:pPr>
            <w:r>
              <w:rPr>
                <w:rFonts w:ascii="仿宋_GB2312" w:hAnsi="仿宋_GB2312" w:cs="仿宋_GB2312" w:eastAsia="仿宋_GB2312"/>
              </w:rPr>
              <w:t>20</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承诺：拟配备的服务人员中具有空中乘务、高速客运乘务、城市轨道交通运营管理等与服务相关专业学历的人数占总人数30%的得2分，每增加10%的加1分。本项满分3分，以供应商提供的书面承诺函（格式自拟）进行评价，不满足的不得分。</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供应商承诺：成交后为安排的所有工作人员购买意外险及雇主责任险（保险期需涵盖项目服务期限）。对此提供书面承诺函（格式自拟）的得3分，否则不得分。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left"/>
            </w:pPr>
            <w:r>
              <w:rPr>
                <w:rFonts w:ascii="仿宋_GB2312" w:hAnsi="仿宋_GB2312" w:cs="仿宋_GB2312" w:eastAsia="仿宋_GB2312"/>
              </w:rPr>
              <w:t>供应商承诺：服务人员工作时间按采购人要求执行，能够全年每天24小时提供应急服务。对此提供承诺函（格式自拟）的得2分，否则不得分。</w:t>
            </w:r>
          </w:p>
        </w:tc>
      </w:tr>
    </w:tbl>
    <w:p>
      <w:pPr>
        <w:pStyle w:val="null3"/>
        <w:jc w:val="left"/>
      </w:pPr>
      <w:r>
        <w:rPr>
          <w:rFonts w:ascii="仿宋_GB2312" w:hAnsi="仿宋_GB2312" w:cs="仿宋_GB2312" w:eastAsia="仿宋_GB2312"/>
        </w:rPr>
        <w:t>商务部分评分PB 满分为25.0000分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3"/>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供应商可提供本地化服务的得3分，否则不得分。供应商可提供合作单位协议或者自身机构的营业执照证明，也可以提供在本地设立的项目部、办公室、办事处等机构证明，或者承诺成交后提供本地化服务。</w:t>
            </w:r>
          </w:p>
        </w:tc>
      </w:tr>
      <w:tr>
        <w:tc>
          <w:tcPr>
            <w:tcW w:type="dxa" w:w="3322"/>
          </w:tcPr>
          <w:p>
            <w:pPr>
              <w:pStyle w:val="null3"/>
              <w:jc w:val="left"/>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供应商承诺：在履行合同中，不做有损采购单位公众形象的事，不破坏采购单位的声誉，不泄密。提供书面承诺（格式自拟）的得3分，否则不得分。</w:t>
            </w:r>
          </w:p>
        </w:tc>
      </w:tr>
      <w:tr>
        <w:tc>
          <w:tcPr>
            <w:tcW w:type="dxa" w:w="3322"/>
          </w:tcPr>
          <w:p>
            <w:pPr>
              <w:pStyle w:val="null3"/>
              <w:jc w:val="left"/>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供应商承诺：提供的前期服务人员于合同签订后5个日历日内配备到位，且到位人数达到应到岗人数的80%。提供书面承诺（格式自拟）的得3分，否则不得分。</w:t>
            </w:r>
          </w:p>
        </w:tc>
      </w:tr>
      <w:tr>
        <w:tc>
          <w:tcPr>
            <w:tcW w:type="dxa" w:w="3322"/>
          </w:tcPr>
          <w:p>
            <w:pPr>
              <w:pStyle w:val="null3"/>
              <w:jc w:val="left"/>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left"/>
            </w:pPr>
            <w:r>
              <w:rPr>
                <w:rFonts w:ascii="仿宋_GB2312" w:hAnsi="仿宋_GB2312" w:cs="仿宋_GB2312" w:eastAsia="仿宋_GB2312"/>
              </w:rPr>
              <w:t>供应商或其所属单位具有ISO9001质量管理体系认证证书的得1分，应提供有效期内的证书复印件并加盖供应商公章，否则不得分。</w:t>
            </w:r>
          </w:p>
        </w:tc>
      </w:tr>
      <w:tr>
        <w:tc>
          <w:tcPr>
            <w:tcW w:type="dxa" w:w="3322"/>
          </w:tcPr>
          <w:p>
            <w:pPr>
              <w:pStyle w:val="null3"/>
              <w:jc w:val="left"/>
            </w:pPr>
            <w:r>
              <w:rPr>
                <w:rFonts w:ascii="仿宋_GB2312" w:hAnsi="仿宋_GB2312" w:cs="仿宋_GB2312" w:eastAsia="仿宋_GB2312"/>
              </w:rPr>
              <w:t>5</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承诺：在合同履约期限内，经采购人同意后派专人对服务人员进行现场管理，并做好安全及其它相关防护措施，在服务过程中服务人员发生的任何事故，均由供应商承担。提供上述书面承诺函（格式自拟）的得3分；否则不得分。</w:t>
            </w:r>
          </w:p>
        </w:tc>
      </w:tr>
      <w:tr>
        <w:tc>
          <w:tcPr>
            <w:tcW w:type="dxa" w:w="3322"/>
          </w:tcPr>
          <w:p>
            <w:pPr>
              <w:pStyle w:val="null3"/>
              <w:jc w:val="left"/>
            </w:pPr>
            <w:r>
              <w:rPr>
                <w:rFonts w:ascii="仿宋_GB2312" w:hAnsi="仿宋_GB2312" w:cs="仿宋_GB2312" w:eastAsia="仿宋_GB2312"/>
              </w:rPr>
              <w:t>6</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供应商承诺：严格遵守劳动法的相关规定，保护好劳动者的合法权益，按照相关规定为工作人员缴纳医社保，不拖欠工资。提供书面承诺函（格式自拟）的得3分，否则不得分。</w:t>
            </w:r>
          </w:p>
        </w:tc>
      </w:tr>
      <w:tr>
        <w:tc>
          <w:tcPr>
            <w:tcW w:type="dxa" w:w="3322"/>
          </w:tcPr>
          <w:p>
            <w:pPr>
              <w:pStyle w:val="null3"/>
              <w:jc w:val="left"/>
            </w:pPr>
            <w:r>
              <w:rPr>
                <w:rFonts w:ascii="仿宋_GB2312" w:hAnsi="仿宋_GB2312" w:cs="仿宋_GB2312" w:eastAsia="仿宋_GB2312"/>
              </w:rPr>
              <w:t>7</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供应商承诺：完全按照采购人的项目费用支付方式执行，并接受任何调整。提供书面承诺函（格式自拟）的得3分，否则不得分。</w:t>
            </w:r>
          </w:p>
        </w:tc>
      </w:tr>
      <w:tr>
        <w:tc>
          <w:tcPr>
            <w:tcW w:type="dxa" w:w="3322"/>
          </w:tcPr>
          <w:p>
            <w:pPr>
              <w:pStyle w:val="null3"/>
              <w:jc w:val="left"/>
            </w:pPr>
            <w:r>
              <w:rPr>
                <w:rFonts w:ascii="仿宋_GB2312" w:hAnsi="仿宋_GB2312" w:cs="仿宋_GB2312" w:eastAsia="仿宋_GB2312"/>
              </w:rPr>
              <w:t>8</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供应商承诺：随时接受并积极配合采购人的过程考核，并按采购人的整改意见落实到位。提供书面承诺函（格式自拟）的得3分，否则不得分。</w:t>
            </w:r>
          </w:p>
        </w:tc>
      </w:tr>
      <w:tr>
        <w:tc>
          <w:tcPr>
            <w:tcW w:type="dxa" w:w="3322"/>
          </w:tcPr>
          <w:p>
            <w:pPr>
              <w:pStyle w:val="null3"/>
              <w:jc w:val="left"/>
            </w:pPr>
            <w:r>
              <w:rPr>
                <w:rFonts w:ascii="仿宋_GB2312" w:hAnsi="仿宋_GB2312" w:cs="仿宋_GB2312" w:eastAsia="仿宋_GB2312"/>
              </w:rPr>
              <w:t>9</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供应商承接过大型会议服务项目获得委托单位正面肯定的得3分，满分3分。供应商需提供相关证明资料，未提供的不得分。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★5、供应商成交后需向采购人提供切实可行的人员岗位分级设置方案、晋升发展方案和薪酬方案，并经采购人确认后实施。供应商对此作出满足响应，否则按无效报价处理。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6、本项目按服务费总价包干方式履行合同，费用包含了成交供应商为完成任务所配置的工作人员产生的工资、社保费、奖金、福利、工会费以及商业保险和相应的制服、配套物料工具、管理费、税收、招标代理服务费等一切费用。供应商对服务费需专款专用，不得挪作他用；人员待遇具体支付到个人每月应发工资平均不得低于人民币5800元（不包含管理人员和实习生），以保证服务队伍的稳定和高效服务。供应商对此须做出满足响应，否则按无效报价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7、供应商配备的服务人员遵纪守法，胜任工作岗位，具有良好的职业素养。当出现婚后怀孕情况，将视为不适宜继续从事会务一线服务工作，供应商应在企业系统内妥当安置调岗，且避免发生劳动纠纷。供应商对此需作出满足响应，否则按无效报价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8、供应商为本项目配备的服务团队成员，未经采购人同意不得随意调动，保证专人专岗，以提供持续稳定的保障服务。供应商不得随意更换本项目服务人员，如确有特殊原因需要更换，应事先征得采购人同意，并提前15个工作日提出满足要求或更优的人员资料报采购人批准。若供应商更换的人员不满足采购人要求的，视为缺岗，采购人有权按实际缺岗数扣除相应服务费。岗位缺员，采购人有权另行临时聘员或工作外协，所发生的费用由供应商承担。供应商对此需作出满足响应，否则按无效报价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★8.2本项目预算总价为人民币980.26万元，供应商的报价不得超过该预算总价，否则按无效报价处理。</w:t>
            </w:r>
          </w:p>
        </w:tc>
      </w:tr>
    </w:tbl>
    <w:p>
      <w:pPr>
        <w:pStyle w:val="null3"/>
        <w:jc w:val="left"/>
      </w:pPr>
      <w:r>
        <w:rPr>
          <w:rFonts w:ascii="仿宋_GB2312" w:hAnsi="仿宋_GB2312" w:cs="仿宋_GB2312" w:eastAsia="仿宋_GB2312"/>
        </w:rPr>
        <w:t>商务符合性：无</w:t>
      </w:r>
    </w:p>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1"/>
        </w:rPr>
        <w:t>厦门</w:t>
      </w:r>
      <w:r>
        <w:rPr>
          <w:rFonts w:ascii="仿宋_GB2312" w:hAnsi="仿宋_GB2312" w:cs="仿宋_GB2312" w:eastAsia="仿宋_GB2312"/>
          <w:sz w:val="21"/>
        </w:rPr>
        <w:t>市行政中心西楼</w:t>
      </w:r>
      <w:r>
        <w:rPr>
          <w:rFonts w:ascii="仿宋_GB2312" w:hAnsi="仿宋_GB2312" w:cs="仿宋_GB2312" w:eastAsia="仿宋_GB2312"/>
          <w:sz w:val="21"/>
        </w:rPr>
        <w:t>及</w:t>
      </w:r>
      <w:r>
        <w:rPr>
          <w:rFonts w:ascii="仿宋_GB2312" w:hAnsi="仿宋_GB2312" w:cs="仿宋_GB2312" w:eastAsia="仿宋_GB2312"/>
          <w:sz w:val="21"/>
        </w:rPr>
        <w:t>人民会堂会场服务保障任务较重，</w:t>
      </w:r>
      <w:r>
        <w:rPr>
          <w:rFonts w:ascii="仿宋_GB2312" w:hAnsi="仿宋_GB2312" w:cs="仿宋_GB2312" w:eastAsia="仿宋_GB2312"/>
          <w:sz w:val="21"/>
        </w:rPr>
        <w:t>要求高。保障范围包括市领导会务服务和公务服务保障、市有关重要会议和重大活动的会务及礼仪服务、各会议室和会见厅保洁等任务。为提升会务</w:t>
      </w:r>
      <w:r>
        <w:rPr>
          <w:rFonts w:ascii="仿宋_GB2312" w:hAnsi="仿宋_GB2312" w:cs="仿宋_GB2312" w:eastAsia="仿宋_GB2312"/>
          <w:sz w:val="21"/>
        </w:rPr>
        <w:t>服务专业化、精细化、规范化水平，保障机关高效运行，</w:t>
      </w:r>
      <w:r>
        <w:rPr>
          <w:rFonts w:ascii="仿宋_GB2312" w:hAnsi="仿宋_GB2312" w:cs="仿宋_GB2312" w:eastAsia="仿宋_GB2312"/>
          <w:sz w:val="21"/>
        </w:rPr>
        <w:t>采购人</w:t>
      </w:r>
      <w:r>
        <w:rPr>
          <w:rFonts w:ascii="仿宋_GB2312" w:hAnsi="仿宋_GB2312" w:cs="仿宋_GB2312" w:eastAsia="仿宋_GB2312"/>
          <w:sz w:val="21"/>
        </w:rPr>
        <w:t>通过购买服务方式，实行劳务外包、市场化运作，引入激励措施，拓宽保障工作人员晋升渠道，以提升服务保障质量。拟一次性采购两年，</w:t>
      </w:r>
      <w:r>
        <w:rPr>
          <w:rFonts w:ascii="仿宋_GB2312" w:hAnsi="仿宋_GB2312" w:cs="仿宋_GB2312" w:eastAsia="仿宋_GB2312"/>
          <w:sz w:val="21"/>
        </w:rPr>
        <w:t>每年服务费</w:t>
      </w:r>
      <w:r>
        <w:rPr>
          <w:rFonts w:ascii="仿宋_GB2312" w:hAnsi="仿宋_GB2312" w:cs="仿宋_GB2312" w:eastAsia="仿宋_GB2312"/>
          <w:sz w:val="21"/>
        </w:rPr>
        <w:t>490.13万元。具体采购清单如下：</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405"/>
        <w:gridCol w:w="1110"/>
        <w:gridCol w:w="4155"/>
        <w:gridCol w:w="900"/>
        <w:gridCol w:w="1350"/>
      </w:tblGrid>
      <w:tr>
        <w:tc>
          <w:tcPr>
            <w:tcW w:type="dxa" w:w="40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会场</w:t>
            </w:r>
          </w:p>
        </w:tc>
        <w:tc>
          <w:tcPr>
            <w:tcW w:type="dxa" w:w="111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容纳人数</w:t>
            </w:r>
          </w:p>
        </w:tc>
        <w:tc>
          <w:tcPr>
            <w:tcW w:type="dxa" w:w="415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服务内容与要求</w:t>
            </w:r>
          </w:p>
        </w:tc>
        <w:tc>
          <w:tcPr>
            <w:tcW w:type="dxa" w:w="9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费用</w:t>
            </w:r>
          </w:p>
        </w:tc>
        <w:tc>
          <w:tcPr>
            <w:tcW w:type="dxa" w:w="135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年场次</w:t>
            </w:r>
          </w:p>
        </w:tc>
      </w:tr>
      <w:tr>
        <w:tc>
          <w:tcPr>
            <w:tcW w:type="dxa" w:w="405"/>
            <w:vMerge/>
            <w:tcBorders>
              <w:top w:val="single" w:color="000000" w:sz="4"/>
              <w:left w:val="single" w:color="000000" w:sz="4"/>
              <w:bottom w:val="single" w:color="000000" w:sz="4"/>
              <w:right w:val="single" w:color="000000" w:sz="4"/>
            </w:tcBorders>
          </w:tcPr>
          <w:p/>
        </w:tc>
        <w:tc>
          <w:tcPr>
            <w:tcW w:type="dxa" w:w="1110"/>
            <w:vMerge/>
            <w:tcBorders>
              <w:top w:val="single" w:color="000000" w:sz="4"/>
              <w:left w:val="single" w:color="000000" w:sz="4"/>
              <w:bottom w:val="single" w:color="000000" w:sz="4"/>
              <w:right w:val="single" w:color="000000" w:sz="4"/>
            </w:tcBorders>
          </w:tcPr>
          <w:p/>
        </w:tc>
        <w:tc>
          <w:tcPr>
            <w:tcW w:type="dxa" w:w="4155"/>
            <w:vMerge/>
            <w:tcBorders>
              <w:top w:val="single" w:color="000000" w:sz="4"/>
              <w:left w:val="single" w:color="000000" w:sz="4"/>
              <w:bottom w:val="single" w:color="000000" w:sz="4"/>
              <w:right w:val="single" w:color="000000" w:sz="4"/>
            </w:tcBorders>
          </w:tcP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元</w:t>
            </w:r>
            <w:r>
              <w:rPr>
                <w:rFonts w:ascii="仿宋_GB2312" w:hAnsi="仿宋_GB2312" w:cs="仿宋_GB2312" w:eastAsia="仿宋_GB2312"/>
                <w:sz w:val="21"/>
                <w:color w:val="000000"/>
              </w:rPr>
              <w:t>/场</w:t>
            </w:r>
          </w:p>
        </w:tc>
        <w:tc>
          <w:tcPr>
            <w:tcW w:type="dxa" w:w="1350"/>
            <w:vMerge/>
            <w:tcBorders>
              <w:top w:val="single" w:color="000000" w:sz="4"/>
              <w:left w:val="single" w:color="000000" w:sz="4"/>
              <w:bottom w:val="single" w:color="000000" w:sz="4"/>
              <w:right w:val="single" w:color="000000" w:sz="4"/>
            </w:tcBorders>
          </w:tcPr>
          <w:p/>
        </w:tc>
      </w:tr>
      <w:tr>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会议室</w:t>
            </w:r>
          </w:p>
        </w:tc>
        <w:tc>
          <w:tcPr>
            <w:tcW w:type="dxa" w:w="11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100人</w:t>
            </w:r>
          </w:p>
          <w:p>
            <w:pPr>
              <w:pStyle w:val="null3"/>
              <w:jc w:val="center"/>
            </w:pPr>
            <w:r>
              <w:rPr>
                <w:rFonts w:ascii="仿宋_GB2312" w:hAnsi="仿宋_GB2312" w:cs="仿宋_GB2312" w:eastAsia="仿宋_GB2312"/>
                <w:sz w:val="21"/>
                <w:color w:val="000000"/>
              </w:rPr>
              <w:t>(含)以下</w:t>
            </w: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 会议室日常保洁</w:t>
            </w:r>
          </w:p>
        </w:tc>
        <w:tc>
          <w:tcPr>
            <w:tcW w:type="dxa" w:w="9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3375</w:t>
            </w:r>
          </w:p>
        </w:tc>
      </w:tr>
      <w:tr>
        <w:tc>
          <w:tcPr>
            <w:tcW w:type="dxa" w:w="405"/>
            <w:vMerge/>
            <w:tcBorders>
              <w:top w:val="none" w:color="000000" w:sz="4"/>
              <w:left w:val="single" w:color="000000" w:sz="4"/>
              <w:bottom w:val="single" w:color="000000" w:sz="4"/>
              <w:right w:val="single" w:color="000000" w:sz="4"/>
            </w:tcBorders>
          </w:tcPr>
          <w:p/>
        </w:tc>
        <w:tc>
          <w:tcPr>
            <w:tcW w:type="dxa" w:w="1110"/>
            <w:vMerge/>
            <w:tcBorders>
              <w:top w:val="none" w:color="000000" w:sz="4"/>
              <w:left w:val="single" w:color="000000" w:sz="4"/>
              <w:bottom w:val="single" w:color="000000" w:sz="4"/>
              <w:right w:val="single" w:color="000000" w:sz="4"/>
            </w:tcBorders>
          </w:tcP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2、场地布置：根据会议需求，安排台型、摆放桌椅、布置水杯、纸笔、纸巾、文件等会议用品，会场深度保洁</w:t>
            </w:r>
          </w:p>
        </w:tc>
        <w:tc>
          <w:tcPr>
            <w:tcW w:type="dxa" w:w="90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405"/>
            <w:vMerge/>
            <w:tcBorders>
              <w:top w:val="none" w:color="000000" w:sz="4"/>
              <w:left w:val="single" w:color="000000" w:sz="4"/>
              <w:bottom w:val="single" w:color="000000" w:sz="4"/>
              <w:right w:val="single" w:color="000000" w:sz="4"/>
            </w:tcBorders>
          </w:tcPr>
          <w:p/>
        </w:tc>
        <w:tc>
          <w:tcPr>
            <w:tcW w:type="dxa" w:w="1110"/>
            <w:vMerge/>
            <w:tcBorders>
              <w:top w:val="none" w:color="000000" w:sz="4"/>
              <w:left w:val="single" w:color="000000" w:sz="4"/>
              <w:bottom w:val="single" w:color="000000" w:sz="4"/>
              <w:right w:val="single" w:color="000000" w:sz="4"/>
            </w:tcBorders>
          </w:tcP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3、按会议人数准备茶水，会前15分钟</w:t>
            </w:r>
            <w:r>
              <w:rPr>
                <w:rFonts w:ascii="仿宋_GB2312" w:hAnsi="仿宋_GB2312" w:cs="仿宋_GB2312" w:eastAsia="仿宋_GB2312"/>
                <w:sz w:val="21"/>
                <w:color w:val="000000"/>
              </w:rPr>
              <w:t>将全场茶水倒满</w:t>
            </w:r>
          </w:p>
        </w:tc>
        <w:tc>
          <w:tcPr>
            <w:tcW w:type="dxa" w:w="90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405"/>
            <w:vMerge/>
            <w:tcBorders>
              <w:top w:val="none" w:color="000000" w:sz="4"/>
              <w:left w:val="single" w:color="000000" w:sz="4"/>
              <w:bottom w:val="single" w:color="000000" w:sz="4"/>
              <w:right w:val="single" w:color="000000" w:sz="4"/>
            </w:tcBorders>
          </w:tcPr>
          <w:p/>
        </w:tc>
        <w:tc>
          <w:tcPr>
            <w:tcW w:type="dxa" w:w="1110"/>
            <w:vMerge/>
            <w:tcBorders>
              <w:top w:val="none" w:color="000000" w:sz="4"/>
              <w:left w:val="single" w:color="000000" w:sz="4"/>
              <w:bottom w:val="single" w:color="000000" w:sz="4"/>
              <w:right w:val="single" w:color="000000" w:sz="4"/>
            </w:tcBorders>
          </w:tcP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4、会前迎宾</w:t>
            </w:r>
          </w:p>
        </w:tc>
        <w:tc>
          <w:tcPr>
            <w:tcW w:type="dxa" w:w="90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405"/>
            <w:vMerge/>
            <w:tcBorders>
              <w:top w:val="none" w:color="000000" w:sz="4"/>
              <w:left w:val="single" w:color="000000" w:sz="4"/>
              <w:bottom w:val="single" w:color="000000" w:sz="4"/>
              <w:right w:val="single" w:color="000000" w:sz="4"/>
            </w:tcBorders>
          </w:tcPr>
          <w:p/>
        </w:tc>
        <w:tc>
          <w:tcPr>
            <w:tcW w:type="dxa" w:w="1110"/>
            <w:vMerge/>
            <w:tcBorders>
              <w:top w:val="none" w:color="000000" w:sz="4"/>
              <w:left w:val="single" w:color="000000" w:sz="4"/>
              <w:bottom w:val="single" w:color="000000" w:sz="4"/>
              <w:right w:val="single" w:color="000000" w:sz="4"/>
            </w:tcBorders>
          </w:tcP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5、会中全程站立场外待命，协助做好会场外秩序维持</w:t>
            </w:r>
          </w:p>
        </w:tc>
        <w:tc>
          <w:tcPr>
            <w:tcW w:type="dxa" w:w="90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405"/>
            <w:vMerge/>
            <w:tcBorders>
              <w:top w:val="none" w:color="000000" w:sz="4"/>
              <w:left w:val="single" w:color="000000" w:sz="4"/>
              <w:bottom w:val="single" w:color="000000" w:sz="4"/>
              <w:right w:val="single" w:color="000000" w:sz="4"/>
            </w:tcBorders>
          </w:tcPr>
          <w:p/>
        </w:tc>
        <w:tc>
          <w:tcPr>
            <w:tcW w:type="dxa" w:w="1110"/>
            <w:vMerge/>
            <w:tcBorders>
              <w:top w:val="none" w:color="000000" w:sz="4"/>
              <w:left w:val="single" w:color="000000" w:sz="4"/>
              <w:bottom w:val="single" w:color="000000" w:sz="4"/>
              <w:right w:val="single" w:color="000000" w:sz="4"/>
            </w:tcBorders>
          </w:tcP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 按时续水</w:t>
            </w:r>
          </w:p>
        </w:tc>
        <w:tc>
          <w:tcPr>
            <w:tcW w:type="dxa" w:w="90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405"/>
            <w:vMerge/>
            <w:tcBorders>
              <w:top w:val="none" w:color="000000" w:sz="4"/>
              <w:left w:val="single" w:color="000000" w:sz="4"/>
              <w:bottom w:val="single" w:color="000000" w:sz="4"/>
              <w:right w:val="single" w:color="000000" w:sz="4"/>
            </w:tcBorders>
          </w:tcPr>
          <w:p/>
        </w:tc>
        <w:tc>
          <w:tcPr>
            <w:tcW w:type="dxa" w:w="1110"/>
            <w:vMerge/>
            <w:tcBorders>
              <w:top w:val="none" w:color="000000" w:sz="4"/>
              <w:left w:val="single" w:color="000000" w:sz="4"/>
              <w:bottom w:val="single" w:color="000000" w:sz="4"/>
              <w:right w:val="single" w:color="000000" w:sz="4"/>
            </w:tcBorders>
          </w:tcP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7、会后引导退场，复原场内摆设，清洗消毒水杯水壶，会场保洁。</w:t>
            </w:r>
          </w:p>
        </w:tc>
        <w:tc>
          <w:tcPr>
            <w:tcW w:type="dxa" w:w="90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405"/>
            <w:vMerge/>
            <w:tcBorders>
              <w:top w:val="none" w:color="000000" w:sz="4"/>
              <w:left w:val="single" w:color="000000" w:sz="4"/>
              <w:bottom w:val="single" w:color="000000" w:sz="4"/>
              <w:right w:val="single" w:color="000000" w:sz="4"/>
            </w:tcBorders>
          </w:tcPr>
          <w:p/>
        </w:tc>
        <w:tc>
          <w:tcPr>
            <w:tcW w:type="dxa" w:w="11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101-200人</w:t>
            </w:r>
          </w:p>
          <w:p>
            <w:pPr>
              <w:pStyle w:val="null3"/>
              <w:jc w:val="center"/>
            </w:pPr>
            <w:r>
              <w:rPr>
                <w:rFonts w:ascii="仿宋_GB2312" w:hAnsi="仿宋_GB2312" w:cs="仿宋_GB2312" w:eastAsia="仿宋_GB2312"/>
                <w:sz w:val="21"/>
                <w:color w:val="000000"/>
              </w:rPr>
              <w:t>(含)</w:t>
            </w: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 会议室日常保洁</w:t>
            </w:r>
          </w:p>
        </w:tc>
        <w:tc>
          <w:tcPr>
            <w:tcW w:type="dxa" w:w="9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405"/>
            <w:vMerge/>
            <w:tcBorders>
              <w:top w:val="none" w:color="000000" w:sz="4"/>
              <w:left w:val="single" w:color="000000" w:sz="4"/>
              <w:bottom w:val="single" w:color="000000" w:sz="4"/>
              <w:right w:val="single" w:color="000000" w:sz="4"/>
            </w:tcBorders>
          </w:tcPr>
          <w:p/>
        </w:tc>
        <w:tc>
          <w:tcPr>
            <w:tcW w:type="dxa" w:w="1110"/>
            <w:vMerge/>
            <w:tcBorders>
              <w:top w:val="none" w:color="000000" w:sz="4"/>
              <w:left w:val="single" w:color="000000" w:sz="4"/>
              <w:bottom w:val="single" w:color="000000" w:sz="4"/>
              <w:right w:val="single" w:color="000000" w:sz="4"/>
            </w:tcBorders>
          </w:tcP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2、场地布置：根据会议需求，安排台型、摆放桌椅、布置水杯、纸笔、纸巾、文件等会议用品，会场深度保洁</w:t>
            </w:r>
          </w:p>
        </w:tc>
        <w:tc>
          <w:tcPr>
            <w:tcW w:type="dxa" w:w="90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405"/>
            <w:vMerge/>
            <w:tcBorders>
              <w:top w:val="none" w:color="000000" w:sz="4"/>
              <w:left w:val="single" w:color="000000" w:sz="4"/>
              <w:bottom w:val="single" w:color="000000" w:sz="4"/>
              <w:right w:val="single" w:color="000000" w:sz="4"/>
            </w:tcBorders>
          </w:tcPr>
          <w:p/>
        </w:tc>
        <w:tc>
          <w:tcPr>
            <w:tcW w:type="dxa" w:w="1110"/>
            <w:vMerge/>
            <w:tcBorders>
              <w:top w:val="none" w:color="000000" w:sz="4"/>
              <w:left w:val="single" w:color="000000" w:sz="4"/>
              <w:bottom w:val="single" w:color="000000" w:sz="4"/>
              <w:right w:val="single" w:color="000000" w:sz="4"/>
            </w:tcBorders>
          </w:tcP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3、按会议人数准备茶水，会前15分钟</w:t>
            </w:r>
            <w:r>
              <w:rPr>
                <w:rFonts w:ascii="仿宋_GB2312" w:hAnsi="仿宋_GB2312" w:cs="仿宋_GB2312" w:eastAsia="仿宋_GB2312"/>
                <w:sz w:val="21"/>
                <w:color w:val="000000"/>
              </w:rPr>
              <w:t>将全场茶水倒满</w:t>
            </w:r>
          </w:p>
        </w:tc>
        <w:tc>
          <w:tcPr>
            <w:tcW w:type="dxa" w:w="90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405"/>
            <w:vMerge/>
            <w:tcBorders>
              <w:top w:val="none" w:color="000000" w:sz="4"/>
              <w:left w:val="single" w:color="000000" w:sz="4"/>
              <w:bottom w:val="single" w:color="000000" w:sz="4"/>
              <w:right w:val="single" w:color="000000" w:sz="4"/>
            </w:tcBorders>
          </w:tcPr>
          <w:p/>
        </w:tc>
        <w:tc>
          <w:tcPr>
            <w:tcW w:type="dxa" w:w="1110"/>
            <w:vMerge/>
            <w:tcBorders>
              <w:top w:val="none" w:color="000000" w:sz="4"/>
              <w:left w:val="single" w:color="000000" w:sz="4"/>
              <w:bottom w:val="single" w:color="000000" w:sz="4"/>
              <w:right w:val="single" w:color="000000" w:sz="4"/>
            </w:tcBorders>
          </w:tcP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4、会前迎宾</w:t>
            </w:r>
          </w:p>
        </w:tc>
        <w:tc>
          <w:tcPr>
            <w:tcW w:type="dxa" w:w="90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405"/>
            <w:vMerge/>
            <w:tcBorders>
              <w:top w:val="none" w:color="000000" w:sz="4"/>
              <w:left w:val="single" w:color="000000" w:sz="4"/>
              <w:bottom w:val="single" w:color="000000" w:sz="4"/>
              <w:right w:val="single" w:color="000000" w:sz="4"/>
            </w:tcBorders>
          </w:tcPr>
          <w:p/>
        </w:tc>
        <w:tc>
          <w:tcPr>
            <w:tcW w:type="dxa" w:w="1110"/>
            <w:vMerge/>
            <w:tcBorders>
              <w:top w:val="none" w:color="000000" w:sz="4"/>
              <w:left w:val="single" w:color="000000" w:sz="4"/>
              <w:bottom w:val="single" w:color="000000" w:sz="4"/>
              <w:right w:val="single" w:color="000000" w:sz="4"/>
            </w:tcBorders>
          </w:tcP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5、会中全程站立场外待命，协助做好会场外秩序维持</w:t>
            </w:r>
          </w:p>
        </w:tc>
        <w:tc>
          <w:tcPr>
            <w:tcW w:type="dxa" w:w="90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405"/>
            <w:vMerge/>
            <w:tcBorders>
              <w:top w:val="none" w:color="000000" w:sz="4"/>
              <w:left w:val="single" w:color="000000" w:sz="4"/>
              <w:bottom w:val="single" w:color="000000" w:sz="4"/>
              <w:right w:val="single" w:color="000000" w:sz="4"/>
            </w:tcBorders>
          </w:tcPr>
          <w:p/>
        </w:tc>
        <w:tc>
          <w:tcPr>
            <w:tcW w:type="dxa" w:w="1110"/>
            <w:vMerge/>
            <w:tcBorders>
              <w:top w:val="none" w:color="000000" w:sz="4"/>
              <w:left w:val="single" w:color="000000" w:sz="4"/>
              <w:bottom w:val="single" w:color="000000" w:sz="4"/>
              <w:right w:val="single" w:color="000000" w:sz="4"/>
            </w:tcBorders>
          </w:tcP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 按时续水</w:t>
            </w:r>
          </w:p>
        </w:tc>
        <w:tc>
          <w:tcPr>
            <w:tcW w:type="dxa" w:w="90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405"/>
            <w:vMerge/>
            <w:tcBorders>
              <w:top w:val="none" w:color="000000" w:sz="4"/>
              <w:left w:val="single" w:color="000000" w:sz="4"/>
              <w:bottom w:val="single" w:color="000000" w:sz="4"/>
              <w:right w:val="single" w:color="000000" w:sz="4"/>
            </w:tcBorders>
          </w:tcPr>
          <w:p/>
        </w:tc>
        <w:tc>
          <w:tcPr>
            <w:tcW w:type="dxa" w:w="1110"/>
            <w:vMerge/>
            <w:tcBorders>
              <w:top w:val="none" w:color="000000" w:sz="4"/>
              <w:left w:val="single" w:color="000000" w:sz="4"/>
              <w:bottom w:val="single" w:color="000000" w:sz="4"/>
              <w:right w:val="single" w:color="000000" w:sz="4"/>
            </w:tcBorders>
          </w:tcP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7、会后引导退场，复原场内摆设，清洗消毒水杯水壶，会场保洁。</w:t>
            </w:r>
          </w:p>
        </w:tc>
        <w:tc>
          <w:tcPr>
            <w:tcW w:type="dxa" w:w="90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405"/>
            <w:vMerge/>
            <w:tcBorders>
              <w:top w:val="none" w:color="000000" w:sz="4"/>
              <w:left w:val="single" w:color="000000" w:sz="4"/>
              <w:bottom w:val="single" w:color="000000" w:sz="4"/>
              <w:right w:val="single" w:color="000000" w:sz="4"/>
            </w:tcBorders>
          </w:tcPr>
          <w:p/>
        </w:tc>
        <w:tc>
          <w:tcPr>
            <w:tcW w:type="dxa" w:w="11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201-500人</w:t>
            </w:r>
          </w:p>
          <w:p>
            <w:pPr>
              <w:pStyle w:val="null3"/>
              <w:jc w:val="center"/>
            </w:pPr>
            <w:r>
              <w:rPr>
                <w:rFonts w:ascii="仿宋_GB2312" w:hAnsi="仿宋_GB2312" w:cs="仿宋_GB2312" w:eastAsia="仿宋_GB2312"/>
                <w:sz w:val="21"/>
                <w:color w:val="000000"/>
              </w:rPr>
              <w:t>(含)</w:t>
            </w: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 会议室日常保洁</w:t>
            </w:r>
          </w:p>
        </w:tc>
        <w:tc>
          <w:tcPr>
            <w:tcW w:type="dxa" w:w="9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405"/>
            <w:vMerge/>
            <w:tcBorders>
              <w:top w:val="none" w:color="000000" w:sz="4"/>
              <w:left w:val="single" w:color="000000" w:sz="4"/>
              <w:bottom w:val="single" w:color="000000" w:sz="4"/>
              <w:right w:val="single" w:color="000000" w:sz="4"/>
            </w:tcBorders>
          </w:tcPr>
          <w:p/>
        </w:tc>
        <w:tc>
          <w:tcPr>
            <w:tcW w:type="dxa" w:w="1110"/>
            <w:vMerge/>
            <w:tcBorders>
              <w:top w:val="none" w:color="000000" w:sz="4"/>
              <w:left w:val="single" w:color="000000" w:sz="4"/>
              <w:bottom w:val="single" w:color="000000" w:sz="4"/>
              <w:right w:val="single" w:color="000000" w:sz="4"/>
            </w:tcBorders>
          </w:tcP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2、场地布置：根据会议需求，安排台型、摆放桌椅、布置水杯、纸笔、纸巾、文件等会议用品，会场深度保洁</w:t>
            </w:r>
          </w:p>
        </w:tc>
        <w:tc>
          <w:tcPr>
            <w:tcW w:type="dxa" w:w="90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405"/>
            <w:vMerge/>
            <w:tcBorders>
              <w:top w:val="none" w:color="000000" w:sz="4"/>
              <w:left w:val="single" w:color="000000" w:sz="4"/>
              <w:bottom w:val="single" w:color="000000" w:sz="4"/>
              <w:right w:val="single" w:color="000000" w:sz="4"/>
            </w:tcBorders>
          </w:tcPr>
          <w:p/>
        </w:tc>
        <w:tc>
          <w:tcPr>
            <w:tcW w:type="dxa" w:w="1110"/>
            <w:vMerge/>
            <w:tcBorders>
              <w:top w:val="none" w:color="000000" w:sz="4"/>
              <w:left w:val="single" w:color="000000" w:sz="4"/>
              <w:bottom w:val="single" w:color="000000" w:sz="4"/>
              <w:right w:val="single" w:color="000000" w:sz="4"/>
            </w:tcBorders>
          </w:tcP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3、按会议人数准备茶水，会前15分钟</w:t>
            </w:r>
            <w:r>
              <w:rPr>
                <w:rFonts w:ascii="仿宋_GB2312" w:hAnsi="仿宋_GB2312" w:cs="仿宋_GB2312" w:eastAsia="仿宋_GB2312"/>
                <w:sz w:val="21"/>
                <w:color w:val="000000"/>
              </w:rPr>
              <w:t>将全场茶水倒满</w:t>
            </w:r>
          </w:p>
        </w:tc>
        <w:tc>
          <w:tcPr>
            <w:tcW w:type="dxa" w:w="90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405"/>
            <w:vMerge/>
            <w:tcBorders>
              <w:top w:val="none" w:color="000000" w:sz="4"/>
              <w:left w:val="single" w:color="000000" w:sz="4"/>
              <w:bottom w:val="single" w:color="000000" w:sz="4"/>
              <w:right w:val="single" w:color="000000" w:sz="4"/>
            </w:tcBorders>
          </w:tcPr>
          <w:p/>
        </w:tc>
        <w:tc>
          <w:tcPr>
            <w:tcW w:type="dxa" w:w="1110"/>
            <w:vMerge/>
            <w:tcBorders>
              <w:top w:val="none" w:color="000000" w:sz="4"/>
              <w:left w:val="single" w:color="000000" w:sz="4"/>
              <w:bottom w:val="single" w:color="000000" w:sz="4"/>
              <w:right w:val="single" w:color="000000" w:sz="4"/>
            </w:tcBorders>
          </w:tcP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4、会前迎宾</w:t>
            </w:r>
          </w:p>
        </w:tc>
        <w:tc>
          <w:tcPr>
            <w:tcW w:type="dxa" w:w="90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405"/>
            <w:vMerge/>
            <w:tcBorders>
              <w:top w:val="none" w:color="000000" w:sz="4"/>
              <w:left w:val="single" w:color="000000" w:sz="4"/>
              <w:bottom w:val="single" w:color="000000" w:sz="4"/>
              <w:right w:val="single" w:color="000000" w:sz="4"/>
            </w:tcBorders>
          </w:tcPr>
          <w:p/>
        </w:tc>
        <w:tc>
          <w:tcPr>
            <w:tcW w:type="dxa" w:w="1110"/>
            <w:vMerge/>
            <w:tcBorders>
              <w:top w:val="none" w:color="000000" w:sz="4"/>
              <w:left w:val="single" w:color="000000" w:sz="4"/>
              <w:bottom w:val="single" w:color="000000" w:sz="4"/>
              <w:right w:val="single" w:color="000000" w:sz="4"/>
            </w:tcBorders>
          </w:tcP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5、会中全程站立场外待命，协助做好会场外秩序维持</w:t>
            </w:r>
          </w:p>
        </w:tc>
        <w:tc>
          <w:tcPr>
            <w:tcW w:type="dxa" w:w="90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405"/>
            <w:vMerge/>
            <w:tcBorders>
              <w:top w:val="none" w:color="000000" w:sz="4"/>
              <w:left w:val="single" w:color="000000" w:sz="4"/>
              <w:bottom w:val="single" w:color="000000" w:sz="4"/>
              <w:right w:val="single" w:color="000000" w:sz="4"/>
            </w:tcBorders>
          </w:tcPr>
          <w:p/>
        </w:tc>
        <w:tc>
          <w:tcPr>
            <w:tcW w:type="dxa" w:w="1110"/>
            <w:vMerge/>
            <w:tcBorders>
              <w:top w:val="none" w:color="000000" w:sz="4"/>
              <w:left w:val="single" w:color="000000" w:sz="4"/>
              <w:bottom w:val="single" w:color="000000" w:sz="4"/>
              <w:right w:val="single" w:color="000000" w:sz="4"/>
            </w:tcBorders>
          </w:tcP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 按时续水</w:t>
            </w:r>
          </w:p>
        </w:tc>
        <w:tc>
          <w:tcPr>
            <w:tcW w:type="dxa" w:w="90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405"/>
            <w:vMerge/>
            <w:tcBorders>
              <w:top w:val="none" w:color="000000" w:sz="4"/>
              <w:left w:val="single" w:color="000000" w:sz="4"/>
              <w:bottom w:val="single" w:color="000000" w:sz="4"/>
              <w:right w:val="single" w:color="000000" w:sz="4"/>
            </w:tcBorders>
          </w:tcPr>
          <w:p/>
        </w:tc>
        <w:tc>
          <w:tcPr>
            <w:tcW w:type="dxa" w:w="1110"/>
            <w:vMerge/>
            <w:tcBorders>
              <w:top w:val="none" w:color="000000" w:sz="4"/>
              <w:left w:val="single" w:color="000000" w:sz="4"/>
              <w:bottom w:val="single" w:color="000000" w:sz="4"/>
              <w:right w:val="single" w:color="000000" w:sz="4"/>
            </w:tcBorders>
          </w:tcP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7、会后引导退场，复原场内摆设，清洗消毒水杯水壶，会场保洁。</w:t>
            </w:r>
          </w:p>
        </w:tc>
        <w:tc>
          <w:tcPr>
            <w:tcW w:type="dxa" w:w="90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405"/>
            <w:vMerge/>
            <w:tcBorders>
              <w:top w:val="none" w:color="000000" w:sz="4"/>
              <w:left w:val="single" w:color="000000" w:sz="4"/>
              <w:bottom w:val="single" w:color="000000" w:sz="4"/>
              <w:right w:val="single" w:color="000000" w:sz="4"/>
            </w:tcBorders>
          </w:tcPr>
          <w:p/>
        </w:tc>
        <w:tc>
          <w:tcPr>
            <w:tcW w:type="dxa" w:w="11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501-1000人</w:t>
            </w: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 会议室日常保洁</w:t>
            </w:r>
          </w:p>
        </w:tc>
        <w:tc>
          <w:tcPr>
            <w:tcW w:type="dxa" w:w="9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405"/>
            <w:vMerge/>
            <w:tcBorders>
              <w:top w:val="none" w:color="000000" w:sz="4"/>
              <w:left w:val="single" w:color="000000" w:sz="4"/>
              <w:bottom w:val="single" w:color="000000" w:sz="4"/>
              <w:right w:val="single" w:color="000000" w:sz="4"/>
            </w:tcBorders>
          </w:tcPr>
          <w:p/>
        </w:tc>
        <w:tc>
          <w:tcPr>
            <w:tcW w:type="dxa" w:w="1110"/>
            <w:vMerge/>
            <w:tcBorders>
              <w:top w:val="none" w:color="000000" w:sz="4"/>
              <w:left w:val="single" w:color="000000" w:sz="4"/>
              <w:bottom w:val="single" w:color="000000" w:sz="4"/>
              <w:right w:val="single" w:color="000000" w:sz="4"/>
            </w:tcBorders>
          </w:tcP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2、场地布置：根据会议需求，安排台型、摆放桌椅、布置水杯、纸笔、纸巾、文件等会议用品，会场深度保洁</w:t>
            </w:r>
          </w:p>
        </w:tc>
        <w:tc>
          <w:tcPr>
            <w:tcW w:type="dxa" w:w="90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405"/>
            <w:vMerge/>
            <w:tcBorders>
              <w:top w:val="none" w:color="000000" w:sz="4"/>
              <w:left w:val="single" w:color="000000" w:sz="4"/>
              <w:bottom w:val="single" w:color="000000" w:sz="4"/>
              <w:right w:val="single" w:color="000000" w:sz="4"/>
            </w:tcBorders>
          </w:tcPr>
          <w:p/>
        </w:tc>
        <w:tc>
          <w:tcPr>
            <w:tcW w:type="dxa" w:w="1110"/>
            <w:vMerge/>
            <w:tcBorders>
              <w:top w:val="none" w:color="000000" w:sz="4"/>
              <w:left w:val="single" w:color="000000" w:sz="4"/>
              <w:bottom w:val="single" w:color="000000" w:sz="4"/>
              <w:right w:val="single" w:color="000000" w:sz="4"/>
            </w:tcBorders>
          </w:tcP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3、按会议人数准备茶水，会前15分钟</w:t>
            </w:r>
            <w:r>
              <w:rPr>
                <w:rFonts w:ascii="仿宋_GB2312" w:hAnsi="仿宋_GB2312" w:cs="仿宋_GB2312" w:eastAsia="仿宋_GB2312"/>
                <w:sz w:val="21"/>
                <w:color w:val="000000"/>
              </w:rPr>
              <w:t>将全场茶水倒满</w:t>
            </w:r>
          </w:p>
        </w:tc>
        <w:tc>
          <w:tcPr>
            <w:tcW w:type="dxa" w:w="90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405"/>
            <w:vMerge/>
            <w:tcBorders>
              <w:top w:val="none" w:color="000000" w:sz="4"/>
              <w:left w:val="single" w:color="000000" w:sz="4"/>
              <w:bottom w:val="single" w:color="000000" w:sz="4"/>
              <w:right w:val="single" w:color="000000" w:sz="4"/>
            </w:tcBorders>
          </w:tcPr>
          <w:p/>
        </w:tc>
        <w:tc>
          <w:tcPr>
            <w:tcW w:type="dxa" w:w="1110"/>
            <w:vMerge/>
            <w:tcBorders>
              <w:top w:val="none" w:color="000000" w:sz="4"/>
              <w:left w:val="single" w:color="000000" w:sz="4"/>
              <w:bottom w:val="single" w:color="000000" w:sz="4"/>
              <w:right w:val="single" w:color="000000" w:sz="4"/>
            </w:tcBorders>
          </w:tcP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4、会前迎宾</w:t>
            </w:r>
          </w:p>
        </w:tc>
        <w:tc>
          <w:tcPr>
            <w:tcW w:type="dxa" w:w="90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405"/>
            <w:vMerge/>
            <w:tcBorders>
              <w:top w:val="none" w:color="000000" w:sz="4"/>
              <w:left w:val="single" w:color="000000" w:sz="4"/>
              <w:bottom w:val="single" w:color="000000" w:sz="4"/>
              <w:right w:val="single" w:color="000000" w:sz="4"/>
            </w:tcBorders>
          </w:tcPr>
          <w:p/>
        </w:tc>
        <w:tc>
          <w:tcPr>
            <w:tcW w:type="dxa" w:w="1110"/>
            <w:vMerge/>
            <w:tcBorders>
              <w:top w:val="none" w:color="000000" w:sz="4"/>
              <w:left w:val="single" w:color="000000" w:sz="4"/>
              <w:bottom w:val="single" w:color="000000" w:sz="4"/>
              <w:right w:val="single" w:color="000000" w:sz="4"/>
            </w:tcBorders>
          </w:tcP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5、会中全程站立场外待命，协助做好会场外秩序维持</w:t>
            </w:r>
          </w:p>
        </w:tc>
        <w:tc>
          <w:tcPr>
            <w:tcW w:type="dxa" w:w="90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405"/>
            <w:vMerge/>
            <w:tcBorders>
              <w:top w:val="none" w:color="000000" w:sz="4"/>
              <w:left w:val="single" w:color="000000" w:sz="4"/>
              <w:bottom w:val="single" w:color="000000" w:sz="4"/>
              <w:right w:val="single" w:color="000000" w:sz="4"/>
            </w:tcBorders>
          </w:tcPr>
          <w:p/>
        </w:tc>
        <w:tc>
          <w:tcPr>
            <w:tcW w:type="dxa" w:w="1110"/>
            <w:vMerge/>
            <w:tcBorders>
              <w:top w:val="none" w:color="000000" w:sz="4"/>
              <w:left w:val="single" w:color="000000" w:sz="4"/>
              <w:bottom w:val="single" w:color="000000" w:sz="4"/>
              <w:right w:val="single" w:color="000000" w:sz="4"/>
            </w:tcBorders>
          </w:tcP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 按时续水</w:t>
            </w:r>
          </w:p>
        </w:tc>
        <w:tc>
          <w:tcPr>
            <w:tcW w:type="dxa" w:w="90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405"/>
            <w:vMerge/>
            <w:tcBorders>
              <w:top w:val="none" w:color="000000" w:sz="4"/>
              <w:left w:val="single" w:color="000000" w:sz="4"/>
              <w:bottom w:val="single" w:color="000000" w:sz="4"/>
              <w:right w:val="single" w:color="000000" w:sz="4"/>
            </w:tcBorders>
          </w:tcPr>
          <w:p/>
        </w:tc>
        <w:tc>
          <w:tcPr>
            <w:tcW w:type="dxa" w:w="1110"/>
            <w:vMerge/>
            <w:tcBorders>
              <w:top w:val="none" w:color="000000" w:sz="4"/>
              <w:left w:val="single" w:color="000000" w:sz="4"/>
              <w:bottom w:val="single" w:color="000000" w:sz="4"/>
              <w:right w:val="single" w:color="000000" w:sz="4"/>
            </w:tcBorders>
          </w:tcP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7、会后引导退场，复原场内摆设，清洗消毒水杯水壶，会场保洁。</w:t>
            </w:r>
          </w:p>
        </w:tc>
        <w:tc>
          <w:tcPr>
            <w:tcW w:type="dxa" w:w="90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1001人</w:t>
            </w:r>
          </w:p>
          <w:p>
            <w:pPr>
              <w:pStyle w:val="null3"/>
              <w:jc w:val="center"/>
            </w:pPr>
            <w:r>
              <w:rPr>
                <w:rFonts w:ascii="仿宋_GB2312" w:hAnsi="仿宋_GB2312" w:cs="仿宋_GB2312" w:eastAsia="仿宋_GB2312"/>
                <w:sz w:val="21"/>
                <w:color w:val="000000"/>
              </w:rPr>
              <w:t>(含)以上</w:t>
            </w: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 会议室日常保洁</w:t>
            </w:r>
          </w:p>
        </w:tc>
        <w:tc>
          <w:tcPr>
            <w:tcW w:type="dxa" w:w="9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405"/>
            <w:vMerge/>
            <w:tcBorders>
              <w:top w:val="none" w:color="000000" w:sz="4"/>
              <w:left w:val="single" w:color="000000" w:sz="4"/>
              <w:bottom w:val="single" w:color="000000" w:sz="4"/>
              <w:right w:val="single" w:color="000000" w:sz="4"/>
            </w:tcBorders>
          </w:tcPr>
          <w:p/>
        </w:tc>
        <w:tc>
          <w:tcPr>
            <w:tcW w:type="dxa" w:w="1110"/>
            <w:vMerge/>
            <w:tcBorders>
              <w:top w:val="none" w:color="000000" w:sz="4"/>
              <w:left w:val="single" w:color="000000" w:sz="4"/>
              <w:bottom w:val="single" w:color="000000" w:sz="4"/>
              <w:right w:val="single" w:color="000000" w:sz="4"/>
            </w:tcBorders>
          </w:tcP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2、场地布置：根据会议需求，安排台型、摆放桌椅、布置水杯、纸笔、纸巾、文件等会议用品，会场深度保洁</w:t>
            </w:r>
          </w:p>
        </w:tc>
        <w:tc>
          <w:tcPr>
            <w:tcW w:type="dxa" w:w="90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405"/>
            <w:vMerge/>
            <w:tcBorders>
              <w:top w:val="none" w:color="000000" w:sz="4"/>
              <w:left w:val="single" w:color="000000" w:sz="4"/>
              <w:bottom w:val="single" w:color="000000" w:sz="4"/>
              <w:right w:val="single" w:color="000000" w:sz="4"/>
            </w:tcBorders>
          </w:tcPr>
          <w:p/>
        </w:tc>
        <w:tc>
          <w:tcPr>
            <w:tcW w:type="dxa" w:w="1110"/>
            <w:vMerge/>
            <w:tcBorders>
              <w:top w:val="none" w:color="000000" w:sz="4"/>
              <w:left w:val="single" w:color="000000" w:sz="4"/>
              <w:bottom w:val="single" w:color="000000" w:sz="4"/>
              <w:right w:val="single" w:color="000000" w:sz="4"/>
            </w:tcBorders>
          </w:tcP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3、按会议人数准备茶水，会前15分钟</w:t>
            </w:r>
            <w:r>
              <w:rPr>
                <w:rFonts w:ascii="仿宋_GB2312" w:hAnsi="仿宋_GB2312" w:cs="仿宋_GB2312" w:eastAsia="仿宋_GB2312"/>
                <w:sz w:val="21"/>
                <w:color w:val="000000"/>
              </w:rPr>
              <w:t>将全场茶水倒满</w:t>
            </w:r>
          </w:p>
        </w:tc>
        <w:tc>
          <w:tcPr>
            <w:tcW w:type="dxa" w:w="90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405"/>
            <w:vMerge/>
            <w:tcBorders>
              <w:top w:val="none" w:color="000000" w:sz="4"/>
              <w:left w:val="single" w:color="000000" w:sz="4"/>
              <w:bottom w:val="single" w:color="000000" w:sz="4"/>
              <w:right w:val="single" w:color="000000" w:sz="4"/>
            </w:tcBorders>
          </w:tcPr>
          <w:p/>
        </w:tc>
        <w:tc>
          <w:tcPr>
            <w:tcW w:type="dxa" w:w="1110"/>
            <w:vMerge/>
            <w:tcBorders>
              <w:top w:val="none" w:color="000000" w:sz="4"/>
              <w:left w:val="single" w:color="000000" w:sz="4"/>
              <w:bottom w:val="single" w:color="000000" w:sz="4"/>
              <w:right w:val="single" w:color="000000" w:sz="4"/>
            </w:tcBorders>
          </w:tcP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4、会前迎宾</w:t>
            </w:r>
          </w:p>
        </w:tc>
        <w:tc>
          <w:tcPr>
            <w:tcW w:type="dxa" w:w="90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405"/>
            <w:vMerge/>
            <w:tcBorders>
              <w:top w:val="none" w:color="000000" w:sz="4"/>
              <w:left w:val="single" w:color="000000" w:sz="4"/>
              <w:bottom w:val="single" w:color="000000" w:sz="4"/>
              <w:right w:val="single" w:color="000000" w:sz="4"/>
            </w:tcBorders>
          </w:tcPr>
          <w:p/>
        </w:tc>
        <w:tc>
          <w:tcPr>
            <w:tcW w:type="dxa" w:w="1110"/>
            <w:vMerge/>
            <w:tcBorders>
              <w:top w:val="none" w:color="000000" w:sz="4"/>
              <w:left w:val="single" w:color="000000" w:sz="4"/>
              <w:bottom w:val="single" w:color="000000" w:sz="4"/>
              <w:right w:val="single" w:color="000000" w:sz="4"/>
            </w:tcBorders>
          </w:tcP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5、会中全程站立场外待命，协助做好会场外秩序维持</w:t>
            </w:r>
          </w:p>
        </w:tc>
        <w:tc>
          <w:tcPr>
            <w:tcW w:type="dxa" w:w="90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405"/>
            <w:vMerge/>
            <w:tcBorders>
              <w:top w:val="none" w:color="000000" w:sz="4"/>
              <w:left w:val="single" w:color="000000" w:sz="4"/>
              <w:bottom w:val="single" w:color="000000" w:sz="4"/>
              <w:right w:val="single" w:color="000000" w:sz="4"/>
            </w:tcBorders>
          </w:tcPr>
          <w:p/>
        </w:tc>
        <w:tc>
          <w:tcPr>
            <w:tcW w:type="dxa" w:w="1110"/>
            <w:vMerge/>
            <w:tcBorders>
              <w:top w:val="none" w:color="000000" w:sz="4"/>
              <w:left w:val="single" w:color="000000" w:sz="4"/>
              <w:bottom w:val="single" w:color="000000" w:sz="4"/>
              <w:right w:val="single" w:color="000000" w:sz="4"/>
            </w:tcBorders>
          </w:tcP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 按时续水</w:t>
            </w:r>
          </w:p>
        </w:tc>
        <w:tc>
          <w:tcPr>
            <w:tcW w:type="dxa" w:w="90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405"/>
            <w:vMerge/>
            <w:tcBorders>
              <w:top w:val="none" w:color="000000" w:sz="4"/>
              <w:left w:val="single" w:color="000000" w:sz="4"/>
              <w:bottom w:val="single" w:color="000000" w:sz="4"/>
              <w:right w:val="single" w:color="000000" w:sz="4"/>
            </w:tcBorders>
          </w:tcPr>
          <w:p/>
        </w:tc>
        <w:tc>
          <w:tcPr>
            <w:tcW w:type="dxa" w:w="1110"/>
            <w:vMerge/>
            <w:tcBorders>
              <w:top w:val="none" w:color="000000" w:sz="4"/>
              <w:left w:val="single" w:color="000000" w:sz="4"/>
              <w:bottom w:val="single" w:color="000000" w:sz="4"/>
              <w:right w:val="single" w:color="000000" w:sz="4"/>
            </w:tcBorders>
          </w:tcPr>
          <w:p/>
        </w:tc>
        <w:tc>
          <w:tcPr>
            <w:tcW w:type="dxa" w:w="4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7、会后引导退场，复原场内摆设，清洗消毒水杯水壶，会场保洁。</w:t>
            </w:r>
          </w:p>
        </w:tc>
        <w:tc>
          <w:tcPr>
            <w:tcW w:type="dxa" w:w="900"/>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r>
      <w:tr>
        <w:tc>
          <w:tcPr>
            <w:tcW w:type="dxa" w:w="1515"/>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公务专项服务</w:t>
            </w:r>
          </w:p>
        </w:tc>
        <w:tc>
          <w:tcPr>
            <w:tcW w:type="dxa" w:w="50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 30间办公室内家具、门窗、卫生间、茶壶茶杯每日保洁1次(每间约40平）</w:t>
            </w:r>
          </w:p>
        </w:tc>
        <w:tc>
          <w:tcPr>
            <w:tcW w:type="dxa" w:w="13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15"/>
            <w:gridSpan w:val="2"/>
            <w:vMerge/>
            <w:tcBorders>
              <w:top w:val="none" w:color="000000" w:sz="4"/>
              <w:left w:val="single" w:color="000000" w:sz="4"/>
              <w:bottom w:val="single" w:color="000000" w:sz="4"/>
              <w:right w:val="single" w:color="000000" w:sz="4"/>
            </w:tcBorders>
          </w:tcPr>
          <w:p/>
        </w:tc>
        <w:tc>
          <w:tcPr>
            <w:tcW w:type="dxa" w:w="50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 每月定期更换床上用品，检查日常用品及时补充</w:t>
            </w:r>
          </w:p>
        </w:tc>
        <w:tc>
          <w:tcPr>
            <w:tcW w:type="dxa" w:w="1350"/>
            <w:vMerge/>
            <w:tcBorders>
              <w:top w:val="none" w:color="000000" w:sz="4"/>
              <w:left w:val="single" w:color="000000" w:sz="4"/>
              <w:bottom w:val="single" w:color="000000" w:sz="4"/>
              <w:right w:val="single" w:color="000000" w:sz="4"/>
            </w:tcBorders>
          </w:tcPr>
          <w:p/>
        </w:tc>
      </w:tr>
      <w:tr>
        <w:tc>
          <w:tcPr>
            <w:tcW w:type="dxa" w:w="15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年费用汇总</w:t>
            </w:r>
          </w:p>
        </w:tc>
        <w:tc>
          <w:tcPr>
            <w:tcW w:type="dxa" w:w="640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1"/>
        </w:rPr>
        <w:t>（注：在实际履行合同中，会议场次若有超过以上数量时，成交供应商应无条件提供保障服务，并不得要求增加费用。）</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1"/>
          <w:color w:val="393939"/>
          <w:shd w:fill="FFFFFF" w:val="clear"/>
        </w:rPr>
        <w:t>（一）会务</w:t>
      </w:r>
      <w:r>
        <w:rPr>
          <w:rFonts w:ascii="仿宋_GB2312" w:hAnsi="仿宋_GB2312" w:cs="仿宋_GB2312" w:eastAsia="仿宋_GB2312"/>
          <w:sz w:val="21"/>
          <w:color w:val="393939"/>
          <w:shd w:fill="FFFFFF" w:val="clear"/>
        </w:rPr>
        <w:t>服务</w:t>
      </w:r>
      <w:r>
        <w:rPr>
          <w:rFonts w:ascii="仿宋_GB2312" w:hAnsi="仿宋_GB2312" w:cs="仿宋_GB2312" w:eastAsia="仿宋_GB2312"/>
          <w:sz w:val="21"/>
          <w:color w:val="393939"/>
          <w:shd w:fill="FFFFFF" w:val="clear"/>
        </w:rPr>
        <w:t>主要</w:t>
      </w:r>
      <w:r>
        <w:rPr>
          <w:rFonts w:ascii="仿宋_GB2312" w:hAnsi="仿宋_GB2312" w:cs="仿宋_GB2312" w:eastAsia="仿宋_GB2312"/>
          <w:sz w:val="21"/>
          <w:color w:val="393939"/>
          <w:shd w:fill="FFFFFF" w:val="clear"/>
        </w:rPr>
        <w:t>内容：</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市行政中心西楼会务服务</w:t>
      </w:r>
      <w:r>
        <w:rPr>
          <w:rFonts w:ascii="仿宋_GB2312" w:hAnsi="仿宋_GB2312" w:cs="仿宋_GB2312" w:eastAsia="仿宋_GB2312"/>
          <w:sz w:val="21"/>
        </w:rPr>
        <w:t>（湖滨北路</w:t>
      </w:r>
      <w:r>
        <w:rPr>
          <w:rFonts w:ascii="仿宋_GB2312" w:hAnsi="仿宋_GB2312" w:cs="仿宋_GB2312" w:eastAsia="仿宋_GB2312"/>
          <w:sz w:val="21"/>
        </w:rPr>
        <w:t>61号）</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1）市行政中心西楼会议室、会见厅的会务保障工作；</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2）市级领导</w:t>
      </w:r>
      <w:r>
        <w:rPr>
          <w:rFonts w:ascii="仿宋_GB2312" w:hAnsi="仿宋_GB2312" w:cs="仿宋_GB2312" w:eastAsia="仿宋_GB2312"/>
          <w:sz w:val="21"/>
        </w:rPr>
        <w:t>公务</w:t>
      </w:r>
      <w:r>
        <w:rPr>
          <w:rFonts w:ascii="仿宋_GB2312" w:hAnsi="仿宋_GB2312" w:cs="仿宋_GB2312" w:eastAsia="仿宋_GB2312"/>
          <w:sz w:val="21"/>
        </w:rPr>
        <w:t>服务保障和办公室卫生保洁</w:t>
      </w:r>
      <w:r>
        <w:rPr>
          <w:rFonts w:ascii="仿宋_GB2312" w:hAnsi="仿宋_GB2312" w:cs="仿宋_GB2312" w:eastAsia="仿宋_GB2312"/>
          <w:sz w:val="21"/>
        </w:rPr>
        <w:t>、床品更换及生活物品领用</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市有关重要会议和重大活动的会务服务及礼仪服务；</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4）市行政中心西楼</w:t>
      </w:r>
      <w:r>
        <w:rPr>
          <w:rFonts w:ascii="仿宋_GB2312" w:hAnsi="仿宋_GB2312" w:cs="仿宋_GB2312" w:eastAsia="仿宋_GB2312"/>
          <w:sz w:val="21"/>
        </w:rPr>
        <w:t>会议室、会见厅及其工作间的保洁工作</w:t>
      </w:r>
      <w:r>
        <w:rPr>
          <w:rFonts w:ascii="仿宋_GB2312" w:hAnsi="仿宋_GB2312" w:cs="仿宋_GB2312" w:eastAsia="仿宋_GB2312"/>
          <w:sz w:val="21"/>
        </w:rPr>
        <w:t>、</w:t>
      </w:r>
      <w:r>
        <w:rPr>
          <w:rFonts w:ascii="仿宋_GB2312" w:hAnsi="仿宋_GB2312" w:cs="仿宋_GB2312" w:eastAsia="仿宋_GB2312"/>
          <w:sz w:val="21"/>
        </w:rPr>
        <w:t>公共用品的清洁和消毒；</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协助承办单位做好会议场所的氛围布置并维护会场秩序</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6）市领导、采购人交办的其它事项。</w:t>
      </w:r>
    </w:p>
    <w:p>
      <w:pPr>
        <w:pStyle w:val="null3"/>
        <w:ind w:firstLine="420"/>
      </w:pPr>
      <w:r>
        <w:rPr>
          <w:rFonts w:ascii="仿宋_GB2312" w:hAnsi="仿宋_GB2312" w:cs="仿宋_GB2312" w:eastAsia="仿宋_GB2312"/>
          <w:sz w:val="21"/>
        </w:rPr>
        <w:t>2、厦门人民会堂会务服务（湖滨北路76号）</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1）厦门人民会堂主会场、多功能厅、各议事厅、各会议室的会务保障（要求详见《厦门人民会堂会务服务工作细则》），包括会前业务接洽、会议现场保障、会后清场等。</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2）在厦门人民会堂举办的有关重要会议和重大活动的会务服务及礼仪服务。</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3）厦门人民会堂各议事厅（主会场、多功能厅除外）、领导休息室、各会议室、工作间及开水间的保洁工作,茶具、水壶等的清洁和消毒等工作。及时清理会务保障期间产生的茶叶渣等垃圾。</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4）会议前一天和会议当天应当对会场内的地面、桌面、座椅等进行检查、清洁、维护；对主会场、多功能厅的桌面、座椅等进行检查、清洁。</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5）非会议期间，对厦门人民会堂各议事厅（主会场、多功能厅除外）、领导休息室、各会议室、工作间及开水间等卫生，每周至少进行一次全面保洁。</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6）协助承办单位做好会议场所的氛围布置并维护会场秩序。</w:t>
      </w:r>
    </w:p>
    <w:p>
      <w:pPr>
        <w:pStyle w:val="null3"/>
        <w:ind w:firstLine="420"/>
        <w:jc w:val="left"/>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7）采购人交办的其它会务服务事项等</w:t>
      </w:r>
    </w:p>
    <w:p>
      <w:pPr>
        <w:pStyle w:val="null3"/>
        <w:jc w:val="left"/>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二</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服</w:t>
      </w:r>
      <w:r>
        <w:rPr>
          <w:rFonts w:ascii="仿宋_GB2312" w:hAnsi="仿宋_GB2312" w:cs="仿宋_GB2312" w:eastAsia="仿宋_GB2312"/>
          <w:sz w:val="21"/>
          <w:shd w:fill="FFFFFF" w:val="clear"/>
        </w:rPr>
        <w:t>务</w:t>
      </w:r>
      <w:r>
        <w:rPr>
          <w:rFonts w:ascii="仿宋_GB2312" w:hAnsi="仿宋_GB2312" w:cs="仿宋_GB2312" w:eastAsia="仿宋_GB2312"/>
          <w:sz w:val="21"/>
          <w:shd w:fill="FFFFFF" w:val="clear"/>
        </w:rPr>
        <w:t>团队成</w:t>
      </w:r>
      <w:r>
        <w:rPr>
          <w:rFonts w:ascii="仿宋_GB2312" w:hAnsi="仿宋_GB2312" w:cs="仿宋_GB2312" w:eastAsia="仿宋_GB2312"/>
          <w:sz w:val="21"/>
          <w:shd w:fill="FFFFFF" w:val="clear"/>
        </w:rPr>
        <w:t>员</w:t>
      </w:r>
      <w:r>
        <w:rPr>
          <w:rFonts w:ascii="仿宋_GB2312" w:hAnsi="仿宋_GB2312" w:cs="仿宋_GB2312" w:eastAsia="仿宋_GB2312"/>
          <w:sz w:val="21"/>
          <w:shd w:fill="FFFFFF" w:val="clear"/>
        </w:rPr>
        <w:t>的基本</w:t>
      </w:r>
      <w:r>
        <w:rPr>
          <w:rFonts w:ascii="仿宋_GB2312" w:hAnsi="仿宋_GB2312" w:cs="仿宋_GB2312" w:eastAsia="仿宋_GB2312"/>
          <w:sz w:val="21"/>
          <w:shd w:fill="FFFFFF" w:val="clear"/>
        </w:rPr>
        <w:t>要求</w:t>
      </w:r>
      <w:r>
        <w:rPr>
          <w:rFonts w:ascii="仿宋_GB2312" w:hAnsi="仿宋_GB2312" w:cs="仿宋_GB2312" w:eastAsia="仿宋_GB2312"/>
          <w:sz w:val="21"/>
          <w:shd w:fill="FFFFFF" w:val="clear"/>
        </w:rPr>
        <w:t>和调换管理</w:t>
      </w:r>
      <w:r>
        <w:rPr>
          <w:rFonts w:ascii="仿宋_GB2312" w:hAnsi="仿宋_GB2312" w:cs="仿宋_GB2312" w:eastAsia="仿宋_GB2312"/>
          <w:sz w:val="21"/>
          <w:shd w:fill="FFFFFF" w:val="clear"/>
        </w:rPr>
        <w:t>：</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服务人员应具备以下要求：</w:t>
      </w:r>
    </w:p>
    <w:p>
      <w:pPr>
        <w:pStyle w:val="null3"/>
        <w:ind w:firstLine="420"/>
      </w:pPr>
      <w:r>
        <w:rPr>
          <w:rFonts w:ascii="仿宋_GB2312" w:hAnsi="仿宋_GB2312" w:cs="仿宋_GB2312" w:eastAsia="仿宋_GB2312"/>
          <w:sz w:val="21"/>
        </w:rPr>
        <w:t>①具有中华人民共和国国籍，拥护中国共产党的领导，遵守中华人民共和国宪法、法律、法规，无违法犯罪记录，政治考察合格，家庭背景、社会关系清楚，政治上可靠。</w:t>
      </w:r>
    </w:p>
    <w:p>
      <w:pPr>
        <w:pStyle w:val="null3"/>
        <w:ind w:firstLine="420"/>
      </w:pPr>
      <w:r>
        <w:rPr>
          <w:rFonts w:ascii="仿宋_GB2312" w:hAnsi="仿宋_GB2312" w:cs="仿宋_GB2312" w:eastAsia="仿宋_GB2312"/>
          <w:sz w:val="21"/>
        </w:rPr>
        <w:t>②身体健康、相貌端庄、礼仪良好、谈吐清楚，具备履行岗位职责的身体素质和心理素质；热爱服务工作，工作责任心强，具有良好的沟通能力，作风正派，集体荣誉感强。</w:t>
      </w:r>
    </w:p>
    <w:p>
      <w:pPr>
        <w:pStyle w:val="null3"/>
        <w:ind w:firstLine="420"/>
      </w:pPr>
      <w:r>
        <w:rPr>
          <w:rFonts w:ascii="仿宋_GB2312" w:hAnsi="仿宋_GB2312" w:cs="仿宋_GB2312" w:eastAsia="仿宋_GB2312"/>
          <w:sz w:val="21"/>
        </w:rPr>
        <w:t>③重点岗位要求具有工作经验，工作责任心强，吃苦耐劳，具有较强的政治素质和保密意识。</w:t>
      </w:r>
    </w:p>
    <w:p>
      <w:pPr>
        <w:pStyle w:val="null3"/>
        <w:ind w:firstLine="420"/>
      </w:pPr>
      <w:r>
        <w:rPr>
          <w:rFonts w:ascii="仿宋_GB2312" w:hAnsi="仿宋_GB2312" w:cs="仿宋_GB2312" w:eastAsia="仿宋_GB2312"/>
          <w:sz w:val="21"/>
        </w:rPr>
        <w:t>④主动自愿</w:t>
      </w:r>
      <w:r>
        <w:rPr>
          <w:rFonts w:ascii="仿宋_GB2312" w:hAnsi="仿宋_GB2312" w:cs="仿宋_GB2312" w:eastAsia="仿宋_GB2312"/>
          <w:sz w:val="21"/>
        </w:rPr>
        <w:t>接受</w:t>
      </w:r>
      <w:r>
        <w:rPr>
          <w:rFonts w:ascii="仿宋_GB2312" w:hAnsi="仿宋_GB2312" w:cs="仿宋_GB2312" w:eastAsia="仿宋_GB2312"/>
          <w:sz w:val="21"/>
        </w:rPr>
        <w:t>采购人</w:t>
      </w:r>
      <w:r>
        <w:rPr>
          <w:rFonts w:ascii="仿宋_GB2312" w:hAnsi="仿宋_GB2312" w:cs="仿宋_GB2312" w:eastAsia="仿宋_GB2312"/>
          <w:sz w:val="21"/>
        </w:rPr>
        <w:t>监管，提供优质服务</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管理人员应具备以下要求：</w:t>
      </w:r>
    </w:p>
    <w:p>
      <w:pPr>
        <w:pStyle w:val="null3"/>
        <w:ind w:firstLine="420"/>
      </w:pPr>
      <w:r>
        <w:rPr>
          <w:rFonts w:ascii="仿宋_GB2312" w:hAnsi="仿宋_GB2312" w:cs="仿宋_GB2312" w:eastAsia="仿宋_GB2312"/>
          <w:sz w:val="21"/>
        </w:rPr>
        <w:t>①具有中华人民共和国国籍，拥护中国共产党的领导，遵守中华人民共和国宪法、法律、法规，无违法犯罪记录，政治考察合格。</w:t>
      </w:r>
    </w:p>
    <w:p>
      <w:pPr>
        <w:pStyle w:val="null3"/>
        <w:ind w:firstLine="420"/>
      </w:pPr>
      <w:r>
        <w:rPr>
          <w:rFonts w:ascii="仿宋_GB2312" w:hAnsi="仿宋_GB2312" w:cs="仿宋_GB2312" w:eastAsia="仿宋_GB2312"/>
          <w:sz w:val="21"/>
        </w:rPr>
        <w:t>②大专以上文化程度。</w:t>
      </w:r>
    </w:p>
    <w:p>
      <w:pPr>
        <w:pStyle w:val="null3"/>
        <w:ind w:firstLine="420"/>
      </w:pPr>
      <w:r>
        <w:rPr>
          <w:rFonts w:ascii="仿宋_GB2312" w:hAnsi="仿宋_GB2312" w:cs="仿宋_GB2312" w:eastAsia="仿宋_GB2312"/>
          <w:sz w:val="21"/>
        </w:rPr>
        <w:t>③两年以上会议服务保障管理岗位工作经验，最近一个绩效考核周期的绩效考核结果为“称职”以上。</w:t>
      </w:r>
    </w:p>
    <w:p>
      <w:pPr>
        <w:pStyle w:val="null3"/>
      </w:pPr>
      <w:r>
        <w:rPr>
          <w:rFonts w:ascii="仿宋_GB2312" w:hAnsi="仿宋_GB2312" w:cs="仿宋_GB2312" w:eastAsia="仿宋_GB2312"/>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④具有企业管理基础知识，具备一定的组织协调能力和文字、口头表达能力，了解应聘岗位的业务知识。</w:t>
      </w:r>
    </w:p>
    <w:p>
      <w:pPr>
        <w:pStyle w:val="null3"/>
        <w:jc w:val="left"/>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有下列情形之一的，</w:t>
      </w:r>
      <w:r>
        <w:rPr>
          <w:rFonts w:ascii="仿宋_GB2312" w:hAnsi="仿宋_GB2312" w:cs="仿宋_GB2312" w:eastAsia="仿宋_GB2312"/>
          <w:sz w:val="21"/>
          <w:shd w:fill="FFFFFF" w:val="clear"/>
        </w:rPr>
        <w:t>成交供应商须按照</w:t>
      </w:r>
      <w:r>
        <w:rPr>
          <w:rFonts w:ascii="仿宋_GB2312" w:hAnsi="仿宋_GB2312" w:cs="仿宋_GB2312" w:eastAsia="仿宋_GB2312"/>
          <w:sz w:val="21"/>
          <w:shd w:fill="FFFFFF" w:val="clear"/>
        </w:rPr>
        <w:t>采购人的要求</w:t>
      </w:r>
      <w:r>
        <w:rPr>
          <w:rFonts w:ascii="仿宋_GB2312" w:hAnsi="仿宋_GB2312" w:cs="仿宋_GB2312" w:eastAsia="仿宋_GB2312"/>
          <w:sz w:val="21"/>
          <w:shd w:fill="FFFFFF" w:val="clear"/>
        </w:rPr>
        <w:t>及时</w:t>
      </w:r>
      <w:r>
        <w:rPr>
          <w:rFonts w:ascii="仿宋_GB2312" w:hAnsi="仿宋_GB2312" w:cs="仿宋_GB2312" w:eastAsia="仿宋_GB2312"/>
          <w:sz w:val="21"/>
          <w:shd w:fill="FFFFFF" w:val="clear"/>
        </w:rPr>
        <w:t>调换服务人员：</w:t>
      </w:r>
    </w:p>
    <w:p>
      <w:pPr>
        <w:pStyle w:val="null3"/>
        <w:jc w:val="left"/>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不能胜任</w:t>
      </w:r>
      <w:r>
        <w:rPr>
          <w:rFonts w:ascii="仿宋_GB2312" w:hAnsi="仿宋_GB2312" w:cs="仿宋_GB2312" w:eastAsia="仿宋_GB2312"/>
          <w:sz w:val="21"/>
          <w:shd w:fill="FFFFFF" w:val="clear"/>
        </w:rPr>
        <w:t>保障服务</w:t>
      </w:r>
      <w:r>
        <w:rPr>
          <w:rFonts w:ascii="仿宋_GB2312" w:hAnsi="仿宋_GB2312" w:cs="仿宋_GB2312" w:eastAsia="仿宋_GB2312"/>
          <w:sz w:val="21"/>
          <w:shd w:fill="FFFFFF" w:val="clear"/>
        </w:rPr>
        <w:t>工作的</w:t>
      </w:r>
    </w:p>
    <w:p>
      <w:pPr>
        <w:pStyle w:val="null3"/>
        <w:numPr>
          <w:ilvl w:val="0"/>
          <w:numId w:val="1"/>
        </w:numPr>
        <w:jc w:val="left"/>
      </w:pPr>
      <w:r>
        <w:rPr>
          <w:rFonts w:ascii="仿宋_GB2312" w:hAnsi="仿宋_GB2312" w:cs="仿宋_GB2312" w:eastAsia="仿宋_GB2312"/>
          <w:sz w:val="21"/>
          <w:shd w:fill="FFFFFF" w:val="clear"/>
        </w:rPr>
        <w:t>违反相关管理规定和纪律要求的</w:t>
      </w:r>
    </w:p>
    <w:p>
      <w:pPr>
        <w:pStyle w:val="null3"/>
        <w:numPr>
          <w:ilvl w:val="0"/>
          <w:numId w:val="1"/>
        </w:numPr>
        <w:jc w:val="left"/>
      </w:pPr>
      <w:r>
        <w:rPr>
          <w:rFonts w:ascii="仿宋_GB2312" w:hAnsi="仿宋_GB2312" w:cs="仿宋_GB2312" w:eastAsia="仿宋_GB2312"/>
          <w:sz w:val="21"/>
          <w:shd w:fill="FFFFFF" w:val="clear"/>
        </w:rPr>
        <w:t>因工作失职或不规范履行职责造成严重后果或不良影响的</w:t>
      </w:r>
    </w:p>
    <w:p>
      <w:pPr>
        <w:pStyle w:val="null3"/>
        <w:jc w:val="left"/>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其他不适宜从事</w:t>
      </w:r>
      <w:r>
        <w:rPr>
          <w:rFonts w:ascii="仿宋_GB2312" w:hAnsi="仿宋_GB2312" w:cs="仿宋_GB2312" w:eastAsia="仿宋_GB2312"/>
          <w:sz w:val="21"/>
          <w:shd w:fill="FFFFFF" w:val="clear"/>
        </w:rPr>
        <w:t>保障服务</w:t>
      </w:r>
      <w:r>
        <w:rPr>
          <w:rFonts w:ascii="仿宋_GB2312" w:hAnsi="仿宋_GB2312" w:cs="仿宋_GB2312" w:eastAsia="仿宋_GB2312"/>
          <w:sz w:val="21"/>
          <w:shd w:fill="FFFFFF" w:val="clear"/>
        </w:rPr>
        <w:t>的</w:t>
      </w:r>
      <w:r>
        <w:rPr>
          <w:rFonts w:ascii="仿宋_GB2312" w:hAnsi="仿宋_GB2312" w:cs="仿宋_GB2312" w:eastAsia="仿宋_GB2312"/>
          <w:sz w:val="21"/>
          <w:shd w:fill="FFFFFF" w:val="clear"/>
        </w:rPr>
        <w:t>情形</w:t>
      </w:r>
      <w:r>
        <w:rPr>
          <w:rFonts w:ascii="仿宋_GB2312" w:hAnsi="仿宋_GB2312" w:cs="仿宋_GB2312" w:eastAsia="仿宋_GB2312"/>
          <w:sz w:val="21"/>
          <w:shd w:fill="FFFFFF" w:val="clear"/>
        </w:rPr>
        <w:t>。</w:t>
      </w:r>
    </w:p>
    <w:p>
      <w:pPr>
        <w:pStyle w:val="null3"/>
        <w:jc w:val="left"/>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三</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响应</w:t>
      </w:r>
      <w:r>
        <w:rPr>
          <w:rFonts w:ascii="仿宋_GB2312" w:hAnsi="仿宋_GB2312" w:cs="仿宋_GB2312" w:eastAsia="仿宋_GB2312"/>
          <w:sz w:val="21"/>
          <w:shd w:fill="FFFFFF" w:val="clear"/>
        </w:rPr>
        <w:t>事项</w:t>
      </w:r>
      <w:r>
        <w:rPr>
          <w:rFonts w:ascii="仿宋_GB2312" w:hAnsi="仿宋_GB2312" w:cs="仿宋_GB2312" w:eastAsia="仿宋_GB2312"/>
          <w:sz w:val="21"/>
          <w:shd w:fill="FFFFFF" w:val="clear"/>
        </w:rPr>
        <w:t>要求</w:t>
      </w:r>
    </w:p>
    <w:p>
      <w:pPr>
        <w:pStyle w:val="null3"/>
        <w:jc w:val="left"/>
      </w:pPr>
      <w:r>
        <w:rPr>
          <w:rFonts w:ascii="仿宋_GB2312" w:hAnsi="仿宋_GB2312" w:cs="仿宋_GB2312" w:eastAsia="仿宋_GB2312"/>
          <w:sz w:val="21"/>
        </w:rPr>
        <w:t>1、供应商提供</w:t>
      </w:r>
      <w:r>
        <w:rPr>
          <w:rFonts w:ascii="仿宋_GB2312" w:hAnsi="仿宋_GB2312" w:cs="仿宋_GB2312" w:eastAsia="仿宋_GB2312"/>
          <w:sz w:val="21"/>
        </w:rPr>
        <w:t>本项目的突发应急</w:t>
      </w:r>
      <w:r>
        <w:rPr>
          <w:rFonts w:ascii="仿宋_GB2312" w:hAnsi="仿宋_GB2312" w:cs="仿宋_GB2312" w:eastAsia="仿宋_GB2312"/>
          <w:sz w:val="21"/>
        </w:rPr>
        <w:t>预</w:t>
      </w:r>
      <w:r>
        <w:rPr>
          <w:rFonts w:ascii="仿宋_GB2312" w:hAnsi="仿宋_GB2312" w:cs="仿宋_GB2312" w:eastAsia="仿宋_GB2312"/>
          <w:sz w:val="21"/>
        </w:rPr>
        <w:t>案</w:t>
      </w:r>
      <w:r>
        <w:rPr>
          <w:rFonts w:ascii="仿宋_GB2312" w:hAnsi="仿宋_GB2312" w:cs="仿宋_GB2312" w:eastAsia="仿宋_GB2312"/>
          <w:sz w:val="21"/>
        </w:rPr>
        <w:t>，</w:t>
      </w:r>
      <w:r>
        <w:rPr>
          <w:rFonts w:ascii="仿宋_GB2312" w:hAnsi="仿宋_GB2312" w:cs="仿宋_GB2312" w:eastAsia="仿宋_GB2312"/>
          <w:sz w:val="21"/>
        </w:rPr>
        <w:t>至少包括</w:t>
      </w:r>
      <w:r>
        <w:rPr>
          <w:rFonts w:ascii="仿宋_GB2312" w:hAnsi="仿宋_GB2312" w:cs="仿宋_GB2312" w:eastAsia="仿宋_GB2312"/>
          <w:sz w:val="21"/>
        </w:rPr>
        <w:t>日常管理中常见的突发事件并制定相应的</w:t>
      </w:r>
      <w:r>
        <w:rPr>
          <w:rFonts w:ascii="仿宋_GB2312" w:hAnsi="仿宋_GB2312" w:cs="仿宋_GB2312" w:eastAsia="仿宋_GB2312"/>
          <w:sz w:val="21"/>
        </w:rPr>
        <w:t>管控</w:t>
      </w:r>
      <w:r>
        <w:rPr>
          <w:rFonts w:ascii="仿宋_GB2312" w:hAnsi="仿宋_GB2312" w:cs="仿宋_GB2312" w:eastAsia="仿宋_GB2312"/>
          <w:sz w:val="21"/>
        </w:rPr>
        <w:t>措施</w:t>
      </w:r>
      <w:r>
        <w:rPr>
          <w:rFonts w:ascii="仿宋_GB2312" w:hAnsi="仿宋_GB2312" w:cs="仿宋_GB2312" w:eastAsia="仿宋_GB2312"/>
          <w:sz w:val="21"/>
        </w:rPr>
        <w:t>等内容</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2、供应商</w:t>
      </w:r>
      <w:r>
        <w:rPr>
          <w:rFonts w:ascii="仿宋_GB2312" w:hAnsi="仿宋_GB2312" w:cs="仿宋_GB2312" w:eastAsia="仿宋_GB2312"/>
          <w:sz w:val="21"/>
        </w:rPr>
        <w:t>具</w:t>
      </w:r>
      <w:r>
        <w:rPr>
          <w:rFonts w:ascii="仿宋_GB2312" w:hAnsi="仿宋_GB2312" w:cs="仿宋_GB2312" w:eastAsia="仿宋_GB2312"/>
          <w:sz w:val="21"/>
        </w:rPr>
        <w:t>备完整的团队管理制度，</w:t>
      </w:r>
      <w:r>
        <w:rPr>
          <w:rFonts w:ascii="仿宋_GB2312" w:hAnsi="仿宋_GB2312" w:cs="仿宋_GB2312" w:eastAsia="仿宋_GB2312"/>
          <w:sz w:val="21"/>
        </w:rPr>
        <w:t>至少</w:t>
      </w:r>
      <w:r>
        <w:rPr>
          <w:rFonts w:ascii="仿宋_GB2312" w:hAnsi="仿宋_GB2312" w:cs="仿宋_GB2312" w:eastAsia="仿宋_GB2312"/>
          <w:sz w:val="21"/>
        </w:rPr>
        <w:t>包括人</w:t>
      </w:r>
      <w:r>
        <w:rPr>
          <w:rFonts w:ascii="仿宋_GB2312" w:hAnsi="仿宋_GB2312" w:cs="仿宋_GB2312" w:eastAsia="仿宋_GB2312"/>
          <w:sz w:val="21"/>
        </w:rPr>
        <w:t>力资源</w:t>
      </w:r>
      <w:r>
        <w:rPr>
          <w:rFonts w:ascii="仿宋_GB2312" w:hAnsi="仿宋_GB2312" w:cs="仿宋_GB2312" w:eastAsia="仿宋_GB2312"/>
          <w:sz w:val="21"/>
        </w:rPr>
        <w:t>管理制度、财务制度</w:t>
      </w:r>
      <w:r>
        <w:rPr>
          <w:rFonts w:ascii="仿宋_GB2312" w:hAnsi="仿宋_GB2312" w:cs="仿宋_GB2312" w:eastAsia="仿宋_GB2312"/>
          <w:sz w:val="21"/>
        </w:rPr>
        <w:t>等</w:t>
      </w:r>
      <w:r>
        <w:rPr>
          <w:rFonts w:ascii="仿宋_GB2312" w:hAnsi="仿宋_GB2312" w:cs="仿宋_GB2312" w:eastAsia="仿宋_GB2312"/>
          <w:sz w:val="21"/>
        </w:rPr>
        <w:t>，</w:t>
      </w:r>
      <w:r>
        <w:rPr>
          <w:rFonts w:ascii="仿宋_GB2312" w:hAnsi="仿宋_GB2312" w:cs="仿宋_GB2312" w:eastAsia="仿宋_GB2312"/>
          <w:sz w:val="21"/>
        </w:rPr>
        <w:t>制度</w:t>
      </w:r>
      <w:r>
        <w:rPr>
          <w:rFonts w:ascii="仿宋_GB2312" w:hAnsi="仿宋_GB2312" w:cs="仿宋_GB2312" w:eastAsia="仿宋_GB2312"/>
          <w:sz w:val="21"/>
        </w:rPr>
        <w:t>内容</w:t>
      </w:r>
      <w:r>
        <w:rPr>
          <w:rFonts w:ascii="仿宋_GB2312" w:hAnsi="仿宋_GB2312" w:cs="仿宋_GB2312" w:eastAsia="仿宋_GB2312"/>
          <w:sz w:val="21"/>
        </w:rPr>
        <w:t>应</w:t>
      </w:r>
      <w:r>
        <w:rPr>
          <w:rFonts w:ascii="仿宋_GB2312" w:hAnsi="仿宋_GB2312" w:cs="仿宋_GB2312" w:eastAsia="仿宋_GB2312"/>
          <w:sz w:val="21"/>
        </w:rPr>
        <w:t>完整有序、</w:t>
      </w:r>
      <w:r>
        <w:rPr>
          <w:rFonts w:ascii="仿宋_GB2312" w:hAnsi="仿宋_GB2312" w:cs="仿宋_GB2312" w:eastAsia="仿宋_GB2312"/>
          <w:sz w:val="21"/>
        </w:rPr>
        <w:t>具有针对性。</w:t>
      </w:r>
    </w:p>
    <w:p>
      <w:pPr>
        <w:pStyle w:val="null3"/>
        <w:jc w:val="left"/>
      </w:pPr>
      <w:r>
        <w:rPr>
          <w:rFonts w:ascii="仿宋_GB2312" w:hAnsi="仿宋_GB2312" w:cs="仿宋_GB2312" w:eastAsia="仿宋_GB2312"/>
          <w:sz w:val="21"/>
        </w:rPr>
        <w:t>3、供应商</w:t>
      </w:r>
      <w:r>
        <w:rPr>
          <w:rFonts w:ascii="仿宋_GB2312" w:hAnsi="仿宋_GB2312" w:cs="仿宋_GB2312" w:eastAsia="仿宋_GB2312"/>
          <w:sz w:val="21"/>
        </w:rPr>
        <w:t>针对本项目提供优质的服务保障方案、稳岗人员措施方案</w:t>
      </w:r>
      <w:r>
        <w:rPr>
          <w:rFonts w:ascii="仿宋_GB2312" w:hAnsi="仿宋_GB2312" w:cs="仿宋_GB2312" w:eastAsia="仿宋_GB2312"/>
          <w:sz w:val="21"/>
        </w:rPr>
        <w:t>（</w:t>
      </w:r>
      <w:r>
        <w:rPr>
          <w:rFonts w:ascii="仿宋_GB2312" w:hAnsi="仿宋_GB2312" w:cs="仿宋_GB2312" w:eastAsia="仿宋_GB2312"/>
          <w:sz w:val="21"/>
        </w:rPr>
        <w:t>至少包含</w:t>
      </w:r>
      <w:r>
        <w:rPr>
          <w:rFonts w:ascii="仿宋_GB2312" w:hAnsi="仿宋_GB2312" w:cs="仿宋_GB2312" w:eastAsia="仿宋_GB2312"/>
          <w:sz w:val="21"/>
        </w:rPr>
        <w:t>人员奖惩、回访等内容</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4、供应商</w:t>
      </w:r>
      <w:r>
        <w:rPr>
          <w:rFonts w:ascii="仿宋_GB2312" w:hAnsi="仿宋_GB2312" w:cs="仿宋_GB2312" w:eastAsia="仿宋_GB2312"/>
          <w:sz w:val="21"/>
        </w:rPr>
        <w:t>具有一定的人员储备</w:t>
      </w:r>
      <w:r>
        <w:rPr>
          <w:rFonts w:ascii="仿宋_GB2312" w:hAnsi="仿宋_GB2312" w:cs="仿宋_GB2312" w:eastAsia="仿宋_GB2312"/>
          <w:sz w:val="21"/>
        </w:rPr>
        <w:t>用于本项目应急调剂</w:t>
      </w:r>
      <w:r>
        <w:rPr>
          <w:rFonts w:ascii="仿宋_GB2312" w:hAnsi="仿宋_GB2312" w:cs="仿宋_GB2312" w:eastAsia="仿宋_GB2312"/>
          <w:sz w:val="21"/>
        </w:rPr>
        <w:t>，</w:t>
      </w:r>
      <w:r>
        <w:rPr>
          <w:rFonts w:ascii="仿宋_GB2312" w:hAnsi="仿宋_GB2312" w:cs="仿宋_GB2312" w:eastAsia="仿宋_GB2312"/>
          <w:sz w:val="21"/>
        </w:rPr>
        <w:t>储备人员数量</w:t>
      </w:r>
      <w:r>
        <w:rPr>
          <w:rFonts w:ascii="仿宋_GB2312" w:hAnsi="仿宋_GB2312" w:cs="仿宋_GB2312" w:eastAsia="仿宋_GB2312"/>
          <w:sz w:val="21"/>
        </w:rPr>
        <w:t>不少于</w:t>
      </w:r>
      <w:r>
        <w:rPr>
          <w:rFonts w:ascii="仿宋_GB2312" w:hAnsi="仿宋_GB2312" w:cs="仿宋_GB2312" w:eastAsia="仿宋_GB2312"/>
          <w:sz w:val="21"/>
        </w:rPr>
        <w:t>5</w:t>
      </w:r>
      <w:r>
        <w:rPr>
          <w:rFonts w:ascii="仿宋_GB2312" w:hAnsi="仿宋_GB2312" w:cs="仿宋_GB2312" w:eastAsia="仿宋_GB2312"/>
          <w:sz w:val="21"/>
        </w:rPr>
        <w:t>人</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5、</w:t>
      </w:r>
      <w:r>
        <w:rPr>
          <w:rFonts w:ascii="仿宋_GB2312" w:hAnsi="仿宋_GB2312" w:cs="仿宋_GB2312" w:eastAsia="仿宋_GB2312"/>
          <w:sz w:val="21"/>
          <w:b/>
        </w:rPr>
        <w:t>供应商成交后需向采购人</w:t>
      </w:r>
      <w:r>
        <w:rPr>
          <w:rFonts w:ascii="仿宋_GB2312" w:hAnsi="仿宋_GB2312" w:cs="仿宋_GB2312" w:eastAsia="仿宋_GB2312"/>
          <w:sz w:val="21"/>
          <w:b/>
        </w:rPr>
        <w:t>提供</w:t>
      </w:r>
      <w:r>
        <w:rPr>
          <w:rFonts w:ascii="仿宋_GB2312" w:hAnsi="仿宋_GB2312" w:cs="仿宋_GB2312" w:eastAsia="仿宋_GB2312"/>
          <w:sz w:val="21"/>
          <w:b/>
        </w:rPr>
        <w:t>切实可行的人员岗位分级设置方案、晋升发展方案和</w:t>
      </w:r>
      <w:r>
        <w:rPr>
          <w:rFonts w:ascii="仿宋_GB2312" w:hAnsi="仿宋_GB2312" w:cs="仿宋_GB2312" w:eastAsia="仿宋_GB2312"/>
          <w:sz w:val="21"/>
          <w:b/>
        </w:rPr>
        <w:t>薪</w:t>
      </w:r>
      <w:r>
        <w:rPr>
          <w:rFonts w:ascii="仿宋_GB2312" w:hAnsi="仿宋_GB2312" w:cs="仿宋_GB2312" w:eastAsia="仿宋_GB2312"/>
          <w:sz w:val="21"/>
          <w:b/>
        </w:rPr>
        <w:t>酬方案，并经采购人确认后实施。供应商对此作出满足响应，否则按无效报价处理。</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6、</w:t>
      </w:r>
      <w:r>
        <w:rPr>
          <w:rFonts w:ascii="仿宋_GB2312" w:hAnsi="仿宋_GB2312" w:cs="仿宋_GB2312" w:eastAsia="仿宋_GB2312"/>
          <w:sz w:val="21"/>
          <w:b/>
        </w:rPr>
        <w:t>本项目按服务费总价包干</w:t>
      </w:r>
      <w:r>
        <w:rPr>
          <w:rFonts w:ascii="仿宋_GB2312" w:hAnsi="仿宋_GB2312" w:cs="仿宋_GB2312" w:eastAsia="仿宋_GB2312"/>
          <w:sz w:val="21"/>
          <w:b/>
        </w:rPr>
        <w:t>方式履行合同</w:t>
      </w:r>
      <w:r>
        <w:rPr>
          <w:rFonts w:ascii="仿宋_GB2312" w:hAnsi="仿宋_GB2312" w:cs="仿宋_GB2312" w:eastAsia="仿宋_GB2312"/>
          <w:sz w:val="21"/>
          <w:b/>
        </w:rPr>
        <w:t>，</w:t>
      </w:r>
      <w:r>
        <w:rPr>
          <w:rFonts w:ascii="仿宋_GB2312" w:hAnsi="仿宋_GB2312" w:cs="仿宋_GB2312" w:eastAsia="仿宋_GB2312"/>
          <w:sz w:val="21"/>
          <w:b/>
        </w:rPr>
        <w:t>费用</w:t>
      </w:r>
      <w:r>
        <w:rPr>
          <w:rFonts w:ascii="仿宋_GB2312" w:hAnsi="仿宋_GB2312" w:cs="仿宋_GB2312" w:eastAsia="仿宋_GB2312"/>
          <w:sz w:val="21"/>
          <w:b/>
        </w:rPr>
        <w:t>包含了成交供应商为</w:t>
      </w:r>
      <w:r>
        <w:rPr>
          <w:rFonts w:ascii="仿宋_GB2312" w:hAnsi="仿宋_GB2312" w:cs="仿宋_GB2312" w:eastAsia="仿宋_GB2312"/>
          <w:sz w:val="21"/>
          <w:b/>
        </w:rPr>
        <w:t>完成任务所配置的工作人员产生</w:t>
      </w:r>
      <w:r>
        <w:rPr>
          <w:rFonts w:ascii="仿宋_GB2312" w:hAnsi="仿宋_GB2312" w:cs="仿宋_GB2312" w:eastAsia="仿宋_GB2312"/>
          <w:sz w:val="21"/>
          <w:b/>
        </w:rPr>
        <w:t>的工资、社保费、奖金、福利</w:t>
      </w:r>
      <w:r>
        <w:rPr>
          <w:rFonts w:ascii="仿宋_GB2312" w:hAnsi="仿宋_GB2312" w:cs="仿宋_GB2312" w:eastAsia="仿宋_GB2312"/>
          <w:sz w:val="21"/>
          <w:b/>
        </w:rPr>
        <w:t>、工会费</w:t>
      </w:r>
      <w:r>
        <w:rPr>
          <w:rFonts w:ascii="仿宋_GB2312" w:hAnsi="仿宋_GB2312" w:cs="仿宋_GB2312" w:eastAsia="仿宋_GB2312"/>
          <w:sz w:val="21"/>
          <w:b/>
        </w:rPr>
        <w:t>以及商业保险</w:t>
      </w:r>
      <w:r>
        <w:rPr>
          <w:rFonts w:ascii="仿宋_GB2312" w:hAnsi="仿宋_GB2312" w:cs="仿宋_GB2312" w:eastAsia="仿宋_GB2312"/>
          <w:sz w:val="21"/>
          <w:b/>
        </w:rPr>
        <w:t>和相应的制服、配套物料工具、管理费、税收、招标代理服务费</w:t>
      </w:r>
      <w:r>
        <w:rPr>
          <w:rFonts w:ascii="仿宋_GB2312" w:hAnsi="仿宋_GB2312" w:cs="仿宋_GB2312" w:eastAsia="仿宋_GB2312"/>
          <w:sz w:val="21"/>
          <w:b/>
        </w:rPr>
        <w:t>等</w:t>
      </w:r>
      <w:r>
        <w:rPr>
          <w:rFonts w:ascii="仿宋_GB2312" w:hAnsi="仿宋_GB2312" w:cs="仿宋_GB2312" w:eastAsia="仿宋_GB2312"/>
          <w:sz w:val="21"/>
          <w:b/>
        </w:rPr>
        <w:t>一切</w:t>
      </w:r>
      <w:r>
        <w:rPr>
          <w:rFonts w:ascii="仿宋_GB2312" w:hAnsi="仿宋_GB2312" w:cs="仿宋_GB2312" w:eastAsia="仿宋_GB2312"/>
          <w:sz w:val="21"/>
          <w:b/>
        </w:rPr>
        <w:t>费用</w:t>
      </w:r>
      <w:r>
        <w:rPr>
          <w:rFonts w:ascii="仿宋_GB2312" w:hAnsi="仿宋_GB2312" w:cs="仿宋_GB2312" w:eastAsia="仿宋_GB2312"/>
          <w:sz w:val="21"/>
          <w:b/>
        </w:rPr>
        <w:t>。</w:t>
      </w:r>
      <w:r>
        <w:rPr>
          <w:rFonts w:ascii="仿宋_GB2312" w:hAnsi="仿宋_GB2312" w:cs="仿宋_GB2312" w:eastAsia="仿宋_GB2312"/>
          <w:sz w:val="21"/>
          <w:b/>
        </w:rPr>
        <w:t>供应商对服务费需专款专用，不得挪作他用；人员待遇</w:t>
      </w:r>
      <w:r>
        <w:rPr>
          <w:rFonts w:ascii="仿宋_GB2312" w:hAnsi="仿宋_GB2312" w:cs="仿宋_GB2312" w:eastAsia="仿宋_GB2312"/>
          <w:sz w:val="21"/>
          <w:b/>
        </w:rPr>
        <w:t>具体支付到个人每月</w:t>
      </w:r>
      <w:r>
        <w:rPr>
          <w:rFonts w:ascii="仿宋_GB2312" w:hAnsi="仿宋_GB2312" w:cs="仿宋_GB2312" w:eastAsia="仿宋_GB2312"/>
          <w:sz w:val="21"/>
          <w:b/>
        </w:rPr>
        <w:t>应</w:t>
      </w:r>
      <w:r>
        <w:rPr>
          <w:rFonts w:ascii="仿宋_GB2312" w:hAnsi="仿宋_GB2312" w:cs="仿宋_GB2312" w:eastAsia="仿宋_GB2312"/>
          <w:sz w:val="21"/>
          <w:b/>
        </w:rPr>
        <w:t>发工资平均不得低于</w:t>
      </w:r>
      <w:r>
        <w:rPr>
          <w:rFonts w:ascii="仿宋_GB2312" w:hAnsi="仿宋_GB2312" w:cs="仿宋_GB2312" w:eastAsia="仿宋_GB2312"/>
          <w:sz w:val="21"/>
          <w:b/>
        </w:rPr>
        <w:t>人民币</w:t>
      </w:r>
      <w:r>
        <w:rPr>
          <w:rFonts w:ascii="仿宋_GB2312" w:hAnsi="仿宋_GB2312" w:cs="仿宋_GB2312" w:eastAsia="仿宋_GB2312"/>
          <w:sz w:val="21"/>
          <w:b/>
        </w:rPr>
        <w:t>5800</w:t>
      </w:r>
      <w:r>
        <w:rPr>
          <w:rFonts w:ascii="仿宋_GB2312" w:hAnsi="仿宋_GB2312" w:cs="仿宋_GB2312" w:eastAsia="仿宋_GB2312"/>
          <w:sz w:val="21"/>
          <w:b/>
        </w:rPr>
        <w:t>元</w:t>
      </w:r>
      <w:r>
        <w:rPr>
          <w:rFonts w:ascii="仿宋_GB2312" w:hAnsi="仿宋_GB2312" w:cs="仿宋_GB2312" w:eastAsia="仿宋_GB2312"/>
          <w:sz w:val="21"/>
          <w:b/>
        </w:rPr>
        <w:t>（</w:t>
      </w:r>
      <w:r>
        <w:rPr>
          <w:rFonts w:ascii="仿宋_GB2312" w:hAnsi="仿宋_GB2312" w:cs="仿宋_GB2312" w:eastAsia="仿宋_GB2312"/>
          <w:sz w:val="21"/>
          <w:b/>
        </w:rPr>
        <w:t>不包含管理人员和实习生</w:t>
      </w:r>
      <w:r>
        <w:rPr>
          <w:rFonts w:ascii="仿宋_GB2312" w:hAnsi="仿宋_GB2312" w:cs="仿宋_GB2312" w:eastAsia="仿宋_GB2312"/>
          <w:sz w:val="21"/>
          <w:b/>
        </w:rPr>
        <w:t>）</w:t>
      </w:r>
      <w:r>
        <w:rPr>
          <w:rFonts w:ascii="仿宋_GB2312" w:hAnsi="仿宋_GB2312" w:cs="仿宋_GB2312" w:eastAsia="仿宋_GB2312"/>
          <w:sz w:val="21"/>
          <w:b/>
        </w:rPr>
        <w:t>，以保证服务队伍的稳定</w:t>
      </w:r>
      <w:r>
        <w:rPr>
          <w:rFonts w:ascii="仿宋_GB2312" w:hAnsi="仿宋_GB2312" w:cs="仿宋_GB2312" w:eastAsia="仿宋_GB2312"/>
          <w:sz w:val="21"/>
          <w:b/>
        </w:rPr>
        <w:t>和高效服务</w:t>
      </w:r>
      <w:r>
        <w:rPr>
          <w:rFonts w:ascii="仿宋_GB2312" w:hAnsi="仿宋_GB2312" w:cs="仿宋_GB2312" w:eastAsia="仿宋_GB2312"/>
          <w:sz w:val="21"/>
          <w:b/>
        </w:rPr>
        <w:t>。供应商对此须做出满足响应，否则按无效报价处理。</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7、</w:t>
      </w:r>
      <w:r>
        <w:rPr>
          <w:rFonts w:ascii="仿宋_GB2312" w:hAnsi="仿宋_GB2312" w:cs="仿宋_GB2312" w:eastAsia="仿宋_GB2312"/>
          <w:sz w:val="21"/>
          <w:b/>
        </w:rPr>
        <w:t>供应商配备的服务人员</w:t>
      </w:r>
      <w:r>
        <w:rPr>
          <w:rFonts w:ascii="仿宋_GB2312" w:hAnsi="仿宋_GB2312" w:cs="仿宋_GB2312" w:eastAsia="仿宋_GB2312"/>
          <w:sz w:val="21"/>
          <w:b/>
        </w:rPr>
        <w:t>遵纪守法，</w:t>
      </w:r>
      <w:r>
        <w:rPr>
          <w:rFonts w:ascii="仿宋_GB2312" w:hAnsi="仿宋_GB2312" w:cs="仿宋_GB2312" w:eastAsia="仿宋_GB2312"/>
          <w:sz w:val="21"/>
          <w:b/>
        </w:rPr>
        <w:t>胜任工作岗位</w:t>
      </w:r>
      <w:r>
        <w:rPr>
          <w:rFonts w:ascii="仿宋_GB2312" w:hAnsi="仿宋_GB2312" w:cs="仿宋_GB2312" w:eastAsia="仿宋_GB2312"/>
          <w:sz w:val="21"/>
          <w:b/>
        </w:rPr>
        <w:t>，具有良好的</w:t>
      </w:r>
      <w:r>
        <w:rPr>
          <w:rFonts w:ascii="仿宋_GB2312" w:hAnsi="仿宋_GB2312" w:cs="仿宋_GB2312" w:eastAsia="仿宋_GB2312"/>
          <w:sz w:val="21"/>
          <w:b/>
        </w:rPr>
        <w:t>职业素养。当出现婚后怀孕情</w:t>
      </w:r>
      <w:r>
        <w:rPr>
          <w:rFonts w:ascii="仿宋_GB2312" w:hAnsi="仿宋_GB2312" w:cs="仿宋_GB2312" w:eastAsia="仿宋_GB2312"/>
          <w:sz w:val="24"/>
          <w:b/>
        </w:rPr>
        <w:t>况，将视为不适宜继续从事会务一线服务工作，供应商应在企业系统内妥当安置调岗，且避免发生劳动纠纷。供应商对此需作出满足响应，否则按无效</w:t>
      </w:r>
    </w:p>
    <w:p>
      <w:pPr>
        <w:pStyle w:val="null3"/>
      </w:pPr>
      <w:r>
        <w:rPr>
          <w:rFonts w:ascii="仿宋_GB2312" w:hAnsi="仿宋_GB2312" w:cs="仿宋_GB2312" w:eastAsia="仿宋_GB2312"/>
          <w:sz w:val="21"/>
          <w:b/>
        </w:rPr>
        <w:t>★</w:t>
      </w:r>
      <w:r>
        <w:rPr>
          <w:rFonts w:ascii="仿宋_GB2312" w:hAnsi="仿宋_GB2312" w:cs="仿宋_GB2312" w:eastAsia="仿宋_GB2312"/>
          <w:sz w:val="24"/>
          <w:b/>
        </w:rPr>
        <w:t>8、供应商为本项目配备的服务团队成员，未经采购人同意不得随意调动，保证专人专岗，以提供持续稳定的保障服务。供应商不得随意更换本项目服务人员，如确有特殊原因需要更换，应事先征得采购人同意，并提前15个工作日提出满足要求或更优的人员资料报采购人批准。若供应商更换的人员不满足采购人要求的，视为缺岗，采购人有权按实际缺岗数扣除相应服务费。岗位缺员，采购人有权另行临时聘员或工作外协，所发生的费用由供应商承担。供应商对此需作出满足响应，否则按无效报价处理。</w:t>
      </w:r>
    </w:p>
    <w:p>
      <w:pPr>
        <w:pStyle w:val="null3"/>
        <w:jc w:val="both"/>
      </w:pPr>
      <w:r>
        <w:rPr>
          <w:rFonts w:ascii="仿宋_GB2312" w:hAnsi="仿宋_GB2312" w:cs="仿宋_GB2312" w:eastAsia="仿宋_GB2312"/>
          <w:sz w:val="24"/>
        </w:rPr>
        <w:t xml:space="preserve"> 9、为高质量完成所有采购任务，供应商提供的服务团队在岗人员应不少于39人，其中管理人员总数不超2人，聘用实习生总数不超过在岗人数的10%。遇重大任务时，供应商应根据特殊需要增派人员。</w:t>
      </w:r>
    </w:p>
    <w:p>
      <w:pPr>
        <w:pStyle w:val="null3"/>
        <w:jc w:val="left"/>
      </w:pPr>
      <w:r>
        <w:rPr>
          <w:rFonts w:ascii="仿宋_GB2312" w:hAnsi="仿宋_GB2312" w:cs="仿宋_GB2312" w:eastAsia="仿宋_GB2312"/>
          <w:sz w:val="24"/>
        </w:rPr>
        <w:t>10、供应商承诺，拟配备的服务人员中具有空中乘务、高速客运乘务、城市轨道交通运营管理等与服务相关专业学历的人数占总人数至少达30%。</w:t>
      </w:r>
    </w:p>
    <w:p>
      <w:pPr>
        <w:pStyle w:val="null3"/>
        <w:jc w:val="both"/>
      </w:pPr>
      <w:r>
        <w:rPr>
          <w:rFonts w:ascii="仿宋_GB2312" w:hAnsi="仿宋_GB2312" w:cs="仿宋_GB2312" w:eastAsia="仿宋_GB2312"/>
          <w:sz w:val="24"/>
        </w:rPr>
        <w:t>11、供应商承诺：</w:t>
      </w:r>
    </w:p>
    <w:p>
      <w:pPr>
        <w:pStyle w:val="null3"/>
      </w:pPr>
      <w:r>
        <w:rPr>
          <w:rFonts w:ascii="仿宋_GB2312" w:hAnsi="仿宋_GB2312" w:cs="仿宋_GB2312" w:eastAsia="仿宋_GB2312"/>
          <w:sz w:val="24"/>
        </w:rPr>
        <w:t>（1）成交后无条件接收愿意转岗的原服务人员；</w:t>
      </w:r>
    </w:p>
    <w:p>
      <w:pPr>
        <w:pStyle w:val="null3"/>
      </w:pPr>
      <w:r>
        <w:rPr>
          <w:rFonts w:ascii="仿宋_GB2312" w:hAnsi="仿宋_GB2312" w:cs="仿宋_GB2312" w:eastAsia="仿宋_GB2312"/>
          <w:sz w:val="24"/>
        </w:rPr>
        <w:t>（2）服务期内，无条件接受采购人的专项财务检查，确保专款专用，转账专管；</w:t>
      </w:r>
    </w:p>
    <w:p>
      <w:pPr>
        <w:pStyle w:val="null3"/>
      </w:pPr>
      <w:r>
        <w:rPr>
          <w:rFonts w:ascii="仿宋_GB2312" w:hAnsi="仿宋_GB2312" w:cs="仿宋_GB2312" w:eastAsia="仿宋_GB2312"/>
          <w:sz w:val="24"/>
        </w:rPr>
        <w:t>（3）供应商对服务期内非正常物品损耗，应建立赔偿惩罚机制。</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自合同签订之日起两年（服务期）</w:t>
            </w:r>
          </w:p>
        </w:tc>
      </w:tr>
      <w:tr>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福建省厦门市采购人指定地点。</w:t>
            </w:r>
          </w:p>
        </w:tc>
      </w:tr>
      <w:tr>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成交供应商须按照磋商文件的规定和合同的约定，保质保量地完成采购人委托的会务保障任务。</w:t>
            </w:r>
          </w:p>
        </w:tc>
      </w:tr>
      <w:tr>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1、期次1，说明：验收依据：磋商文件、成交供应商的响应文件、合同、服务规范与标准等规定，均为本项目的验收依据。</w:t>
            </w:r>
          </w:p>
          <w:p>
            <w:pPr>
              <w:pStyle w:val="null3"/>
            </w:pPr>
            <w:r>
              <w:rPr>
                <w:rFonts w:ascii="仿宋_GB2312" w:hAnsi="仿宋_GB2312" w:cs="仿宋_GB2312" w:eastAsia="仿宋_GB2312"/>
              </w:rPr>
              <w:t>2、期次2，说明：验收时成交供应商必须派代表参加。</w:t>
            </w:r>
          </w:p>
          <w:p>
            <w:pPr>
              <w:pStyle w:val="null3"/>
            </w:pPr>
            <w:r>
              <w:rPr>
                <w:rFonts w:ascii="仿宋_GB2312" w:hAnsi="仿宋_GB2312" w:cs="仿宋_GB2312" w:eastAsia="仿宋_GB2312"/>
              </w:rPr>
              <w:t>3、期次3，说明：验收过程中所产生的的一切费用由成交供应商承担。</w:t>
            </w:r>
          </w:p>
        </w:tc>
      </w:tr>
      <w:tr>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1、每季度末付款前，成交供应商须向采购人提供合法、有效的税务发票，否则采购人有权不予付款且不承担责任。，达到付款条件起45日内，支付合同总金额的11.25%</w:t>
            </w:r>
          </w:p>
          <w:p>
            <w:pPr>
              <w:pStyle w:val="null3"/>
            </w:pPr>
            <w:r>
              <w:rPr>
                <w:rFonts w:ascii="仿宋_GB2312" w:hAnsi="仿宋_GB2312" w:cs="仿宋_GB2312" w:eastAsia="仿宋_GB2312"/>
              </w:rPr>
              <w:t>2、每季度末付款前，成交供应商须向采购人提供合法、有效的税务发票，否则采购人有权不予付款且不承担责任。，达到付款条件起45日内，支付合同总金额的11.25%</w:t>
            </w:r>
          </w:p>
          <w:p>
            <w:pPr>
              <w:pStyle w:val="null3"/>
            </w:pPr>
            <w:r>
              <w:rPr>
                <w:rFonts w:ascii="仿宋_GB2312" w:hAnsi="仿宋_GB2312" w:cs="仿宋_GB2312" w:eastAsia="仿宋_GB2312"/>
              </w:rPr>
              <w:t>3、每季度末付款前，成交供应商须向采购人提供合法、有效的税务发票，否则采购人有权不予付款且不承担责任。，达到付款条件起45日内，支付合同总金额的11.25%</w:t>
            </w:r>
          </w:p>
          <w:p>
            <w:pPr>
              <w:pStyle w:val="null3"/>
            </w:pPr>
            <w:r>
              <w:rPr>
                <w:rFonts w:ascii="仿宋_GB2312" w:hAnsi="仿宋_GB2312" w:cs="仿宋_GB2312" w:eastAsia="仿宋_GB2312"/>
              </w:rPr>
              <w:t>4、每季度末付款前，成交供应商须向采购人提供合法、有效的税务发票，否则采购人有权不予付款且不承担责任。，达到付款条件起45日内，支付合同总金额的11.25%</w:t>
            </w:r>
          </w:p>
          <w:p>
            <w:pPr>
              <w:pStyle w:val="null3"/>
            </w:pPr>
            <w:r>
              <w:rPr>
                <w:rFonts w:ascii="仿宋_GB2312" w:hAnsi="仿宋_GB2312" w:cs="仿宋_GB2312" w:eastAsia="仿宋_GB2312"/>
              </w:rPr>
              <w:t>5、合同总金额的5%款项为年度绩效评估经费，根据履行合同考评结果，对应支付。，达到付款条件起45日内，支付合同总金额的5.00%</w:t>
            </w:r>
          </w:p>
          <w:p>
            <w:pPr>
              <w:pStyle w:val="null3"/>
            </w:pPr>
            <w:r>
              <w:rPr>
                <w:rFonts w:ascii="仿宋_GB2312" w:hAnsi="仿宋_GB2312" w:cs="仿宋_GB2312" w:eastAsia="仿宋_GB2312"/>
              </w:rPr>
              <w:t>6、每季度末付款前，成交供应商须向采购人提供合法、有效的税务发票，否则采购人有权不予付款且不承担责任。，达到付款条件起45日内，支付合同总金额的11.25%</w:t>
            </w:r>
          </w:p>
          <w:p>
            <w:pPr>
              <w:pStyle w:val="null3"/>
            </w:pPr>
            <w:r>
              <w:rPr>
                <w:rFonts w:ascii="仿宋_GB2312" w:hAnsi="仿宋_GB2312" w:cs="仿宋_GB2312" w:eastAsia="仿宋_GB2312"/>
              </w:rPr>
              <w:t>7、每季度末付款前，成交供应商须向采购人提供合法、有效的税务发票，否则采购人有权不予付款且不承担责任。，达到付款条件起45日内，支付合同总金额的11.25%</w:t>
            </w:r>
          </w:p>
          <w:p>
            <w:pPr>
              <w:pStyle w:val="null3"/>
            </w:pPr>
            <w:r>
              <w:rPr>
                <w:rFonts w:ascii="仿宋_GB2312" w:hAnsi="仿宋_GB2312" w:cs="仿宋_GB2312" w:eastAsia="仿宋_GB2312"/>
              </w:rPr>
              <w:t>8、每季度末付款前，成交供应商须向采购人提供合法、有效的税务发票，否则采购人有权不予付款且不承担责任。，达到付款条件起45日内，支付合同总金额的11.25%</w:t>
            </w:r>
          </w:p>
          <w:p>
            <w:pPr>
              <w:pStyle w:val="null3"/>
            </w:pPr>
            <w:r>
              <w:rPr>
                <w:rFonts w:ascii="仿宋_GB2312" w:hAnsi="仿宋_GB2312" w:cs="仿宋_GB2312" w:eastAsia="仿宋_GB2312"/>
              </w:rPr>
              <w:t>9、每季度末付款前，成交供应商须向采购人提供合法、有效的税务发票，否则采购人有权不予付款且不承担责任。，达到付款条件起45日内，支付合同总金额的11.25%</w:t>
            </w:r>
          </w:p>
          <w:p>
            <w:pPr>
              <w:pStyle w:val="null3"/>
            </w:pPr>
            <w:r>
              <w:rPr>
                <w:rFonts w:ascii="仿宋_GB2312" w:hAnsi="仿宋_GB2312" w:cs="仿宋_GB2312" w:eastAsia="仿宋_GB2312"/>
              </w:rPr>
              <w:t>10、剩余5%的款项为绩效评估，合同期满45个工作日内，经费根据履行合同考评结果，对应支付。，达到付款条件起45日内，支付合同总金额的5.00%</w:t>
            </w:r>
          </w:p>
        </w:tc>
      </w:tr>
      <w:tr>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因系统格式固化不可更改，本表中序号6中第5、10项要求更改如下，并以此为准。5、合同总金额的5%款项为年度绩效评估，考核后45个工作日内，根据履行合同考评结果，对应支付。支付合同总金额的5.00%；10、剩余5%的款项为绩效评估，合同期满45个工作日内，经费根据履行合同考评结果，对应支付。支付合同总金额的5.00%。</w:t>
            </w:r>
          </w:p>
        </w:tc>
      </w:tr>
      <w:tr>
        <w:tc>
          <w:tcPr>
            <w:tcW w:type="dxa" w:w="2076"/>
          </w:tcPr>
          <w:p>
            <w:pPr>
              <w:pStyle w:val="null3"/>
            </w:pPr>
            <w:r>
              <w:rPr>
                <w:rFonts w:ascii="仿宋_GB2312" w:hAnsi="仿宋_GB2312" w:cs="仿宋_GB2312" w:eastAsia="仿宋_GB2312"/>
              </w:rPr>
              <w:t>8</w:t>
            </w:r>
          </w:p>
        </w:tc>
        <w:tc>
          <w:tcPr>
            <w:tcW w:type="dxa" w:w="2076"/>
          </w:tcP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报价要求</w:t>
      </w:r>
    </w:p>
    <w:p>
      <w:pPr>
        <w:pStyle w:val="null3"/>
        <w:ind w:firstLine="360"/>
        <w:jc w:val="left"/>
      </w:pPr>
      <w:r>
        <w:rPr>
          <w:rFonts w:ascii="仿宋_GB2312" w:hAnsi="仿宋_GB2312" w:cs="仿宋_GB2312" w:eastAsia="仿宋_GB2312"/>
          <w:sz w:val="21"/>
          <w:color w:val="000000"/>
        </w:rPr>
        <w:t>8.1 报价以人民币为单位，</w:t>
      </w:r>
      <w:r>
        <w:rPr>
          <w:rFonts w:ascii="仿宋_GB2312" w:hAnsi="仿宋_GB2312" w:cs="仿宋_GB2312" w:eastAsia="仿宋_GB2312"/>
          <w:sz w:val="21"/>
          <w:color w:val="000000"/>
        </w:rPr>
        <w:t>分项报价表中</w:t>
      </w:r>
      <w:r>
        <w:rPr>
          <w:rFonts w:ascii="仿宋_GB2312" w:hAnsi="仿宋_GB2312" w:cs="仿宋_GB2312" w:eastAsia="仿宋_GB2312"/>
          <w:sz w:val="21"/>
          <w:color w:val="000000"/>
        </w:rPr>
        <w:t>应分单价、小计和总价。</w:t>
      </w:r>
    </w:p>
    <w:p>
      <w:pPr>
        <w:pStyle w:val="null3"/>
        <w:ind w:firstLine="360"/>
        <w:jc w:val="left"/>
      </w:pPr>
      <w:r>
        <w:rPr>
          <w:rFonts w:ascii="仿宋_GB2312" w:hAnsi="仿宋_GB2312" w:cs="仿宋_GB2312" w:eastAsia="仿宋_GB2312"/>
          <w:sz w:val="21"/>
          <w:b/>
          <w:color w:val="000000"/>
        </w:rPr>
        <w:t>★8.2本项目</w:t>
      </w:r>
      <w:r>
        <w:rPr>
          <w:rFonts w:ascii="仿宋_GB2312" w:hAnsi="仿宋_GB2312" w:cs="仿宋_GB2312" w:eastAsia="仿宋_GB2312"/>
          <w:sz w:val="21"/>
          <w:b/>
          <w:color w:val="000000"/>
        </w:rPr>
        <w:t>预算总</w:t>
      </w:r>
      <w:r>
        <w:rPr>
          <w:rFonts w:ascii="仿宋_GB2312" w:hAnsi="仿宋_GB2312" w:cs="仿宋_GB2312" w:eastAsia="仿宋_GB2312"/>
          <w:sz w:val="21"/>
          <w:b/>
          <w:color w:val="000000"/>
        </w:rPr>
        <w:t>价为人民币</w:t>
      </w:r>
      <w:r>
        <w:rPr>
          <w:rFonts w:ascii="仿宋_GB2312" w:hAnsi="仿宋_GB2312" w:cs="仿宋_GB2312" w:eastAsia="仿宋_GB2312"/>
          <w:sz w:val="21"/>
          <w:b/>
          <w:color w:val="000000"/>
        </w:rPr>
        <w:t>980.26</w:t>
      </w:r>
      <w:r>
        <w:rPr>
          <w:rFonts w:ascii="仿宋_GB2312" w:hAnsi="仿宋_GB2312" w:cs="仿宋_GB2312" w:eastAsia="仿宋_GB2312"/>
          <w:sz w:val="21"/>
          <w:b/>
          <w:color w:val="000000"/>
        </w:rPr>
        <w:t>万元，</w:t>
      </w:r>
      <w:r>
        <w:rPr>
          <w:rFonts w:ascii="仿宋_GB2312" w:hAnsi="仿宋_GB2312" w:cs="仿宋_GB2312" w:eastAsia="仿宋_GB2312"/>
          <w:sz w:val="21"/>
          <w:b/>
          <w:color w:val="000000"/>
        </w:rPr>
        <w:t>供应商</w:t>
      </w:r>
      <w:r>
        <w:rPr>
          <w:rFonts w:ascii="仿宋_GB2312" w:hAnsi="仿宋_GB2312" w:cs="仿宋_GB2312" w:eastAsia="仿宋_GB2312"/>
          <w:sz w:val="21"/>
          <w:b/>
          <w:color w:val="000000"/>
        </w:rPr>
        <w:t>的首次和最终</w:t>
      </w:r>
      <w:r>
        <w:rPr>
          <w:rFonts w:ascii="仿宋_GB2312" w:hAnsi="仿宋_GB2312" w:cs="仿宋_GB2312" w:eastAsia="仿宋_GB2312"/>
          <w:sz w:val="21"/>
          <w:b/>
          <w:color w:val="000000"/>
        </w:rPr>
        <w:t>报价不得超过该预算总价，否则按</w:t>
      </w:r>
      <w:r>
        <w:rPr>
          <w:rFonts w:ascii="仿宋_GB2312" w:hAnsi="仿宋_GB2312" w:cs="仿宋_GB2312" w:eastAsia="仿宋_GB2312"/>
          <w:sz w:val="21"/>
          <w:b/>
          <w:color w:val="000000"/>
        </w:rPr>
        <w:t>无效</w:t>
      </w:r>
      <w:r>
        <w:rPr>
          <w:rFonts w:ascii="仿宋_GB2312" w:hAnsi="仿宋_GB2312" w:cs="仿宋_GB2312" w:eastAsia="仿宋_GB2312"/>
          <w:sz w:val="21"/>
          <w:b/>
          <w:color w:val="000000"/>
        </w:rPr>
        <w:t>报价处理</w:t>
      </w:r>
      <w:r>
        <w:rPr>
          <w:rFonts w:ascii="仿宋_GB2312" w:hAnsi="仿宋_GB2312" w:cs="仿宋_GB2312" w:eastAsia="仿宋_GB2312"/>
          <w:sz w:val="21"/>
          <w:b/>
          <w:color w:val="000000"/>
        </w:rPr>
        <w:t>。</w:t>
      </w:r>
    </w:p>
    <w:p>
      <w:pPr>
        <w:pStyle w:val="null3"/>
        <w:ind w:firstLine="360"/>
        <w:jc w:val="left"/>
      </w:pPr>
      <w:r>
        <w:rPr>
          <w:rFonts w:ascii="仿宋_GB2312" w:hAnsi="仿宋_GB2312" w:cs="仿宋_GB2312" w:eastAsia="仿宋_GB2312"/>
          <w:sz w:val="21"/>
          <w:color w:val="000000"/>
        </w:rPr>
        <w:t>8.3 本项目报价为项目经采购人验收合格并</w:t>
      </w:r>
      <w:r>
        <w:rPr>
          <w:rFonts w:ascii="仿宋_GB2312" w:hAnsi="仿宋_GB2312" w:cs="仿宋_GB2312" w:eastAsia="仿宋_GB2312"/>
          <w:sz w:val="21"/>
          <w:color w:val="000000"/>
        </w:rPr>
        <w:t>完成</w:t>
      </w:r>
      <w:r>
        <w:rPr>
          <w:rFonts w:ascii="仿宋_GB2312" w:hAnsi="仿宋_GB2312" w:cs="仿宋_GB2312" w:eastAsia="仿宋_GB2312"/>
          <w:sz w:val="21"/>
          <w:color w:val="000000"/>
        </w:rPr>
        <w:t>交付</w:t>
      </w:r>
      <w:r>
        <w:rPr>
          <w:rFonts w:ascii="仿宋_GB2312" w:hAnsi="仿宋_GB2312" w:cs="仿宋_GB2312" w:eastAsia="仿宋_GB2312"/>
          <w:sz w:val="21"/>
          <w:color w:val="000000"/>
        </w:rPr>
        <w:t>的任务</w:t>
      </w:r>
      <w:r>
        <w:rPr>
          <w:rFonts w:ascii="仿宋_GB2312" w:hAnsi="仿宋_GB2312" w:cs="仿宋_GB2312" w:eastAsia="仿宋_GB2312"/>
          <w:sz w:val="21"/>
          <w:color w:val="000000"/>
        </w:rPr>
        <w:t>所有可能发生的</w:t>
      </w:r>
      <w:r>
        <w:rPr>
          <w:rFonts w:ascii="仿宋_GB2312" w:hAnsi="仿宋_GB2312" w:cs="仿宋_GB2312" w:eastAsia="仿宋_GB2312"/>
          <w:sz w:val="21"/>
          <w:color w:val="000000"/>
        </w:rPr>
        <w:t>相关</w:t>
      </w:r>
      <w:r>
        <w:rPr>
          <w:rFonts w:ascii="仿宋_GB2312" w:hAnsi="仿宋_GB2312" w:cs="仿宋_GB2312" w:eastAsia="仿宋_GB2312"/>
          <w:sz w:val="21"/>
          <w:color w:val="000000"/>
        </w:rPr>
        <w:t>费用。</w:t>
      </w:r>
    </w:p>
    <w:p>
      <w:pPr>
        <w:pStyle w:val="null3"/>
        <w:ind w:firstLine="360"/>
        <w:jc w:val="left"/>
      </w:pPr>
      <w:r>
        <w:rPr>
          <w:rFonts w:ascii="仿宋_GB2312" w:hAnsi="仿宋_GB2312" w:cs="仿宋_GB2312" w:eastAsia="仿宋_GB2312"/>
          <w:sz w:val="21"/>
          <w:color w:val="000000"/>
        </w:rPr>
        <w:t>8.4</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报价中漏报、少报的费用，视为此项费用已隐含在总报价中，成交后不得</w:t>
      </w:r>
      <w:r>
        <w:rPr>
          <w:rFonts w:ascii="仿宋_GB2312" w:hAnsi="仿宋_GB2312" w:cs="仿宋_GB2312" w:eastAsia="仿宋_GB2312"/>
          <w:sz w:val="21"/>
          <w:color w:val="000000"/>
        </w:rPr>
        <w:t>任意</w:t>
      </w:r>
      <w:r>
        <w:rPr>
          <w:rFonts w:ascii="仿宋_GB2312" w:hAnsi="仿宋_GB2312" w:cs="仿宋_GB2312" w:eastAsia="仿宋_GB2312"/>
          <w:sz w:val="21"/>
          <w:color w:val="000000"/>
        </w:rPr>
        <w:t>向采购人</w:t>
      </w:r>
      <w:r>
        <w:rPr>
          <w:rFonts w:ascii="仿宋_GB2312" w:hAnsi="仿宋_GB2312" w:cs="仿宋_GB2312" w:eastAsia="仿宋_GB2312"/>
          <w:sz w:val="21"/>
          <w:color w:val="000000"/>
        </w:rPr>
        <w:t>要求增加</w:t>
      </w:r>
      <w:r>
        <w:rPr>
          <w:rFonts w:ascii="仿宋_GB2312" w:hAnsi="仿宋_GB2312" w:cs="仿宋_GB2312" w:eastAsia="仿宋_GB2312"/>
          <w:sz w:val="21"/>
          <w:color w:val="000000"/>
        </w:rPr>
        <w:t>费用。</w:t>
      </w:r>
    </w:p>
    <w:p>
      <w:pPr>
        <w:pStyle w:val="null3"/>
        <w:ind w:firstLine="360"/>
        <w:jc w:val="left"/>
      </w:pPr>
      <w:r>
        <w:rPr>
          <w:rFonts w:ascii="仿宋_GB2312" w:hAnsi="仿宋_GB2312" w:cs="仿宋_GB2312" w:eastAsia="仿宋_GB2312"/>
          <w:sz w:val="21"/>
          <w:color w:val="000000"/>
        </w:rPr>
        <w:t>8.5本项目采购人不接受</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有选择的报价，</w:t>
      </w:r>
    </w:p>
    <w:p>
      <w:pPr>
        <w:pStyle w:val="null3"/>
        <w:ind w:firstLine="420"/>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供应商在评审当天自行</w:t>
      </w:r>
      <w:r>
        <w:rPr>
          <w:rFonts w:ascii="仿宋_GB2312" w:hAnsi="仿宋_GB2312" w:cs="仿宋_GB2312" w:eastAsia="仿宋_GB2312"/>
          <w:sz w:val="21"/>
          <w:color w:val="000000"/>
        </w:rPr>
        <w:t>准备好</w:t>
      </w:r>
      <w:r>
        <w:rPr>
          <w:rFonts w:ascii="仿宋_GB2312" w:hAnsi="仿宋_GB2312" w:cs="仿宋_GB2312" w:eastAsia="仿宋_GB2312"/>
          <w:sz w:val="21"/>
          <w:color w:val="000000"/>
        </w:rPr>
        <w:t>电脑用于线上报价，电脑应安装系统操作所需的客户端，具体流程详见供应商操作手</w:t>
      </w:r>
      <w:r>
        <w:rPr>
          <w:rFonts w:ascii="仿宋_GB2312" w:hAnsi="仿宋_GB2312" w:cs="仿宋_GB2312" w:eastAsia="仿宋_GB2312"/>
          <w:sz w:val="21"/>
          <w:color w:val="000000"/>
        </w:rPr>
        <w:t>册。</w:t>
      </w:r>
    </w:p>
    <w:p>
      <w:pPr>
        <w:pStyle w:val="null3"/>
        <w:ind w:firstLine="420"/>
        <w:jc w:val="left"/>
      </w:pPr>
      <w:r>
        <w:rPr>
          <w:rFonts w:ascii="仿宋_GB2312" w:hAnsi="仿宋_GB2312" w:cs="仿宋_GB2312" w:eastAsia="仿宋_GB2312"/>
          <w:sz w:val="21"/>
          <w:color w:val="000000"/>
        </w:rPr>
        <w:t>9、违约责任</w:t>
      </w:r>
    </w:p>
    <w:p>
      <w:pPr>
        <w:pStyle w:val="null3"/>
        <w:ind w:firstLine="420"/>
        <w:jc w:val="left"/>
      </w:pPr>
      <w:r>
        <w:rPr>
          <w:rFonts w:ascii="仿宋_GB2312" w:hAnsi="仿宋_GB2312" w:cs="仿宋_GB2312" w:eastAsia="仿宋_GB2312"/>
          <w:sz w:val="21"/>
          <w:color w:val="000000"/>
        </w:rPr>
        <w:t>9.1 因</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原因造成采购合同无法按时签订，</w:t>
      </w:r>
      <w:r>
        <w:rPr>
          <w:rFonts w:ascii="仿宋_GB2312" w:hAnsi="仿宋_GB2312" w:cs="仿宋_GB2312" w:eastAsia="仿宋_GB2312"/>
          <w:sz w:val="21"/>
          <w:color w:val="000000"/>
        </w:rPr>
        <w:t>成交供应商须承担相应的法律责任</w:t>
      </w:r>
      <w:r>
        <w:rPr>
          <w:rFonts w:ascii="仿宋_GB2312" w:hAnsi="仿宋_GB2312" w:cs="仿宋_GB2312" w:eastAsia="仿宋_GB2312"/>
          <w:sz w:val="21"/>
          <w:color w:val="000000"/>
        </w:rPr>
        <w:t>，</w:t>
      </w:r>
      <w:r>
        <w:rPr>
          <w:rFonts w:ascii="仿宋_GB2312" w:hAnsi="仿宋_GB2312" w:cs="仿宋_GB2312" w:eastAsia="仿宋_GB2312"/>
          <w:sz w:val="21"/>
          <w:color w:val="000000"/>
        </w:rPr>
        <w:t>并向采购人</w:t>
      </w:r>
      <w:r>
        <w:rPr>
          <w:rFonts w:ascii="仿宋_GB2312" w:hAnsi="仿宋_GB2312" w:cs="仿宋_GB2312" w:eastAsia="仿宋_GB2312"/>
          <w:sz w:val="21"/>
          <w:color w:val="000000"/>
        </w:rPr>
        <w:t>支付</w:t>
      </w:r>
      <w:r>
        <w:rPr>
          <w:rFonts w:ascii="仿宋_GB2312" w:hAnsi="仿宋_GB2312" w:cs="仿宋_GB2312" w:eastAsia="仿宋_GB2312"/>
          <w:sz w:val="21"/>
          <w:color w:val="000000"/>
        </w:rPr>
        <w:t>成交价的</w:t>
      </w:r>
      <w:r>
        <w:rPr>
          <w:rFonts w:ascii="仿宋_GB2312" w:hAnsi="仿宋_GB2312" w:cs="仿宋_GB2312" w:eastAsia="仿宋_GB2312"/>
          <w:sz w:val="21"/>
          <w:color w:val="000000"/>
        </w:rPr>
        <w:t>2%作为赔偿</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9.2 在签定采购合同之后，</w:t>
      </w:r>
      <w:r>
        <w:rPr>
          <w:rFonts w:ascii="仿宋_GB2312" w:hAnsi="仿宋_GB2312" w:cs="仿宋_GB2312" w:eastAsia="仿宋_GB2312"/>
          <w:sz w:val="21"/>
          <w:color w:val="000000"/>
        </w:rPr>
        <w:t>供应商不履行合同或者提前</w:t>
      </w:r>
      <w:r>
        <w:rPr>
          <w:rFonts w:ascii="仿宋_GB2312" w:hAnsi="仿宋_GB2312" w:cs="仿宋_GB2312" w:eastAsia="仿宋_GB2312"/>
          <w:sz w:val="21"/>
          <w:color w:val="000000"/>
        </w:rPr>
        <w:t>解除合同的，视为</w:t>
      </w:r>
      <w:r>
        <w:rPr>
          <w:rFonts w:ascii="仿宋_GB2312" w:hAnsi="仿宋_GB2312" w:cs="仿宋_GB2312" w:eastAsia="仿宋_GB2312"/>
          <w:sz w:val="21"/>
          <w:color w:val="000000"/>
        </w:rPr>
        <w:t>成交供应商</w:t>
      </w:r>
      <w:r>
        <w:rPr>
          <w:rFonts w:ascii="仿宋_GB2312" w:hAnsi="仿宋_GB2312" w:cs="仿宋_GB2312" w:eastAsia="仿宋_GB2312"/>
          <w:sz w:val="21"/>
          <w:color w:val="000000"/>
        </w:rPr>
        <w:t>违约，</w:t>
      </w:r>
      <w:r>
        <w:rPr>
          <w:rFonts w:ascii="仿宋_GB2312" w:hAnsi="仿宋_GB2312" w:cs="仿宋_GB2312" w:eastAsia="仿宋_GB2312"/>
          <w:sz w:val="21"/>
          <w:color w:val="000000"/>
        </w:rPr>
        <w:t>须向</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支付违约金</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9.3 若</w:t>
      </w:r>
      <w:r>
        <w:rPr>
          <w:rFonts w:ascii="仿宋_GB2312" w:hAnsi="仿宋_GB2312" w:cs="仿宋_GB2312" w:eastAsia="仿宋_GB2312"/>
          <w:sz w:val="21"/>
          <w:color w:val="000000"/>
        </w:rPr>
        <w:t>成交供应商</w:t>
      </w:r>
      <w:r>
        <w:rPr>
          <w:rFonts w:ascii="仿宋_GB2312" w:hAnsi="仿宋_GB2312" w:cs="仿宋_GB2312" w:eastAsia="仿宋_GB2312"/>
          <w:sz w:val="21"/>
          <w:color w:val="000000"/>
        </w:rPr>
        <w:t>出现以下情形中任意一种</w:t>
      </w:r>
      <w:r>
        <w:rPr>
          <w:rFonts w:ascii="仿宋_GB2312" w:hAnsi="仿宋_GB2312" w:cs="仿宋_GB2312" w:eastAsia="仿宋_GB2312"/>
          <w:sz w:val="21"/>
          <w:color w:val="000000"/>
        </w:rPr>
        <w:t>的</w:t>
      </w:r>
      <w:r>
        <w:rPr>
          <w:rFonts w:ascii="仿宋_GB2312" w:hAnsi="仿宋_GB2312" w:cs="仿宋_GB2312" w:eastAsia="仿宋_GB2312"/>
          <w:sz w:val="21"/>
          <w:color w:val="000000"/>
        </w:rPr>
        <w:t>，均视为</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违约，采购人将取消其成交资格，如果已经签订合同的则合同自动解除，且</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还要承担相应的法律责任。</w:t>
      </w:r>
    </w:p>
    <w:p>
      <w:pPr>
        <w:pStyle w:val="null3"/>
        <w:ind w:firstLine="420"/>
        <w:jc w:val="left"/>
      </w:pPr>
      <w:r>
        <w:rPr>
          <w:rFonts w:ascii="仿宋_GB2312" w:hAnsi="仿宋_GB2312" w:cs="仿宋_GB2312" w:eastAsia="仿宋_GB2312"/>
          <w:sz w:val="21"/>
          <w:color w:val="000000"/>
        </w:rPr>
        <w:t>(1)成交后，</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提供的服务与响应文件</w:t>
      </w:r>
      <w:r>
        <w:rPr>
          <w:rFonts w:ascii="仿宋_GB2312" w:hAnsi="仿宋_GB2312" w:cs="仿宋_GB2312" w:eastAsia="仿宋_GB2312"/>
          <w:sz w:val="21"/>
          <w:color w:val="000000"/>
        </w:rPr>
        <w:t>提供的内容</w:t>
      </w:r>
      <w:r>
        <w:rPr>
          <w:rFonts w:ascii="仿宋_GB2312" w:hAnsi="仿宋_GB2312" w:cs="仿宋_GB2312" w:eastAsia="仿宋_GB2312"/>
          <w:sz w:val="21"/>
          <w:color w:val="000000"/>
        </w:rPr>
        <w:t>的不</w:t>
      </w:r>
      <w:r>
        <w:rPr>
          <w:rFonts w:ascii="仿宋_GB2312" w:hAnsi="仿宋_GB2312" w:cs="仿宋_GB2312" w:eastAsia="仿宋_GB2312"/>
          <w:sz w:val="21"/>
          <w:color w:val="000000"/>
        </w:rPr>
        <w:t>相</w:t>
      </w:r>
      <w:r>
        <w:rPr>
          <w:rFonts w:ascii="仿宋_GB2312" w:hAnsi="仿宋_GB2312" w:cs="仿宋_GB2312" w:eastAsia="仿宋_GB2312"/>
          <w:sz w:val="21"/>
          <w:color w:val="000000"/>
        </w:rPr>
        <w:t>符的；</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自动放弃成交的；</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自成交结果公告之日起</w:t>
      </w:r>
      <w:r>
        <w:rPr>
          <w:rFonts w:ascii="仿宋_GB2312" w:hAnsi="仿宋_GB2312" w:cs="仿宋_GB2312" w:eastAsia="仿宋_GB2312"/>
          <w:sz w:val="21"/>
          <w:color w:val="000000"/>
        </w:rPr>
        <w:t>30 日内(因</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原因</w:t>
      </w:r>
      <w:r>
        <w:rPr>
          <w:rFonts w:ascii="仿宋_GB2312" w:hAnsi="仿宋_GB2312" w:cs="仿宋_GB2312" w:eastAsia="仿宋_GB2312"/>
          <w:sz w:val="21"/>
          <w:color w:val="000000"/>
        </w:rPr>
        <w:t>)未与采购人签订采购合同的；</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因不可抗力原因未能如时服务或不能履行合同的；</w:t>
      </w:r>
    </w:p>
    <w:p>
      <w:pPr>
        <w:pStyle w:val="null3"/>
        <w:ind w:firstLine="420"/>
        <w:jc w:val="left"/>
      </w:pPr>
      <w:r>
        <w:rPr>
          <w:rFonts w:ascii="仿宋_GB2312" w:hAnsi="仿宋_GB2312" w:cs="仿宋_GB2312" w:eastAsia="仿宋_GB2312"/>
          <w:sz w:val="21"/>
          <w:color w:val="000000"/>
        </w:rPr>
        <w:t>9.4 因</w:t>
      </w:r>
      <w:r>
        <w:rPr>
          <w:rFonts w:ascii="仿宋_GB2312" w:hAnsi="仿宋_GB2312" w:cs="仿宋_GB2312" w:eastAsia="仿宋_GB2312"/>
          <w:sz w:val="21"/>
          <w:color w:val="000000"/>
        </w:rPr>
        <w:t>供应商原因</w:t>
      </w:r>
      <w:r>
        <w:rPr>
          <w:rFonts w:ascii="仿宋_GB2312" w:hAnsi="仿宋_GB2312" w:cs="仿宋_GB2312" w:eastAsia="仿宋_GB2312"/>
          <w:sz w:val="21"/>
          <w:color w:val="000000"/>
        </w:rPr>
        <w:t>发生安全事故，除按国家有关安全管理规定及采购人有关安全管理办法执行外，并报相关行政主管部门处罚；发生重大安全事故或特大安全事故，除按国家有关安全管理规定及采购人有关安全管理办法执行外，采购人</w:t>
      </w:r>
      <w:r>
        <w:rPr>
          <w:rFonts w:ascii="仿宋_GB2312" w:hAnsi="仿宋_GB2312" w:cs="仿宋_GB2312" w:eastAsia="仿宋_GB2312"/>
          <w:sz w:val="21"/>
          <w:color w:val="000000"/>
        </w:rPr>
        <w:t>有权解除合同。</w:t>
      </w:r>
      <w:r>
        <w:rPr>
          <w:rFonts w:ascii="仿宋_GB2312" w:hAnsi="仿宋_GB2312" w:cs="仿宋_GB2312" w:eastAsia="仿宋_GB2312"/>
          <w:sz w:val="21"/>
          <w:color w:val="000000"/>
        </w:rPr>
        <w:t>给采购人造成的损失，还应承担赔偿责任。若发生</w:t>
      </w:r>
      <w:r>
        <w:rPr>
          <w:rFonts w:ascii="仿宋_GB2312" w:hAnsi="仿宋_GB2312" w:cs="仿宋_GB2312" w:eastAsia="仿宋_GB2312"/>
          <w:sz w:val="21"/>
          <w:color w:val="000000"/>
        </w:rPr>
        <w:t>服务</w:t>
      </w:r>
      <w:r>
        <w:rPr>
          <w:rFonts w:ascii="仿宋_GB2312" w:hAnsi="仿宋_GB2312" w:cs="仿宋_GB2312" w:eastAsia="仿宋_GB2312"/>
          <w:sz w:val="21"/>
          <w:color w:val="000000"/>
        </w:rPr>
        <w:t>人员与他人员勾结并从中谋利的，采购人追究其法律责任并要求赔偿。</w:t>
      </w:r>
    </w:p>
    <w:p>
      <w:pPr>
        <w:pStyle w:val="null3"/>
        <w:ind w:firstLine="420"/>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5</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在明确违约责任后，</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应在接到书面通知书起七天内支付违约金、赔偿金等。</w:t>
      </w:r>
      <w:r>
        <w:rPr>
          <w:rFonts w:ascii="仿宋_GB2312" w:hAnsi="仿宋_GB2312" w:cs="仿宋_GB2312" w:eastAsia="仿宋_GB2312"/>
          <w:sz w:val="21"/>
          <w:color w:val="000000"/>
        </w:rPr>
        <w:t xml:space="preserve"> </w:t>
      </w:r>
    </w:p>
    <w:p>
      <w:pPr>
        <w:pStyle w:val="null3"/>
        <w:ind w:firstLine="210"/>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、风险承担与责任</w:t>
      </w:r>
      <w:r>
        <w:rPr>
          <w:rFonts w:ascii="仿宋_GB2312" w:hAnsi="仿宋_GB2312" w:cs="仿宋_GB2312" w:eastAsia="仿宋_GB2312"/>
          <w:sz w:val="21"/>
          <w:color w:val="000000"/>
        </w:rPr>
        <w:t>划分</w:t>
      </w:r>
    </w:p>
    <w:p>
      <w:pPr>
        <w:pStyle w:val="null3"/>
        <w:ind w:firstLine="480"/>
        <w:jc w:val="left"/>
      </w:pPr>
      <w:r>
        <w:rPr>
          <w:rFonts w:ascii="仿宋_GB2312" w:hAnsi="仿宋_GB2312" w:cs="仿宋_GB2312" w:eastAsia="仿宋_GB2312"/>
          <w:sz w:val="21"/>
          <w:color w:val="000000"/>
        </w:rPr>
        <w:t>10.1</w:t>
      </w:r>
      <w:r>
        <w:rPr>
          <w:rFonts w:ascii="仿宋_GB2312" w:hAnsi="仿宋_GB2312" w:cs="仿宋_GB2312" w:eastAsia="仿宋_GB2312"/>
          <w:sz w:val="21"/>
          <w:color w:val="000000"/>
        </w:rPr>
        <w:t>所有</w:t>
      </w:r>
      <w:r>
        <w:rPr>
          <w:rFonts w:ascii="仿宋_GB2312" w:hAnsi="仿宋_GB2312" w:cs="仿宋_GB2312" w:eastAsia="仿宋_GB2312"/>
          <w:sz w:val="21"/>
          <w:color w:val="000000"/>
        </w:rPr>
        <w:t>服务</w:t>
      </w:r>
      <w:r>
        <w:rPr>
          <w:rFonts w:ascii="仿宋_GB2312" w:hAnsi="仿宋_GB2312" w:cs="仿宋_GB2312" w:eastAsia="仿宋_GB2312"/>
          <w:sz w:val="21"/>
          <w:color w:val="000000"/>
        </w:rPr>
        <w:t>人员的工伤等用工风险及</w:t>
      </w:r>
      <w:r>
        <w:rPr>
          <w:rFonts w:ascii="仿宋_GB2312" w:hAnsi="仿宋_GB2312" w:cs="仿宋_GB2312" w:eastAsia="仿宋_GB2312"/>
          <w:sz w:val="21"/>
          <w:color w:val="000000"/>
        </w:rPr>
        <w:t>产生的</w:t>
      </w:r>
      <w:r>
        <w:rPr>
          <w:rFonts w:ascii="仿宋_GB2312" w:hAnsi="仿宋_GB2312" w:cs="仿宋_GB2312" w:eastAsia="仿宋_GB2312"/>
          <w:sz w:val="21"/>
          <w:color w:val="000000"/>
        </w:rPr>
        <w:t>相关费用，</w:t>
      </w:r>
      <w:r>
        <w:rPr>
          <w:rFonts w:ascii="仿宋_GB2312" w:hAnsi="仿宋_GB2312" w:cs="仿宋_GB2312" w:eastAsia="仿宋_GB2312"/>
          <w:sz w:val="21"/>
          <w:color w:val="000000"/>
        </w:rPr>
        <w:t>均</w:t>
      </w:r>
      <w:r>
        <w:rPr>
          <w:rFonts w:ascii="仿宋_GB2312" w:hAnsi="仿宋_GB2312" w:cs="仿宋_GB2312" w:eastAsia="仿宋_GB2312"/>
          <w:sz w:val="21"/>
          <w:color w:val="000000"/>
        </w:rPr>
        <w:t>由成交供应商承担。</w:t>
      </w:r>
    </w:p>
    <w:p>
      <w:pPr>
        <w:pStyle w:val="null3"/>
        <w:ind w:firstLine="480"/>
        <w:jc w:val="left"/>
      </w:pPr>
      <w:r>
        <w:rPr>
          <w:rFonts w:ascii="仿宋_GB2312" w:hAnsi="仿宋_GB2312" w:cs="仿宋_GB2312" w:eastAsia="仿宋_GB2312"/>
          <w:sz w:val="21"/>
          <w:color w:val="000000"/>
        </w:rPr>
        <w:t>10.2</w:t>
      </w:r>
      <w:r>
        <w:rPr>
          <w:rFonts w:ascii="仿宋_GB2312" w:hAnsi="仿宋_GB2312" w:cs="仿宋_GB2312" w:eastAsia="仿宋_GB2312"/>
          <w:sz w:val="21"/>
          <w:color w:val="000000"/>
        </w:rPr>
        <w:t>因意外事故或作业安全问题引发的人身伤亡和财产损失，成交供应</w:t>
      </w:r>
      <w:r>
        <w:rPr>
          <w:rFonts w:ascii="仿宋_GB2312" w:hAnsi="仿宋_GB2312" w:cs="仿宋_GB2312" w:eastAsia="仿宋_GB2312"/>
          <w:sz w:val="21"/>
          <w:color w:val="000000"/>
        </w:rPr>
        <w:t>商承担法律</w:t>
      </w:r>
      <w:r>
        <w:rPr>
          <w:rFonts w:ascii="仿宋_GB2312" w:hAnsi="仿宋_GB2312" w:cs="仿宋_GB2312" w:eastAsia="仿宋_GB2312"/>
          <w:sz w:val="21"/>
          <w:color w:val="000000"/>
        </w:rPr>
        <w:t>责任。</w:t>
      </w:r>
    </w:p>
    <w:p>
      <w:pPr>
        <w:pStyle w:val="null3"/>
        <w:ind w:firstLine="420"/>
        <w:jc w:val="left"/>
      </w:pPr>
      <w:r>
        <w:rPr>
          <w:rFonts w:ascii="仿宋_GB2312" w:hAnsi="仿宋_GB2312" w:cs="仿宋_GB2312" w:eastAsia="仿宋_GB2312"/>
          <w:sz w:val="21"/>
          <w:color w:val="000000"/>
        </w:rPr>
        <w:t>10.3</w:t>
      </w:r>
      <w:r>
        <w:rPr>
          <w:rFonts w:ascii="仿宋_GB2312" w:hAnsi="仿宋_GB2312" w:cs="仿宋_GB2312" w:eastAsia="仿宋_GB2312"/>
          <w:sz w:val="21"/>
          <w:color w:val="000000"/>
        </w:rPr>
        <w:t>治安事件的责任认定，以公安部门</w:t>
      </w:r>
      <w:r>
        <w:rPr>
          <w:rFonts w:ascii="仿宋_GB2312" w:hAnsi="仿宋_GB2312" w:cs="仿宋_GB2312" w:eastAsia="仿宋_GB2312"/>
          <w:sz w:val="21"/>
          <w:color w:val="000000"/>
        </w:rPr>
        <w:t>的处理意见</w:t>
      </w:r>
      <w:r>
        <w:rPr>
          <w:rFonts w:ascii="仿宋_GB2312" w:hAnsi="仿宋_GB2312" w:cs="仿宋_GB2312" w:eastAsia="仿宋_GB2312"/>
          <w:sz w:val="21"/>
          <w:color w:val="000000"/>
        </w:rPr>
        <w:t>为准；非治安事件的责任认定，由双方协商。协商不成的，以</w:t>
      </w:r>
      <w:r>
        <w:rPr>
          <w:rFonts w:ascii="仿宋_GB2312" w:hAnsi="仿宋_GB2312" w:cs="仿宋_GB2312" w:eastAsia="仿宋_GB2312"/>
          <w:sz w:val="21"/>
          <w:color w:val="000000"/>
        </w:rPr>
        <w:t>法院</w:t>
      </w:r>
      <w:r>
        <w:rPr>
          <w:rFonts w:ascii="仿宋_GB2312" w:hAnsi="仿宋_GB2312" w:cs="仿宋_GB2312" w:eastAsia="仿宋_GB2312"/>
          <w:sz w:val="21"/>
          <w:color w:val="000000"/>
        </w:rPr>
        <w:t>诉讼方式</w:t>
      </w:r>
      <w:r>
        <w:rPr>
          <w:rFonts w:ascii="仿宋_GB2312" w:hAnsi="仿宋_GB2312" w:cs="仿宋_GB2312" w:eastAsia="仿宋_GB2312"/>
          <w:sz w:val="21"/>
          <w:color w:val="000000"/>
        </w:rPr>
        <w:t>解决</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考评的组织与实施</w:t>
      </w:r>
    </w:p>
    <w:p>
      <w:pPr>
        <w:pStyle w:val="null3"/>
        <w:ind w:firstLine="420"/>
        <w:jc w:val="both"/>
      </w:pPr>
      <w:r>
        <w:rPr>
          <w:rFonts w:ascii="仿宋_GB2312" w:hAnsi="仿宋_GB2312" w:cs="仿宋_GB2312" w:eastAsia="仿宋_GB2312"/>
          <w:sz w:val="21"/>
          <w:color w:val="000000"/>
        </w:rPr>
        <w:t>11.1</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对成交供应商每月和合同期满各组织一次综合考评，其中月综合考评结合日常检查考评进行综合评定，通常采购人在次月初将考评结果通报给成交供应商；合同期满根据成交供应商履行合同期间的表现进行综合考评。</w:t>
      </w:r>
      <w:r>
        <w:rPr>
          <w:rFonts w:ascii="仿宋_GB2312" w:hAnsi="仿宋_GB2312" w:cs="仿宋_GB2312" w:eastAsia="仿宋_GB2312"/>
          <w:sz w:val="21"/>
          <w:color w:val="000000"/>
        </w:rPr>
        <w:t>采购人根据具体需要，不定期与成交供应商会商，双方及时交流反馈情况，就有关问题商议具体解决办法。</w:t>
      </w:r>
    </w:p>
    <w:p>
      <w:pPr>
        <w:pStyle w:val="null3"/>
        <w:ind w:firstLine="420"/>
        <w:jc w:val="both"/>
      </w:pPr>
      <w:r>
        <w:rPr>
          <w:rFonts w:ascii="仿宋_GB2312" w:hAnsi="仿宋_GB2312" w:cs="仿宋_GB2312" w:eastAsia="仿宋_GB2312"/>
          <w:sz w:val="21"/>
          <w:color w:val="000000"/>
        </w:rPr>
        <w:t>11.2</w:t>
      </w:r>
      <w:r>
        <w:rPr>
          <w:rFonts w:ascii="仿宋_GB2312" w:hAnsi="仿宋_GB2312" w:cs="仿宋_GB2312" w:eastAsia="仿宋_GB2312"/>
          <w:sz w:val="21"/>
          <w:color w:val="000000"/>
        </w:rPr>
        <w:t>履行合同总评成绩按照月综合考评成绩和合同期满综合考评成绩的平均成绩确定，作为采购人支付给成交供应商绩效评估经费的主要依据。</w:t>
      </w:r>
    </w:p>
    <w:p>
      <w:pPr>
        <w:pStyle w:val="null3"/>
        <w:ind w:firstLine="420"/>
        <w:jc w:val="both"/>
      </w:pPr>
      <w:r>
        <w:rPr>
          <w:rFonts w:ascii="仿宋_GB2312" w:hAnsi="仿宋_GB2312" w:cs="仿宋_GB2312" w:eastAsia="仿宋_GB2312"/>
          <w:sz w:val="21"/>
          <w:color w:val="000000"/>
        </w:rPr>
        <w:t>11.3</w:t>
      </w:r>
      <w:r>
        <w:rPr>
          <w:rFonts w:ascii="仿宋_GB2312" w:hAnsi="仿宋_GB2312" w:cs="仿宋_GB2312" w:eastAsia="仿宋_GB2312"/>
          <w:sz w:val="21"/>
          <w:color w:val="000000"/>
        </w:rPr>
        <w:t>考评分值为</w:t>
      </w:r>
      <w:r>
        <w:rPr>
          <w:rFonts w:ascii="仿宋_GB2312" w:hAnsi="仿宋_GB2312" w:cs="仿宋_GB2312" w:eastAsia="仿宋_GB2312"/>
          <w:sz w:val="21"/>
          <w:color w:val="000000"/>
        </w:rPr>
        <w:t>100分履行合同总评成绩70分(含)以上为及格，80分(含)以上为良好，90分(含)以上为优秀，70分(不含)以下为不及格。</w:t>
      </w:r>
    </w:p>
    <w:p>
      <w:pPr>
        <w:pStyle w:val="null3"/>
        <w:ind w:firstLine="420"/>
        <w:jc w:val="both"/>
      </w:pPr>
      <w:r>
        <w:rPr>
          <w:rFonts w:ascii="仿宋_GB2312" w:hAnsi="仿宋_GB2312" w:cs="仿宋_GB2312" w:eastAsia="仿宋_GB2312"/>
          <w:sz w:val="21"/>
          <w:color w:val="000000"/>
        </w:rPr>
        <w:t>11.4</w:t>
      </w:r>
      <w:r>
        <w:rPr>
          <w:rFonts w:ascii="仿宋_GB2312" w:hAnsi="仿宋_GB2312" w:cs="仿宋_GB2312" w:eastAsia="仿宋_GB2312"/>
          <w:sz w:val="21"/>
          <w:color w:val="000000"/>
        </w:rPr>
        <w:t>绩效评估经费在履行合同期满</w:t>
      </w:r>
      <w:r>
        <w:rPr>
          <w:rFonts w:ascii="仿宋_GB2312" w:hAnsi="仿宋_GB2312" w:cs="仿宋_GB2312" w:eastAsia="仿宋_GB2312"/>
          <w:sz w:val="21"/>
          <w:color w:val="000000"/>
        </w:rPr>
        <w:t>45</w:t>
      </w:r>
      <w:r>
        <w:rPr>
          <w:rFonts w:ascii="仿宋_GB2312" w:hAnsi="仿宋_GB2312" w:cs="仿宋_GB2312" w:eastAsia="仿宋_GB2312"/>
          <w:sz w:val="21"/>
          <w:color w:val="000000"/>
        </w:rPr>
        <w:t>个工作日内，采购人根据成交供应商履行合同考评情况，对应支付。其中履行合同总评成绩优秀的，全额支付绩效奖励经费；履行合同总评成绩良好的，支付绩效奖励经费的</w:t>
      </w:r>
      <w:r>
        <w:rPr>
          <w:rFonts w:ascii="仿宋_GB2312" w:hAnsi="仿宋_GB2312" w:cs="仿宋_GB2312" w:eastAsia="仿宋_GB2312"/>
          <w:sz w:val="21"/>
          <w:color w:val="000000"/>
        </w:rPr>
        <w:t>80%；履行合同总评成绩及格的，支付绩效奖励经费的60%；履行合同总评成绩不及格的，不支付绩效奖励经费。</w:t>
      </w:r>
    </w:p>
    <w:p>
      <w:pPr>
        <w:pStyle w:val="null3"/>
        <w:ind w:firstLine="420"/>
        <w:jc w:val="both"/>
      </w:pPr>
      <w:r>
        <w:rPr>
          <w:rFonts w:ascii="仿宋_GB2312" w:hAnsi="仿宋_GB2312" w:cs="仿宋_GB2312" w:eastAsia="仿宋_GB2312"/>
          <w:sz w:val="21"/>
          <w:color w:val="000000"/>
        </w:rPr>
        <w:t>11.5</w:t>
      </w:r>
      <w:r>
        <w:rPr>
          <w:rFonts w:ascii="仿宋_GB2312" w:hAnsi="仿宋_GB2312" w:cs="仿宋_GB2312" w:eastAsia="仿宋_GB2312"/>
          <w:sz w:val="21"/>
          <w:color w:val="000000"/>
        </w:rPr>
        <w:t>成交供应商在履行合同任务期间，因工作失误造成会务服务严重不良后果的，或</w:t>
      </w:r>
      <w:r>
        <w:rPr>
          <w:rFonts w:ascii="仿宋_GB2312" w:hAnsi="仿宋_GB2312" w:cs="仿宋_GB2312" w:eastAsia="仿宋_GB2312"/>
          <w:sz w:val="21"/>
          <w:color w:val="000000"/>
        </w:rPr>
        <w:t>履行合同总评成绩</w:t>
      </w:r>
      <w:r>
        <w:rPr>
          <w:rFonts w:ascii="仿宋_GB2312" w:hAnsi="仿宋_GB2312" w:cs="仿宋_GB2312" w:eastAsia="仿宋_GB2312"/>
          <w:sz w:val="21"/>
          <w:color w:val="000000"/>
        </w:rPr>
        <w:t>不合格的，采购人有权解除本合同，所造成的损失由成交供应商自行承担。</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、特定管理要求</w:t>
      </w:r>
    </w:p>
    <w:p>
      <w:pPr>
        <w:pStyle w:val="null3"/>
        <w:ind w:firstLine="420"/>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12.1</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需</w:t>
      </w:r>
      <w:r>
        <w:rPr>
          <w:rFonts w:ascii="仿宋_GB2312" w:hAnsi="仿宋_GB2312" w:cs="仿宋_GB2312" w:eastAsia="仿宋_GB2312"/>
          <w:sz w:val="21"/>
          <w:color w:val="000000"/>
        </w:rPr>
        <w:t>接受采购人制定的各项规章制度，并根据项目管理的需要建立各种规范化管理制度、工作流程、考核制度及其他相关的工作制度。</w:t>
      </w:r>
    </w:p>
    <w:p>
      <w:pPr>
        <w:pStyle w:val="null3"/>
        <w:ind w:firstLine="420"/>
        <w:jc w:val="left"/>
      </w:pPr>
      <w:r>
        <w:rPr>
          <w:rFonts w:ascii="仿宋_GB2312" w:hAnsi="仿宋_GB2312" w:cs="仿宋_GB2312" w:eastAsia="仿宋_GB2312"/>
          <w:sz w:val="21"/>
          <w:color w:val="000000"/>
        </w:rPr>
        <w:t>12.2</w:t>
      </w:r>
      <w:r>
        <w:rPr>
          <w:rFonts w:ascii="仿宋_GB2312" w:hAnsi="仿宋_GB2312" w:cs="仿宋_GB2312" w:eastAsia="仿宋_GB2312"/>
          <w:sz w:val="21"/>
          <w:color w:val="000000"/>
        </w:rPr>
        <w:t>成交供应商如未按要求支付</w:t>
      </w:r>
      <w:r>
        <w:rPr>
          <w:rFonts w:ascii="仿宋_GB2312" w:hAnsi="仿宋_GB2312" w:cs="仿宋_GB2312" w:eastAsia="仿宋_GB2312"/>
          <w:sz w:val="21"/>
          <w:color w:val="000000"/>
        </w:rPr>
        <w:t>服务</w:t>
      </w:r>
      <w:r>
        <w:rPr>
          <w:rFonts w:ascii="仿宋_GB2312" w:hAnsi="仿宋_GB2312" w:cs="仿宋_GB2312" w:eastAsia="仿宋_GB2312"/>
          <w:sz w:val="21"/>
          <w:color w:val="000000"/>
        </w:rPr>
        <w:t>人员的工资福利待遇，</w:t>
      </w:r>
      <w:r>
        <w:rPr>
          <w:rFonts w:ascii="仿宋_GB2312" w:hAnsi="仿宋_GB2312" w:cs="仿宋_GB2312" w:eastAsia="仿宋_GB2312"/>
          <w:sz w:val="21"/>
          <w:color w:val="000000"/>
        </w:rPr>
        <w:t>影响到采购任务</w:t>
      </w:r>
      <w:r>
        <w:rPr>
          <w:rFonts w:ascii="仿宋_GB2312" w:hAnsi="仿宋_GB2312" w:cs="仿宋_GB2312" w:eastAsia="仿宋_GB2312"/>
          <w:sz w:val="21"/>
          <w:color w:val="000000"/>
        </w:rPr>
        <w:t>的</w:t>
      </w:r>
      <w:r>
        <w:rPr>
          <w:rFonts w:ascii="仿宋_GB2312" w:hAnsi="仿宋_GB2312" w:cs="仿宋_GB2312" w:eastAsia="仿宋_GB2312"/>
          <w:sz w:val="21"/>
          <w:color w:val="000000"/>
        </w:rPr>
        <w:t>实施</w:t>
      </w:r>
      <w:r>
        <w:rPr>
          <w:rFonts w:ascii="仿宋_GB2312" w:hAnsi="仿宋_GB2312" w:cs="仿宋_GB2312" w:eastAsia="仿宋_GB2312"/>
          <w:sz w:val="21"/>
          <w:color w:val="000000"/>
        </w:rPr>
        <w:t>，采购人有权中止合同。</w:t>
      </w:r>
    </w:p>
    <w:p>
      <w:pPr>
        <w:pStyle w:val="null3"/>
        <w:ind w:firstLine="480"/>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3</w:t>
      </w:r>
      <w:r>
        <w:rPr>
          <w:rFonts w:ascii="仿宋_GB2312" w:hAnsi="仿宋_GB2312" w:cs="仿宋_GB2312" w:eastAsia="仿宋_GB2312"/>
          <w:sz w:val="21"/>
          <w:b/>
          <w:color w:val="000000"/>
        </w:rPr>
        <w:t>.补充条款</w:t>
      </w:r>
    </w:p>
    <w:p>
      <w:pPr>
        <w:pStyle w:val="null3"/>
        <w:ind w:firstLine="480"/>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本项目支持供应商合同融资，具体相关政策参见《关于促进中小企业政府采购合同融资健康开展的通知》（闽财购函〔</w:t>
      </w:r>
      <w:r>
        <w:rPr>
          <w:rFonts w:ascii="仿宋_GB2312" w:hAnsi="仿宋_GB2312" w:cs="仿宋_GB2312" w:eastAsia="仿宋_GB2312"/>
          <w:sz w:val="21"/>
          <w:color w:val="000000"/>
        </w:rPr>
        <w:t>2019〕16 号）和《关于印发&lt;福建省支持中小企业政府采购合同融资暂行办法&gt;的通知（闽财购〔2018〕7 号）。</w:t>
      </w:r>
    </w:p>
    <w:p>
      <w:pPr>
        <w:pStyle w:val="null3"/>
        <w:ind w:firstLine="480"/>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本项目竞争性磋商文件要求的响应材料，若属于可以通过互联网或者相关信息系统查询的信息，供应商可在响应文件中提供相应的互联网或者相关信息系统的查询网址或查询方式后，不再需要提供此类投标响应材料。供应商对所提供的查询网址或查询方式的有效性和真实性负责。</w:t>
      </w:r>
    </w:p>
    <w:p>
      <w:pPr>
        <w:pStyle w:val="null3"/>
        <w:ind w:firstLine="480"/>
        <w:jc w:val="left"/>
      </w:pPr>
      <w:r>
        <w:rPr>
          <w:rFonts w:ascii="仿宋_GB2312" w:hAnsi="仿宋_GB2312" w:cs="仿宋_GB2312" w:eastAsia="仿宋_GB2312"/>
          <w:sz w:val="21"/>
          <w:b/>
        </w:rPr>
        <w:t>1</w:t>
      </w:r>
      <w:r>
        <w:rPr>
          <w:rFonts w:ascii="仿宋_GB2312" w:hAnsi="仿宋_GB2312" w:cs="仿宋_GB2312" w:eastAsia="仿宋_GB2312"/>
          <w:sz w:val="21"/>
          <w:b/>
        </w:rPr>
        <w:t>3</w:t>
      </w:r>
      <w:r>
        <w:rPr>
          <w:rFonts w:ascii="仿宋_GB2312" w:hAnsi="仿宋_GB2312" w:cs="仿宋_GB2312" w:eastAsia="仿宋_GB2312"/>
          <w:sz w:val="21"/>
          <w:b/>
        </w:rPr>
        <w:t>.</w:t>
      </w:r>
      <w:r>
        <w:rPr>
          <w:rFonts w:ascii="仿宋_GB2312" w:hAnsi="仿宋_GB2312" w:cs="仿宋_GB2312" w:eastAsia="仿宋_GB2312"/>
          <w:sz w:val="21"/>
          <w:b/>
        </w:rPr>
        <w:t>3</w:t>
      </w:r>
      <w:r>
        <w:rPr>
          <w:rFonts w:ascii="仿宋_GB2312" w:hAnsi="仿宋_GB2312" w:cs="仿宋_GB2312" w:eastAsia="仿宋_GB2312"/>
          <w:sz w:val="21"/>
          <w:b/>
        </w:rPr>
        <w:t xml:space="preserve"> </w:t>
      </w:r>
      <w:r>
        <w:rPr>
          <w:rFonts w:ascii="仿宋_GB2312" w:hAnsi="仿宋_GB2312" w:cs="仿宋_GB2312" w:eastAsia="仿宋_GB2312"/>
          <w:sz w:val="21"/>
          <w:b/>
        </w:rPr>
        <w:t>关于明确串标情节及后果的预警提示，供应商应明确知晓相应行为及后果：</w:t>
      </w:r>
    </w:p>
    <w:p>
      <w:pPr>
        <w:pStyle w:val="null3"/>
        <w:ind w:firstLine="420"/>
        <w:jc w:val="left"/>
      </w:pPr>
      <w:r>
        <w:rPr>
          <w:rFonts w:ascii="仿宋_GB2312" w:hAnsi="仿宋_GB2312" w:cs="仿宋_GB2312" w:eastAsia="仿宋_GB2312"/>
          <w:sz w:val="21"/>
        </w:rPr>
        <w:t>根据《厦门市财政局关于加强涉嫌串通投标情形处理的通知》要求，现将有关串标情形及后果的规定列明如下，请各供应商仔细阅读，在参与本项目采购活动中，要遵纪守法，公平参与竞争，不得从事违法行为，否则将依法承担相应责任：</w:t>
      </w:r>
    </w:p>
    <w:p>
      <w:pPr>
        <w:pStyle w:val="null3"/>
        <w:ind w:firstLine="420"/>
        <w:jc w:val="left"/>
      </w:pPr>
      <w:r>
        <w:rPr>
          <w:rFonts w:ascii="仿宋_GB2312" w:hAnsi="仿宋_GB2312" w:cs="仿宋_GB2312" w:eastAsia="仿宋_GB2312"/>
          <w:sz w:val="21"/>
          <w:b/>
        </w:rPr>
        <w:t>一、串标情形</w:t>
      </w:r>
    </w:p>
    <w:p>
      <w:pPr>
        <w:pStyle w:val="null3"/>
        <w:ind w:firstLine="420"/>
        <w:jc w:val="left"/>
      </w:pPr>
      <w:r>
        <w:rPr>
          <w:rFonts w:ascii="仿宋_GB2312" w:hAnsi="仿宋_GB2312" w:cs="仿宋_GB2312" w:eastAsia="仿宋_GB2312"/>
          <w:sz w:val="21"/>
        </w:rPr>
        <w:t>1、《政府采购法》第二十五条：政府采购当事人不得相互串通损害国家利益、社会公共利益和其他当事人的合法权益；不得以任何手段排斥其他供 应 商参与竞争。供 应商不得以向采购人、采购代 理机构、评标委员会的组成人员、竞争性谈判小组的组成人员、询价小组的组成人员行贿或者采取其他不正当手段谋取中标或者成交。</w:t>
      </w:r>
    </w:p>
    <w:p>
      <w:pPr>
        <w:pStyle w:val="null3"/>
        <w:ind w:firstLine="420"/>
        <w:jc w:val="left"/>
      </w:pPr>
      <w:r>
        <w:rPr>
          <w:rFonts w:ascii="仿宋_GB2312" w:hAnsi="仿宋_GB2312" w:cs="仿宋_GB2312" w:eastAsia="仿宋_GB2312"/>
          <w:sz w:val="21"/>
        </w:rPr>
        <w:t>2、《政府采购法实施条例》第七十四条：有下列情形之一的，属于恶意串通，对供 应商依照政府采购法第七十七条第一款的规定追究法律责任，对采购人、采购代 理机构及其工作人员依照政府采购法第七十二条的规定追究法律责任：</w:t>
      </w:r>
    </w:p>
    <w:p>
      <w:pPr>
        <w:pStyle w:val="null3"/>
        <w:ind w:firstLine="420"/>
        <w:jc w:val="left"/>
      </w:pPr>
      <w:r>
        <w:rPr>
          <w:rFonts w:ascii="仿宋_GB2312" w:hAnsi="仿宋_GB2312" w:cs="仿宋_GB2312" w:eastAsia="仿宋_GB2312"/>
          <w:sz w:val="21"/>
        </w:rPr>
        <w:t>（一）供应商直接或者间接从采购人或者采购代理机构处获得其他供应商的相关情况并修改其投标文件或者响应文件；</w:t>
      </w:r>
    </w:p>
    <w:p>
      <w:pPr>
        <w:pStyle w:val="null3"/>
        <w:ind w:firstLine="420"/>
        <w:jc w:val="left"/>
      </w:pPr>
      <w:r>
        <w:rPr>
          <w:rFonts w:ascii="仿宋_GB2312" w:hAnsi="仿宋_GB2312" w:cs="仿宋_GB2312" w:eastAsia="仿宋_GB2312"/>
          <w:sz w:val="21"/>
        </w:rPr>
        <w:t>（二）供应商按照采购人或者采购代理机构的授意撤换、修改投标文件或者响应文件；</w:t>
      </w:r>
    </w:p>
    <w:p>
      <w:pPr>
        <w:pStyle w:val="null3"/>
        <w:ind w:firstLine="420"/>
        <w:jc w:val="left"/>
      </w:pPr>
      <w:r>
        <w:rPr>
          <w:rFonts w:ascii="仿宋_GB2312" w:hAnsi="仿宋_GB2312" w:cs="仿宋_GB2312" w:eastAsia="仿宋_GB2312"/>
          <w:sz w:val="21"/>
        </w:rPr>
        <w:t>（三）供应商之间协商报价、技术方案等投标文件或者响应文件的实质性内容；</w:t>
      </w:r>
    </w:p>
    <w:p>
      <w:pPr>
        <w:pStyle w:val="null3"/>
        <w:ind w:firstLine="420"/>
        <w:jc w:val="left"/>
      </w:pPr>
      <w:r>
        <w:rPr>
          <w:rFonts w:ascii="仿宋_GB2312" w:hAnsi="仿宋_GB2312" w:cs="仿宋_GB2312" w:eastAsia="仿宋_GB2312"/>
          <w:sz w:val="21"/>
        </w:rPr>
        <w:t>（四）属于同一集团、协会、商会等组织成员的供应商按照该组织要求协同参加政府采购活动；</w:t>
      </w:r>
    </w:p>
    <w:p>
      <w:pPr>
        <w:pStyle w:val="null3"/>
        <w:ind w:firstLine="420"/>
        <w:jc w:val="left"/>
      </w:pPr>
      <w:r>
        <w:rPr>
          <w:rFonts w:ascii="仿宋_GB2312" w:hAnsi="仿宋_GB2312" w:cs="仿宋_GB2312" w:eastAsia="仿宋_GB2312"/>
          <w:sz w:val="21"/>
        </w:rPr>
        <w:t>（五）供应商之间事先约定由某一特定供应商中标、成交；</w:t>
      </w:r>
    </w:p>
    <w:p>
      <w:pPr>
        <w:pStyle w:val="null3"/>
        <w:ind w:firstLine="420"/>
        <w:jc w:val="left"/>
      </w:pPr>
      <w:r>
        <w:rPr>
          <w:rFonts w:ascii="仿宋_GB2312" w:hAnsi="仿宋_GB2312" w:cs="仿宋_GB2312" w:eastAsia="仿宋_GB2312"/>
          <w:sz w:val="21"/>
        </w:rPr>
        <w:t>（六）供应商之间商定部分供应商放弃参加政府采购活动或者放弃中标、成交；</w:t>
      </w:r>
    </w:p>
    <w:p>
      <w:pPr>
        <w:pStyle w:val="null3"/>
        <w:ind w:firstLine="420"/>
        <w:jc w:val="left"/>
      </w:pPr>
      <w:r>
        <w:rPr>
          <w:rFonts w:ascii="仿宋_GB2312" w:hAnsi="仿宋_GB2312" w:cs="仿宋_GB2312" w:eastAsia="仿宋_GB2312"/>
          <w:sz w:val="21"/>
        </w:rPr>
        <w:t>（七）供应商与采购人或者采购代理机构之间、供应商相互之间，为谋求特定供应商中标、成交或者排斥其他供应商的其他串通行为。</w:t>
      </w:r>
    </w:p>
    <w:p>
      <w:pPr>
        <w:pStyle w:val="null3"/>
        <w:ind w:firstLine="420"/>
        <w:jc w:val="left"/>
      </w:pPr>
      <w:r>
        <w:rPr>
          <w:rFonts w:ascii="仿宋_GB2312" w:hAnsi="仿宋_GB2312" w:cs="仿宋_GB2312" w:eastAsia="仿宋_GB2312"/>
          <w:sz w:val="21"/>
        </w:rPr>
        <w:t>3、《政府采购货物和服务招标投标管理办法》（财政部令第87号）第三十七条：有下列情形之一的，视为投标人串通投标，其投标无效：</w:t>
      </w:r>
    </w:p>
    <w:p>
      <w:pPr>
        <w:pStyle w:val="null3"/>
        <w:ind w:firstLine="420"/>
        <w:jc w:val="left"/>
      </w:pPr>
      <w:r>
        <w:rPr>
          <w:rFonts w:ascii="仿宋_GB2312" w:hAnsi="仿宋_GB2312" w:cs="仿宋_GB2312" w:eastAsia="仿宋_GB2312"/>
          <w:sz w:val="21"/>
        </w:rPr>
        <w:t>（一）不同投标人的投标文件由同一单位或者个人编制；</w:t>
      </w:r>
    </w:p>
    <w:p>
      <w:pPr>
        <w:pStyle w:val="null3"/>
        <w:ind w:firstLine="420"/>
        <w:jc w:val="left"/>
      </w:pPr>
      <w:r>
        <w:rPr>
          <w:rFonts w:ascii="仿宋_GB2312" w:hAnsi="仿宋_GB2312" w:cs="仿宋_GB2312" w:eastAsia="仿宋_GB2312"/>
          <w:sz w:val="21"/>
        </w:rPr>
        <w:t>（二）不同投标人委托同一单位或者个人办理投标事宜；</w:t>
      </w:r>
    </w:p>
    <w:p>
      <w:pPr>
        <w:pStyle w:val="null3"/>
        <w:ind w:firstLine="420"/>
        <w:jc w:val="left"/>
      </w:pPr>
      <w:r>
        <w:rPr>
          <w:rFonts w:ascii="仿宋_GB2312" w:hAnsi="仿宋_GB2312" w:cs="仿宋_GB2312" w:eastAsia="仿宋_GB2312"/>
          <w:sz w:val="21"/>
        </w:rPr>
        <w:t>（三）不同投标人的投标文件载明的项目管理成员或者联系人员为同一人；</w:t>
      </w:r>
    </w:p>
    <w:p>
      <w:pPr>
        <w:pStyle w:val="null3"/>
        <w:ind w:firstLine="420"/>
        <w:jc w:val="left"/>
      </w:pPr>
      <w:r>
        <w:rPr>
          <w:rFonts w:ascii="仿宋_GB2312" w:hAnsi="仿宋_GB2312" w:cs="仿宋_GB2312" w:eastAsia="仿宋_GB2312"/>
          <w:sz w:val="21"/>
        </w:rPr>
        <w:t>（四）不同投标人的投标文件异常一致或者投标报价呈规律性差异；</w:t>
      </w:r>
    </w:p>
    <w:p>
      <w:pPr>
        <w:pStyle w:val="null3"/>
        <w:ind w:firstLine="420"/>
        <w:jc w:val="left"/>
      </w:pPr>
      <w:r>
        <w:rPr>
          <w:rFonts w:ascii="仿宋_GB2312" w:hAnsi="仿宋_GB2312" w:cs="仿宋_GB2312" w:eastAsia="仿宋_GB2312"/>
          <w:sz w:val="21"/>
        </w:rPr>
        <w:t>（五）不同投标人的投标文件相互混装；</w:t>
      </w:r>
    </w:p>
    <w:p>
      <w:pPr>
        <w:pStyle w:val="null3"/>
        <w:ind w:firstLine="420"/>
        <w:jc w:val="left"/>
      </w:pPr>
      <w:r>
        <w:rPr>
          <w:rFonts w:ascii="仿宋_GB2312" w:hAnsi="仿宋_GB2312" w:cs="仿宋_GB2312" w:eastAsia="仿宋_GB2312"/>
          <w:sz w:val="21"/>
        </w:rPr>
        <w:t>（六）不同投标人的投标保证金从同一单位或者个人的账户转出。</w:t>
      </w:r>
    </w:p>
    <w:p>
      <w:pPr>
        <w:pStyle w:val="null3"/>
        <w:ind w:firstLine="420"/>
        <w:jc w:val="left"/>
      </w:pPr>
      <w:r>
        <w:rPr>
          <w:rFonts w:ascii="仿宋_GB2312" w:hAnsi="仿宋_GB2312" w:cs="仿宋_GB2312" w:eastAsia="仿宋_GB2312"/>
          <w:sz w:val="21"/>
        </w:rPr>
        <w:t>4、《福建省财政厅关于电子化政府采购项目中视为串标情形认定与处理的指导意见》（闽财购〔2018〕30号）</w:t>
      </w:r>
    </w:p>
    <w:p>
      <w:pPr>
        <w:pStyle w:val="null3"/>
        <w:ind w:firstLine="420"/>
        <w:jc w:val="left"/>
      </w:pPr>
      <w:r>
        <w:rPr>
          <w:rFonts w:ascii="仿宋_GB2312" w:hAnsi="仿宋_GB2312" w:cs="仿宋_GB2312" w:eastAsia="仿宋_GB2312"/>
          <w:sz w:val="21"/>
        </w:rPr>
        <w:t>一、电子化招标项目视为串通情形的认定</w:t>
      </w:r>
    </w:p>
    <w:p>
      <w:pPr>
        <w:pStyle w:val="null3"/>
        <w:ind w:firstLine="420"/>
        <w:jc w:val="left"/>
      </w:pPr>
      <w:r>
        <w:rPr>
          <w:rFonts w:ascii="仿宋_GB2312" w:hAnsi="仿宋_GB2312" w:cs="仿宋_GB2312" w:eastAsia="仿宋_GB2312"/>
          <w:sz w:val="21"/>
        </w:rPr>
        <w:t>（一）保证金验核阶段</w:t>
      </w:r>
    </w:p>
    <w:p>
      <w:pPr>
        <w:pStyle w:val="null3"/>
        <w:ind w:firstLine="420"/>
        <w:jc w:val="left"/>
      </w:pPr>
      <w:r>
        <w:rPr>
          <w:rFonts w:ascii="仿宋_GB2312" w:hAnsi="仿宋_GB2312" w:cs="仿宋_GB2312" w:eastAsia="仿宋_GB2312"/>
          <w:sz w:val="21"/>
        </w:rPr>
        <w:t>不同投标人的投标保证金转出账户的银行账户名称相同的，属于《政府采购货物和服务招标投标管理办法》（财政部令第</w:t>
      </w:r>
      <w:r>
        <w:rPr>
          <w:rFonts w:ascii="仿宋_GB2312" w:hAnsi="仿宋_GB2312" w:cs="仿宋_GB2312" w:eastAsia="仿宋_GB2312"/>
          <w:sz w:val="21"/>
        </w:rPr>
        <w:t>87号）第三十七条第（六）项“不同投标人的投标保证金从同一单位或者个人的账户转出”的情形。</w:t>
      </w:r>
    </w:p>
    <w:p>
      <w:pPr>
        <w:pStyle w:val="null3"/>
        <w:ind w:firstLine="420"/>
        <w:jc w:val="left"/>
      </w:pPr>
      <w:r>
        <w:rPr>
          <w:rFonts w:ascii="仿宋_GB2312" w:hAnsi="仿宋_GB2312" w:cs="仿宋_GB2312" w:eastAsia="仿宋_GB2312"/>
          <w:sz w:val="21"/>
        </w:rPr>
        <w:t>（二）电子响应文件解密阶段</w:t>
      </w:r>
    </w:p>
    <w:p>
      <w:pPr>
        <w:pStyle w:val="null3"/>
        <w:ind w:firstLine="420"/>
        <w:jc w:val="left"/>
      </w:pPr>
      <w:r>
        <w:rPr>
          <w:rFonts w:ascii="仿宋_GB2312" w:hAnsi="仿宋_GB2312" w:cs="仿宋_GB2312" w:eastAsia="仿宋_GB2312"/>
          <w:sz w:val="21"/>
        </w:rPr>
        <w:t>电子响应文件的个性特征与本采购项目的其他响应人存在雷同的，按照以下方式进行认定：</w:t>
      </w:r>
    </w:p>
    <w:p>
      <w:pPr>
        <w:pStyle w:val="null3"/>
        <w:ind w:firstLine="420"/>
        <w:jc w:val="left"/>
      </w:pPr>
      <w:r>
        <w:rPr>
          <w:rFonts w:ascii="仿宋_GB2312" w:hAnsi="仿宋_GB2312" w:cs="仿宋_GB2312" w:eastAsia="仿宋_GB2312"/>
          <w:sz w:val="21"/>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null3"/>
        <w:ind w:firstLine="420"/>
        <w:jc w:val="left"/>
      </w:pPr>
      <w:r>
        <w:rPr>
          <w:rFonts w:ascii="仿宋_GB2312" w:hAnsi="仿宋_GB2312" w:cs="仿宋_GB2312" w:eastAsia="仿宋_GB2312"/>
          <w:sz w:val="21"/>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null3"/>
        <w:ind w:firstLine="420"/>
        <w:jc w:val="left"/>
      </w:pPr>
      <w:r>
        <w:rPr>
          <w:rFonts w:ascii="仿宋_GB2312" w:hAnsi="仿宋_GB2312" w:cs="仿宋_GB2312" w:eastAsia="仿宋_GB2312"/>
          <w:sz w:val="21"/>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null3"/>
        <w:ind w:firstLine="420"/>
        <w:jc w:val="left"/>
      </w:pPr>
      <w:r>
        <w:rPr>
          <w:rFonts w:ascii="仿宋_GB2312" w:hAnsi="仿宋_GB2312" w:cs="仿宋_GB2312" w:eastAsia="仿宋_GB2312"/>
          <w:sz w:val="21"/>
        </w:rPr>
        <w:t>二、电子化非招标项目视为串通情形的认定</w:t>
      </w:r>
    </w:p>
    <w:p>
      <w:pPr>
        <w:pStyle w:val="null3"/>
        <w:ind w:firstLine="420"/>
        <w:jc w:val="left"/>
      </w:pPr>
      <w:r>
        <w:rPr>
          <w:rFonts w:ascii="仿宋_GB2312" w:hAnsi="仿宋_GB2312" w:cs="仿宋_GB2312" w:eastAsia="仿宋_GB2312"/>
          <w:sz w:val="21"/>
        </w:rPr>
        <w:t>电子化非招标项目（包括竞争性谈判、竞争性磋商、询价）中出现本意见第一点所列情形的，属于《中华人民共和国政府采购法实施条例》第七十四条第（七）项</w:t>
      </w:r>
      <w:r>
        <w:rPr>
          <w:rFonts w:ascii="仿宋_GB2312" w:hAnsi="仿宋_GB2312" w:cs="仿宋_GB2312" w:eastAsia="仿宋_GB2312"/>
          <w:sz w:val="21"/>
        </w:rPr>
        <w:t>“供 应商与采购人或者采购代 理机构之间、供 应商相互之间，为谋求特定供 应商中标、成交或者排斥其他供 应商的其他串通行为”。</w:t>
      </w:r>
    </w:p>
    <w:p>
      <w:pPr>
        <w:pStyle w:val="null3"/>
        <w:ind w:firstLine="420"/>
        <w:jc w:val="left"/>
      </w:pPr>
      <w:r>
        <w:rPr>
          <w:rFonts w:ascii="仿宋_GB2312" w:hAnsi="仿宋_GB2312" w:cs="仿宋_GB2312" w:eastAsia="仿宋_GB2312"/>
          <w:sz w:val="21"/>
        </w:rPr>
        <w:t>评标委员会在评标过程中发现投标人存在下列情形之一的，可认定其有串通投标行为，并做出其投标无效的决定：</w:t>
      </w:r>
    </w:p>
    <w:p>
      <w:pPr>
        <w:pStyle w:val="null3"/>
        <w:ind w:firstLine="420"/>
        <w:jc w:val="left"/>
      </w:pPr>
      <w:r>
        <w:rPr>
          <w:rFonts w:ascii="仿宋_GB2312" w:hAnsi="仿宋_GB2312" w:cs="仿宋_GB2312" w:eastAsia="仿宋_GB2312"/>
          <w:sz w:val="21"/>
        </w:rPr>
        <w:t>（一）不同投标人的投标文件错、漏之处一致或雷同，且不能合理解释的；</w:t>
      </w:r>
    </w:p>
    <w:p>
      <w:pPr>
        <w:pStyle w:val="null3"/>
        <w:ind w:firstLine="420"/>
        <w:jc w:val="left"/>
      </w:pPr>
      <w:r>
        <w:rPr>
          <w:rFonts w:ascii="仿宋_GB2312" w:hAnsi="仿宋_GB2312" w:cs="仿宋_GB2312" w:eastAsia="仿宋_GB2312"/>
          <w:sz w:val="21"/>
        </w:rPr>
        <w:t>（二）不同的投标人的法定代表人、委托代理人等由同一个单位缴纳社会保险的；</w:t>
      </w:r>
    </w:p>
    <w:p>
      <w:pPr>
        <w:pStyle w:val="null3"/>
        <w:ind w:firstLine="420"/>
        <w:jc w:val="left"/>
      </w:pPr>
      <w:r>
        <w:rPr>
          <w:rFonts w:ascii="仿宋_GB2312" w:hAnsi="仿宋_GB2312" w:cs="仿宋_GB2312" w:eastAsia="仿宋_GB2312"/>
          <w:sz w:val="21"/>
        </w:rPr>
        <w:t>（三）由同一人或分别由几个有利害关系人携带两个以上（含两个）投标人的企业资料参与资格审查、领取招标资料，或代表两个以上（含两个）投标人参加招标答疑会、交纳或退还投标保证金、开标的；</w:t>
      </w:r>
    </w:p>
    <w:p>
      <w:pPr>
        <w:pStyle w:val="null3"/>
        <w:ind w:firstLine="420"/>
        <w:jc w:val="left"/>
      </w:pPr>
      <w:r>
        <w:rPr>
          <w:rFonts w:ascii="仿宋_GB2312" w:hAnsi="仿宋_GB2312" w:cs="仿宋_GB2312" w:eastAsia="仿宋_GB2312"/>
          <w:sz w:val="21"/>
        </w:rPr>
        <w:t>（四）有关法律、法规或规章规定的其他串通投标行为。</w:t>
      </w:r>
    </w:p>
    <w:p>
      <w:pPr>
        <w:pStyle w:val="null3"/>
        <w:ind w:firstLine="420"/>
        <w:jc w:val="left"/>
      </w:pPr>
      <w:r>
        <w:rPr>
          <w:rFonts w:ascii="仿宋_GB2312" w:hAnsi="仿宋_GB2312" w:cs="仿宋_GB2312" w:eastAsia="仿宋_GB2312"/>
          <w:sz w:val="21"/>
          <w:b/>
        </w:rPr>
        <w:t>二、后果</w:t>
      </w:r>
    </w:p>
    <w:p>
      <w:pPr>
        <w:pStyle w:val="null3"/>
        <w:ind w:firstLine="420"/>
        <w:jc w:val="left"/>
      </w:pPr>
      <w:r>
        <w:rPr>
          <w:rFonts w:ascii="仿宋_GB2312" w:hAnsi="仿宋_GB2312" w:cs="仿宋_GB2312" w:eastAsia="仿宋_GB2312"/>
          <w:sz w:val="21"/>
        </w:rPr>
        <w:t>1、《政府采购法》第七十七条：供 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ind w:firstLine="420"/>
        <w:jc w:val="left"/>
      </w:pPr>
      <w:r>
        <w:rPr>
          <w:rFonts w:ascii="仿宋_GB2312" w:hAnsi="仿宋_GB2312" w:cs="仿宋_GB2312" w:eastAsia="仿宋_GB2312"/>
          <w:sz w:val="21"/>
        </w:rPr>
        <w:t>（三）与采购人、其他供应商或者采购代理机构恶意串通的；</w:t>
      </w:r>
    </w:p>
    <w:p>
      <w:pPr>
        <w:pStyle w:val="null3"/>
        <w:ind w:firstLine="420"/>
        <w:jc w:val="left"/>
      </w:pPr>
      <w:r>
        <w:rPr>
          <w:rFonts w:ascii="仿宋_GB2312" w:hAnsi="仿宋_GB2312" w:cs="仿宋_GB2312" w:eastAsia="仿宋_GB2312"/>
          <w:sz w:val="21"/>
        </w:rPr>
        <w:t>供应商有前款第（一）至（五）项情形之一的，中标、成交无效。</w:t>
      </w:r>
    </w:p>
    <w:p>
      <w:pPr>
        <w:pStyle w:val="null3"/>
        <w:ind w:firstLine="420"/>
        <w:jc w:val="left"/>
      </w:pPr>
      <w:r>
        <w:rPr>
          <w:rFonts w:ascii="仿宋_GB2312" w:hAnsi="仿宋_GB2312" w:cs="仿宋_GB2312" w:eastAsia="仿宋_GB2312"/>
          <w:sz w:val="21"/>
        </w:rPr>
        <w:t>2、《福建省财政厅关于电子化政府采购项目中视为串标情形认定与处理的指导意见》（闽财购〔2018〕30号）</w:t>
      </w:r>
    </w:p>
    <w:p>
      <w:pPr>
        <w:pStyle w:val="null3"/>
        <w:ind w:firstLine="420"/>
        <w:jc w:val="left"/>
      </w:pPr>
      <w:r>
        <w:rPr>
          <w:rFonts w:ascii="仿宋_GB2312" w:hAnsi="仿宋_GB2312" w:cs="仿宋_GB2312" w:eastAsia="仿宋_GB2312"/>
          <w:sz w:val="21"/>
        </w:rPr>
        <w:t>在开标过程中，发现投标（响应）人有上述情形的，采购人、采购代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p>
      <w:pPr>
        <w:pStyle w:val="null3"/>
        <w:ind w:firstLine="420"/>
        <w:jc w:val="left"/>
      </w:pPr>
      <w:r>
        <w:rPr>
          <w:rFonts w:ascii="仿宋_GB2312" w:hAnsi="仿宋_GB2312" w:cs="仿宋_GB2312" w:eastAsia="仿宋_GB2312"/>
          <w:sz w:val="21"/>
          <w:b/>
        </w:rPr>
        <w:t>三、虚假应标风险提示</w:t>
      </w:r>
    </w:p>
    <w:p>
      <w:pPr>
        <w:pStyle w:val="null3"/>
        <w:ind w:firstLine="480"/>
        <w:jc w:val="left"/>
      </w:pPr>
      <w:r>
        <w:rPr>
          <w:rFonts w:ascii="仿宋_GB2312" w:hAnsi="仿宋_GB2312" w:cs="仿宋_GB2312" w:eastAsia="仿宋_GB2312"/>
          <w:sz w:val="21"/>
        </w:rPr>
        <w:t>政府采购法第七十七条规定：</w:t>
      </w:r>
      <w:r>
        <w:rPr>
          <w:rFonts w:ascii="仿宋_GB2312" w:hAnsi="仿宋_GB2312" w:cs="仿宋_GB2312" w:eastAsia="仿宋_GB2312"/>
          <w:sz w:val="21"/>
        </w:rPr>
        <w:t>“供 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对“提供虚假材料谋取中标的违法行为”的执法力度。相关行政处罚案件，供 应商可登陆中国政府采购网的“政府采购严重违法失信行为记录名单”查询，望引以为戒。</w:t>
      </w:r>
    </w:p>
    <w:p>
      <w:pPr>
        <w:pStyle w:val="null3"/>
        <w:ind w:firstLine="480"/>
        <w:jc w:val="left"/>
      </w:pPr>
      <w:r>
        <w:rPr>
          <w:rFonts w:ascii="仿宋_GB2312" w:hAnsi="仿宋_GB2312" w:cs="仿宋_GB2312" w:eastAsia="仿宋_GB2312"/>
        </w:rPr>
        <w:t>13.4、</w:t>
      </w:r>
      <w:r>
        <w:rPr>
          <w:rFonts w:ascii="仿宋_GB2312" w:hAnsi="仿宋_GB2312" w:cs="仿宋_GB2312" w:eastAsia="仿宋_GB2312"/>
          <w:sz w:val="24"/>
          <w:b/>
        </w:rPr>
        <w:t>中小企业声明函</w:t>
      </w:r>
    </w:p>
    <w:p>
      <w:pPr>
        <w:pStyle w:val="null3"/>
        <w:spacing w:before="75" w:after="75"/>
        <w:ind w:firstLine="320"/>
        <w:jc w:val="center"/>
      </w:pPr>
      <w:r>
        <w:rPr>
          <w:rFonts w:ascii="仿宋_GB2312" w:hAnsi="仿宋_GB2312" w:cs="仿宋_GB2312" w:eastAsia="仿宋_GB2312"/>
          <w:sz w:val="24"/>
          <w:b/>
        </w:rPr>
        <w:t>中小企业声明函（工程、服务）</w:t>
      </w:r>
    </w:p>
    <w:p>
      <w:pPr>
        <w:pStyle w:val="null3"/>
        <w:spacing w:before="75" w:after="75"/>
        <w:ind w:firstLine="320"/>
      </w:pPr>
      <w:r>
        <w:rPr>
          <w:rFonts w:ascii="仿宋_GB2312" w:hAnsi="仿宋_GB2312" w:cs="仿宋_GB2312" w:eastAsia="仿宋_GB2312"/>
          <w:sz w:val="24"/>
        </w:rPr>
        <w:t>本公司（联合体）郑重声明，根据《政府采购促进中小企业发展管理办法》（财库﹝</w:t>
      </w:r>
      <w:r>
        <w:rPr>
          <w:rFonts w:ascii="仿宋_GB2312" w:hAnsi="仿宋_GB2312" w:cs="仿宋_GB2312" w:eastAsia="仿宋_GB2312"/>
          <w:sz w:val="24"/>
        </w:rPr>
        <w:t>2020﹞46号）的规定，本公司参加</w:t>
      </w:r>
      <w:r>
        <w:rPr>
          <w:rFonts w:ascii="仿宋_GB2312" w:hAnsi="仿宋_GB2312" w:cs="仿宋_GB2312" w:eastAsia="仿宋_GB2312"/>
          <w:sz w:val="24"/>
          <w:u w:val="single"/>
        </w:rPr>
        <w:t>厦门市机关事务管理局</w:t>
      </w:r>
      <w:r>
        <w:rPr>
          <w:rFonts w:ascii="仿宋_GB2312" w:hAnsi="仿宋_GB2312" w:cs="仿宋_GB2312" w:eastAsia="仿宋_GB2312"/>
          <w:sz w:val="24"/>
        </w:rPr>
        <w:t>的</w:t>
      </w:r>
      <w:r>
        <w:rPr>
          <w:rFonts w:ascii="仿宋_GB2312" w:hAnsi="仿宋_GB2312" w:cs="仿宋_GB2312" w:eastAsia="仿宋_GB2312"/>
          <w:sz w:val="24"/>
          <w:u w:val="single"/>
        </w:rPr>
        <w:t>（</w:t>
      </w:r>
      <w:r>
        <w:rPr>
          <w:rFonts w:ascii="仿宋_GB2312" w:hAnsi="仿宋_GB2312" w:cs="仿宋_GB2312" w:eastAsia="仿宋_GB2312"/>
          <w:sz w:val="24"/>
          <w:u w:val="single"/>
        </w:rPr>
        <w:t>厦门市行政中心西楼及人民会堂会务保障</w:t>
      </w:r>
      <w:r>
        <w:rPr>
          <w:rFonts w:ascii="仿宋_GB2312" w:hAnsi="仿宋_GB2312" w:cs="仿宋_GB2312" w:eastAsia="仿宋_GB2312"/>
          <w:sz w:val="24"/>
          <w:u w:val="single"/>
        </w:rPr>
        <w:t>）</w:t>
      </w:r>
      <w:r>
        <w:rPr>
          <w:rFonts w:ascii="仿宋_GB2312" w:hAnsi="仿宋_GB2312" w:cs="仿宋_GB2312" w:eastAsia="仿宋_GB2312"/>
          <w:sz w:val="24"/>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spacing w:before="75" w:after="75"/>
        <w:ind w:firstLine="320"/>
      </w:pPr>
      <w:r>
        <w:rPr>
          <w:rFonts w:ascii="仿宋_GB2312" w:hAnsi="仿宋_GB2312" w:cs="仿宋_GB2312" w:eastAsia="仿宋_GB2312"/>
          <w:sz w:val="24"/>
        </w:rPr>
        <w:t xml:space="preserve">    </w:t>
      </w:r>
      <w:r>
        <w:rPr>
          <w:rFonts w:ascii="仿宋_GB2312" w:hAnsi="仿宋_GB2312" w:cs="仿宋_GB2312" w:eastAsia="仿宋_GB2312"/>
          <w:sz w:val="24"/>
        </w:rPr>
        <w:t>1.（</w:t>
      </w:r>
      <w:r>
        <w:rPr>
          <w:rFonts w:ascii="仿宋_GB2312" w:hAnsi="仿宋_GB2312" w:cs="仿宋_GB2312" w:eastAsia="仿宋_GB2312"/>
          <w:sz w:val="24"/>
          <w:u w:val="single"/>
        </w:rPr>
        <w:t>厦门市行政中心西楼及人民会堂会务保障</w:t>
      </w:r>
      <w:r>
        <w:rPr>
          <w:rFonts w:ascii="仿宋_GB2312" w:hAnsi="仿宋_GB2312" w:cs="仿宋_GB2312" w:eastAsia="仿宋_GB2312"/>
          <w:sz w:val="24"/>
        </w:rPr>
        <w:t>），属</w:t>
      </w:r>
      <w:r>
        <w:rPr>
          <w:rFonts w:ascii="仿宋_GB2312" w:hAnsi="仿宋_GB2312" w:cs="仿宋_GB2312" w:eastAsia="仿宋_GB2312"/>
          <w:sz w:val="24"/>
          <w:u w:val="single"/>
        </w:rPr>
        <w:t>于其他未列明行业</w:t>
      </w:r>
      <w:r>
        <w:rPr>
          <w:rFonts w:ascii="仿宋_GB2312" w:hAnsi="仿宋_GB2312" w:cs="仿宋_GB2312" w:eastAsia="仿宋_GB2312"/>
          <w:sz w:val="24"/>
        </w:rPr>
        <w:t>；承接企业为</w:t>
      </w:r>
      <w:r>
        <w:rPr>
          <w:rFonts w:ascii="仿宋_GB2312" w:hAnsi="仿宋_GB2312" w:cs="仿宋_GB2312" w:eastAsia="仿宋_GB2312"/>
          <w:sz w:val="24"/>
          <w:u w:val="single"/>
        </w:rPr>
        <w:t>（企业名称）</w:t>
      </w:r>
      <w:r>
        <w:rPr>
          <w:rFonts w:ascii="仿宋_GB2312" w:hAnsi="仿宋_GB2312" w:cs="仿宋_GB2312" w:eastAsia="仿宋_GB2312"/>
          <w:sz w:val="24"/>
        </w:rPr>
        <w:t>，从业人员</w:t>
      </w:r>
      <w:r>
        <w:rPr>
          <w:rFonts w:ascii="仿宋_GB2312" w:hAnsi="仿宋_GB2312" w:cs="仿宋_GB2312" w:eastAsia="仿宋_GB2312"/>
          <w:u w:val="single"/>
        </w:rPr>
        <w:t xml:space="preserve">    </w:t>
      </w:r>
      <w:r>
        <w:rPr>
          <w:rFonts w:ascii="仿宋_GB2312" w:hAnsi="仿宋_GB2312" w:cs="仿宋_GB2312" w:eastAsia="仿宋_GB2312"/>
          <w:sz w:val="24"/>
        </w:rPr>
        <w:t>人，营业收入为</w:t>
      </w:r>
      <w:r>
        <w:rPr>
          <w:rFonts w:ascii="仿宋_GB2312" w:hAnsi="仿宋_GB2312" w:cs="仿宋_GB2312" w:eastAsia="仿宋_GB2312"/>
          <w:u w:val="single"/>
        </w:rPr>
        <w:t xml:space="preserve">     </w:t>
      </w:r>
      <w:r>
        <w:rPr>
          <w:rFonts w:ascii="仿宋_GB2312" w:hAnsi="仿宋_GB2312" w:cs="仿宋_GB2312" w:eastAsia="仿宋_GB2312"/>
          <w:sz w:val="24"/>
        </w:rPr>
        <w:t>万元，资产总额为</w:t>
      </w:r>
      <w:r>
        <w:rPr>
          <w:rFonts w:ascii="仿宋_GB2312" w:hAnsi="仿宋_GB2312" w:cs="仿宋_GB2312" w:eastAsia="仿宋_GB2312"/>
          <w:u w:val="single"/>
        </w:rPr>
        <w:t xml:space="preserve">     </w:t>
      </w:r>
      <w:r>
        <w:rPr>
          <w:rFonts w:ascii="仿宋_GB2312" w:hAnsi="仿宋_GB2312" w:cs="仿宋_GB2312" w:eastAsia="仿宋_GB2312"/>
          <w:sz w:val="24"/>
        </w:rPr>
        <w:t>万元，属于</w:t>
      </w:r>
      <w:r>
        <w:rPr>
          <w:rFonts w:ascii="仿宋_GB2312" w:hAnsi="仿宋_GB2312" w:cs="仿宋_GB2312" w:eastAsia="仿宋_GB2312"/>
          <w:sz w:val="24"/>
          <w:u w:val="single"/>
        </w:rPr>
        <w:t>（填写中型企业、小型企业、微型企业之一）</w:t>
      </w:r>
      <w:r>
        <w:rPr>
          <w:rFonts w:ascii="仿宋_GB2312" w:hAnsi="仿宋_GB2312" w:cs="仿宋_GB2312" w:eastAsia="仿宋_GB2312"/>
          <w:sz w:val="24"/>
        </w:rPr>
        <w:t>；</w:t>
      </w:r>
    </w:p>
    <w:p>
      <w:pPr>
        <w:pStyle w:val="null3"/>
        <w:spacing w:before="75" w:after="75"/>
        <w:ind w:firstLine="320"/>
      </w:pPr>
      <w:r>
        <w:rPr>
          <w:rFonts w:ascii="仿宋_GB2312" w:hAnsi="仿宋_GB2312" w:cs="仿宋_GB2312" w:eastAsia="仿宋_GB2312"/>
          <w:sz w:val="24"/>
        </w:rPr>
        <w:t>......</w:t>
      </w:r>
    </w:p>
    <w:p>
      <w:pPr>
        <w:pStyle w:val="null3"/>
        <w:spacing w:before="75" w:after="75"/>
        <w:ind w:firstLine="320"/>
      </w:pPr>
      <w:r>
        <w:rPr>
          <w:rFonts w:ascii="仿宋_GB2312" w:hAnsi="仿宋_GB2312" w:cs="仿宋_GB2312" w:eastAsia="仿宋_GB2312"/>
          <w:sz w:val="24"/>
        </w:rPr>
        <w:t>以上企业，不属于大企业的分支机构，不存在控股股东为大企业的情形，也不存在与大企业的负责人为同一人的情形。</w:t>
      </w:r>
    </w:p>
    <w:p>
      <w:pPr>
        <w:pStyle w:val="null3"/>
        <w:spacing w:before="75" w:after="75"/>
        <w:ind w:firstLine="320"/>
      </w:pPr>
      <w:r>
        <w:rPr>
          <w:rFonts w:ascii="仿宋_GB2312" w:hAnsi="仿宋_GB2312" w:cs="仿宋_GB2312" w:eastAsia="仿宋_GB2312"/>
          <w:sz w:val="24"/>
        </w:rPr>
        <w:t>本企业对上述声明内容的真实性负责。如有虚假，将依法承担相应责任。</w:t>
      </w:r>
    </w:p>
    <w:p>
      <w:pPr>
        <w:pStyle w:val="null3"/>
        <w:spacing w:before="75" w:after="75"/>
        <w:ind w:firstLine="320"/>
      </w:pPr>
      <w:r>
        <w:rPr>
          <w:rFonts w:ascii="仿宋_GB2312" w:hAnsi="仿宋_GB2312" w:cs="仿宋_GB2312" w:eastAsia="仿宋_GB2312"/>
          <w:sz w:val="24"/>
        </w:rPr>
        <w:t>企业名称（盖章）：</w:t>
      </w:r>
    </w:p>
    <w:p>
      <w:pPr>
        <w:pStyle w:val="null3"/>
        <w:spacing w:before="75" w:after="75"/>
        <w:ind w:firstLine="320"/>
      </w:pPr>
      <w:r>
        <w:rPr>
          <w:rFonts w:ascii="仿宋_GB2312" w:hAnsi="仿宋_GB2312" w:cs="仿宋_GB2312" w:eastAsia="仿宋_GB2312"/>
          <w:sz w:val="24"/>
        </w:rPr>
        <w:t>日期：</w:t>
      </w:r>
    </w:p>
    <w:p>
      <w:pPr>
        <w:pStyle w:val="null3"/>
        <w:spacing w:before="75" w:after="75"/>
        <w:ind w:firstLine="320"/>
      </w:pPr>
      <w:r>
        <w:rPr>
          <w:rFonts w:ascii="仿宋_GB2312" w:hAnsi="仿宋_GB2312" w:cs="仿宋_GB2312" w:eastAsia="仿宋_GB2312"/>
          <w:sz w:val="24"/>
        </w:rPr>
        <w:t>注：</w:t>
      </w:r>
    </w:p>
    <w:p>
      <w:pPr>
        <w:pStyle w:val="null3"/>
        <w:spacing w:before="75" w:after="75"/>
        <w:ind w:firstLine="320"/>
      </w:pPr>
      <w:r>
        <w:rPr>
          <w:rFonts w:ascii="仿宋_GB2312" w:hAnsi="仿宋_GB2312" w:cs="仿宋_GB2312" w:eastAsia="仿宋_GB2312"/>
          <w:sz w:val="24"/>
        </w:rPr>
        <w:t>1、行业划型标准详见：工信部联企业〔2011〕300号。</w:t>
      </w:r>
    </w:p>
    <w:p>
      <w:pPr>
        <w:pStyle w:val="null3"/>
        <w:spacing w:before="75" w:after="75"/>
        <w:ind w:firstLine="320"/>
      </w:pPr>
      <w:r>
        <w:rPr>
          <w:rFonts w:ascii="仿宋_GB2312" w:hAnsi="仿宋_GB2312" w:cs="仿宋_GB2312" w:eastAsia="仿宋_GB2312"/>
          <w:sz w:val="24"/>
        </w:rPr>
        <w:t>2、从业人员、营业收入、资产总额填报上一年度数据，无上一年度数据的新成立企业可不填报。</w:t>
      </w:r>
    </w:p>
    <w:p>
      <w:pPr>
        <w:pStyle w:val="null3"/>
        <w:spacing w:before="75" w:after="75"/>
        <w:ind w:firstLine="320"/>
      </w:pPr>
      <w:r>
        <w:rPr>
          <w:rFonts w:ascii="仿宋_GB2312" w:hAnsi="仿宋_GB2312" w:cs="仿宋_GB2312" w:eastAsia="仿宋_GB2312"/>
          <w:sz w:val="24"/>
        </w:rPr>
        <w:t>3、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spacing w:before="75" w:after="75"/>
        <w:ind w:firstLine="320"/>
      </w:pPr>
      <w:r>
        <w:rPr>
          <w:rFonts w:ascii="仿宋_GB2312" w:hAnsi="仿宋_GB2312" w:cs="仿宋_GB2312" w:eastAsia="仿宋_GB2312"/>
          <w:sz w:val="24"/>
        </w:rPr>
        <w:t>4、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ind w:firstLine="480"/>
        <w:jc w:val="left"/>
      </w:pPr>
      <w:r>
        <w:rPr>
          <w:rFonts w:ascii="仿宋_GB2312" w:hAnsi="仿宋_GB2312" w:cs="仿宋_GB2312" w:eastAsia="仿宋_GB2312"/>
          <w:sz w:val="21"/>
          <w:b/>
        </w:rPr>
        <w:t>若本采购文件其他章节描述的内容与上述条款要求不一致的，以上述条款要求为准。</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①供应商应在磋商截止时间前将CA证书送达厦门市行政服务中心4层信息发布大厅指定收标窗口并签到（具体收标窗口详 见信息屏显示），并按规定进行解密及签章，因供应商自身原因导致响应文件无法按时解密的，自行承担不利后果。本项目不 支持远程开标及报价，供应商授权代表须按要求送达CA并在现场配合等待进行二次报价。 ②根据采购文件的规定，磋商小组与资格审查和实质性响应审查均合格的各磋商响应供应商进行磋商。 ③参加磋商活动的供应商代表应当在规定的磋商地点等待，并根据磋商小组的要求和安排配合相应磋商工作直至结束。无故中途退场或者自身通讯中断无法联系或者其他原因离场等造成不能按照磋商小组要求参加磋商（含再次报价）的，均视同该供应商自动放弃相应权利并完全认可磋商小组在磋商活动中公布的各项数据、意见和结论，且该供应商将被退出本项目磋商，其提交的响应文件和报价将被否决。 ④参加磋商活动的供 应商代表应当自行携带可上网的笔记本电脑用于线上再次报价，具体流程详见福建省政府采购网——服务专区——操作指南——供应商操作指南（电子交易操作手册）。 ⑤在磋商过程中，如果磋商文件有实质性变动的，磋商小组将通知所有参加磋商的磋商响应供应商，以便使每个磋商响应供应商都有同等机会根据修改后的磋商条件提出新的的报价。 ⑥磋商响应供应商结合磋商小组的要求，根据本公司的实际情况，对响应文件进行相关说明、承诺等，并进行最后报价。 ⑦除非磋商标的有变动，否则，后一次报价不得高于前一次的报价。 ⑧磋商小组按采购文件规定的综合评分标准和方法对各磋商响应供应商的技术、商务及最终报价进行综合评审。</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[350201]HMGC[CS]2025001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厦门市行政中心西楼及人民会堂会务保障</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1(厦门市行政中心西楼及人民会堂会务保障)</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厦门市行政中心西楼及人民会堂会务保障</w:t>
            </w:r>
          </w:p>
        </w:tc>
        <w:tc>
          <w:tcPr>
            <w:tcW w:type="dxa" w:w="1661"/>
          </w:tcPr>
          <w:p>
            <w:pPr>
              <w:pStyle w:val="null3"/>
              <w:jc w:val="left"/>
            </w:pPr>
            <w:r>
              <w:rPr>
                <w:rFonts w:ascii="仿宋_GB2312" w:hAnsi="仿宋_GB2312" w:cs="仿宋_GB2312" w:eastAsia="仿宋_GB2312"/>
              </w:rPr>
              <w:t xml:space="preserve"> 9802600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 xml:space="preserve">     年     月     日</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[350201]HMGC[CS]2025001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厦门市行政中心西楼及人民会堂会务保障</w:t>
      </w:r>
    </w:p>
    <w:p>
      <w:pPr>
        <w:pStyle w:val="null3"/>
        <w:jc w:val="left"/>
      </w:pPr>
      <w:r>
        <w:rPr>
          <w:rFonts w:ascii="仿宋_GB2312" w:hAnsi="仿宋_GB2312" w:cs="仿宋_GB2312" w:eastAsia="仿宋_GB2312"/>
        </w:rPr>
        <w:t>采购包：</w:t>
      </w:r>
      <w:r>
        <w:rPr>
          <w:rFonts w:ascii="仿宋_GB2312" w:hAnsi="仿宋_GB2312" w:cs="仿宋_GB2312" w:eastAsia="仿宋_GB2312"/>
        </w:rPr>
        <w:t>厦门市行政中心西楼及人民会堂会务保障</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厦门市行政中心西楼及人民会堂会务保障</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厦门市行政中心西楼及人民会堂会务保障</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9802600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年</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