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海南自由贸易港人才服务“单一窗口”（二期）项目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GGP20241012.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海南省人力资源开发局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海南金政采项目管理有限公司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海南省人力资源开发局</w:t>
      </w:r>
      <w:r>
        <w:rPr>
          <w:rFonts w:ascii="仿宋_GB2312" w:hAnsi="仿宋_GB2312" w:cs="仿宋_GB2312" w:eastAsia="仿宋_GB2312"/>
        </w:rPr>
        <w:t xml:space="preserve"> 委托， </w:t>
      </w:r>
      <w:r>
        <w:rPr>
          <w:rFonts w:ascii="仿宋_GB2312" w:hAnsi="仿宋_GB2312" w:cs="仿宋_GB2312" w:eastAsia="仿宋_GB2312"/>
        </w:rPr>
        <w:t>海南金政采项目管理有限公司</w:t>
      </w:r>
      <w:r>
        <w:rPr>
          <w:rFonts w:ascii="仿宋_GB2312" w:hAnsi="仿宋_GB2312" w:cs="仿宋_GB2312" w:eastAsia="仿宋_GB2312"/>
        </w:rPr>
        <w:t xml:space="preserve"> 对 </w:t>
      </w:r>
      <w:r>
        <w:rPr>
          <w:rFonts w:ascii="仿宋_GB2312" w:hAnsi="仿宋_GB2312" w:cs="仿宋_GB2312" w:eastAsia="仿宋_GB2312"/>
        </w:rPr>
        <w:t>海南自由贸易港人才服务“单一窗口”（二期）项目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GGP20241012.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海南自由贸易港人才服务“单一窗口”（二期）项目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6,727,705.38元</w:t>
      </w:r>
      <w:r>
        <w:rPr>
          <w:rFonts w:ascii="仿宋_GB2312" w:hAnsi="仿宋_GB2312" w:cs="仿宋_GB2312" w:eastAsia="仿宋_GB2312"/>
        </w:rPr>
        <w:t>陆佰柒拾贰万柒仟柒佰零伍元叁角捌分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自签订合同之日起，至建设项目完成竣工验收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自签订合同之日起，至建设项目完成竣工验收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 2、有关本项目采购文件的补遗、澄清及变更信息以上述网站公告与下载为准，采购代理机构不再另行通知，采购文件与更正公告的内容相互矛盾时，以最后发出的更正公告内容为准。 3、供应商须在海南政府采购网(https://ccgphainan.gov.cn/maincms-web/)中的海南省政府采购智慧云平台进行注册并完善信息，然后下载参与投标项目电子招标文件（数据包）及其他文件 。4、注意事项：电子标采用全程电子化操作，供应商应详细阅读海南政府采购网的通知《海南省财政厅关于进一步推进政府采购全流程电子化的通知》，供应商使用交易系统遇到问题可致电技术支持：4001691288。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海南省人力资源开发局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海南省海口市美兰区和邦路3号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65344513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海南金政采项目管理有限公司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海南省海口市美兰区蓝天路西12号世纪港C1401房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0898-66756504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采购包1：6,456,197.97元</w:t>
            </w:r>
          </w:p>
          <w:p>
            <w:pPr>
              <w:pStyle w:val="null3"/>
              <w:jc w:val="left"/>
            </w:pPr>
            <w:r>
              <w:rPr>
                <w:rFonts w:ascii="仿宋_GB2312" w:hAnsi="仿宋_GB2312" w:cs="仿宋_GB2312" w:eastAsia="仿宋_GB2312"/>
              </w:rPr>
              <w:t>采购包2：146,154.69元</w:t>
            </w:r>
          </w:p>
          <w:p>
            <w:pPr>
              <w:pStyle w:val="null3"/>
              <w:jc w:val="left"/>
            </w:pPr>
            <w:r>
              <w:rPr>
                <w:rFonts w:ascii="仿宋_GB2312" w:hAnsi="仿宋_GB2312" w:cs="仿宋_GB2312" w:eastAsia="仿宋_GB2312"/>
              </w:rPr>
              <w:t>采购包3：125,352.72元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说明：1、中标人应在合同签订之前交纳招标文件规定数额的履约保证金。 2、如果中标人在规定的合同签订时间内，没有按照招标文件的规定交纳履约保证金，且又无正当理由的，将视为放弃中标，并上报财政主管部门。</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代理服务费收费标准：依据国家计委发改价格【2011】534号和琼价费管【2011】225号收费标准，由中标人在领取中标通知书前向招标代理机构交纳招标服务费，并一次性转入公司账户。 户 名：海南金政采项目管理有限公司 账 号： 110 1471093 6004 开 户 行： 平安银行海口海府支行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中标人在领取中标通知书时必须向招标代理机构递交与投标文件电子版内容一致的投标文件2份。</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联系人：洪先生</w:t>
      </w:r>
    </w:p>
    <w:p>
      <w:pPr>
        <w:pStyle w:val="null3"/>
        <w:jc w:val="left"/>
      </w:pPr>
      <w:r>
        <w:rPr>
          <w:rFonts w:ascii="仿宋_GB2312" w:hAnsi="仿宋_GB2312" w:cs="仿宋_GB2312" w:eastAsia="仿宋_GB2312"/>
        </w:rPr>
        <w:t>联系电话：详见第一章</w:t>
      </w:r>
    </w:p>
    <w:p>
      <w:pPr>
        <w:pStyle w:val="null3"/>
        <w:jc w:val="left"/>
      </w:pPr>
      <w:r>
        <w:rPr>
          <w:rFonts w:ascii="仿宋_GB2312" w:hAnsi="仿宋_GB2312" w:cs="仿宋_GB2312" w:eastAsia="仿宋_GB2312"/>
        </w:rPr>
        <w:t>地址：海南省海口市美兰区和邦路3号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根据</w:t>
      </w:r>
      <w:r>
        <w:rPr>
          <w:rFonts w:ascii="仿宋_GB2312" w:hAnsi="仿宋_GB2312" w:cs="仿宋_GB2312" w:eastAsia="仿宋_GB2312"/>
          <w:sz w:val="28"/>
        </w:rPr>
        <w:t>智慧海南总体方案（</w:t>
      </w:r>
      <w:r>
        <w:rPr>
          <w:rFonts w:ascii="仿宋_GB2312" w:hAnsi="仿宋_GB2312" w:cs="仿宋_GB2312" w:eastAsia="仿宋_GB2312"/>
          <w:sz w:val="28"/>
        </w:rPr>
        <w:t>2020-2025年）对政务服务智能化水平的要求，对标国际国内的先进水平，在人才服务单一窗口一期项目建设基础上，全面优化，打造支撑海南自由贸易港建设高尖端人才需求的优质高效、一体化、智能化的人才集成式服务平台。利用互联网技术，贯通各类人才服务，实现信息互通、资源共享，推动人才工作数字化、智能化、自动化，实现海南人才工作实现由点到面、由量到质、由松散到集成的新跨越。</w:t>
      </w:r>
    </w:p>
    <w:p>
      <w:pPr>
        <w:pStyle w:val="null3"/>
        <w:jc w:val="both"/>
      </w:pPr>
      <w:r>
        <w:rPr>
          <w:rFonts w:ascii="仿宋_GB2312" w:hAnsi="仿宋_GB2312" w:cs="仿宋_GB2312" w:eastAsia="仿宋_GB2312"/>
          <w:sz w:val="28"/>
        </w:rPr>
        <w:t>将现有人才服务系统各功能根据实际场景开展个性化强化改造，夯实系统支撑基础。并在此基础上开展对人才个税优惠服务、住房补贴、人才商保服务等高频业务系统的定制化开发，打造具海南自贸港特色的快捷好用的人才核心服务系统。开展人才服务拓展创新，对标国际国内的先进水平，打造全面响应海南自由贸易港建设高尖端人才需求的优质高效、一体化、智能化的人才集成式服务平台，形成独具自贸港特色的线上线下有机融合办理体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6,456,197.97</w:t>
      </w:r>
    </w:p>
    <w:p>
      <w:pPr>
        <w:pStyle w:val="null3"/>
        <w:jc w:val="left"/>
      </w:pPr>
      <w:r>
        <w:rPr>
          <w:rFonts w:ascii="仿宋_GB2312" w:hAnsi="仿宋_GB2312" w:cs="仿宋_GB2312" w:eastAsia="仿宋_GB2312"/>
        </w:rPr>
        <w:t>采购包最高限价（元）: 6,456,197.97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C16020300-软件集成实施服务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6,456,197.97</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146,154.69</w:t>
      </w:r>
    </w:p>
    <w:p>
      <w:pPr>
        <w:pStyle w:val="null3"/>
        <w:jc w:val="left"/>
      </w:pPr>
      <w:r>
        <w:rPr>
          <w:rFonts w:ascii="仿宋_GB2312" w:hAnsi="仿宋_GB2312" w:cs="仿宋_GB2312" w:eastAsia="仿宋_GB2312"/>
        </w:rPr>
        <w:t>采购包最高限价（元）: 146,154.69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C20020600-工程监理服务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146,154.69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125,352.72</w:t>
      </w:r>
    </w:p>
    <w:p>
      <w:pPr>
        <w:pStyle w:val="null3"/>
        <w:jc w:val="left"/>
      </w:pPr>
      <w:r>
        <w:rPr>
          <w:rFonts w:ascii="仿宋_GB2312" w:hAnsi="仿宋_GB2312" w:cs="仿宋_GB2312" w:eastAsia="仿宋_GB2312"/>
        </w:rPr>
        <w:t>采购包最高限价（元）: 125,352.72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125,352.72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C16020300-软件集成实施服务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6,456,197.97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C20020600-工程监理服务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146,154.69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125,352.72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标的名称：C16020300-软件集成实施服务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30"/>
              </w:rPr>
              <w:t>包</w:t>
            </w:r>
            <w:r>
              <w:rPr>
                <w:rFonts w:ascii="仿宋_GB2312" w:hAnsi="仿宋_GB2312" w:cs="仿宋_GB2312" w:eastAsia="仿宋_GB2312"/>
                <w:sz w:val="30"/>
              </w:rPr>
              <w:t>1</w:t>
            </w:r>
          </w:p>
          <w:p>
            <w:pPr>
              <w:pStyle w:val="null3"/>
              <w:ind w:firstLine="560"/>
              <w:jc w:val="both"/>
            </w:pPr>
            <w:r>
              <w:rPr>
                <w:rFonts w:ascii="仿宋_GB2312" w:hAnsi="仿宋_GB2312" w:cs="仿宋_GB2312" w:eastAsia="仿宋_GB2312"/>
                <w:sz w:val="28"/>
              </w:rPr>
              <w:t>本期项目旨在一期项目建设成果的基础上，利用信息互通与资源共享：</w:t>
            </w:r>
          </w:p>
          <w:p>
            <w:pPr>
              <w:pStyle w:val="null3"/>
              <w:ind w:firstLine="560"/>
              <w:jc w:val="both"/>
            </w:pPr>
            <w:r>
              <w:rPr>
                <w:rFonts w:ascii="仿宋_GB2312" w:hAnsi="仿宋_GB2312" w:cs="仿宋_GB2312" w:eastAsia="仿宋_GB2312"/>
                <w:sz w:val="28"/>
              </w:rPr>
              <w:t>一是推动当前人才业务实现从</w:t>
            </w:r>
            <w:r>
              <w:rPr>
                <w:rFonts w:ascii="仿宋_GB2312" w:hAnsi="仿宋_GB2312" w:cs="仿宋_GB2312" w:eastAsia="仿宋_GB2312"/>
                <w:sz w:val="28"/>
              </w:rPr>
              <w:t>“线上能办”到“线上好办”的跨越。以人才服务事项特点为抓手，改造原有传统线上办理模式，解决人才业务办理痛点，量身打造高频人才事项配套功能。</w:t>
            </w:r>
          </w:p>
          <w:p>
            <w:pPr>
              <w:pStyle w:val="null3"/>
              <w:ind w:firstLine="560"/>
              <w:jc w:val="both"/>
            </w:pPr>
            <w:r>
              <w:rPr>
                <w:rFonts w:ascii="仿宋_GB2312" w:hAnsi="仿宋_GB2312" w:cs="仿宋_GB2312" w:eastAsia="仿宋_GB2312"/>
                <w:sz w:val="28"/>
              </w:rPr>
              <w:t>二是实现高层次人才的数智化管理。针对人才办件数据存在的碎片化现象，以及事中事后监管过程中依赖人工管理的瓶颈，通过整合各类人才服务数据资源，构建领导视窗平台，以数字化、智能化的方式全面提升人才管理的效率和水平。实现海南人才工作实现由点到面、由量到质、由松散到集成的新跨越。</w:t>
            </w:r>
          </w:p>
          <w:p>
            <w:pPr>
              <w:pStyle w:val="null3"/>
              <w:numPr>
                <w:ilvl w:val="1"/>
                <w:numId w:val="2"/>
              </w:numPr>
              <w:jc w:val="left"/>
            </w:pPr>
            <w:r>
              <w:rPr>
                <w:rFonts w:ascii="仿宋_GB2312" w:hAnsi="仿宋_GB2312" w:cs="仿宋_GB2312" w:eastAsia="仿宋_GB2312"/>
                <w:sz w:val="28"/>
              </w:rPr>
              <w:t>功能要求</w:t>
            </w:r>
          </w:p>
          <w:p>
            <w:pPr>
              <w:pStyle w:val="null3"/>
              <w:jc w:val="left"/>
              <w:outlineLvl w:val="2"/>
            </w:pPr>
            <w:r>
              <w:rPr>
                <w:rFonts w:ascii="仿宋_GB2312" w:hAnsi="仿宋_GB2312" w:cs="仿宋_GB2312" w:eastAsia="仿宋_GB2312"/>
                <w:sz w:val="28"/>
                <w:b/>
              </w:rPr>
              <w:t>一、</w:t>
            </w:r>
            <w:r>
              <w:rPr>
                <w:rFonts w:ascii="仿宋_GB2312" w:hAnsi="仿宋_GB2312" w:cs="仿宋_GB2312" w:eastAsia="仿宋_GB2312"/>
                <w:sz w:val="28"/>
                <w:b/>
              </w:rPr>
              <w:t>人才服务系统能力跃迁</w:t>
            </w:r>
          </w:p>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人才服务专区改造升级</w:t>
            </w:r>
          </w:p>
          <w:p>
            <w:pPr>
              <w:pStyle w:val="null3"/>
              <w:ind w:firstLine="560"/>
              <w:jc w:val="both"/>
            </w:pPr>
            <w:r>
              <w:rPr>
                <w:rFonts w:ascii="仿宋_GB2312" w:hAnsi="仿宋_GB2312" w:cs="仿宋_GB2312" w:eastAsia="仿宋_GB2312"/>
                <w:sz w:val="28"/>
              </w:rPr>
              <w:t>高频业务结构化梳理。</w:t>
            </w:r>
            <w:r>
              <w:rPr>
                <w:rFonts w:ascii="仿宋_GB2312" w:hAnsi="仿宋_GB2312" w:cs="仿宋_GB2312" w:eastAsia="仿宋_GB2312"/>
                <w:sz w:val="28"/>
              </w:rPr>
              <w:t>梳理人才高频业务的表单与材料，对人才业务的</w:t>
            </w:r>
            <w:r>
              <w:rPr>
                <w:rFonts w:ascii="仿宋_GB2312" w:hAnsi="仿宋_GB2312" w:cs="仿宋_GB2312" w:eastAsia="仿宋_GB2312"/>
                <w:sz w:val="28"/>
              </w:rPr>
              <w:t>每个办事服务原始申请表单信息</w:t>
            </w:r>
            <w:r>
              <w:rPr>
                <w:rFonts w:ascii="仿宋_GB2312" w:hAnsi="仿宋_GB2312" w:cs="仿宋_GB2312" w:eastAsia="仿宋_GB2312"/>
                <w:sz w:val="28"/>
              </w:rPr>
              <w:t>与申请材料信息</w:t>
            </w:r>
            <w:r>
              <w:rPr>
                <w:rFonts w:ascii="仿宋_GB2312" w:hAnsi="仿宋_GB2312" w:cs="仿宋_GB2312" w:eastAsia="仿宋_GB2312"/>
                <w:sz w:val="28"/>
              </w:rPr>
              <w:t>进行融合梳理，去重合并、名称标准化后形成一</w:t>
            </w:r>
            <w:r>
              <w:rPr>
                <w:rFonts w:ascii="仿宋_GB2312" w:hAnsi="仿宋_GB2312" w:cs="仿宋_GB2312" w:eastAsia="仿宋_GB2312"/>
                <w:sz w:val="28"/>
              </w:rPr>
              <w:t>套人才表单字段与一套申报材料信息</w:t>
            </w:r>
            <w:r>
              <w:rPr>
                <w:rFonts w:ascii="仿宋_GB2312" w:hAnsi="仿宋_GB2312" w:cs="仿宋_GB2312" w:eastAsia="仿宋_GB2312"/>
                <w:sz w:val="28"/>
              </w:rPr>
              <w:t>。</w:t>
            </w:r>
            <w:r>
              <w:rPr>
                <w:rFonts w:ascii="仿宋_GB2312" w:hAnsi="仿宋_GB2312" w:cs="仿宋_GB2312" w:eastAsia="仿宋_GB2312"/>
                <w:sz w:val="28"/>
              </w:rPr>
              <w:t>将高频共性的字段信息与申报材料进行整合，对各事项个性化的信息与材料按业务进行分类。</w:t>
            </w:r>
          </w:p>
          <w:p>
            <w:pPr>
              <w:pStyle w:val="null3"/>
              <w:ind w:firstLine="560"/>
              <w:jc w:val="both"/>
            </w:pPr>
            <w:r>
              <w:rPr>
                <w:rFonts w:ascii="仿宋_GB2312" w:hAnsi="仿宋_GB2312" w:cs="仿宋_GB2312" w:eastAsia="仿宋_GB2312"/>
                <w:sz w:val="28"/>
              </w:rPr>
              <w:t>政务服务网人才服务专区升级改版。由于人才专题内容的不断扩展，为提升用户操作体验，对政务服务网人才服务专题功能设计、展示内容、界面效果进行整体提升设计，旨在体现海南自由贸易港建设风格，打造更加高级、好用、整体观感舒适的人才服务整体观感。</w:t>
            </w:r>
          </w:p>
          <w:p>
            <w:pPr>
              <w:pStyle w:val="null3"/>
              <w:ind w:firstLine="560"/>
              <w:jc w:val="both"/>
            </w:pPr>
            <w:r>
              <w:rPr>
                <w:rFonts w:ascii="仿宋_GB2312" w:hAnsi="仿宋_GB2312" w:cs="仿宋_GB2312" w:eastAsia="仿宋_GB2312"/>
                <w:sz w:val="28"/>
              </w:rPr>
              <w:t>专属空间身份校验。</w:t>
            </w:r>
            <w:r>
              <w:rPr>
                <w:rFonts w:ascii="仿宋_GB2312" w:hAnsi="仿宋_GB2312" w:cs="仿宋_GB2312" w:eastAsia="仿宋_GB2312"/>
                <w:sz w:val="28"/>
              </w:rPr>
              <w:t>在海南政务服务网人才专区中建设企业</w:t>
            </w:r>
            <w:r>
              <w:rPr>
                <w:rFonts w:ascii="仿宋_GB2312" w:hAnsi="仿宋_GB2312" w:cs="仿宋_GB2312" w:eastAsia="仿宋_GB2312"/>
                <w:sz w:val="28"/>
              </w:rPr>
              <w:t>/个人人才专属空间入口，系统对用户登录的账户类型（法人/个人账户）进行判断校验，自动生成企业/个人人才专属空间入口。当申请人进入人才专区时，即可一键点击“专属空间”按钮，进入定制化私人页面，对个人/企业信息、材料、证书等信息进行管理，并开发各类个性化功能。</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个人信息维护</w:t>
            </w:r>
          </w:p>
          <w:p>
            <w:pPr>
              <w:pStyle w:val="null3"/>
              <w:ind w:firstLine="480"/>
              <w:jc w:val="both"/>
            </w:pPr>
            <w:r>
              <w:rPr>
                <w:rFonts w:ascii="仿宋_GB2312" w:hAnsi="仿宋_GB2312" w:cs="仿宋_GB2312" w:eastAsia="仿宋_GB2312"/>
                <w:sz w:val="28"/>
              </w:rPr>
              <w:t>在个人人才专属空间中，系统根据统一身份认证信息自动带入身份证号码、姓名等基本信息，个人用户对工作信息、教育信息、技能信息等几大类信息进行维护，并在办理人才业务时对各类信息进行复用。</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企业关联绑定</w:t>
            </w:r>
          </w:p>
          <w:p>
            <w:pPr>
              <w:pStyle w:val="null3"/>
              <w:ind w:firstLine="480"/>
              <w:jc w:val="both"/>
            </w:pPr>
            <w:r>
              <w:rPr>
                <w:rFonts w:ascii="仿宋_GB2312" w:hAnsi="仿宋_GB2312" w:cs="仿宋_GB2312" w:eastAsia="仿宋_GB2312"/>
                <w:sz w:val="28"/>
              </w:rPr>
              <w:t>个人填报工作信息后，可申请与所在企业进行关联，系统自动识别个人填报的所在企业统一社会信用代码，将员工填报的信息回传至该相应的企业，企业就可对该员工信息进行查看并关联绑定。当员工离职时，点击企业解绑与企业解除关联绑定。</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亲属信息维护</w:t>
            </w:r>
          </w:p>
          <w:p>
            <w:pPr>
              <w:pStyle w:val="null3"/>
              <w:ind w:firstLine="480"/>
              <w:jc w:val="both"/>
            </w:pPr>
            <w:r>
              <w:rPr>
                <w:rFonts w:ascii="仿宋_GB2312" w:hAnsi="仿宋_GB2312" w:cs="仿宋_GB2312" w:eastAsia="仿宋_GB2312"/>
                <w:sz w:val="28"/>
              </w:rPr>
              <w:t>人才在亲属信息中维护子女、配偶的出生日期、婚姻状态等信息，并保存在个人专属空间中，系统可根据申请人填报的子女出生日期自动计算年龄是否满足入学时间，为人才提供子女入学、落户等服务推荐与政策消息推送。</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个人住房补贴申报专区</w:t>
            </w:r>
          </w:p>
          <w:p>
            <w:pPr>
              <w:pStyle w:val="null3"/>
              <w:ind w:firstLine="480"/>
              <w:jc w:val="both"/>
            </w:pPr>
            <w:r>
              <w:rPr>
                <w:rFonts w:ascii="仿宋_GB2312" w:hAnsi="仿宋_GB2312" w:cs="仿宋_GB2312" w:eastAsia="仿宋_GB2312"/>
                <w:sz w:val="28"/>
              </w:rPr>
              <w:t>针对当前海南自贸港高频住房补贴个性化申报业务，在个人专属空间打造住房补贴申报专区。在业务梳理的基础上，设置住房补贴需要填报的各项信息，包括补贴申领信息维护、租房信息维护、购房信息维护、社保缴纳信息维护等；并校验人才填报的社保缴纳信息，提高填报准确性。同时在该界面中提供个人住房补贴业务的查询，人才可查看本人已申请的住房补贴月数，用户可查询本人的补贴申请明细并导出。</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人才</w:t>
            </w:r>
            <w:r>
              <w:rPr>
                <w:rFonts w:ascii="仿宋_GB2312" w:hAnsi="仿宋_GB2312" w:cs="仿宋_GB2312" w:eastAsia="仿宋_GB2312"/>
                <w:sz w:val="28"/>
              </w:rPr>
              <w:t>“店小二”服务入口</w:t>
            </w:r>
          </w:p>
          <w:p>
            <w:pPr>
              <w:pStyle w:val="null3"/>
              <w:ind w:firstLine="480"/>
              <w:jc w:val="both"/>
            </w:pPr>
            <w:r>
              <w:rPr>
                <w:rFonts w:ascii="仿宋_GB2312" w:hAnsi="仿宋_GB2312" w:cs="仿宋_GB2312" w:eastAsia="仿宋_GB2312"/>
                <w:sz w:val="28"/>
              </w:rPr>
              <w:t>在人才个人专属空间开发人才</w:t>
            </w:r>
            <w:r>
              <w:rPr>
                <w:rFonts w:ascii="仿宋_GB2312" w:hAnsi="仿宋_GB2312" w:cs="仿宋_GB2312" w:eastAsia="仿宋_GB2312"/>
                <w:sz w:val="28"/>
              </w:rPr>
              <w:t>“店小二”服务专区入口，为人才展示可支持代办的人才服务。设计贴心、操作简单易懂的服务指引介绍界面，引导办事群众使用人才“店小二”代办服务。</w:t>
            </w:r>
          </w:p>
          <w:p>
            <w:pPr>
              <w:pStyle w:val="null3"/>
              <w:ind w:firstLine="48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个人电子书架</w:t>
            </w:r>
          </w:p>
          <w:p>
            <w:pPr>
              <w:pStyle w:val="null3"/>
              <w:ind w:firstLine="480"/>
              <w:jc w:val="both"/>
            </w:pPr>
            <w:r>
              <w:rPr>
                <w:rFonts w:ascii="仿宋_GB2312" w:hAnsi="仿宋_GB2312" w:cs="仿宋_GB2312" w:eastAsia="仿宋_GB2312"/>
                <w:sz w:val="28"/>
              </w:rPr>
              <w:t>打造人才私人电子书架，在业务精细化、结构化梳理成果的基础上，按照高频共性材料与各业务个性化材料进行区分，根据材料表编码设置相应的材料上传架位。在电子书架中设电子证照区，关联电子证照库，系统自动获取本人已有的人才证书信息、户口本等信息。同时设置自定义资料夹，人才可将各类不同形式、种类的相关资料上传至自定义架位以保存备用。本期项目中，主要针对人才认定与人才住房补贴两类业务设置单独的资料夹。</w:t>
            </w:r>
          </w:p>
          <w:p>
            <w:pPr>
              <w:pStyle w:val="null3"/>
              <w:ind w:firstLine="48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人才证书实时查询</w:t>
            </w:r>
          </w:p>
          <w:p>
            <w:pPr>
              <w:pStyle w:val="null3"/>
              <w:ind w:firstLine="480"/>
              <w:jc w:val="both"/>
            </w:pPr>
            <w:r>
              <w:rPr>
                <w:rFonts w:ascii="仿宋_GB2312" w:hAnsi="仿宋_GB2312" w:cs="仿宋_GB2312" w:eastAsia="仿宋_GB2312"/>
                <w:sz w:val="28"/>
              </w:rPr>
              <w:t>用户可在个人材料空间可同步查询个人已申领的英才卡的详细信息，包括英才卡申领状态、申领日期与有效期等实时状态。</w:t>
            </w:r>
          </w:p>
          <w:p>
            <w:pPr>
              <w:pStyle w:val="null3"/>
              <w:ind w:firstLine="480"/>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个税优惠查询申报通知</w:t>
            </w:r>
          </w:p>
          <w:p>
            <w:pPr>
              <w:pStyle w:val="null3"/>
              <w:ind w:firstLine="480"/>
              <w:jc w:val="both"/>
            </w:pPr>
            <w:r>
              <w:rPr>
                <w:rFonts w:ascii="仿宋_GB2312" w:hAnsi="仿宋_GB2312" w:cs="仿宋_GB2312" w:eastAsia="仿宋_GB2312"/>
                <w:sz w:val="28"/>
              </w:rPr>
              <w:t>根据政策申报窗口期，在专属空间中展示个税优惠查询申报业务通知，展示自贸港人才个税优惠申报入口，并提供申报指引提示，引导申请人完成个税优惠查询补报业务。</w:t>
            </w:r>
          </w:p>
          <w:p>
            <w:pPr>
              <w:pStyle w:val="null3"/>
              <w:ind w:firstLine="480"/>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待评价办件提示</w:t>
            </w:r>
          </w:p>
          <w:p>
            <w:pPr>
              <w:pStyle w:val="null3"/>
              <w:ind w:firstLine="480"/>
              <w:jc w:val="both"/>
            </w:pPr>
            <w:r>
              <w:rPr>
                <w:rFonts w:ascii="仿宋_GB2312" w:hAnsi="仿宋_GB2312" w:cs="仿宋_GB2312" w:eastAsia="仿宋_GB2312"/>
                <w:sz w:val="28"/>
              </w:rPr>
              <w:t>对接政务服务网好差评系统，为人才展示其名下所有人才业务待评价的办件数量与办件名称等基本信息，为申请人提供待评价办件数量提醒。设置办件评论入口，人才可点击跳转至好差评评价界面，通过该渠道对未评论的办件进行评价。</w:t>
            </w:r>
          </w:p>
          <w:p>
            <w:pPr>
              <w:pStyle w:val="null3"/>
              <w:ind w:firstLine="480"/>
              <w:jc w:val="both"/>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人才创新服务上线通知</w:t>
            </w:r>
          </w:p>
          <w:p>
            <w:pPr>
              <w:pStyle w:val="null3"/>
              <w:ind w:firstLine="480"/>
              <w:jc w:val="both"/>
            </w:pPr>
            <w:r>
              <w:rPr>
                <w:rFonts w:ascii="仿宋_GB2312" w:hAnsi="仿宋_GB2312" w:cs="仿宋_GB2312" w:eastAsia="仿宋_GB2312"/>
                <w:sz w:val="28"/>
              </w:rPr>
              <w:t>当人才</w:t>
            </w:r>
            <w:r>
              <w:rPr>
                <w:rFonts w:ascii="仿宋_GB2312" w:hAnsi="仿宋_GB2312" w:cs="仿宋_GB2312" w:eastAsia="仿宋_GB2312"/>
                <w:sz w:val="28"/>
              </w:rPr>
              <w:t>“店小二”等各类人才创新服务上线时，在个人专属空间中设置服务上线通知，为人才创新服务进行宣传，提供创新服务入口跳转或相关指引。</w:t>
            </w:r>
          </w:p>
          <w:p>
            <w:pPr>
              <w:pStyle w:val="null3"/>
              <w:ind w:firstLine="480"/>
              <w:jc w:val="both"/>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企业信息维护</w:t>
            </w:r>
          </w:p>
          <w:p>
            <w:pPr>
              <w:pStyle w:val="null3"/>
              <w:ind w:firstLine="480"/>
              <w:jc w:val="both"/>
            </w:pPr>
            <w:r>
              <w:rPr>
                <w:rFonts w:ascii="仿宋_GB2312" w:hAnsi="仿宋_GB2312" w:cs="仿宋_GB2312" w:eastAsia="仿宋_GB2312"/>
                <w:sz w:val="28"/>
              </w:rPr>
              <w:t>在企业专属空间中，用户可对单位性质、单位联系人、银行账号等与人才业务相关的企业信息进行完善与维护。系统根据统一身份认证信息自动带入单位类型、单位名称、统一社会信用代码等信息，减少用户手动填写。企业账号可在专属空间中维护如单位联系人、联系地址、开户行等字段信息、在办理人才业务时对信息进行复用。</w:t>
            </w:r>
          </w:p>
          <w:p>
            <w:pPr>
              <w:pStyle w:val="null3"/>
              <w:ind w:firstLine="480"/>
              <w:jc w:val="both"/>
            </w:pPr>
            <w:r>
              <w:rPr>
                <w:rFonts w:ascii="仿宋_GB2312" w:hAnsi="仿宋_GB2312" w:cs="仿宋_GB2312" w:eastAsia="仿宋_GB2312"/>
                <w:sz w:val="28"/>
              </w:rPr>
              <w:t>同时，为指引各用人单位的人力管理人员与经办人更好的使用企业专属空间，将专属空间中提供图文使用指引。为确保专属空间的指引信息实时更新，在后台管理中，开发相应的指引信息维护功能，部门人员以及运维人员可随时调整发布相应的指引图文，并查询与更正历史指引信息。</w:t>
            </w:r>
          </w:p>
          <w:p>
            <w:pPr>
              <w:pStyle w:val="null3"/>
              <w:ind w:firstLine="480"/>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企业员工管理</w:t>
            </w:r>
          </w:p>
          <w:p>
            <w:pPr>
              <w:pStyle w:val="null3"/>
              <w:ind w:firstLine="480"/>
              <w:jc w:val="both"/>
            </w:pPr>
            <w:r>
              <w:rPr>
                <w:rFonts w:ascii="仿宋_GB2312" w:hAnsi="仿宋_GB2312" w:cs="仿宋_GB2312" w:eastAsia="仿宋_GB2312"/>
                <w:sz w:val="28"/>
              </w:rPr>
              <w:t>在员工管理页面中，企业账号可通过姓名或者身份证号对已关联的员工进行查询定位，也可以点击查看详细的员工信息，对员工已填报的个人信息进行审查。并可关联、取消关联员工。</w:t>
            </w:r>
          </w:p>
          <w:p>
            <w:pPr>
              <w:pStyle w:val="null3"/>
              <w:ind w:firstLine="480"/>
              <w:jc w:val="both"/>
            </w:pPr>
            <w:r>
              <w:rPr>
                <w:rFonts w:ascii="仿宋_GB2312" w:hAnsi="仿宋_GB2312" w:cs="仿宋_GB2312" w:eastAsia="仿宋_GB2312"/>
                <w:sz w:val="28"/>
              </w:rPr>
              <w:t>13</w:t>
            </w:r>
            <w:r>
              <w:rPr>
                <w:rFonts w:ascii="仿宋_GB2312" w:hAnsi="仿宋_GB2312" w:cs="仿宋_GB2312" w:eastAsia="仿宋_GB2312"/>
                <w:sz w:val="28"/>
              </w:rPr>
              <w:t>)</w:t>
            </w:r>
            <w:r>
              <w:rPr>
                <w:rFonts w:ascii="仿宋_GB2312" w:hAnsi="仿宋_GB2312" w:cs="仿宋_GB2312" w:eastAsia="仿宋_GB2312"/>
                <w:sz w:val="28"/>
              </w:rPr>
              <w:t>企业电子书架</w:t>
            </w:r>
          </w:p>
          <w:p>
            <w:pPr>
              <w:pStyle w:val="null3"/>
              <w:ind w:firstLine="480"/>
              <w:jc w:val="both"/>
            </w:pPr>
            <w:r>
              <w:rPr>
                <w:rFonts w:ascii="仿宋_GB2312" w:hAnsi="仿宋_GB2312" w:cs="仿宋_GB2312" w:eastAsia="仿宋_GB2312"/>
                <w:sz w:val="28"/>
              </w:rPr>
              <w:t>打造企业电子书架，在业务精细化、结构化梳理成果的基础上，按照高频共性材料与各业务个性化材料进行区分，在电子书架中设电子证照区，关联电子证照库，系统自动获取企业营业执照等电子证照信息。同时设置自定义资料夹，企业经办人可将各类不同形式、种类的相关资料上传至自定义架位以保存备用。本期项目中，主要针对人才认定与人才住房补贴两类业务设置单独的资料夹。</w:t>
            </w:r>
          </w:p>
          <w:p>
            <w:pPr>
              <w:pStyle w:val="null3"/>
              <w:ind w:firstLine="480"/>
              <w:jc w:val="both"/>
            </w:pPr>
            <w:r>
              <w:rPr>
                <w:rFonts w:ascii="仿宋_GB2312" w:hAnsi="仿宋_GB2312" w:cs="仿宋_GB2312" w:eastAsia="仿宋_GB2312"/>
                <w:sz w:val="28"/>
              </w:rPr>
              <w:t>14</w:t>
            </w:r>
            <w:r>
              <w:rPr>
                <w:rFonts w:ascii="仿宋_GB2312" w:hAnsi="仿宋_GB2312" w:cs="仿宋_GB2312" w:eastAsia="仿宋_GB2312"/>
                <w:sz w:val="28"/>
              </w:rPr>
              <w:t>)</w:t>
            </w:r>
            <w:r>
              <w:rPr>
                <w:rFonts w:ascii="仿宋_GB2312" w:hAnsi="仿宋_GB2312" w:cs="仿宋_GB2312" w:eastAsia="仿宋_GB2312"/>
                <w:sz w:val="28"/>
              </w:rPr>
              <w:t>企业认定人才管理</w:t>
            </w:r>
          </w:p>
          <w:p>
            <w:pPr>
              <w:pStyle w:val="null3"/>
              <w:ind w:firstLine="480"/>
              <w:jc w:val="both"/>
            </w:pPr>
            <w:r>
              <w:rPr>
                <w:rFonts w:ascii="仿宋_GB2312" w:hAnsi="仿宋_GB2312" w:cs="仿宋_GB2312" w:eastAsia="仿宋_GB2312"/>
                <w:sz w:val="28"/>
              </w:rPr>
              <w:t>企业在专属空间中，可对已关联的企业员工数据与当前业务办理数据进行统计分析。包括人才证书状态预警、可视化图表生成、报表导出等管理功能。</w:t>
            </w:r>
          </w:p>
          <w:p>
            <w:pPr>
              <w:pStyle w:val="null3"/>
              <w:ind w:firstLine="480"/>
              <w:jc w:val="both"/>
            </w:pP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住房补贴管理</w:t>
            </w:r>
          </w:p>
          <w:p>
            <w:pPr>
              <w:pStyle w:val="null3"/>
              <w:ind w:firstLine="480"/>
              <w:jc w:val="both"/>
            </w:pPr>
            <w:r>
              <w:rPr>
                <w:rFonts w:ascii="仿宋_GB2312" w:hAnsi="仿宋_GB2312" w:cs="仿宋_GB2312" w:eastAsia="仿宋_GB2312"/>
                <w:sz w:val="28"/>
              </w:rPr>
              <w:t>针对当前海南自贸港热门高频住房补贴申报业务，在企业专属空间打造住房补贴管理专区。为企业统计住房补贴申报情况，预警补贴申领状态，并生成可视化图表。</w:t>
            </w:r>
          </w:p>
          <w:p>
            <w:pPr>
              <w:pStyle w:val="null3"/>
              <w:ind w:firstLine="480"/>
              <w:jc w:val="both"/>
            </w:pPr>
            <w:r>
              <w:rPr>
                <w:rFonts w:ascii="仿宋_GB2312" w:hAnsi="仿宋_GB2312" w:cs="仿宋_GB2312" w:eastAsia="仿宋_GB2312"/>
                <w:sz w:val="28"/>
              </w:rPr>
              <w:t>16</w:t>
            </w:r>
            <w:r>
              <w:rPr>
                <w:rFonts w:ascii="仿宋_GB2312" w:hAnsi="仿宋_GB2312" w:cs="仿宋_GB2312" w:eastAsia="仿宋_GB2312"/>
                <w:sz w:val="28"/>
              </w:rPr>
              <w:t>)</w:t>
            </w:r>
            <w:r>
              <w:rPr>
                <w:rFonts w:ascii="仿宋_GB2312" w:hAnsi="仿宋_GB2312" w:cs="仿宋_GB2312" w:eastAsia="仿宋_GB2312"/>
                <w:sz w:val="28"/>
              </w:rPr>
              <w:t>人才</w:t>
            </w:r>
            <w:r>
              <w:rPr>
                <w:rFonts w:ascii="仿宋_GB2312" w:hAnsi="仿宋_GB2312" w:cs="仿宋_GB2312" w:eastAsia="仿宋_GB2312"/>
                <w:sz w:val="28"/>
              </w:rPr>
              <w:t>“店小二”服务入口</w:t>
            </w:r>
          </w:p>
          <w:p>
            <w:pPr>
              <w:pStyle w:val="null3"/>
              <w:ind w:firstLine="560"/>
              <w:jc w:val="left"/>
            </w:pPr>
            <w:r>
              <w:rPr>
                <w:rFonts w:ascii="仿宋_GB2312" w:hAnsi="仿宋_GB2312" w:cs="仿宋_GB2312" w:eastAsia="仿宋_GB2312"/>
                <w:sz w:val="28"/>
              </w:rPr>
              <w:t>在人才企业专属空间开设人才</w:t>
            </w:r>
            <w:r>
              <w:rPr>
                <w:rFonts w:ascii="仿宋_GB2312" w:hAnsi="仿宋_GB2312" w:cs="仿宋_GB2312" w:eastAsia="仿宋_GB2312"/>
                <w:sz w:val="28"/>
              </w:rPr>
              <w:t>“店小二”服务入口，可通过该入口进入“店小二”代办页面，对当前法人账号下的代办办件进行查询、评价等管理操作。</w:t>
            </w:r>
          </w:p>
          <w:p>
            <w:pPr>
              <w:pStyle w:val="null3"/>
              <w:ind w:firstLine="480"/>
              <w:jc w:val="both"/>
            </w:pPr>
            <w:r>
              <w:rPr>
                <w:rFonts w:ascii="仿宋_GB2312" w:hAnsi="仿宋_GB2312" w:cs="仿宋_GB2312" w:eastAsia="仿宋_GB2312"/>
                <w:sz w:val="28"/>
              </w:rPr>
              <w:t>17</w:t>
            </w:r>
            <w:r>
              <w:rPr>
                <w:rFonts w:ascii="仿宋_GB2312" w:hAnsi="仿宋_GB2312" w:cs="仿宋_GB2312" w:eastAsia="仿宋_GB2312"/>
                <w:sz w:val="28"/>
              </w:rPr>
              <w:t>)</w:t>
            </w:r>
            <w:r>
              <w:rPr>
                <w:rFonts w:ascii="仿宋_GB2312" w:hAnsi="仿宋_GB2312" w:cs="仿宋_GB2312" w:eastAsia="仿宋_GB2312"/>
                <w:sz w:val="28"/>
              </w:rPr>
              <w:t>待评价办件提示</w:t>
            </w:r>
          </w:p>
          <w:p>
            <w:pPr>
              <w:pStyle w:val="null3"/>
              <w:ind w:firstLine="560"/>
              <w:jc w:val="left"/>
            </w:pPr>
            <w:r>
              <w:rPr>
                <w:rFonts w:ascii="仿宋_GB2312" w:hAnsi="仿宋_GB2312" w:cs="仿宋_GB2312" w:eastAsia="仿宋_GB2312"/>
                <w:sz w:val="28"/>
              </w:rPr>
              <w:t>对接政务服务网好差评系统信息，为企业展示其名下所有待评价的办件数量与办件名称等基本信息，并开设办件好差评入口，企业账号可点击跳转至办件好差评的评价界面，通过该渠道对未评论的办件进行评价。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）国际人才服务专区</w:t>
            </w:r>
          </w:p>
          <w:p>
            <w:pPr>
              <w:pStyle w:val="null3"/>
              <w:ind w:left="480"/>
              <w:jc w:val="left"/>
            </w:pPr>
            <w:r>
              <w:rPr>
                <w:rFonts w:ascii="仿宋_GB2312" w:hAnsi="仿宋_GB2312" w:cs="仿宋_GB2312" w:eastAsia="仿宋_GB2312"/>
                <w:sz w:val="28"/>
              </w:rPr>
              <w:t>1)</w:t>
            </w:r>
            <w:r>
              <w:rPr>
                <w:rFonts w:ascii="仿宋_GB2312" w:hAnsi="仿宋_GB2312" w:cs="仿宋_GB2312" w:eastAsia="仿宋_GB2312"/>
                <w:sz w:val="28"/>
              </w:rPr>
              <w:t>国际人才服务专题页面</w:t>
            </w:r>
          </w:p>
          <w:p>
            <w:pPr>
              <w:pStyle w:val="null3"/>
              <w:ind w:firstLine="480"/>
              <w:jc w:val="both"/>
            </w:pPr>
            <w:r>
              <w:rPr>
                <w:rFonts w:ascii="仿宋_GB2312" w:hAnsi="仿宋_GB2312" w:cs="仿宋_GB2312" w:eastAsia="仿宋_GB2312"/>
                <w:sz w:val="28"/>
              </w:rPr>
              <w:t>在人才服务专区中设计国际人才服务专区入口，为外籍人才与用户设置英文提示，点击即可进入国际版人才服务专区。</w:t>
            </w:r>
          </w:p>
          <w:p>
            <w:pPr>
              <w:pStyle w:val="null3"/>
              <w:ind w:firstLine="480"/>
              <w:jc w:val="both"/>
            </w:pPr>
            <w:r>
              <w:rPr>
                <w:rFonts w:ascii="仿宋_GB2312" w:hAnsi="仿宋_GB2312" w:cs="仿宋_GB2312" w:eastAsia="仿宋_GB2312"/>
                <w:sz w:val="28"/>
              </w:rPr>
              <w:t>贴合海南自由贸易港人才政策与业务开展特点，结合国际人才办理业务热点，设计英文版人才服务专题页面。在专题页中，包含英文版的热门人才服务类别与英文办事指南清单、英文代办列表、英文人才政策、英文热门问题等内容，为外籍人才提供贴心的双语服务，提供帮办代办服务指引。</w:t>
            </w:r>
          </w:p>
          <w:p>
            <w:pPr>
              <w:pStyle w:val="null3"/>
              <w:ind w:left="480"/>
              <w:jc w:val="left"/>
            </w:pPr>
            <w:r>
              <w:rPr>
                <w:rFonts w:ascii="仿宋_GB2312" w:hAnsi="仿宋_GB2312" w:cs="仿宋_GB2312" w:eastAsia="仿宋_GB2312"/>
                <w:sz w:val="28"/>
              </w:rPr>
              <w:t>2)</w:t>
            </w:r>
            <w:r>
              <w:rPr>
                <w:rFonts w:ascii="仿宋_GB2312" w:hAnsi="仿宋_GB2312" w:cs="仿宋_GB2312" w:eastAsia="仿宋_GB2312"/>
                <w:sz w:val="28"/>
              </w:rPr>
              <w:t>国际人才服务专题配置管理</w:t>
            </w:r>
          </w:p>
          <w:p>
            <w:pPr>
              <w:pStyle w:val="null3"/>
              <w:ind w:firstLine="480"/>
              <w:jc w:val="both"/>
            </w:pPr>
            <w:r>
              <w:rPr>
                <w:rFonts w:ascii="仿宋_GB2312" w:hAnsi="仿宋_GB2312" w:cs="仿宋_GB2312" w:eastAsia="仿宋_GB2312"/>
                <w:sz w:val="28"/>
              </w:rPr>
              <w:t>为人才部门设置国际人才服务专题页面的配置管理功能，用户可根据英文办事指南的上线情况，自行配置在国际人才服务专题页展示的事项清单；根据人才英文政策的翻译梳理与发布情况，新增各类人才政策信息；根据对于国际人才关心问题的判断，维护常见热门问题等。为国际人才及时更新国际人才服务专区中各类服务信息。</w:t>
            </w:r>
          </w:p>
          <w:p>
            <w:pPr>
              <w:pStyle w:val="null3"/>
              <w:ind w:left="480"/>
              <w:jc w:val="left"/>
            </w:pPr>
            <w:r>
              <w:rPr>
                <w:rFonts w:ascii="仿宋_GB2312" w:hAnsi="仿宋_GB2312" w:cs="仿宋_GB2312" w:eastAsia="仿宋_GB2312"/>
                <w:sz w:val="28"/>
              </w:rPr>
              <w:t>3)</w:t>
            </w:r>
            <w:r>
              <w:rPr>
                <w:rFonts w:ascii="仿宋_GB2312" w:hAnsi="仿宋_GB2312" w:cs="仿宋_GB2312" w:eastAsia="仿宋_GB2312"/>
                <w:sz w:val="28"/>
              </w:rPr>
              <w:t>人才英文办事指南</w:t>
            </w:r>
          </w:p>
          <w:p>
            <w:pPr>
              <w:pStyle w:val="null3"/>
              <w:ind w:firstLine="480"/>
              <w:jc w:val="both"/>
            </w:pPr>
            <w:r>
              <w:rPr>
                <w:rFonts w:ascii="仿宋_GB2312" w:hAnsi="仿宋_GB2312" w:cs="仿宋_GB2312" w:eastAsia="仿宋_GB2312"/>
                <w:sz w:val="28"/>
              </w:rPr>
              <w:t>以国际人才业务为抓手，辨析外籍人才关心的事项重点信息，定制独有的人才英文版办事指南。包括英文事项基本信息、受理条件、办理材料、办理流程、常见问题等关键要素。为外籍人才提供英文业务办理指引。</w:t>
            </w:r>
          </w:p>
          <w:p>
            <w:pPr>
              <w:pStyle w:val="null3"/>
              <w:ind w:left="480"/>
              <w:jc w:val="left"/>
            </w:pPr>
            <w:r>
              <w:rPr>
                <w:rFonts w:ascii="仿宋_GB2312" w:hAnsi="仿宋_GB2312" w:cs="仿宋_GB2312" w:eastAsia="仿宋_GB2312"/>
                <w:sz w:val="28"/>
              </w:rPr>
              <w:t>4)</w:t>
            </w:r>
            <w:r>
              <w:rPr>
                <w:rFonts w:ascii="仿宋_GB2312" w:hAnsi="仿宋_GB2312" w:cs="仿宋_GB2312" w:eastAsia="仿宋_GB2312"/>
                <w:sz w:val="28"/>
              </w:rPr>
              <w:t>人才英文表单</w:t>
            </w:r>
          </w:p>
          <w:p>
            <w:pPr>
              <w:pStyle w:val="null3"/>
              <w:ind w:firstLine="480"/>
              <w:jc w:val="both"/>
            </w:pPr>
            <w:r>
              <w:rPr>
                <w:rFonts w:ascii="仿宋_GB2312" w:hAnsi="仿宋_GB2312" w:cs="仿宋_GB2312" w:eastAsia="仿宋_GB2312"/>
                <w:sz w:val="28"/>
              </w:rPr>
              <w:t>根据当前的业务表单，定制开发相应业务的英文版表单。本期项目中，首先针对国际人才认定业务的若干事项进行英文表单的设计与开发。</w:t>
            </w:r>
          </w:p>
          <w:p>
            <w:pPr>
              <w:pStyle w:val="null3"/>
              <w:ind w:left="480"/>
              <w:jc w:val="left"/>
            </w:pPr>
            <w:r>
              <w:rPr>
                <w:rFonts w:ascii="仿宋_GB2312" w:hAnsi="仿宋_GB2312" w:cs="仿宋_GB2312" w:eastAsia="仿宋_GB2312"/>
                <w:sz w:val="28"/>
              </w:rPr>
              <w:t>5)</w:t>
            </w:r>
            <w:r>
              <w:rPr>
                <w:rFonts w:ascii="仿宋_GB2312" w:hAnsi="仿宋_GB2312" w:cs="仿宋_GB2312" w:eastAsia="仿宋_GB2312"/>
                <w:sz w:val="28"/>
              </w:rPr>
              <w:t>人才英文办件提交</w:t>
            </w:r>
          </w:p>
          <w:p>
            <w:pPr>
              <w:pStyle w:val="null3"/>
              <w:ind w:firstLine="480"/>
              <w:jc w:val="both"/>
            </w:pPr>
            <w:r>
              <w:rPr>
                <w:rFonts w:ascii="仿宋_GB2312" w:hAnsi="仿宋_GB2312" w:cs="仿宋_GB2312" w:eastAsia="仿宋_GB2312"/>
                <w:sz w:val="28"/>
              </w:rPr>
              <w:t>在外籍人才完成英文表单的填报，并通过表单各项校验后，点击下一步即进入英文材料上传页面，设置英文版的材料上传页面，展示该事项配置的材料清单，并与中文版相同，设置空白表格样表下载，为用户提供材料模板。</w:t>
            </w:r>
          </w:p>
          <w:p>
            <w:pPr>
              <w:pStyle w:val="null3"/>
              <w:ind w:firstLine="480"/>
              <w:jc w:val="both"/>
            </w:pPr>
            <w:r>
              <w:rPr>
                <w:rFonts w:ascii="仿宋_GB2312" w:hAnsi="仿宋_GB2312" w:cs="仿宋_GB2312" w:eastAsia="仿宋_GB2312"/>
                <w:sz w:val="28"/>
              </w:rPr>
              <w:t>接入专属空间中的个人电子书架，在上传材料时，需调用电子书架中的文件与材料信息进行复用上传。</w:t>
            </w:r>
          </w:p>
          <w:p>
            <w:pPr>
              <w:pStyle w:val="null3"/>
              <w:ind w:left="480"/>
              <w:jc w:val="left"/>
            </w:pPr>
            <w:r>
              <w:rPr>
                <w:rFonts w:ascii="仿宋_GB2312" w:hAnsi="仿宋_GB2312" w:cs="仿宋_GB2312" w:eastAsia="仿宋_GB2312"/>
                <w:sz w:val="28"/>
              </w:rPr>
              <w:t>6)</w:t>
            </w:r>
            <w:r>
              <w:rPr>
                <w:rFonts w:ascii="仿宋_GB2312" w:hAnsi="仿宋_GB2312" w:cs="仿宋_GB2312" w:eastAsia="仿宋_GB2312"/>
                <w:sz w:val="28"/>
              </w:rPr>
              <w:t>办件生成对接</w:t>
            </w:r>
          </w:p>
          <w:p>
            <w:pPr>
              <w:pStyle w:val="null3"/>
              <w:ind w:firstLine="480"/>
              <w:jc w:val="both"/>
            </w:pPr>
            <w:r>
              <w:rPr>
                <w:rFonts w:ascii="仿宋_GB2312" w:hAnsi="仿宋_GB2312" w:cs="仿宋_GB2312" w:eastAsia="仿宋_GB2312"/>
                <w:sz w:val="28"/>
              </w:rPr>
              <w:t>梳理英文表单字段与事项办件字段的映射规则，定制相应的办件生成接口，对接人才服务审批系统，当外籍人才通过英文表单填报提交时，授权并同步生成一个新的办件并推送至人才单一窗口进行受理审批。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）人才数据应用能力升级</w:t>
            </w:r>
          </w:p>
          <w:p>
            <w:pPr>
              <w:pStyle w:val="null3"/>
              <w:ind w:firstLine="560"/>
              <w:jc w:val="both"/>
            </w:pPr>
            <w:r>
              <w:rPr>
                <w:rFonts w:ascii="仿宋_GB2312" w:hAnsi="仿宋_GB2312" w:cs="仿宋_GB2312" w:eastAsia="仿宋_GB2312"/>
                <w:sz w:val="28"/>
              </w:rPr>
              <w:t>人才数据库扩容。在原高层次人才数据库的基础上，扩展完善人才类型，建立更加广泛全面的人才数据库。通过采集、存储分析不同领域、不同人才业务开展过程中的相关人才信息，梳理人才数据类型，明确人才来源，确定入库人才属性，结构化构建人才档案数据库，为人才的培养、选拔、使用、管理与交流提供依据。</w:t>
            </w:r>
          </w:p>
          <w:p>
            <w:pPr>
              <w:pStyle w:val="null3"/>
              <w:ind w:firstLine="560"/>
              <w:jc w:val="both"/>
            </w:pPr>
            <w:r>
              <w:rPr>
                <w:rFonts w:ascii="仿宋_GB2312" w:hAnsi="仿宋_GB2312" w:cs="仿宋_GB2312" w:eastAsia="仿宋_GB2312"/>
                <w:sz w:val="28"/>
              </w:rPr>
              <w:t>业务申报校验。根据海南自由贸易港人才各类业务的特殊性，细化分析政策要求，逐事项辨析确认其申报条件与规则。并将校验规则应用至各类业务办理场景中，实现通过系统智能判断校验，以提升申办准确率与通过率。</w:t>
            </w:r>
          </w:p>
          <w:p>
            <w:pPr>
              <w:pStyle w:val="null3"/>
              <w:ind w:firstLine="560"/>
              <w:jc w:val="both"/>
            </w:pPr>
            <w:r>
              <w:rPr>
                <w:rFonts w:ascii="仿宋_GB2312" w:hAnsi="仿宋_GB2312" w:cs="仿宋_GB2312" w:eastAsia="仿宋_GB2312"/>
                <w:sz w:val="28"/>
              </w:rPr>
              <w:t>申报表单自动填充。人才事项在申报时，初始化表单根据申请主体账号信息调用各类数据接口对表单项进行校验</w:t>
            </w:r>
            <w:r>
              <w:rPr>
                <w:rFonts w:ascii="仿宋_GB2312" w:hAnsi="仿宋_GB2312" w:cs="仿宋_GB2312" w:eastAsia="仿宋_GB2312"/>
                <w:sz w:val="28"/>
              </w:rPr>
              <w:t>/填充，最大程度减少群众表单填报数量。自动填充的表单信息用户可自行更改，不做限制。</w:t>
            </w:r>
          </w:p>
          <w:p>
            <w:pPr>
              <w:pStyle w:val="null3"/>
              <w:ind w:firstLine="560"/>
              <w:jc w:val="both"/>
            </w:pPr>
            <w:r>
              <w:rPr>
                <w:rFonts w:ascii="仿宋_GB2312" w:hAnsi="仿宋_GB2312" w:cs="仿宋_GB2312" w:eastAsia="仿宋_GB2312"/>
                <w:sz w:val="28"/>
              </w:rPr>
              <w:t>业务审批智能化程度提升。辨析人才认定、住房补贴等业务审查要素，对于有数据支撑判断的审批条件，梳理规则、协调对接相应部门的接口，定制查询界面，利用大数据全面实现审批支撑与决策辅助，提升审批智能化程度，卓效提高审批效率。</w:t>
            </w:r>
          </w:p>
          <w:p>
            <w:pPr>
              <w:pStyle w:val="null3"/>
              <w:ind w:firstLine="560"/>
              <w:jc w:val="both"/>
            </w:pPr>
            <w:r>
              <w:rPr>
                <w:rFonts w:ascii="仿宋_GB2312" w:hAnsi="仿宋_GB2312" w:cs="仿宋_GB2312" w:eastAsia="仿宋_GB2312"/>
                <w:sz w:val="28"/>
              </w:rPr>
              <w:t>我的所有件回溯管理。为强化人才单一窗口业务人员自主能动性，加强服务意识与服务责任感，提升每个业务人员对于个人名下办件的管理意识，开发</w:t>
            </w:r>
            <w:r>
              <w:rPr>
                <w:rFonts w:ascii="仿宋_GB2312" w:hAnsi="仿宋_GB2312" w:cs="仿宋_GB2312" w:eastAsia="仿宋_GB2312"/>
                <w:sz w:val="28"/>
              </w:rPr>
              <w:t>“我的所有件”专属管理菜单。在该菜单中，为受理/审批人员统计当前登录账号操作过的所有办件的当前环节、当前办理人员等信息。</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）人才监管保障系统建设</w:t>
            </w:r>
          </w:p>
          <w:p>
            <w:pPr>
              <w:pStyle w:val="null3"/>
              <w:ind w:firstLine="560"/>
              <w:jc w:val="both"/>
            </w:pPr>
            <w:r>
              <w:rPr>
                <w:rFonts w:ascii="仿宋_GB2312" w:hAnsi="仿宋_GB2312" w:cs="仿宋_GB2312" w:eastAsia="仿宋_GB2312"/>
                <w:sz w:val="28"/>
              </w:rPr>
              <w:t>社保巡检。对人才数据库中的社保信息开展自动巡检。根据不同的业务场景需求，制定社保缴纳数据规则，为数据库中的人才办件社保信息进行数据匹配检查，并及时上报异常数据，提醒工作人员对办件进行复核或作废。包括巡检规则的配置、自动巡检与手动巡检功能开发、异常信息报表以及结果分析等功能。</w:t>
            </w:r>
          </w:p>
          <w:p>
            <w:pPr>
              <w:pStyle w:val="null3"/>
              <w:ind w:firstLine="560"/>
              <w:jc w:val="both"/>
            </w:pPr>
            <w:r>
              <w:rPr>
                <w:rFonts w:ascii="仿宋_GB2312" w:hAnsi="仿宋_GB2312" w:cs="仿宋_GB2312" w:eastAsia="仿宋_GB2312"/>
                <w:sz w:val="28"/>
              </w:rPr>
              <w:t>高层次人才证书状态巡检。</w:t>
            </w:r>
            <w:r>
              <w:rPr>
                <w:rFonts w:ascii="仿宋_GB2312" w:hAnsi="仿宋_GB2312" w:cs="仿宋_GB2312" w:eastAsia="仿宋_GB2312"/>
                <w:sz w:val="28"/>
              </w:rPr>
              <w:t>对人才办件数据库中的高层次人才证书状态信息开展自动巡检。系统根据当前人才办件生成的高层次人才证书时间，自动计算证书过期时间，为数据库中的证书数据进行数据匹配检查，并及时上报证书过期数据，或对临期证书开展预警提醒。</w:t>
            </w:r>
          </w:p>
          <w:p>
            <w:pPr>
              <w:pStyle w:val="null3"/>
              <w:ind w:firstLine="560"/>
              <w:jc w:val="both"/>
            </w:pPr>
            <w:r>
              <w:rPr>
                <w:rFonts w:ascii="仿宋_GB2312" w:hAnsi="仿宋_GB2312" w:cs="仿宋_GB2312" w:eastAsia="仿宋_GB2312"/>
                <w:sz w:val="28"/>
              </w:rPr>
              <w:t>纳税信息巡检。分析人才管理以及业务部门对于不同层级、不同认定条件高层次人才的税务管理要求，对库内高层次人才的纳税信息进行巡检，形成巡检结果报告并推送给监管部门。</w:t>
            </w:r>
          </w:p>
          <w:p>
            <w:pPr>
              <w:pStyle w:val="null3"/>
              <w:ind w:firstLine="560"/>
              <w:jc w:val="both"/>
            </w:pPr>
            <w:r>
              <w:rPr>
                <w:rFonts w:ascii="仿宋_GB2312" w:hAnsi="仿宋_GB2312" w:cs="仿宋_GB2312" w:eastAsia="仿宋_GB2312"/>
                <w:sz w:val="28"/>
              </w:rPr>
              <w:t>人才住房补贴申领情况巡检。</w:t>
            </w:r>
            <w:r>
              <w:rPr>
                <w:rFonts w:ascii="仿宋_GB2312" w:hAnsi="仿宋_GB2312" w:cs="仿宋_GB2312" w:eastAsia="仿宋_GB2312"/>
                <w:sz w:val="28"/>
              </w:rPr>
              <w:t>针对人才业务审计工作的要求，对人才住房补贴数据开展巡检。包括申领超过</w:t>
            </w:r>
            <w:r>
              <w:rPr>
                <w:rFonts w:ascii="仿宋_GB2312" w:hAnsi="仿宋_GB2312" w:cs="仿宋_GB2312" w:eastAsia="仿宋_GB2312"/>
                <w:sz w:val="28"/>
              </w:rPr>
              <w:t>36个月人员的巡检、补贴期限超出5年的人员信息巡检等，需定期自动巡检，也可由用户手动巡检，并生成巡检结果报表。</w:t>
            </w:r>
          </w:p>
          <w:p>
            <w:pPr>
              <w:pStyle w:val="null3"/>
              <w:ind w:firstLine="560"/>
              <w:jc w:val="both"/>
            </w:pPr>
            <w:r>
              <w:rPr>
                <w:rFonts w:ascii="仿宋_GB2312" w:hAnsi="仿宋_GB2312" w:cs="仿宋_GB2312" w:eastAsia="仿宋_GB2312"/>
                <w:sz w:val="28"/>
              </w:rPr>
              <w:t>巡检结果反馈。在完成数据巡检后，根据不同维度的巡检信息与巡检结果分析，系统自动生成巡检报告。统计异常数目并罗列异常数据详情清单，自动生成对于社保、证书、税务等多维度异常情况分析报告，将各类异常指标反馈至巡检报告中。系统自动生成巡检报告后，业务人员可预览查看并导出巡检异常报告数据清单，以供监管指导部门进行分析研判。</w:t>
            </w:r>
          </w:p>
          <w:p>
            <w:pPr>
              <w:pStyle w:val="null3"/>
              <w:ind w:firstLine="560"/>
              <w:jc w:val="both"/>
            </w:pPr>
            <w:r>
              <w:rPr>
                <w:rFonts w:ascii="仿宋_GB2312" w:hAnsi="仿宋_GB2312" w:cs="仿宋_GB2312" w:eastAsia="仿宋_GB2312"/>
                <w:sz w:val="28"/>
              </w:rPr>
              <w:t>人才监管驾驶舱。根据人才监管系统的各项业务巡检结果，结合人才服务用户监控管理需求，形成人才监管驾驶舱，通过数据采集、融合、分析、可视化设计，把相对复杂、抽象的数据转换成更易理解的图形，以大屏为主要载体进行数据的可视化呈现，以直观、高度视觉冲击力的方式向领导展示数据背后隐藏的规律，传达数据价值、展示业务场景，用数据智能推动海南自由贸易港人才服务的发展。</w:t>
            </w:r>
          </w:p>
          <w:p>
            <w:pPr>
              <w:pStyle w:val="null3"/>
              <w:ind w:firstLine="560"/>
              <w:jc w:val="both"/>
            </w:pPr>
            <w:r>
              <w:rPr>
                <w:rFonts w:ascii="仿宋_GB2312" w:hAnsi="仿宋_GB2312" w:cs="仿宋_GB2312" w:eastAsia="仿宋_GB2312"/>
                <w:sz w:val="28"/>
              </w:rPr>
              <w:t>人才后台管理系统。</w:t>
            </w:r>
            <w:r>
              <w:rPr>
                <w:rFonts w:ascii="仿宋_GB2312" w:hAnsi="仿宋_GB2312" w:cs="仿宋_GB2312" w:eastAsia="仿宋_GB2312"/>
                <w:sz w:val="28"/>
              </w:rPr>
              <w:t>在人才后台管理系统中，统一管理人才各类服务与应用。做好整体系统功能保障。包括机构管理、部门管理、区划管理、参数配置、通知公告管理、模板管理、消息中心、短信管理、菜单管理、数据字典管理、定时任务管理、在线日志、角色管理、用户管理、操作日志应用管理以及数据源管理等配置管理功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五</w:t>
            </w:r>
            <w:r>
              <w:rPr>
                <w:rFonts w:ascii="仿宋_GB2312" w:hAnsi="仿宋_GB2312" w:cs="仿宋_GB2312" w:eastAsia="仿宋_GB2312"/>
                <w:sz w:val="28"/>
              </w:rPr>
              <w:t>）多部门人才服务事项信息系统整合</w:t>
            </w:r>
          </w:p>
          <w:p>
            <w:pPr>
              <w:pStyle w:val="null3"/>
              <w:ind w:firstLine="560"/>
              <w:jc w:val="both"/>
            </w:pPr>
            <w:r>
              <w:rPr>
                <w:rFonts w:ascii="仿宋_GB2312" w:hAnsi="仿宋_GB2312" w:cs="仿宋_GB2312" w:eastAsia="仿宋_GB2312"/>
                <w:sz w:val="28"/>
              </w:rPr>
              <w:t>人才相关系统整合。</w:t>
            </w:r>
            <w:r>
              <w:rPr>
                <w:rFonts w:ascii="仿宋_GB2312" w:hAnsi="仿宋_GB2312" w:cs="仿宋_GB2312" w:eastAsia="仿宋_GB2312"/>
                <w:sz w:val="28"/>
              </w:rPr>
              <w:t>梳理全省人才相关系统目录，优先将</w:t>
            </w:r>
            <w:r>
              <w:rPr>
                <w:rFonts w:ascii="仿宋_GB2312" w:hAnsi="仿宋_GB2312" w:cs="仿宋_GB2312" w:eastAsia="仿宋_GB2312"/>
                <w:sz w:val="28"/>
              </w:rPr>
              <w:t>人才相关度高的系统统一对接至人才服务</w:t>
            </w:r>
            <w:r>
              <w:rPr>
                <w:rFonts w:ascii="仿宋_GB2312" w:hAnsi="仿宋_GB2312" w:cs="仿宋_GB2312" w:eastAsia="仿宋_GB2312"/>
                <w:sz w:val="28"/>
              </w:rPr>
              <w:t>“单一窗口”，完成单一窗口与代办系统、政务服务网人才专属空间、好差评系统等相关业务系统的对接，实现数据共享互通。通过省级大数据共享服务平台，向国家有关部委、省有关部门、各市县园区获取所需数据。为实现人才数据有机融合、应用于智能服务奠定良好的数据基础。</w:t>
            </w:r>
          </w:p>
          <w:p>
            <w:pPr>
              <w:pStyle w:val="null3"/>
              <w:ind w:firstLine="560"/>
              <w:jc w:val="both"/>
            </w:pPr>
            <w:r>
              <w:rPr>
                <w:rFonts w:ascii="仿宋_GB2312" w:hAnsi="仿宋_GB2312" w:cs="仿宋_GB2312" w:eastAsia="仿宋_GB2312"/>
                <w:sz w:val="28"/>
              </w:rPr>
              <w:t>本期项目中，主要包含就业</w:t>
            </w:r>
            <w:r>
              <w:rPr>
                <w:rFonts w:ascii="仿宋_GB2312" w:hAnsi="仿宋_GB2312" w:cs="仿宋_GB2312" w:eastAsia="仿宋_GB2312"/>
                <w:sz w:val="28"/>
              </w:rPr>
              <w:t>/招聘系统、职业培训系统、职称评审系统以及各类考试报名系统的对接整合。</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省内数据接口</w:t>
            </w:r>
          </w:p>
          <w:p>
            <w:pPr>
              <w:pStyle w:val="null3"/>
              <w:ind w:firstLine="480"/>
              <w:jc w:val="both"/>
            </w:pPr>
            <w:r>
              <w:rPr>
                <w:rFonts w:ascii="仿宋_GB2312" w:hAnsi="仿宋_GB2312" w:cs="仿宋_GB2312" w:eastAsia="仿宋_GB2312"/>
                <w:sz w:val="28"/>
              </w:rPr>
              <w:t>依托海南省数据共享服务门户，开展包括人才系统与海南省社会保险数据查询接口、住建部门购房与租房信息查询接口、海南省营业执照信息查询接口等业务支撑信息接口的申请与对接。开展可能涉及的高层次人才信息数据共享接口开发，如对于省内税务信息的个性化查询校验需求的接口开发与对接工作。</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国家数据接口</w:t>
            </w:r>
          </w:p>
          <w:p>
            <w:pPr>
              <w:pStyle w:val="null3"/>
              <w:ind w:firstLine="480"/>
              <w:jc w:val="both"/>
            </w:pPr>
            <w:r>
              <w:rPr>
                <w:rFonts w:ascii="仿宋_GB2312" w:hAnsi="仿宋_GB2312" w:cs="仿宋_GB2312" w:eastAsia="仿宋_GB2312"/>
                <w:sz w:val="28"/>
              </w:rPr>
              <w:t>依托海南省数据共享服务门户，开展包括人才系统与国家部委各类接口的对接，如：教育部学历学位信息查询接口、国外（境外）学历学位查询接口、人社部专业技术资格证书查询接口与民政厅的婚姻配偶信息查询接口等。</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高频人才业务系统定制化开发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自贸港人才个税优惠服务专区</w:t>
            </w:r>
          </w:p>
          <w:p>
            <w:pPr>
              <w:pStyle w:val="null3"/>
              <w:ind w:firstLine="560"/>
              <w:jc w:val="both"/>
            </w:pPr>
            <w:r>
              <w:rPr>
                <w:rFonts w:ascii="仿宋_GB2312" w:hAnsi="仿宋_GB2312" w:cs="仿宋_GB2312" w:eastAsia="仿宋_GB2312"/>
                <w:sz w:val="28"/>
              </w:rPr>
              <w:t>个人中心自贸港人才个税优惠服务查询申报入口。在个税优惠申报的窗口期，设置通知等个税优惠服务查询提示。在相应的业务办理时间节点进行展示申报入口。为用户提供申报指引，用户点击即可进入个人所得税优惠查询界面。</w:t>
            </w:r>
          </w:p>
          <w:p>
            <w:pPr>
              <w:pStyle w:val="null3"/>
              <w:ind w:firstLine="560"/>
              <w:jc w:val="both"/>
            </w:pPr>
            <w:r>
              <w:rPr>
                <w:rFonts w:ascii="仿宋_GB2312" w:hAnsi="仿宋_GB2312" w:cs="仿宋_GB2312" w:eastAsia="仿宋_GB2312"/>
                <w:sz w:val="28"/>
              </w:rPr>
              <w:t>个人所得税优惠查询信息申报。梳理当前享受海南自由贸易港个人所得税优惠的政策条例，并设置引导式的问答单选项，根据申请人选择的情形，展示不同的查询结果、提示申请人上传所需的劳动用工证明、退休证明等材料。申请人在个税优惠服务专区填报表单、上传相应材料，勾选承诺内容后提交申报。系统将申请人填报的信息与上传的材料回传至审批系统，由审批人员进行审核。</w:t>
            </w:r>
          </w:p>
          <w:p>
            <w:pPr>
              <w:pStyle w:val="null3"/>
              <w:ind w:firstLine="560"/>
              <w:jc w:val="both"/>
            </w:pPr>
            <w:r>
              <w:rPr>
                <w:rFonts w:ascii="仿宋_GB2312" w:hAnsi="仿宋_GB2312" w:cs="仿宋_GB2312" w:eastAsia="仿宋_GB2312"/>
                <w:sz w:val="28"/>
              </w:rPr>
              <w:t>初审结果反馈。审批人员可在后台收到其个税优惠申请信息，并可对材料进行正确性审查，审查后审批人员将初审结果录入系统，系统将各结果反馈至申请人个人所得税申报服务页面。</w:t>
            </w:r>
          </w:p>
          <w:p>
            <w:pPr>
              <w:pStyle w:val="null3"/>
              <w:ind w:firstLine="560"/>
              <w:jc w:val="both"/>
            </w:pPr>
            <w:r>
              <w:rPr>
                <w:rFonts w:ascii="仿宋_GB2312" w:hAnsi="仿宋_GB2312" w:cs="仿宋_GB2312" w:eastAsia="仿宋_GB2312"/>
                <w:sz w:val="28"/>
              </w:rPr>
              <w:t>个人所得税优惠补录申报。申请人可在线进行个税优惠补录申报，当申请人不在表单中时，为申请人展示个税优惠相关文件，申请人确认本人符合条件后，可勾选承诺，并一键点击</w:t>
            </w:r>
            <w:r>
              <w:rPr>
                <w:rFonts w:ascii="仿宋_GB2312" w:hAnsi="仿宋_GB2312" w:cs="仿宋_GB2312" w:eastAsia="仿宋_GB2312"/>
                <w:sz w:val="28"/>
              </w:rPr>
              <w:t>“提交补录”。系统将复用申请人之前上传的材料与个人信息，将补录信息传至审批后台，审批后台在规定工作日内将业务部门反馈的补录结果录入系统，系统将补录结果反馈至申请人。</w:t>
            </w:r>
          </w:p>
          <w:p>
            <w:pPr>
              <w:pStyle w:val="null3"/>
              <w:ind w:firstLine="560"/>
              <w:jc w:val="both"/>
            </w:pPr>
            <w:r>
              <w:rPr>
                <w:rFonts w:ascii="仿宋_GB2312" w:hAnsi="仿宋_GB2312" w:cs="仿宋_GB2312" w:eastAsia="仿宋_GB2312"/>
                <w:sz w:val="28"/>
              </w:rPr>
              <w:t>补录结果反馈。审批人员可在后台收到其个税补录申报信息，由后台导出补录名单，提供人才发展局进行审查，系统将各结果反馈至申请人个人所得税申报服务页面。</w:t>
            </w:r>
          </w:p>
          <w:p>
            <w:pPr>
              <w:pStyle w:val="null3"/>
              <w:ind w:firstLine="560"/>
              <w:jc w:val="both"/>
            </w:pPr>
            <w:r>
              <w:rPr>
                <w:rFonts w:ascii="仿宋_GB2312" w:hAnsi="仿宋_GB2312" w:cs="仿宋_GB2312" w:eastAsia="仿宋_GB2312"/>
                <w:sz w:val="28"/>
              </w:rPr>
              <w:t>个税优惠人才名单管理。开发个税优惠人才名单管理功能界面，将业务部门提供的</w:t>
            </w:r>
            <w:r>
              <w:rPr>
                <w:rFonts w:ascii="仿宋_GB2312" w:hAnsi="仿宋_GB2312" w:cs="仿宋_GB2312" w:eastAsia="仿宋_GB2312"/>
                <w:sz w:val="28"/>
              </w:rPr>
              <w:t>享受海南自由贸易港个人所得税优惠政策高端紧缺人才初步符合基本条件人员名单</w:t>
            </w:r>
            <w:r>
              <w:rPr>
                <w:rFonts w:ascii="仿宋_GB2312" w:hAnsi="仿宋_GB2312" w:cs="仿宋_GB2312" w:eastAsia="仿宋_GB2312"/>
                <w:sz w:val="28"/>
              </w:rPr>
              <w:t>作为初始表单导入。根据人才发展局拟定的重点人员名单，设置重点人才标签，在该表单上进行颜色区分重点标记。</w:t>
            </w:r>
          </w:p>
          <w:p>
            <w:pPr>
              <w:pStyle w:val="null3"/>
              <w:ind w:firstLine="560"/>
              <w:jc w:val="both"/>
            </w:pPr>
            <w:r>
              <w:rPr>
                <w:rFonts w:ascii="仿宋_GB2312" w:hAnsi="仿宋_GB2312" w:cs="仿宋_GB2312" w:eastAsia="仿宋_GB2312"/>
                <w:sz w:val="28"/>
              </w:rPr>
              <w:t>人才个税优惠审批专区。在审批后台为审批人员定制化开发个税优惠申报查询审批功能模块。为审批人员展示申请人提交的待审批的个税优惠申报列表，需展示用户提交申报的字段信息与上传材料信息，审批人员需对材料进行合规性审查，审查后录入初审结果与补录结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人才住房补贴业务管理系统</w:t>
            </w:r>
          </w:p>
          <w:p>
            <w:pPr>
              <w:pStyle w:val="null3"/>
              <w:ind w:firstLine="560"/>
              <w:jc w:val="both"/>
            </w:pPr>
            <w:r>
              <w:rPr>
                <w:rFonts w:ascii="仿宋_GB2312" w:hAnsi="仿宋_GB2312" w:cs="仿宋_GB2312" w:eastAsia="仿宋_GB2312"/>
                <w:sz w:val="28"/>
              </w:rPr>
              <w:t>人才住房补贴定制化表单。为人才住房补贴业务开发个性化表单，在原申报基础功能的基础上，贴合人才住房补贴业务特点，关联人才专属空间信息，定制补贴申报多级关联表单，实现员工个人信息自行维护，由企业统一选择、申报、管理员工的住房补贴。</w:t>
            </w:r>
          </w:p>
          <w:p>
            <w:pPr>
              <w:pStyle w:val="null3"/>
              <w:ind w:firstLine="560"/>
              <w:jc w:val="both"/>
            </w:pPr>
            <w:r>
              <w:rPr>
                <w:rFonts w:ascii="仿宋_GB2312" w:hAnsi="仿宋_GB2312" w:cs="仿宋_GB2312" w:eastAsia="仿宋_GB2312"/>
                <w:sz w:val="28"/>
              </w:rPr>
              <w:t>补贴数据管理。为人才服务综窗系统开发人才住房补贴数据管理模块，契合当前业务需求与实际工作开展情况，开发全省各市县数据统计、筛选查询、报表自动生成、年度数据统计分析等功能。以数据分析支撑业务开展，为进一步开展自贸港人才服务政策制定研判提供参考。</w:t>
            </w:r>
          </w:p>
          <w:p>
            <w:pPr>
              <w:pStyle w:val="null3"/>
              <w:ind w:firstLine="560"/>
              <w:jc w:val="both"/>
            </w:pPr>
            <w:r>
              <w:rPr>
                <w:rFonts w:ascii="仿宋_GB2312" w:hAnsi="仿宋_GB2312" w:cs="仿宋_GB2312" w:eastAsia="仿宋_GB2312"/>
                <w:sz w:val="28"/>
              </w:rPr>
              <w:t>补贴业务报表。贴合住房补贴审批业务需求，为住房补贴审批系统定制化开设业务报表模块，包括补贴汇总表、补贴明细表、补贴审批报表等，实现各类不同维度的工作业务报表一键生成导出。</w:t>
            </w:r>
          </w:p>
          <w:p>
            <w:pPr>
              <w:pStyle w:val="null3"/>
              <w:ind w:firstLine="560"/>
              <w:jc w:val="both"/>
            </w:pPr>
            <w:r>
              <w:rPr>
                <w:rFonts w:ascii="仿宋_GB2312" w:hAnsi="仿宋_GB2312" w:cs="仿宋_GB2312" w:eastAsia="仿宋_GB2312"/>
                <w:sz w:val="28"/>
              </w:rPr>
              <w:t>市县统计模块。针对当前各市县人才住房补贴业务开展的现状，分析市县对于人才补贴业务管理的需求，梳理市县历史补贴数据，开发市县补贴统计模块。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高层次人才管理系统</w:t>
            </w:r>
          </w:p>
          <w:p>
            <w:pPr>
              <w:pStyle w:val="null3"/>
              <w:ind w:firstLine="560"/>
              <w:jc w:val="both"/>
            </w:pPr>
            <w:r>
              <w:rPr>
                <w:rFonts w:ascii="仿宋_GB2312" w:hAnsi="仿宋_GB2312" w:cs="仿宋_GB2312" w:eastAsia="仿宋_GB2312"/>
                <w:sz w:val="28"/>
              </w:rPr>
              <w:t>高层次人才业务定制化表单。为响应高层次人才认定业务的特殊要求，满足对于人才认定税务、社保、学历、学位等各相关字段的接入与校验需求，规范化人才认定标准、人才照片提交标准，进一步提升海南自由贸易港高层次人才认定审批效率与管理统计效能，为人才业务的各类事项分别定制化开发业务申报表单。</w:t>
            </w:r>
          </w:p>
          <w:p>
            <w:pPr>
              <w:pStyle w:val="null3"/>
              <w:ind w:firstLine="560"/>
              <w:jc w:val="both"/>
            </w:pPr>
            <w:r>
              <w:rPr>
                <w:rFonts w:ascii="仿宋_GB2312" w:hAnsi="仿宋_GB2312" w:cs="仿宋_GB2312" w:eastAsia="仿宋_GB2312"/>
                <w:sz w:val="28"/>
              </w:rPr>
              <w:t>认定人才综合查询。在认定人才综合查询中，可以对所有人才信息进行全域综合查询，包括查询人才办件、人才信息、申报主体等。</w:t>
            </w:r>
          </w:p>
          <w:p>
            <w:pPr>
              <w:pStyle w:val="null3"/>
              <w:ind w:firstLine="560"/>
              <w:jc w:val="both"/>
            </w:pPr>
            <w:r>
              <w:rPr>
                <w:rFonts w:ascii="仿宋_GB2312" w:hAnsi="仿宋_GB2312" w:cs="仿宋_GB2312" w:eastAsia="仿宋_GB2312"/>
                <w:sz w:val="28"/>
              </w:rPr>
              <w:t>查人才专区。设置查人才专区，旨在以人才信息为主，按照常用的业务逻辑，设定默认筛选条件，按照最新办件的认定结果综合考虑人才证书状态、人才属性，并通过身份证号对人才主体进行去重，实现精准初始化筛选，提升人才管理效率。</w:t>
            </w:r>
          </w:p>
          <w:p>
            <w:pPr>
              <w:pStyle w:val="null3"/>
              <w:ind w:firstLine="560"/>
              <w:jc w:val="both"/>
            </w:pPr>
            <w:r>
              <w:rPr>
                <w:rFonts w:ascii="仿宋_GB2312" w:hAnsi="仿宋_GB2312" w:cs="仿宋_GB2312" w:eastAsia="仿宋_GB2312"/>
                <w:sz w:val="28"/>
              </w:rPr>
              <w:t>查办件专区。设置查办件菜单，以办件信息以及状态为主，以业务办理与管理角度，梳理常用办件管理筛查逻辑，提升业务办件管理效能。</w:t>
            </w:r>
          </w:p>
          <w:p>
            <w:pPr>
              <w:pStyle w:val="null3"/>
              <w:ind w:firstLine="560"/>
              <w:jc w:val="both"/>
            </w:pPr>
            <w:r>
              <w:rPr>
                <w:rFonts w:ascii="仿宋_GB2312" w:hAnsi="仿宋_GB2312" w:cs="仿宋_GB2312" w:eastAsia="仿宋_GB2312"/>
                <w:sz w:val="28"/>
              </w:rPr>
              <w:t>常用表单生成导出。开发常用表单导出专区，梳理业务人员提供的常用工作报表，系统自动统计并生成报表数据，在该模块中实现一键导出。</w:t>
            </w:r>
          </w:p>
          <w:p>
            <w:pPr>
              <w:pStyle w:val="null3"/>
              <w:ind w:firstLine="560"/>
              <w:jc w:val="both"/>
            </w:pPr>
            <w:r>
              <w:rPr>
                <w:rFonts w:ascii="仿宋_GB2312" w:hAnsi="仿宋_GB2312" w:cs="仿宋_GB2312" w:eastAsia="仿宋_GB2312"/>
                <w:sz w:val="28"/>
              </w:rPr>
              <w:t>人员办件统计。为加强单一窗口服务效能，增加中心人员办件量统计功能，统计窗口人员个人办件量、补正量、补正意见、退件量。业务人员可点击各数据进入办件列表，以查看具体的办件详情。办件列表显示信息包括办件编号、省人才服务中心受理人员姓名、办件起始时间、办件结束时间、认定标准、认定层次等。统计口径以最终需求为准。</w:t>
            </w:r>
          </w:p>
          <w:p>
            <w:pPr>
              <w:pStyle w:val="null3"/>
              <w:ind w:firstLine="560"/>
              <w:jc w:val="both"/>
            </w:pPr>
            <w:r>
              <w:rPr>
                <w:rFonts w:ascii="仿宋_GB2312" w:hAnsi="仿宋_GB2312" w:cs="仿宋_GB2312" w:eastAsia="仿宋_GB2312"/>
                <w:sz w:val="28"/>
              </w:rPr>
              <w:t>刚性人才英才卡导出。切合当前高层次人才认定备案英才卡制卡的业务习惯与工作要求，梳理形成单独的英才卡信息表单。设置智能条件筛选，即工作人员在进行导出时，将证书状态默认为有效状态，人才属性仅为刚性人才。同时，将时间状态默认为上一个完整的自然月，工作人员也可自定义选择时间状态，按照月份频率筛选生成当前英才卡制卡报表数据。</w:t>
            </w:r>
          </w:p>
          <w:p>
            <w:pPr>
              <w:pStyle w:val="null3"/>
              <w:ind w:firstLine="560"/>
              <w:jc w:val="both"/>
            </w:pPr>
            <w:r>
              <w:rPr>
                <w:rFonts w:ascii="仿宋_GB2312" w:hAnsi="仿宋_GB2312" w:cs="仿宋_GB2312" w:eastAsia="仿宋_GB2312"/>
                <w:sz w:val="28"/>
              </w:rPr>
              <w:t>柔性人才英才卡导出。为适配当前高层次人才认定备案英才卡制卡的业务习惯与工作要求，将柔性人才英才卡制卡工作形成单独的英才卡菜单。设置条件筛选，工作人员在进行导出时，将证书状态默认为有效状态，人才属性仅为柔性人才。同时，将时间状态默认为上一个完整的自然月，工作人员也可自定义选择时间状态，按照月份频率筛选生成当前英才卡制卡报表数据。</w:t>
            </w:r>
          </w:p>
          <w:p>
            <w:pPr>
              <w:pStyle w:val="null3"/>
              <w:ind w:firstLine="560"/>
              <w:jc w:val="both"/>
            </w:pPr>
            <w:r>
              <w:rPr>
                <w:rFonts w:ascii="仿宋_GB2312" w:hAnsi="仿宋_GB2312" w:cs="仿宋_GB2312" w:eastAsia="仿宋_GB2312"/>
                <w:sz w:val="28"/>
              </w:rPr>
              <w:t>认定人才领导视窗。以打造人才领导驾驶舱为目标，对我省高层次人才设置领导视窗，清晰直观的展示当前人才认定的各类重点数据，如各层级人才数目、柔性</w:t>
            </w:r>
            <w:r>
              <w:rPr>
                <w:rFonts w:ascii="仿宋_GB2312" w:hAnsi="仿宋_GB2312" w:cs="仿宋_GB2312" w:eastAsia="仿宋_GB2312"/>
                <w:sz w:val="28"/>
              </w:rPr>
              <w:t>/刚性人才数目、园区认定人才数据信息、市县认定人才统计、人才同比增长率、多维度交叉统计等。旨在一目了然的把握当前高层次人才认定业务开展情况，通过汇聚、分析当前业务数据，实现人才重点指标集中展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28"/>
              </w:rPr>
              <w:t>人才商保服务专区</w:t>
            </w:r>
          </w:p>
          <w:p>
            <w:pPr>
              <w:pStyle w:val="null3"/>
              <w:ind w:firstLine="560"/>
              <w:jc w:val="both"/>
            </w:pPr>
            <w:r>
              <w:rPr>
                <w:rFonts w:ascii="仿宋_GB2312" w:hAnsi="仿宋_GB2312" w:cs="仿宋_GB2312" w:eastAsia="仿宋_GB2312"/>
                <w:sz w:val="28"/>
              </w:rPr>
              <w:t>人才商保业务梳理。按照《全国一体化政务服务平台政务服务事项基本目录及实施清单第</w:t>
            </w:r>
            <w:r>
              <w:rPr>
                <w:rFonts w:ascii="仿宋_GB2312" w:hAnsi="仿宋_GB2312" w:cs="仿宋_GB2312" w:eastAsia="仿宋_GB2312"/>
                <w:sz w:val="28"/>
              </w:rPr>
              <w:t>1部分：编码要求》《全国一体化政务服务平台政务服务事项基本目录及实施清单第1部分：要素要求》对人才商业保险服务事项开展标准化梳理和确认。</w:t>
            </w:r>
          </w:p>
          <w:p>
            <w:pPr>
              <w:pStyle w:val="null3"/>
              <w:ind w:firstLine="560"/>
              <w:jc w:val="both"/>
            </w:pPr>
            <w:r>
              <w:rPr>
                <w:rFonts w:ascii="仿宋_GB2312" w:hAnsi="仿宋_GB2312" w:cs="仿宋_GB2312" w:eastAsia="仿宋_GB2312"/>
                <w:sz w:val="28"/>
              </w:rPr>
              <w:t>人才商保事项配置上线。对人才办事指南与审批流程进行配置管理，包括办事指南设定依据、受理条件、办理材料、办理流程；以及审批系统业务角色、流程规则、流程模板的配置管理等。将事项办事指南公布至政务服务网，以便群众查询了解人才商业保险相关业务信息。</w:t>
            </w:r>
          </w:p>
          <w:p>
            <w:pPr>
              <w:pStyle w:val="null3"/>
              <w:ind w:firstLine="560"/>
              <w:jc w:val="both"/>
            </w:pPr>
            <w:r>
              <w:rPr>
                <w:rFonts w:ascii="仿宋_GB2312" w:hAnsi="仿宋_GB2312" w:cs="仿宋_GB2312" w:eastAsia="仿宋_GB2312"/>
                <w:sz w:val="28"/>
              </w:rPr>
              <w:t>商保办件自动生成。整合省社会保险服务中心、省委人才发展局、省人才服务中心、市县人才服务部门</w:t>
            </w:r>
            <w:r>
              <w:rPr>
                <w:rFonts w:ascii="仿宋_GB2312" w:hAnsi="仿宋_GB2312" w:cs="仿宋_GB2312" w:eastAsia="仿宋_GB2312"/>
                <w:sz w:val="28"/>
              </w:rPr>
              <w:t>“海南省高层次人才认定（国内人才）”“海南省高层次人才认定（备案）（国内人才）”“高层次人才购买商业保险”等相关事项，将人才认定与人才申办商业保险申请自动关联、打包办理。</w:t>
            </w:r>
            <w:r>
              <w:rPr>
                <w:rFonts w:ascii="仿宋_GB2312" w:hAnsi="仿宋_GB2312" w:cs="仿宋_GB2312" w:eastAsia="仿宋_GB2312"/>
                <w:sz w:val="28"/>
              </w:rPr>
              <w:t>当申请人</w:t>
            </w:r>
            <w:r>
              <w:rPr>
                <w:rFonts w:ascii="仿宋_GB2312" w:hAnsi="仿宋_GB2312" w:cs="仿宋_GB2312" w:eastAsia="仿宋_GB2312"/>
                <w:sz w:val="28"/>
              </w:rPr>
              <w:t>完成</w:t>
            </w:r>
            <w:r>
              <w:rPr>
                <w:rFonts w:ascii="仿宋_GB2312" w:hAnsi="仿宋_GB2312" w:cs="仿宋_GB2312" w:eastAsia="仿宋_GB2312"/>
                <w:sz w:val="28"/>
              </w:rPr>
              <w:t>海南自由贸易港高层次人才认定时，系统自动</w:t>
            </w:r>
            <w:r>
              <w:rPr>
                <w:rFonts w:ascii="仿宋_GB2312" w:hAnsi="仿宋_GB2312" w:cs="仿宋_GB2312" w:eastAsia="仿宋_GB2312"/>
                <w:sz w:val="28"/>
              </w:rPr>
              <w:t>识别</w:t>
            </w:r>
            <w:r>
              <w:rPr>
                <w:rFonts w:ascii="仿宋_GB2312" w:hAnsi="仿宋_GB2312" w:cs="仿宋_GB2312" w:eastAsia="仿宋_GB2312"/>
                <w:sz w:val="28"/>
              </w:rPr>
              <w:t>人才层级</w:t>
            </w:r>
            <w:r>
              <w:rPr>
                <w:rFonts w:ascii="仿宋_GB2312" w:hAnsi="仿宋_GB2312" w:cs="仿宋_GB2312" w:eastAsia="仿宋_GB2312"/>
                <w:sz w:val="28"/>
              </w:rPr>
              <w:t>为</w:t>
            </w:r>
            <w:r>
              <w:rPr>
                <w:rFonts w:ascii="仿宋_GB2312" w:hAnsi="仿宋_GB2312" w:cs="仿宋_GB2312" w:eastAsia="仿宋_GB2312"/>
                <w:sz w:val="28"/>
              </w:rPr>
              <w:t>D类以上全职在琼工作的高层次人才</w:t>
            </w:r>
            <w:r>
              <w:rPr>
                <w:rFonts w:ascii="仿宋_GB2312" w:hAnsi="仿宋_GB2312" w:cs="仿宋_GB2312" w:eastAsia="仿宋_GB2312"/>
                <w:sz w:val="28"/>
              </w:rPr>
              <w:t>，</w:t>
            </w:r>
            <w:r>
              <w:rPr>
                <w:rFonts w:ascii="仿宋_GB2312" w:hAnsi="仿宋_GB2312" w:cs="仿宋_GB2312" w:eastAsia="仿宋_GB2312"/>
                <w:sz w:val="28"/>
              </w:rPr>
              <w:t>并智能识别抓取人才信息，为人才主动办理高层次人才商业健康团体保险，为人才提供商保</w:t>
            </w:r>
            <w:r>
              <w:rPr>
                <w:rFonts w:ascii="仿宋_GB2312" w:hAnsi="仿宋_GB2312" w:cs="仿宋_GB2312" w:eastAsia="仿宋_GB2312"/>
                <w:sz w:val="28"/>
              </w:rPr>
              <w:t>“无感服务”。</w:t>
            </w:r>
          </w:p>
          <w:p>
            <w:pPr>
              <w:pStyle w:val="null3"/>
              <w:ind w:firstLine="560"/>
              <w:jc w:val="both"/>
            </w:pPr>
            <w:r>
              <w:rPr>
                <w:rFonts w:ascii="仿宋_GB2312" w:hAnsi="仿宋_GB2312" w:cs="仿宋_GB2312" w:eastAsia="仿宋_GB2312"/>
                <w:sz w:val="28"/>
              </w:rPr>
              <w:t>商保报表自动生成。</w:t>
            </w:r>
            <w:r>
              <w:rPr>
                <w:rFonts w:ascii="仿宋_GB2312" w:hAnsi="仿宋_GB2312" w:cs="仿宋_GB2312" w:eastAsia="仿宋_GB2312"/>
                <w:sz w:val="28"/>
              </w:rPr>
              <w:t>在审批系统中</w:t>
            </w:r>
            <w:r>
              <w:rPr>
                <w:rFonts w:ascii="仿宋_GB2312" w:hAnsi="仿宋_GB2312" w:cs="仿宋_GB2312" w:eastAsia="仿宋_GB2312"/>
                <w:sz w:val="28"/>
              </w:rPr>
              <w:t>为人才商保服务开设业务专区</w:t>
            </w:r>
            <w:r>
              <w:rPr>
                <w:rFonts w:ascii="仿宋_GB2312" w:hAnsi="仿宋_GB2312" w:cs="仿宋_GB2312" w:eastAsia="仿宋_GB2312"/>
                <w:sz w:val="28"/>
              </w:rPr>
              <w:t>，设置待购买、待续保、待停保三个页面</w:t>
            </w:r>
            <w:r>
              <w:rPr>
                <w:rFonts w:ascii="仿宋_GB2312" w:hAnsi="仿宋_GB2312" w:cs="仿宋_GB2312" w:eastAsia="仿宋_GB2312"/>
                <w:sz w:val="28"/>
              </w:rPr>
              <w:t>，为社保部门自动生成相关人才商保服务业务清单，以便社保部门开展保险购买、续保、停保等工作。</w:t>
            </w:r>
          </w:p>
          <w:p>
            <w:pPr>
              <w:pStyle w:val="null3"/>
              <w:ind w:firstLine="560"/>
              <w:jc w:val="both"/>
            </w:pPr>
            <w:r>
              <w:rPr>
                <w:rFonts w:ascii="仿宋_GB2312" w:hAnsi="仿宋_GB2312" w:cs="仿宋_GB2312" w:eastAsia="仿宋_GB2312"/>
                <w:sz w:val="28"/>
              </w:rPr>
              <w:t>人才商保数据综合查询。获取当前所有</w:t>
            </w:r>
            <w:r>
              <w:rPr>
                <w:rFonts w:ascii="仿宋_GB2312" w:hAnsi="仿宋_GB2312" w:cs="仿宋_GB2312" w:eastAsia="仿宋_GB2312"/>
                <w:sz w:val="28"/>
              </w:rPr>
              <w:t>D类及以上已制证的高层次人才商保信息，包括未购买、已购买、待续保、已停保所有状态的人才商保信息，形成人才商保数据综合查询菜单。</w:t>
            </w:r>
          </w:p>
          <w:p>
            <w:pPr>
              <w:pStyle w:val="null3"/>
              <w:ind w:firstLine="560"/>
              <w:jc w:val="both"/>
            </w:pPr>
            <w:r>
              <w:rPr>
                <w:rFonts w:ascii="仿宋_GB2312" w:hAnsi="仿宋_GB2312" w:cs="仿宋_GB2312" w:eastAsia="仿宋_GB2312"/>
                <w:sz w:val="28"/>
              </w:rPr>
              <w:t>特殊商保数据管理。为满足部分特殊引进人才、以及在系统建设前由省委人才局线下完成认定的首批人才的商保需求，为统一管理人才商保信息，保障特殊人才商保购买服务，设置特殊商保数据管理菜单。获取首批特殊认定高层次人才名单信息进行初始化导入，判断其人才证书有效状态，设置商保信息列。</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自贸港人才服务智能化拓展</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人才</w:t>
            </w:r>
            <w:r>
              <w:rPr>
                <w:rFonts w:ascii="仿宋_GB2312" w:hAnsi="仿宋_GB2312" w:cs="仿宋_GB2312" w:eastAsia="仿宋_GB2312"/>
                <w:sz w:val="28"/>
              </w:rPr>
              <w:t>“店小二”服务管理系统</w:t>
            </w:r>
          </w:p>
          <w:p>
            <w:pPr>
              <w:pStyle w:val="null3"/>
              <w:ind w:firstLine="560"/>
              <w:jc w:val="both"/>
            </w:pPr>
            <w:r>
              <w:rPr>
                <w:rFonts w:ascii="仿宋_GB2312" w:hAnsi="仿宋_GB2312" w:cs="仿宋_GB2312" w:eastAsia="仿宋_GB2312"/>
                <w:sz w:val="28"/>
              </w:rPr>
              <w:t>服务系统。开发面向办事群众以及企业的贴心店小二服务系统，实现代办协议线上签署存档、代办业务预约发起、代办件状态实时查询跟踪、代办业务评价等服务功能。</w:t>
            </w:r>
          </w:p>
          <w:p>
            <w:pPr>
              <w:pStyle w:val="null3"/>
              <w:ind w:firstLine="560"/>
              <w:jc w:val="both"/>
            </w:pPr>
            <w:r>
              <w:rPr>
                <w:rFonts w:ascii="仿宋_GB2312" w:hAnsi="仿宋_GB2312" w:cs="仿宋_GB2312" w:eastAsia="仿宋_GB2312"/>
                <w:sz w:val="28"/>
              </w:rPr>
              <w:t>业务管理系统。设置业务管理系统，各代办服务公司管理人通过公司法人账号登陆后，对公司名下代办人员信息、账号与角色权限等进行配置，并对业务办理情况等进行整体管控。</w:t>
            </w:r>
          </w:p>
          <w:p>
            <w:pPr>
              <w:pStyle w:val="null3"/>
              <w:ind w:firstLine="560"/>
              <w:jc w:val="both"/>
            </w:pPr>
            <w:r>
              <w:rPr>
                <w:rFonts w:ascii="仿宋_GB2312" w:hAnsi="仿宋_GB2312" w:cs="仿宋_GB2312" w:eastAsia="仿宋_GB2312"/>
                <w:sz w:val="28"/>
              </w:rPr>
              <w:t>业务收件系统。开发代办员使用的业务收件系统，在工作台为代办员重点展示今日待收件任务列表与预警办件提示。并在工作台设置包括待收件、待补正、我的所有办件等快捷功能模块，代办员可通过该系统实施代办业务，包括对于业务的委托接件、补齐补正、草稿暂存、代办件提交申报、个人所有件查询等操作。</w:t>
            </w:r>
          </w:p>
          <w:p>
            <w:pPr>
              <w:pStyle w:val="null3"/>
              <w:ind w:firstLine="480"/>
              <w:jc w:val="both"/>
            </w:pPr>
            <w:r>
              <w:rPr>
                <w:rFonts w:ascii="仿宋_GB2312" w:hAnsi="仿宋_GB2312" w:cs="仿宋_GB2312" w:eastAsia="仿宋_GB2312"/>
                <w:sz w:val="28"/>
              </w:rPr>
              <w:t>业务收件系统需对接电子书架，根据用户授权的事项信息，代办员可调用申请人</w:t>
            </w:r>
            <w:r>
              <w:rPr>
                <w:rFonts w:ascii="仿宋_GB2312" w:hAnsi="仿宋_GB2312" w:cs="仿宋_GB2312" w:eastAsia="仿宋_GB2312"/>
                <w:sz w:val="28"/>
              </w:rPr>
              <w:t>/企业在人才专属空间-电子书架中维护上传的相应文件附件。</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监管系统。为人才业务部门人员开发监督管理系统。实现服务公司配置、代办件筛选查询、代办服务效能管理。设置店小二第三方服务公司账号配置管理页面，为指定的若干家代办公司法人账号配置</w:t>
            </w:r>
            <w:r>
              <w:rPr>
                <w:rFonts w:ascii="仿宋_GB2312" w:hAnsi="仿宋_GB2312" w:cs="仿宋_GB2312" w:eastAsia="仿宋_GB2312"/>
                <w:sz w:val="28"/>
              </w:rPr>
              <w:t>“店小二”业务系统使用权限。</w:t>
            </w:r>
          </w:p>
          <w:p>
            <w:pPr>
              <w:pStyle w:val="null3"/>
              <w:spacing w:before="15" w:after="15"/>
              <w:ind w:firstLine="480"/>
              <w:jc w:val="left"/>
            </w:pPr>
            <w:r>
              <w:rPr>
                <w:rFonts w:ascii="仿宋_GB2312" w:hAnsi="仿宋_GB2312" w:cs="仿宋_GB2312" w:eastAsia="仿宋_GB2312"/>
                <w:sz w:val="28"/>
              </w:rPr>
              <w:t>管理系统中，用户可对所有代办办件进行统一管理，展示所有代办业务列表。管理人员能够查看跟踪所有代办业务清单、掌握代办服务数据。包括不限于代办人员信息、当前办件状态、办件时效、办件评价等。并对店小二业务开展业务数据统计、服务效率统计；对接好差评系统，当属于代办的办件编号出现差评信息时，主动推送至业务管理部门，形成代办办件差评台账。</w:t>
            </w:r>
          </w:p>
          <w:p>
            <w:pPr>
              <w:pStyle w:val="null3"/>
              <w:ind w:firstLine="560"/>
              <w:jc w:val="both"/>
            </w:pPr>
            <w:r>
              <w:rPr>
                <w:rFonts w:ascii="仿宋_GB2312" w:hAnsi="仿宋_GB2312" w:cs="仿宋_GB2312" w:eastAsia="仿宋_GB2312"/>
                <w:sz w:val="28"/>
              </w:rPr>
              <w:t>“店小二”系统对接。为确保店小二系统中办件能够顺利流转、收件，需完成店小二系统与人才服务审批系统、事项管理系统、政务服务网、统一身份认证系统以及好差评系统的对接。实现表单、情形、材料清单以及办件等信息同步。</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海南自贸港特色智能</w:t>
            </w:r>
            <w:r>
              <w:rPr>
                <w:rFonts w:ascii="仿宋_GB2312" w:hAnsi="仿宋_GB2312" w:cs="仿宋_GB2312" w:eastAsia="仿宋_GB2312"/>
                <w:sz w:val="28"/>
              </w:rPr>
              <w:t>“人才港”</w:t>
            </w:r>
          </w:p>
          <w:p>
            <w:pPr>
              <w:pStyle w:val="null3"/>
              <w:ind w:firstLine="560"/>
              <w:jc w:val="both"/>
            </w:pPr>
            <w:r>
              <w:rPr>
                <w:rFonts w:ascii="仿宋_GB2312" w:hAnsi="仿宋_GB2312" w:cs="仿宋_GB2312" w:eastAsia="仿宋_GB2312"/>
                <w:sz w:val="28"/>
              </w:rPr>
              <w:t>AI智能引才服务中心。为寻找和吸引更多“高精尖缺”专业的国内外人才，推动人才引进和服务的精准化，通过多种途径收集、整合国际国内人才数据，包含管理领域专业、互联网和电信、教育和科研领域专业、热带农业专业、体育（含电子竞技）产业专业、现代金融服务业专业、现代物流业专业、宣传文化领域专业、医疗和健康服务业领域的各类专家、院士的研究领域、研究成果和学术论著等信息，依托海南省自由贸易港人才服务“单一窗口”（一期）人才政策匹配功能，通过海易办精准推送优惠政策、办理流程等信息，及时让更多“高精尖缺”人才掌握海南自贸港的“人才红利”。</w:t>
            </w:r>
          </w:p>
          <w:p>
            <w:pPr>
              <w:pStyle w:val="null3"/>
              <w:ind w:firstLine="560"/>
              <w:jc w:val="both"/>
            </w:pPr>
            <w:r>
              <w:rPr>
                <w:rFonts w:ascii="仿宋_GB2312" w:hAnsi="仿宋_GB2312" w:cs="仿宋_GB2312" w:eastAsia="仿宋_GB2312"/>
                <w:sz w:val="28"/>
              </w:rPr>
              <w:t>主动服务专区。在专属空间</w:t>
            </w:r>
            <w:r>
              <w:rPr>
                <w:rFonts w:ascii="仿宋_GB2312" w:hAnsi="仿宋_GB2312" w:cs="仿宋_GB2312" w:eastAsia="仿宋_GB2312"/>
                <w:sz w:val="28"/>
              </w:rPr>
              <w:t>-主动服务区域设置人才自测服务，用户可根据自身实际状况填报简单问卷，系统自动核验后为申请人提供自测结果，并推荐申请人完成人才认定。本期项目中，以市场认可类刚性/柔性人才为准进行试点实施。</w:t>
            </w:r>
          </w:p>
          <w:p>
            <w:pPr>
              <w:pStyle w:val="null3"/>
              <w:spacing w:before="15" w:after="15"/>
              <w:ind w:firstLine="480"/>
              <w:jc w:val="both"/>
            </w:pPr>
            <w:r>
              <w:rPr>
                <w:rFonts w:ascii="仿宋_GB2312" w:hAnsi="仿宋_GB2312" w:cs="仿宋_GB2312" w:eastAsia="仿宋_GB2312"/>
                <w:sz w:val="28"/>
              </w:rPr>
              <w:t>在主动服务专区开设智能推荐功能，通过数据识别比对，系统为人才智能推送相应的服务以及各类人才相关讯息。</w:t>
            </w:r>
          </w:p>
          <w:p>
            <w:pPr>
              <w:pStyle w:val="null3"/>
              <w:spacing w:before="15" w:after="15"/>
              <w:ind w:firstLine="560"/>
              <w:jc w:val="left"/>
            </w:pPr>
            <w:r>
              <w:rPr>
                <w:rFonts w:ascii="仿宋_GB2312" w:hAnsi="仿宋_GB2312" w:cs="仿宋_GB2312" w:eastAsia="仿宋_GB2312"/>
                <w:sz w:val="28"/>
              </w:rPr>
              <w:t>信息调用授权管理。对于首次进入服务智能推荐专区的用户，需进行各服务信息调用的授权。授权确认系统获取人员基本信息、专属空间信息。用户需完成授权同意后，才可以开启相应的智能推送服务。在首次进入功能时，展示弹窗提示，默认一键勾选所有权限，点击确认授权后进行一键启用所有智能服务功能的信息调用授权。</w:t>
            </w:r>
          </w:p>
          <w:p>
            <w:pPr>
              <w:pStyle w:val="null3"/>
              <w:spacing w:before="15" w:after="15"/>
              <w:ind w:firstLine="560"/>
              <w:jc w:val="left"/>
            </w:pPr>
            <w:r>
              <w:rPr>
                <w:rFonts w:ascii="仿宋_GB2312" w:hAnsi="仿宋_GB2312" w:cs="仿宋_GB2312" w:eastAsia="仿宋_GB2312"/>
                <w:sz w:val="28"/>
              </w:rPr>
              <w:t>招聘信息推荐。对接就业部门公共招聘网的招聘信息发布系统，开发相应接口，获取包括招聘网参会招聘职位信息、招聘网投递简历信息、招聘网展区布局等招聘相关信息。根据用户授权的专属空间内容，自动比对匹配合适的招聘信息推送给人才。</w:t>
            </w:r>
          </w:p>
          <w:p>
            <w:pPr>
              <w:pStyle w:val="null3"/>
              <w:spacing w:before="15" w:after="15"/>
              <w:ind w:firstLine="560"/>
              <w:jc w:val="left"/>
            </w:pPr>
            <w:r>
              <w:rPr>
                <w:rFonts w:ascii="仿宋_GB2312" w:hAnsi="仿宋_GB2312" w:cs="仿宋_GB2312" w:eastAsia="仿宋_GB2312"/>
                <w:sz w:val="28"/>
              </w:rPr>
              <w:t>市场认可标准升级推荐。在人才个税巡检结果的基础上，为当前个税缴纳超出原认定层级的人才提供人才层级升级提示，提供相应层级的再次认定办事指南链接，设置温馨提示语，指引人才升级认定信息。</w:t>
            </w:r>
          </w:p>
          <w:p>
            <w:pPr>
              <w:pStyle w:val="null3"/>
              <w:spacing w:before="15" w:after="15"/>
              <w:ind w:firstLine="560"/>
              <w:jc w:val="left"/>
            </w:pPr>
            <w:r>
              <w:rPr>
                <w:rFonts w:ascii="仿宋_GB2312" w:hAnsi="仿宋_GB2312" w:cs="仿宋_GB2312" w:eastAsia="仿宋_GB2312"/>
                <w:sz w:val="28"/>
              </w:rPr>
              <w:t>落户服务推荐。分析人才专属空间基本信息、人才认定层级信息，辨析人才需求，为人才提供个性化服务推荐。如当申请人户口所在地不属于海南时，在智能推荐区将推送人才落户业务办理入口，用户可一键点击跳转办理。</w:t>
            </w:r>
          </w:p>
          <w:p>
            <w:pPr>
              <w:pStyle w:val="null3"/>
              <w:spacing w:before="15" w:after="15"/>
              <w:ind w:firstLine="560"/>
              <w:jc w:val="left"/>
            </w:pPr>
            <w:r>
              <w:rPr>
                <w:rFonts w:ascii="仿宋_GB2312" w:hAnsi="仿宋_GB2312" w:cs="仿宋_GB2312" w:eastAsia="仿宋_GB2312"/>
                <w:sz w:val="28"/>
              </w:rPr>
              <w:t>亲属服务推荐。如人才在专属空间中填报了亲属信息，则辨析其亲属信息，为其提供人才相关的亲属服务。如当人才子女信息中，以满足入学年龄时，为申请人提供人才子女入学服务办理入口，用户可一键点击跳转办理。</w:t>
            </w:r>
          </w:p>
          <w:p>
            <w:pPr>
              <w:pStyle w:val="null3"/>
              <w:spacing w:before="15" w:after="15"/>
              <w:ind w:firstLine="560"/>
              <w:jc w:val="left"/>
            </w:pPr>
            <w:r>
              <w:rPr>
                <w:rFonts w:ascii="仿宋_GB2312" w:hAnsi="仿宋_GB2312" w:cs="仿宋_GB2312" w:eastAsia="仿宋_GB2312"/>
                <w:sz w:val="28"/>
              </w:rPr>
              <w:t>英才卡服务推荐。收集各部门发布的英才卡服务优惠政策或官方公告信息源，如可凭借英才卡免费参观的园区、博物馆清单、可凭借英才卡免费乘坐的公交车线路等；当人才完成认定时，系统自动识别其人才层级，并在智能推荐区为人才提供英才卡服务信息。</w:t>
            </w:r>
          </w:p>
          <w:p>
            <w:pPr>
              <w:pStyle w:val="null3"/>
              <w:spacing w:before="15" w:after="15"/>
              <w:ind w:firstLine="560"/>
              <w:jc w:val="left"/>
            </w:pPr>
            <w:r>
              <w:rPr>
                <w:rFonts w:ascii="仿宋_GB2312" w:hAnsi="仿宋_GB2312" w:cs="仿宋_GB2312" w:eastAsia="仿宋_GB2312"/>
                <w:sz w:val="28"/>
              </w:rPr>
              <w:t>人才住房补贴推送。当存在人才尚未申领或者享受的人才补贴信息时，为用户推送福利讯息或补贴申领入口。当人才尚未存在住房补贴申领记录时，为人才提供高层次人才住房补贴办理链接、住房补贴办理流程指南等信息，指引人才了解并办理相关政策福利申领事项。</w:t>
            </w:r>
          </w:p>
          <w:p>
            <w:pPr>
              <w:pStyle w:val="null3"/>
              <w:spacing w:before="15" w:after="15"/>
              <w:ind w:firstLine="560"/>
              <w:jc w:val="left"/>
            </w:pPr>
            <w:r>
              <w:rPr>
                <w:rFonts w:ascii="仿宋_GB2312" w:hAnsi="仿宋_GB2312" w:cs="仿宋_GB2312" w:eastAsia="仿宋_GB2312"/>
                <w:sz w:val="28"/>
              </w:rPr>
              <w:t>人才服务推荐配置。为确保智能推荐的时效性，考虑到市场认可标准的调整情况，设置人才智能推荐配置菜单。用户可配置最新的市场认可标准个税缴纳金额区间；对落户、亲属服务推荐等模块设置不同的个性化温馨提示语、跳转链接等信息。在配置中，人才业务部门也可发布自定义服务推荐消息，为人才在专属空间中推送不同的服务提示信息。</w:t>
            </w:r>
          </w:p>
          <w:p>
            <w:pPr>
              <w:pStyle w:val="null3"/>
              <w:ind w:firstLine="560"/>
              <w:jc w:val="both"/>
            </w:pPr>
            <w:r>
              <w:rPr>
                <w:rFonts w:ascii="仿宋_GB2312" w:hAnsi="仿宋_GB2312" w:cs="仿宋_GB2312" w:eastAsia="仿宋_GB2312"/>
                <w:sz w:val="28"/>
              </w:rPr>
              <w:t>人才码基础应用。结合各先进省市的人才服务调研情况，开展对于人才码的发放与应用工作。在本期项目内，初步开展对于人才码的基础应用配置与全省个人码的对接工作。首批试点完成对于高层次人才的赋码工作，为人才码未来的服务拓展工作奠定用户基础。依托全省统建的个人码，试点对全省约五万高层次人才赋码。统一对接海易办码平台，管理人才码信息生成、扫码核验与试点第三方机构企业提供服务。</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系统数据对接</w:t>
            </w:r>
          </w:p>
          <w:p>
            <w:pPr>
              <w:pStyle w:val="null3"/>
              <w:ind w:firstLine="560"/>
              <w:jc w:val="both"/>
            </w:pPr>
            <w:r>
              <w:rPr>
                <w:rFonts w:ascii="仿宋_GB2312" w:hAnsi="仿宋_GB2312" w:cs="仿宋_GB2312" w:eastAsia="仿宋_GB2312"/>
                <w:sz w:val="28"/>
              </w:rPr>
              <w:t>国际人才服务数据对接。主要为英文人才办件生成时的各项数据对接：包含与统一身份认证系统、事项管理系统、人才行政审批系统基础数据、人才行政审批系统业务流程的对接。</w:t>
            </w:r>
          </w:p>
          <w:p>
            <w:pPr>
              <w:pStyle w:val="null3"/>
              <w:ind w:firstLine="560"/>
              <w:jc w:val="both"/>
            </w:pPr>
            <w:r>
              <w:rPr>
                <w:rFonts w:ascii="仿宋_GB2312" w:hAnsi="仿宋_GB2312" w:cs="仿宋_GB2312" w:eastAsia="仿宋_GB2312"/>
                <w:sz w:val="28"/>
              </w:rPr>
              <w:t>多部门人才服务事项信息系统整合。包括与海南省公共就业服务管理系统、职业培训系统机构数据对接、以及省级系统数据接口、国家系统数据接口对接工作。</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人才咨询与实施服务</w:t>
            </w:r>
          </w:p>
          <w:p>
            <w:pPr>
              <w:pStyle w:val="null3"/>
              <w:ind w:firstLine="560"/>
              <w:jc w:val="both"/>
            </w:pPr>
            <w:r>
              <w:rPr>
                <w:rFonts w:ascii="仿宋_GB2312" w:hAnsi="仿宋_GB2312" w:cs="仿宋_GB2312" w:eastAsia="仿宋_GB2312"/>
                <w:sz w:val="28"/>
              </w:rPr>
              <w:t>人才服务三目录三清单编制支撑服务。通过明确人才部门职责目录、系统目录与数据目录，推动人才工作的规范化、标准化和专业化。</w:t>
            </w:r>
            <w:r>
              <w:rPr>
                <w:rFonts w:ascii="仿宋_GB2312" w:hAnsi="仿宋_GB2312" w:cs="仿宋_GB2312" w:eastAsia="仿宋_GB2312"/>
                <w:sz w:val="28"/>
                <w:shd w:fill="FDFDFE" w:val="clear"/>
              </w:rPr>
              <w:t>为了确保各目录的准确性与完整性，需要专业咨询团队的参与。专业咨询团队具备丰富的经验和专业知识，可以针对当前人才服务部门的实际情况与业务开展情况，提供有针对性的指导。通过参考先进省市的情况，分析梳理人才职责目录，梳理系统颗粒度与各类数据资源信息，可以确保目录的准确性和完整性，为人才服务工作的顺利开展提供有力保障。</w:t>
            </w:r>
          </w:p>
          <w:p>
            <w:pPr>
              <w:pStyle w:val="null3"/>
              <w:ind w:firstLine="560"/>
              <w:jc w:val="both"/>
            </w:pPr>
            <w:r>
              <w:rPr>
                <w:rFonts w:ascii="仿宋_GB2312" w:hAnsi="仿宋_GB2312" w:cs="仿宋_GB2312" w:eastAsia="仿宋_GB2312"/>
                <w:sz w:val="28"/>
              </w:rPr>
              <w:t>业务运行情况分析咨询。基于人才住房补贴为我省高频办理事项，为更好提升人才服务质量水平，需在本期项目中应用数据分析功能建设成果，展开多维度的工作现状以及数据统计类分析，包括人才服务好差评分析、人才事项进驻窗口情况等分析实施，梳理相关的数据，并定期出具相应工作分析报告。</w:t>
            </w:r>
          </w:p>
          <w:p>
            <w:pPr>
              <w:pStyle w:val="null3"/>
              <w:spacing w:before="15" w:after="15"/>
              <w:ind w:firstLine="480"/>
              <w:jc w:val="both"/>
            </w:pPr>
            <w:r>
              <w:rPr>
                <w:rFonts w:ascii="仿宋_GB2312" w:hAnsi="仿宋_GB2312" w:cs="仿宋_GB2312" w:eastAsia="仿宋_GB2312"/>
                <w:sz w:val="28"/>
              </w:rPr>
              <w:t>该工作为长期咨询服务工作，需长期投入</w:t>
            </w:r>
            <w:r>
              <w:rPr>
                <w:rFonts w:ascii="仿宋_GB2312" w:hAnsi="仿宋_GB2312" w:cs="仿宋_GB2312" w:eastAsia="仿宋_GB2312"/>
                <w:sz w:val="28"/>
              </w:rPr>
              <w:t>1名专业咨询人员，以跟踪人才办服务情况，通过各市县、各部门走访调研、线上数据汇总等途径，按季度编制人才相关业务的分析报告。每季度出具不少于1篇相关业务分析报告。</w:t>
            </w:r>
          </w:p>
          <w:p>
            <w:pPr>
              <w:pStyle w:val="null3"/>
              <w:ind w:firstLine="560"/>
              <w:jc w:val="both"/>
            </w:pPr>
            <w:r>
              <w:rPr>
                <w:rFonts w:ascii="仿宋_GB2312" w:hAnsi="仿宋_GB2312" w:cs="仿宋_GB2312" w:eastAsia="仿宋_GB2312"/>
                <w:sz w:val="28"/>
              </w:rPr>
              <w:t>五、</w:t>
            </w:r>
            <w:r>
              <w:rPr>
                <w:rFonts w:ascii="仿宋_GB2312" w:hAnsi="仿宋_GB2312" w:cs="仿宋_GB2312" w:eastAsia="仿宋_GB2312"/>
                <w:sz w:val="28"/>
              </w:rPr>
              <w:t>数据资源建设与数据开放应用（服务）</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国内外人才获取</w:t>
            </w:r>
          </w:p>
          <w:p>
            <w:pPr>
              <w:pStyle w:val="null3"/>
              <w:ind w:firstLine="560"/>
              <w:jc w:val="both"/>
            </w:pPr>
            <w:r>
              <w:rPr>
                <w:rFonts w:ascii="仿宋_GB2312" w:hAnsi="仿宋_GB2312" w:cs="仿宋_GB2312" w:eastAsia="仿宋_GB2312"/>
                <w:sz w:val="28"/>
              </w:rPr>
              <w:t>治理对象。治理对象分别为国际及港澳人才、国内人才，以及各专业领域人才。获取人才的信息包括人才姓名、人才联系方式（手机号或固定电话或邮箱）、相关资质证书，共计</w:t>
            </w:r>
            <w:r>
              <w:rPr>
                <w:rFonts w:ascii="仿宋_GB2312" w:hAnsi="仿宋_GB2312" w:cs="仿宋_GB2312" w:eastAsia="仿宋_GB2312"/>
                <w:sz w:val="28"/>
              </w:rPr>
              <w:t>20个高校网站及22个各领域人才资质认证网站或获奖信息发布网站的采集治理。</w:t>
            </w:r>
          </w:p>
          <w:p>
            <w:pPr>
              <w:pStyle w:val="null3"/>
              <w:ind w:firstLine="560"/>
              <w:jc w:val="both"/>
            </w:pPr>
            <w:r>
              <w:rPr>
                <w:rFonts w:ascii="仿宋_GB2312" w:hAnsi="仿宋_GB2312" w:cs="仿宋_GB2312" w:eastAsia="仿宋_GB2312"/>
                <w:sz w:val="28"/>
              </w:rPr>
              <w:t>数据梳理。高校网站共计</w:t>
            </w:r>
            <w:r>
              <w:rPr>
                <w:rFonts w:ascii="仿宋_GB2312" w:hAnsi="仿宋_GB2312" w:cs="仿宋_GB2312" w:eastAsia="仿宋_GB2312"/>
                <w:sz w:val="28"/>
              </w:rPr>
              <w:t>20个，在各领域人才资质认证网站或获奖信息发布网站22个，总计采集42个网站。</w:t>
            </w:r>
          </w:p>
          <w:p>
            <w:pPr>
              <w:pStyle w:val="null3"/>
              <w:ind w:left="645"/>
              <w:jc w:val="both"/>
            </w:pPr>
            <w:r>
              <w:rPr>
                <w:rFonts w:ascii="仿宋_GB2312" w:hAnsi="仿宋_GB2312" w:cs="仿宋_GB2312" w:eastAsia="仿宋_GB2312"/>
                <w:sz w:val="28"/>
                <w:b/>
              </w:rPr>
              <w:t>（二）</w:t>
            </w:r>
            <w:r>
              <w:rPr>
                <w:rFonts w:ascii="仿宋_GB2312" w:hAnsi="仿宋_GB2312" w:cs="仿宋_GB2312" w:eastAsia="仿宋_GB2312"/>
                <w:sz w:val="28"/>
              </w:rPr>
              <w:t>国际及港澳人才基础信息抓取</w:t>
            </w:r>
          </w:p>
          <w:p>
            <w:pPr>
              <w:pStyle w:val="null3"/>
              <w:ind w:firstLine="562"/>
              <w:jc w:val="both"/>
            </w:pPr>
            <w:r>
              <w:rPr>
                <w:rFonts w:ascii="仿宋_GB2312" w:hAnsi="仿宋_GB2312" w:cs="仿宋_GB2312" w:eastAsia="仿宋_GB2312"/>
                <w:sz w:val="28"/>
                <w:b/>
              </w:rPr>
              <w:t>a.</w:t>
            </w:r>
            <w:r>
              <w:rPr>
                <w:rFonts w:ascii="仿宋_GB2312" w:hAnsi="仿宋_GB2312" w:cs="仿宋_GB2312" w:eastAsia="仿宋_GB2312"/>
                <w:sz w:val="28"/>
                <w:b/>
              </w:rPr>
              <w:t>美国</w:t>
            </w:r>
            <w:r>
              <w:rPr>
                <w:rFonts w:ascii="仿宋_GB2312" w:hAnsi="仿宋_GB2312" w:cs="仿宋_GB2312" w:eastAsia="仿宋_GB2312"/>
                <w:sz w:val="28"/>
                <w:b/>
              </w:rPr>
              <w:t>3所高校</w:t>
            </w:r>
          </w:p>
          <w:tbl>
            <w:tblPr>
              <w:tblBorders>
                <w:top w:val="none" w:color="000000" w:sz="4"/>
                <w:left w:val="none" w:color="000000" w:sz="4"/>
                <w:bottom w:val="none" w:color="000000" w:sz="4"/>
                <w:right w:val="none" w:color="000000" w:sz="4"/>
                <w:insideH w:val="none"/>
                <w:insideV w:val="none"/>
              </w:tblBorders>
            </w:tblPr>
            <w:tblGrid>
              <w:gridCol w:w="108"/>
              <w:gridCol w:w="316"/>
              <w:gridCol w:w="343"/>
              <w:gridCol w:w="506"/>
              <w:gridCol w:w="1279"/>
            </w:tblGrid>
            <w:tr>
              <w:tc>
                <w:tcPr>
                  <w:tcW w:type="dxa" w:w="4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1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1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美国</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加利福尼亚大学伯克利分校</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webadmin@berkeley.edu</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http：//www.berkeley.edu/</w:t>
                  </w:r>
                </w:p>
              </w:tc>
              <w:tc>
                <w:tcPr>
                  <w:tcW w:type="dxa" w:w="1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加利福尼亚大学伯克利分校</w:t>
                  </w:r>
                  <w:r>
                    <w:rPr>
                      <w:rFonts w:ascii="仿宋_GB2312" w:hAnsi="仿宋_GB2312" w:cs="仿宋_GB2312" w:eastAsia="仿宋_GB2312"/>
                      <w:sz w:val="22"/>
                    </w:rPr>
                    <w:t>-教职工https://bair.berkeley.edu/faculty.html</w:t>
                  </w:r>
                </w:p>
              </w:tc>
            </w:tr>
            <w:tr>
              <w:tc>
                <w:tcPr>
                  <w:tcW w:type="dxa" w:w="108"/>
                  <w:vMerge/>
                  <w:tcBorders>
                    <w:top w:val="none" w:color="000000" w:sz="4"/>
                    <w:left w:val="single" w:color="000000" w:sz="4"/>
                    <w:bottom w:val="single" w:color="000000" w:sz="4"/>
                    <w:right w:val="single" w:color="000000" w:sz="4"/>
                  </w:tcBorders>
                </w:tcP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康奈尔大学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info@cornell.edu</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http：//www.cornell.edu/</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康奈尔大学</w:t>
                  </w:r>
                  <w:r>
                    <w:rPr>
                      <w:rFonts w:ascii="仿宋_GB2312" w:hAnsi="仿宋_GB2312" w:cs="仿宋_GB2312" w:eastAsia="仿宋_GB2312"/>
                      <w:sz w:val="22"/>
                    </w:rPr>
                    <w:t>-我们的专家https://cals.cornell.edu/research/find-an-expert/all</w:t>
                  </w:r>
                </w:p>
              </w:tc>
            </w:tr>
            <w:tr>
              <w:tc>
                <w:tcPr>
                  <w:tcW w:type="dxa" w:w="108"/>
                  <w:vMerge/>
                  <w:tcBorders>
                    <w:top w:val="none" w:color="000000" w:sz="4"/>
                    <w:left w:val="single" w:color="000000" w:sz="4"/>
                    <w:bottom w:val="single" w:color="000000" w:sz="4"/>
                    <w:right w:val="single" w:color="000000" w:sz="4"/>
                  </w:tcBorders>
                </w:tcP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哥伦比亚大学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askcuit@columbia.edu</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https：//www.columbia.edu/</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哥伦比亚大学</w:t>
                  </w:r>
                  <w:r>
                    <w:rPr>
                      <w:rFonts w:ascii="仿宋_GB2312" w:hAnsi="仿宋_GB2312" w:cs="仿宋_GB2312" w:eastAsia="仿宋_GB2312"/>
                      <w:sz w:val="22"/>
                    </w:rPr>
                    <w:t>-每个人https://www.engineering.columbia.edu/directory?gsarqfields%5Bbiotypetid%5D=30</w:t>
                  </w:r>
                </w:p>
              </w:tc>
            </w:tr>
          </w:tbl>
          <w:p>
            <w:pPr>
              <w:pStyle w:val="null3"/>
              <w:ind w:firstLine="562"/>
              <w:jc w:val="both"/>
            </w:pPr>
            <w:r>
              <w:rPr>
                <w:rFonts w:ascii="仿宋_GB2312" w:hAnsi="仿宋_GB2312" w:cs="仿宋_GB2312" w:eastAsia="仿宋_GB2312"/>
                <w:sz w:val="28"/>
                <w:b/>
              </w:rPr>
              <w:t>b.</w:t>
            </w:r>
            <w:r>
              <w:rPr>
                <w:rFonts w:ascii="仿宋_GB2312" w:hAnsi="仿宋_GB2312" w:cs="仿宋_GB2312" w:eastAsia="仿宋_GB2312"/>
                <w:sz w:val="28"/>
                <w:b/>
              </w:rPr>
              <w:t>澳洲</w:t>
            </w:r>
            <w:r>
              <w:rPr>
                <w:rFonts w:ascii="仿宋_GB2312" w:hAnsi="仿宋_GB2312" w:cs="仿宋_GB2312" w:eastAsia="仿宋_GB2312"/>
                <w:sz w:val="28"/>
                <w:b/>
              </w:rPr>
              <w:t>4所高校</w:t>
            </w:r>
          </w:p>
          <w:tbl>
            <w:tblPr>
              <w:tblBorders>
                <w:top w:val="none" w:color="000000" w:sz="4"/>
                <w:left w:val="none" w:color="000000" w:sz="4"/>
                <w:bottom w:val="none" w:color="000000" w:sz="4"/>
                <w:right w:val="none" w:color="000000" w:sz="4"/>
                <w:insideH w:val="none"/>
                <w:insideV w:val="none"/>
              </w:tblBorders>
            </w:tblPr>
            <w:tblGrid>
              <w:gridCol w:w="108"/>
              <w:gridCol w:w="199"/>
              <w:gridCol w:w="583"/>
              <w:gridCol w:w="547"/>
              <w:gridCol w:w="1116"/>
            </w:tblGrid>
            <w:tr>
              <w:tc>
                <w:tcPr>
                  <w:tcW w:type="dxa" w:w="3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1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1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澳洲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澳洲国立大学</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security@anu.edu.au</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https：//www.anu.edu.au/</w:t>
                  </w:r>
                </w:p>
              </w:tc>
              <w:tc>
                <w:tcPr>
                  <w:tcW w:type="dxa" w:w="1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澳洲国立大学</w:t>
                  </w:r>
                  <w:r>
                    <w:rPr>
                      <w:rFonts w:ascii="仿宋_GB2312" w:hAnsi="仿宋_GB2312" w:cs="仿宋_GB2312" w:eastAsia="仿宋_GB2312"/>
                      <w:sz w:val="22"/>
                    </w:rPr>
                    <w:t>-我们的人https://law.anu.edu.au/about/our-people</w:t>
                  </w:r>
                </w:p>
              </w:tc>
            </w:tr>
            <w:tr>
              <w:tc>
                <w:tcPr>
                  <w:tcW w:type="dxa" w:w="108"/>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科廷大学</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complaints.curtin.edu.au</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https：//www.curtin.edu.au/</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科廷大学</w:t>
                  </w:r>
                  <w:r>
                    <w:rPr>
                      <w:rFonts w:ascii="仿宋_GB2312" w:hAnsi="仿宋_GB2312" w:cs="仿宋_GB2312" w:eastAsia="仿宋_GB2312"/>
                      <w:sz w:val="22"/>
                    </w:rPr>
                    <w:t>-我们的研究人员https://research.curtin.edu.au/our-researchers/?query=Economics</w:t>
                  </w:r>
                </w:p>
              </w:tc>
            </w:tr>
            <w:tr>
              <w:tc>
                <w:tcPr>
                  <w:tcW w:type="dxa" w:w="108"/>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阿德莱德大学</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servicedesk@adelaide.edu.au</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https：//www.adelaide.edu.au/</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阿德莱德大学</w:t>
                  </w:r>
                  <w:r>
                    <w:rPr>
                      <w:rFonts w:ascii="仿宋_GB2312" w:hAnsi="仿宋_GB2312" w:cs="仿宋_GB2312" w:eastAsia="仿宋_GB2312"/>
                      <w:sz w:val="22"/>
                    </w:rPr>
                    <w:t>-我们的研究员https://researchers.adelaide.edu.au</w:t>
                  </w:r>
                </w:p>
              </w:tc>
            </w:tr>
            <w:tr>
              <w:tc>
                <w:tcPr>
                  <w:tcW w:type="dxa" w:w="108"/>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西澳大学</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general.enquiries@uwa.edu.au</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https：//www.uwa.edu.au/</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西澳大学</w:t>
                  </w:r>
                  <w:r>
                    <w:rPr>
                      <w:rFonts w:ascii="仿宋_GB2312" w:hAnsi="仿宋_GB2312" w:cs="仿宋_GB2312" w:eastAsia="仿宋_GB2312"/>
                      <w:sz w:val="22"/>
                    </w:rPr>
                    <w:t>-我们的研究员https://www.uwa.edu.au</w:t>
                  </w:r>
                </w:p>
              </w:tc>
            </w:tr>
          </w:tbl>
          <w:p>
            <w:pPr>
              <w:pStyle w:val="null3"/>
              <w:ind w:firstLine="562"/>
              <w:jc w:val="both"/>
            </w:pPr>
            <w:r>
              <w:rPr>
                <w:rFonts w:ascii="仿宋_GB2312" w:hAnsi="仿宋_GB2312" w:cs="仿宋_GB2312" w:eastAsia="仿宋_GB2312"/>
                <w:sz w:val="28"/>
                <w:b/>
              </w:rPr>
              <w:t>c.</w:t>
            </w:r>
            <w:r>
              <w:rPr>
                <w:rFonts w:ascii="仿宋_GB2312" w:hAnsi="仿宋_GB2312" w:cs="仿宋_GB2312" w:eastAsia="仿宋_GB2312"/>
                <w:sz w:val="28"/>
                <w:b/>
              </w:rPr>
              <w:t>新西兰</w:t>
            </w:r>
            <w:r>
              <w:rPr>
                <w:rFonts w:ascii="仿宋_GB2312" w:hAnsi="仿宋_GB2312" w:cs="仿宋_GB2312" w:eastAsia="仿宋_GB2312"/>
                <w:sz w:val="28"/>
                <w:b/>
              </w:rPr>
              <w:t>3所高校</w:t>
            </w:r>
          </w:p>
          <w:tbl>
            <w:tblPr>
              <w:tblBorders>
                <w:top w:val="none" w:color="000000" w:sz="4"/>
                <w:left w:val="none" w:color="000000" w:sz="4"/>
                <w:bottom w:val="none" w:color="000000" w:sz="4"/>
                <w:right w:val="none" w:color="000000" w:sz="4"/>
                <w:insideH w:val="none"/>
                <w:insideV w:val="none"/>
              </w:tblBorders>
            </w:tblPr>
            <w:tblGrid>
              <w:gridCol w:w="104"/>
              <w:gridCol w:w="212"/>
              <w:gridCol w:w="365"/>
              <w:gridCol w:w="388"/>
              <w:gridCol w:w="1484"/>
            </w:tblGrid>
            <w:tr>
              <w:tc>
                <w:tcPr>
                  <w:tcW w:type="dxa" w:w="3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1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1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新西兰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梅西大学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contact@massey.ac.nz</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http：//www.massey.ac.nz/</w:t>
                  </w:r>
                </w:p>
              </w:tc>
              <w:tc>
                <w:tcPr>
                  <w:tcW w:type="dxa" w:w="1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科学学院</w:t>
                  </w:r>
                  <w:r>
                    <w:rPr>
                      <w:rFonts w:ascii="仿宋_GB2312" w:hAnsi="仿宋_GB2312" w:cs="仿宋_GB2312" w:eastAsia="仿宋_GB2312"/>
                      <w:sz w:val="22"/>
                    </w:rPr>
                    <w:t>-我们的人https://www.massey.ac.nz/about/colleges-schools-and-institutes/college-of-sciences/#Whoweare</w:t>
                  </w:r>
                </w:p>
              </w:tc>
            </w:tr>
            <w:tr>
              <w:tc>
                <w:tcPr>
                  <w:tcW w:type="dxa" w:w="104"/>
                  <w:vMerge/>
                  <w:tcBorders>
                    <w:top w:val="none" w:color="000000" w:sz="4"/>
                    <w:left w:val="single" w:color="000000" w:sz="4"/>
                    <w:bottom w:val="single" w:color="000000" w:sz="4"/>
                    <w:right w:val="single" w:color="000000" w:sz="4"/>
                  </w:tcBorders>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奥克兰大学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city.security@auckland.ac.nz</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https：//www.auckland.ac.nz/</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奥克兰大学</w:t>
                  </w:r>
                  <w:r>
                    <w:rPr>
                      <w:rFonts w:ascii="仿宋_GB2312" w:hAnsi="仿宋_GB2312" w:cs="仿宋_GB2312" w:eastAsia="仿宋_GB2312"/>
                      <w:sz w:val="22"/>
                    </w:rPr>
                    <w:t>-专家搜索https://profiles.auckland.ac.nz/search?by=text&amp;type=user</w:t>
                  </w:r>
                </w:p>
              </w:tc>
            </w:tr>
            <w:tr>
              <w:tc>
                <w:tcPr>
                  <w:tcW w:type="dxa" w:w="104"/>
                  <w:vMerge/>
                  <w:tcBorders>
                    <w:top w:val="none" w:color="000000" w:sz="4"/>
                    <w:left w:val="single" w:color="000000" w:sz="4"/>
                    <w:bottom w:val="single" w:color="000000" w:sz="4"/>
                    <w:right w:val="single" w:color="000000" w:sz="4"/>
                  </w:tcBorders>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斯旺西大学</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international@swansea.ac.uk</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http：//www.swansea.ac.uk/</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斯旺西大学</w:t>
                  </w:r>
                  <w:r>
                    <w:rPr>
                      <w:rFonts w:ascii="仿宋_GB2312" w:hAnsi="仿宋_GB2312" w:cs="仿宋_GB2312" w:eastAsia="仿宋_GB2312"/>
                      <w:sz w:val="22"/>
                    </w:rPr>
                    <w:t>-研究员https://www.swansea.ac.uk/masi/visiting-fellows/</w:t>
                  </w:r>
                </w:p>
              </w:tc>
            </w:tr>
          </w:tbl>
          <w:p>
            <w:pPr>
              <w:pStyle w:val="null3"/>
              <w:ind w:firstLine="562"/>
              <w:jc w:val="both"/>
            </w:pPr>
            <w:r>
              <w:rPr>
                <w:rFonts w:ascii="仿宋_GB2312" w:hAnsi="仿宋_GB2312" w:cs="仿宋_GB2312" w:eastAsia="仿宋_GB2312"/>
                <w:sz w:val="28"/>
                <w:b/>
              </w:rPr>
              <w:t>d.</w:t>
            </w:r>
            <w:r>
              <w:rPr>
                <w:rFonts w:ascii="仿宋_GB2312" w:hAnsi="仿宋_GB2312" w:cs="仿宋_GB2312" w:eastAsia="仿宋_GB2312"/>
                <w:sz w:val="28"/>
                <w:b/>
              </w:rPr>
              <w:t>香港</w:t>
            </w:r>
            <w:r>
              <w:rPr>
                <w:rFonts w:ascii="仿宋_GB2312" w:hAnsi="仿宋_GB2312" w:cs="仿宋_GB2312" w:eastAsia="仿宋_GB2312"/>
                <w:sz w:val="28"/>
                <w:b/>
              </w:rPr>
              <w:t>2所高校</w:t>
            </w:r>
          </w:p>
          <w:tbl>
            <w:tblPr>
              <w:tblBorders>
                <w:top w:val="none" w:color="000000" w:sz="4"/>
                <w:left w:val="none" w:color="000000" w:sz="4"/>
                <w:bottom w:val="none" w:color="000000" w:sz="4"/>
                <w:right w:val="none" w:color="000000" w:sz="4"/>
                <w:insideH w:val="none"/>
                <w:insideV w:val="none"/>
              </w:tblBorders>
            </w:tblPr>
            <w:tblGrid>
              <w:gridCol w:w="99"/>
              <w:gridCol w:w="99"/>
              <w:gridCol w:w="338"/>
              <w:gridCol w:w="343"/>
              <w:gridCol w:w="1673"/>
            </w:tblGrid>
            <w:tr>
              <w:tc>
                <w:tcPr>
                  <w:tcW w:type="dxa" w:w="19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香港</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香港大学</w:t>
                  </w:r>
                </w:p>
              </w:tc>
              <w:tc>
                <w:tcPr>
                  <w:tcW w:type="dxa" w:w="3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85228592111</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https：//www.hku.hk/</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香港大学</w:t>
                  </w:r>
                  <w:r>
                    <w:rPr>
                      <w:rFonts w:ascii="仿宋_GB2312" w:hAnsi="仿宋_GB2312" w:cs="仿宋_GB2312" w:eastAsia="仿宋_GB2312"/>
                      <w:sz w:val="22"/>
                    </w:rPr>
                    <w:t>-香港大学获奖和荣誉获得者</w:t>
                  </w:r>
                </w:p>
              </w:tc>
            </w:tr>
            <w:tr>
              <w:tc>
                <w:tcPr>
                  <w:tcW w:type="dxa" w:w="99"/>
                  <w:vMerge/>
                  <w:tcBorders>
                    <w:top w:val="none" w:color="000000" w:sz="4"/>
                    <w:left w:val="singl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https://academicdevelopment.hku.hk/awards-recognition/hku-recipients-of-awards-honours/</w:t>
                  </w:r>
                </w:p>
              </w:tc>
            </w:tr>
            <w:tr>
              <w:tc>
                <w:tcPr>
                  <w:tcW w:type="dxa" w:w="99"/>
                  <w:vMerge/>
                  <w:tcBorders>
                    <w:top w:val="none" w:color="000000" w:sz="4"/>
                    <w:left w:val="single" w:color="000000" w:sz="4"/>
                    <w:bottom w:val="single" w:color="000000" w:sz="4"/>
                    <w:right w:val="single" w:color="000000" w:sz="4"/>
                  </w:tcBorders>
                </w:tcP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香港城市大学</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8515788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https：//www.cityu.edu.hk/</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香港城市大学</w:t>
                  </w:r>
                  <w:r>
                    <w:rPr>
                      <w:rFonts w:ascii="仿宋_GB2312" w:hAnsi="仿宋_GB2312" w:cs="仿宋_GB2312" w:eastAsia="仿宋_GB2312"/>
                      <w:sz w:val="22"/>
                    </w:rPr>
                    <w:t>-著名学者https://www.cityu.edu.hk/zh-cn/about/notable-scholars/academicians</w:t>
                  </w:r>
                </w:p>
              </w:tc>
            </w:tr>
          </w:tbl>
          <w:p>
            <w:pPr>
              <w:pStyle w:val="null3"/>
              <w:ind w:firstLine="562"/>
              <w:jc w:val="both"/>
            </w:pPr>
            <w:r>
              <w:rPr>
                <w:rFonts w:ascii="仿宋_GB2312" w:hAnsi="仿宋_GB2312" w:cs="仿宋_GB2312" w:eastAsia="仿宋_GB2312"/>
                <w:sz w:val="28"/>
                <w:b/>
              </w:rPr>
              <w:t>e.</w:t>
            </w:r>
            <w:r>
              <w:rPr>
                <w:rFonts w:ascii="仿宋_GB2312" w:hAnsi="仿宋_GB2312" w:cs="仿宋_GB2312" w:eastAsia="仿宋_GB2312"/>
                <w:sz w:val="28"/>
                <w:b/>
              </w:rPr>
              <w:t>澳门</w:t>
            </w:r>
            <w:r>
              <w:rPr>
                <w:rFonts w:ascii="仿宋_GB2312" w:hAnsi="仿宋_GB2312" w:cs="仿宋_GB2312" w:eastAsia="仿宋_GB2312"/>
                <w:sz w:val="28"/>
                <w:b/>
              </w:rPr>
              <w:t>2所高校</w:t>
            </w:r>
          </w:p>
          <w:tbl>
            <w:tblPr>
              <w:tblBorders>
                <w:top w:val="none" w:color="000000" w:sz="4"/>
                <w:left w:val="none" w:color="000000" w:sz="4"/>
                <w:bottom w:val="none" w:color="000000" w:sz="4"/>
                <w:right w:val="none" w:color="000000" w:sz="4"/>
                <w:insideH w:val="none"/>
                <w:insideV w:val="none"/>
              </w:tblBorders>
            </w:tblPr>
            <w:tblGrid>
              <w:gridCol w:w="108"/>
              <w:gridCol w:w="153"/>
              <w:gridCol w:w="338"/>
              <w:gridCol w:w="474"/>
              <w:gridCol w:w="1479"/>
            </w:tblGrid>
            <w:tr>
              <w:tc>
                <w:tcPr>
                  <w:tcW w:type="dxa" w:w="26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1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1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澳门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澳门大学</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info@um.edu.mo</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https：//www.um.edu.mo/</w:t>
                  </w:r>
                </w:p>
              </w:tc>
              <w:tc>
                <w:tcPr>
                  <w:tcW w:type="dxa" w:w="1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澳门大学</w:t>
                  </w:r>
                  <w:r>
                    <w:rPr>
                      <w:rFonts w:ascii="仿宋_GB2312" w:hAnsi="仿宋_GB2312" w:cs="仿宋_GB2312" w:eastAsia="仿宋_GB2312"/>
                      <w:sz w:val="22"/>
                    </w:rPr>
                    <w:t>-学术人员https://www.um.edu.mo/zh-hant/contact/academic-staff-contacts/</w:t>
                  </w:r>
                </w:p>
              </w:tc>
            </w:tr>
            <w:tr>
              <w:tc>
                <w:tcPr>
                  <w:tcW w:type="dxa" w:w="108"/>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澳门科技大学</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pr@must.edu.mo</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https：//www.must.edu.mo/</w:t>
                  </w:r>
                </w:p>
              </w:tc>
              <w:tc>
                <w:tcPr>
                  <w:tcW w:type="dxa" w:w="1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法学院</w:t>
                  </w:r>
                  <w:r>
                    <w:rPr>
                      <w:rFonts w:ascii="仿宋_GB2312" w:hAnsi="仿宋_GB2312" w:cs="仿宋_GB2312" w:eastAsia="仿宋_GB2312"/>
                      <w:sz w:val="22"/>
                    </w:rPr>
                    <w:t>-教学人员https://fl.must.edu.mo/person/staff.supervisor.html</w:t>
                  </w:r>
                </w:p>
              </w:tc>
            </w:tr>
          </w:tbl>
          <w:p>
            <w:pPr>
              <w:pStyle w:val="null3"/>
              <w:ind w:left="195"/>
              <w:jc w:val="both"/>
            </w:pPr>
            <w:r>
              <w:rPr>
                <w:rFonts w:ascii="仿宋_GB2312" w:hAnsi="仿宋_GB2312" w:cs="仿宋_GB2312" w:eastAsia="仿宋_GB2312"/>
                <w:sz w:val="28"/>
                <w:b/>
              </w:rPr>
              <w:t>（三）</w:t>
            </w:r>
            <w:r>
              <w:rPr>
                <w:rFonts w:ascii="仿宋_GB2312" w:hAnsi="仿宋_GB2312" w:cs="仿宋_GB2312" w:eastAsia="仿宋_GB2312"/>
                <w:sz w:val="28"/>
                <w:b/>
              </w:rPr>
              <w:t>中国大陆人才基础信息抓取</w:t>
            </w:r>
          </w:p>
          <w:p>
            <w:pPr>
              <w:pStyle w:val="null3"/>
              <w:ind w:firstLine="562"/>
              <w:jc w:val="both"/>
            </w:pPr>
            <w:r>
              <w:rPr>
                <w:rFonts w:ascii="仿宋_GB2312" w:hAnsi="仿宋_GB2312" w:cs="仿宋_GB2312" w:eastAsia="仿宋_GB2312"/>
                <w:sz w:val="28"/>
                <w:b/>
              </w:rPr>
              <w:t>a.</w:t>
            </w:r>
            <w:r>
              <w:rPr>
                <w:rFonts w:ascii="仿宋_GB2312" w:hAnsi="仿宋_GB2312" w:cs="仿宋_GB2312" w:eastAsia="仿宋_GB2312"/>
                <w:sz w:val="28"/>
                <w:b/>
              </w:rPr>
              <w:t>海南大学</w:t>
            </w:r>
          </w:p>
          <w:tbl>
            <w:tblPr>
              <w:tblBorders>
                <w:top w:val="none" w:color="000000" w:sz="4"/>
                <w:left w:val="none" w:color="000000" w:sz="4"/>
                <w:bottom w:val="none" w:color="000000" w:sz="4"/>
                <w:right w:val="none" w:color="000000" w:sz="4"/>
                <w:insideH w:val="none"/>
                <w:insideV w:val="none"/>
              </w:tblBorders>
            </w:tblPr>
            <w:tblGrid>
              <w:gridCol w:w="271"/>
              <w:gridCol w:w="217"/>
              <w:gridCol w:w="352"/>
              <w:gridCol w:w="583"/>
              <w:gridCol w:w="1130"/>
            </w:tblGrid>
            <w:tr>
              <w:tc>
                <w:tcPr>
                  <w:tcW w:type="dxa" w:w="4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区域</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1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中国大陆</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海南大学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Ms.Zeng66286673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https：//hd.hainanu.edu.cn/</w:t>
                  </w:r>
                </w:p>
              </w:tc>
              <w:tc>
                <w:tcPr>
                  <w:tcW w:type="dxa" w:w="1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海南大学</w:t>
                  </w:r>
                  <w:r>
                    <w:rPr>
                      <w:rFonts w:ascii="仿宋_GB2312" w:hAnsi="仿宋_GB2312" w:cs="仿宋_GB2312" w:eastAsia="仿宋_GB2312"/>
                      <w:sz w:val="22"/>
                    </w:rPr>
                    <w:t>-师资队伍https://ha.hainanu.edu.cn/renshi/szdw.htm</w:t>
                  </w:r>
                </w:p>
              </w:tc>
            </w:tr>
          </w:tbl>
          <w:p>
            <w:pPr>
              <w:pStyle w:val="null3"/>
              <w:ind w:firstLine="562"/>
              <w:jc w:val="both"/>
            </w:pPr>
            <w:r>
              <w:rPr>
                <w:rFonts w:ascii="仿宋_GB2312" w:hAnsi="仿宋_GB2312" w:cs="仿宋_GB2312" w:eastAsia="仿宋_GB2312"/>
                <w:sz w:val="28"/>
                <w:b/>
              </w:rPr>
              <w:t>b.</w:t>
            </w:r>
            <w:r>
              <w:rPr>
                <w:rFonts w:ascii="仿宋_GB2312" w:hAnsi="仿宋_GB2312" w:cs="仿宋_GB2312" w:eastAsia="仿宋_GB2312"/>
                <w:sz w:val="28"/>
                <w:b/>
              </w:rPr>
              <w:t>北京邮电大学</w:t>
            </w:r>
          </w:p>
          <w:tbl>
            <w:tblPr>
              <w:tblBorders>
                <w:top w:val="none" w:color="000000" w:sz="4"/>
                <w:left w:val="none" w:color="000000" w:sz="4"/>
                <w:bottom w:val="none" w:color="000000" w:sz="4"/>
                <w:right w:val="none" w:color="000000" w:sz="4"/>
                <w:insideH w:val="none"/>
                <w:insideV w:val="none"/>
              </w:tblBorders>
            </w:tblPr>
            <w:tblGrid>
              <w:gridCol w:w="270"/>
              <w:gridCol w:w="212"/>
              <w:gridCol w:w="428"/>
              <w:gridCol w:w="500"/>
              <w:gridCol w:w="1144"/>
            </w:tblGrid>
            <w:tr>
              <w:tc>
                <w:tcPr>
                  <w:tcW w:type="dxa" w:w="4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区域</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中国大陆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北京邮电大学</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张老师电话：</w:t>
                  </w:r>
                  <w:r>
                    <w:rPr>
                      <w:rFonts w:ascii="仿宋_GB2312" w:hAnsi="仿宋_GB2312" w:cs="仿宋_GB2312" w:eastAsia="仿宋_GB2312"/>
                      <w:sz w:val="22"/>
                    </w:rPr>
                    <w:t>62281949、yzhang@bupt.edu.cn</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https：//io.bupt.edu.cn/</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北京邮电大学</w:t>
                  </w:r>
                  <w:r>
                    <w:rPr>
                      <w:rFonts w:ascii="仿宋_GB2312" w:hAnsi="仿宋_GB2312" w:cs="仿宋_GB2312" w:eastAsia="仿宋_GB2312"/>
                      <w:sz w:val="22"/>
                    </w:rPr>
                    <w:t>-人才队伍https://www.bupt.edu.cn/kyxs/rctd.htm#1021</w:t>
                  </w:r>
                </w:p>
              </w:tc>
            </w:tr>
          </w:tbl>
          <w:p>
            <w:pPr>
              <w:pStyle w:val="null3"/>
              <w:ind w:firstLine="562"/>
              <w:jc w:val="both"/>
            </w:pPr>
            <w:r>
              <w:rPr>
                <w:rFonts w:ascii="仿宋_GB2312" w:hAnsi="仿宋_GB2312" w:cs="仿宋_GB2312" w:eastAsia="仿宋_GB2312"/>
                <w:sz w:val="28"/>
                <w:b/>
              </w:rPr>
              <w:t>c.</w:t>
            </w:r>
            <w:r>
              <w:rPr>
                <w:rFonts w:ascii="仿宋_GB2312" w:hAnsi="仿宋_GB2312" w:cs="仿宋_GB2312" w:eastAsia="仿宋_GB2312"/>
                <w:sz w:val="28"/>
                <w:b/>
              </w:rPr>
              <w:t>北京理工大学</w:t>
            </w:r>
          </w:p>
          <w:tbl>
            <w:tblPr>
              <w:tblBorders>
                <w:top w:val="none" w:color="000000" w:sz="4"/>
                <w:left w:val="none" w:color="000000" w:sz="4"/>
                <w:bottom w:val="none" w:color="000000" w:sz="4"/>
                <w:right w:val="none" w:color="000000" w:sz="4"/>
                <w:insideH w:val="none"/>
                <w:insideV w:val="none"/>
              </w:tblBorders>
            </w:tblPr>
            <w:tblGrid>
              <w:gridCol w:w="212"/>
              <w:gridCol w:w="293"/>
              <w:gridCol w:w="410"/>
              <w:gridCol w:w="866"/>
              <w:gridCol w:w="771"/>
            </w:tblGrid>
            <w:tr>
              <w:tc>
                <w:tcPr>
                  <w:tcW w:type="dxa" w:w="50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区域</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中国大陆</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北京理工大学</w:t>
                  </w:r>
                </w:p>
              </w:tc>
              <w:tc>
                <w:tcPr>
                  <w:tcW w:type="dxa" w:w="4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毛宇峰电话：</w:t>
                  </w:r>
                  <w:r>
                    <w:rPr>
                      <w:rFonts w:ascii="仿宋_GB2312" w:hAnsi="仿宋_GB2312" w:cs="仿宋_GB2312" w:eastAsia="仿宋_GB2312"/>
                      <w:sz w:val="22"/>
                    </w:rPr>
                    <w:t>68914208、maoyufeng@bit.edu.cn</w:t>
                  </w:r>
                </w:p>
              </w:tc>
              <w:tc>
                <w:tcPr>
                  <w:tcW w:type="dxa" w:w="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https://renshichu.bit.edu.cn/gbszdw/gblyys/index.htm</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1、信息与通信工程学院-师资队伍https://sice.bupt.edu.cn</w:t>
                  </w:r>
                </w:p>
              </w:tc>
            </w:tr>
            <w:tr>
              <w:tc>
                <w:tcPr>
                  <w:tcW w:type="dxa" w:w="21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0"/>
                  <w:vMerge/>
                  <w:tcBorders>
                    <w:top w:val="none" w:color="000000" w:sz="4"/>
                    <w:left w:val="non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2、电子工程学院-师资队伍</w:t>
                  </w:r>
                </w:p>
                <w:p>
                  <w:pPr>
                    <w:pStyle w:val="null3"/>
                    <w:jc w:val="both"/>
                  </w:pPr>
                  <w:r>
                    <w:rPr>
                      <w:rFonts w:ascii="仿宋_GB2312" w:hAnsi="仿宋_GB2312" w:cs="仿宋_GB2312" w:eastAsia="仿宋_GB2312"/>
                      <w:sz w:val="22"/>
                    </w:rPr>
                    <w:t>https://see.bupt.edu.cn/index.htm</w:t>
                  </w:r>
                </w:p>
              </w:tc>
            </w:tr>
            <w:tr>
              <w:tc>
                <w:tcPr>
                  <w:tcW w:type="dxa" w:w="21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410"/>
                  <w:vMerge/>
                  <w:tcBorders>
                    <w:top w:val="none" w:color="000000" w:sz="4"/>
                    <w:left w:val="non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3、计算机学院-教师一览https://scs.bupt.edu.cn/szjs1/jsyl.htm</w:t>
                  </w:r>
                </w:p>
              </w:tc>
            </w:tr>
          </w:tbl>
          <w:p>
            <w:pPr>
              <w:pStyle w:val="null3"/>
              <w:ind w:firstLine="562"/>
              <w:jc w:val="both"/>
            </w:pPr>
            <w:r>
              <w:rPr>
                <w:rFonts w:ascii="仿宋_GB2312" w:hAnsi="仿宋_GB2312" w:cs="仿宋_GB2312" w:eastAsia="仿宋_GB2312"/>
                <w:sz w:val="28"/>
                <w:b/>
              </w:rPr>
              <w:t>d.</w:t>
            </w:r>
            <w:r>
              <w:rPr>
                <w:rFonts w:ascii="仿宋_GB2312" w:hAnsi="仿宋_GB2312" w:cs="仿宋_GB2312" w:eastAsia="仿宋_GB2312"/>
                <w:sz w:val="28"/>
                <w:b/>
              </w:rPr>
              <w:t>厦门大学</w:t>
            </w:r>
          </w:p>
          <w:tbl>
            <w:tblPr>
              <w:tblBorders>
                <w:top w:val="none" w:color="000000" w:sz="4"/>
                <w:left w:val="none" w:color="000000" w:sz="4"/>
                <w:bottom w:val="none" w:color="000000" w:sz="4"/>
                <w:right w:val="none" w:color="000000" w:sz="4"/>
                <w:insideH w:val="none"/>
                <w:insideV w:val="none"/>
              </w:tblBorders>
            </w:tblPr>
            <w:tblGrid>
              <w:gridCol w:w="244"/>
              <w:gridCol w:w="108"/>
              <w:gridCol w:w="447"/>
              <w:gridCol w:w="877"/>
              <w:gridCol w:w="877"/>
            </w:tblGrid>
            <w:tr>
              <w:tc>
                <w:tcPr>
                  <w:tcW w:type="dxa" w:w="3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区域</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中国大陆</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厦门大学</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+86-592-2186037、ws@xmu.edu.cn</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https://rsc.xmu.edu.cn/3298/list.htm</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厦门大学</w:t>
                  </w:r>
                  <w:r>
                    <w:rPr>
                      <w:rFonts w:ascii="仿宋_GB2312" w:hAnsi="仿宋_GB2312" w:cs="仿宋_GB2312" w:eastAsia="仿宋_GB2312"/>
                      <w:sz w:val="22"/>
                    </w:rPr>
                    <w:t>-师资队伍https://rsc.xmu.edu.cn/3287/list.htm</w:t>
                  </w:r>
                </w:p>
              </w:tc>
            </w:tr>
          </w:tbl>
          <w:p>
            <w:pPr>
              <w:pStyle w:val="null3"/>
              <w:ind w:firstLine="562"/>
              <w:jc w:val="both"/>
            </w:pPr>
            <w:r>
              <w:rPr>
                <w:rFonts w:ascii="仿宋_GB2312" w:hAnsi="仿宋_GB2312" w:cs="仿宋_GB2312" w:eastAsia="仿宋_GB2312"/>
                <w:sz w:val="28"/>
                <w:b/>
              </w:rPr>
              <w:t>e.</w:t>
            </w:r>
            <w:r>
              <w:rPr>
                <w:rFonts w:ascii="仿宋_GB2312" w:hAnsi="仿宋_GB2312" w:cs="仿宋_GB2312" w:eastAsia="仿宋_GB2312"/>
                <w:sz w:val="28"/>
                <w:b/>
              </w:rPr>
              <w:t>四川大学</w:t>
            </w:r>
          </w:p>
          <w:tbl>
            <w:tblPr>
              <w:tblBorders>
                <w:top w:val="none" w:color="000000" w:sz="4"/>
                <w:left w:val="none" w:color="000000" w:sz="4"/>
                <w:bottom w:val="none" w:color="000000" w:sz="4"/>
                <w:right w:val="none" w:color="000000" w:sz="4"/>
                <w:insideH w:val="none"/>
                <w:insideV w:val="none"/>
              </w:tblBorders>
            </w:tblPr>
            <w:tblGrid>
              <w:gridCol w:w="293"/>
              <w:gridCol w:w="122"/>
              <w:gridCol w:w="636"/>
              <w:gridCol w:w="550"/>
              <w:gridCol w:w="952"/>
            </w:tblGrid>
            <w:tr>
              <w:tc>
                <w:tcPr>
                  <w:tcW w:type="dxa" w:w="4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区域</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中国大陆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四川大学</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president@scu.edu.cn</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https：//www.scu.edu.cn/</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四川大学</w:t>
                  </w:r>
                  <w:r>
                    <w:rPr>
                      <w:rFonts w:ascii="仿宋_GB2312" w:hAnsi="仿宋_GB2312" w:cs="仿宋_GB2312" w:eastAsia="仿宋_GB2312"/>
                      <w:sz w:val="22"/>
                    </w:rPr>
                    <w:t>-师资队伍https://www.scu.edu.cn/szdw.htm</w:t>
                  </w:r>
                </w:p>
              </w:tc>
            </w:tr>
          </w:tbl>
          <w:p>
            <w:pPr>
              <w:pStyle w:val="null3"/>
              <w:ind w:firstLine="562"/>
              <w:jc w:val="both"/>
            </w:pPr>
            <w:r>
              <w:rPr>
                <w:rFonts w:ascii="仿宋_GB2312" w:hAnsi="仿宋_GB2312" w:cs="仿宋_GB2312" w:eastAsia="仿宋_GB2312"/>
                <w:sz w:val="28"/>
                <w:b/>
              </w:rPr>
              <w:t>f.</w:t>
            </w:r>
            <w:r>
              <w:rPr>
                <w:rFonts w:ascii="仿宋_GB2312" w:hAnsi="仿宋_GB2312" w:cs="仿宋_GB2312" w:eastAsia="仿宋_GB2312"/>
                <w:sz w:val="28"/>
                <w:b/>
              </w:rPr>
              <w:t>中山大学</w:t>
            </w:r>
          </w:p>
          <w:tbl>
            <w:tblPr>
              <w:tblBorders>
                <w:top w:val="none" w:color="000000" w:sz="4"/>
                <w:left w:val="none" w:color="000000" w:sz="4"/>
                <w:bottom w:val="none" w:color="000000" w:sz="4"/>
                <w:right w:val="none" w:color="000000" w:sz="4"/>
                <w:insideH w:val="none"/>
                <w:insideV w:val="none"/>
              </w:tblBorders>
            </w:tblPr>
            <w:tblGrid>
              <w:gridCol w:w="329"/>
              <w:gridCol w:w="149"/>
              <w:gridCol w:w="460"/>
              <w:gridCol w:w="659"/>
              <w:gridCol w:w="956"/>
            </w:tblGrid>
            <w:tr>
              <w:tc>
                <w:tcPr>
                  <w:tcW w:type="dxa" w:w="4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区域</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联系方式</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获取对象</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具体内容</w:t>
                  </w: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中国大陆</w:t>
                  </w:r>
                </w:p>
              </w:tc>
              <w:tc>
                <w:tcPr>
                  <w:tcW w:type="dxa" w:w="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中山大学</w:t>
                  </w:r>
                </w:p>
              </w:tc>
              <w:tc>
                <w:tcPr>
                  <w:tcW w:type="dxa" w:w="4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020-84112828</w:t>
                  </w:r>
                </w:p>
              </w:tc>
              <w:tc>
                <w:tcPr>
                  <w:tcW w:type="dxa" w:w="6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https：//www.sysu.edu.cn/</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中山大学</w:t>
                  </w:r>
                  <w:r>
                    <w:rPr>
                      <w:rFonts w:ascii="仿宋_GB2312" w:hAnsi="仿宋_GB2312" w:cs="仿宋_GB2312" w:eastAsia="仿宋_GB2312"/>
                      <w:sz w:val="22"/>
                    </w:rPr>
                    <w:t>-师资队伍https://www.sysu.edu.cn</w:t>
                  </w:r>
                </w:p>
              </w:tc>
            </w:tr>
            <w:tr>
              <w:tc>
                <w:tcPr>
                  <w:tcW w:type="dxa" w:w="329"/>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460"/>
                  <w:vMerge/>
                  <w:tcBorders>
                    <w:top w:val="none" w:color="000000" w:sz="4"/>
                    <w:left w:val="none" w:color="000000" w:sz="4"/>
                    <w:bottom w:val="single" w:color="000000" w:sz="4"/>
                    <w:right w:val="single" w:color="000000" w:sz="4"/>
                  </w:tcBorders>
                </w:tcPr>
                <w:p/>
              </w:tc>
              <w:tc>
                <w:tcPr>
                  <w:tcW w:type="dxa" w:w="659"/>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中山大学</w:t>
                  </w:r>
                  <w:r>
                    <w:rPr>
                      <w:rFonts w:ascii="仿宋_GB2312" w:hAnsi="仿宋_GB2312" w:cs="仿宋_GB2312" w:eastAsia="仿宋_GB2312"/>
                      <w:sz w:val="22"/>
                    </w:rPr>
                    <w:t>-信息管理学院https://ischool.sysu.edu.cn</w:t>
                  </w:r>
                </w:p>
              </w:tc>
            </w:tr>
          </w:tbl>
          <w:p>
            <w:pPr>
              <w:pStyle w:val="null3"/>
              <w:ind w:left="195"/>
              <w:jc w:val="both"/>
            </w:pPr>
            <w:r>
              <w:rPr>
                <w:rFonts w:ascii="仿宋_GB2312" w:hAnsi="仿宋_GB2312" w:cs="仿宋_GB2312" w:eastAsia="仿宋_GB2312"/>
                <w:sz w:val="28"/>
                <w:b/>
              </w:rPr>
              <w:t>（四）</w:t>
            </w:r>
            <w:r>
              <w:rPr>
                <w:rFonts w:ascii="仿宋_GB2312" w:hAnsi="仿宋_GB2312" w:cs="仿宋_GB2312" w:eastAsia="仿宋_GB2312"/>
                <w:sz w:val="28"/>
                <w:b/>
              </w:rPr>
              <w:t>各领域人才获取来源</w:t>
            </w:r>
          </w:p>
          <w:p>
            <w:pPr>
              <w:pStyle w:val="null3"/>
              <w:ind w:firstLine="562"/>
              <w:jc w:val="both"/>
            </w:pPr>
            <w:r>
              <w:rPr>
                <w:rFonts w:ascii="仿宋_GB2312" w:hAnsi="仿宋_GB2312" w:cs="仿宋_GB2312" w:eastAsia="仿宋_GB2312"/>
                <w:sz w:val="28"/>
                <w:b/>
              </w:rPr>
              <w:t>a.</w:t>
            </w:r>
            <w:r>
              <w:rPr>
                <w:rFonts w:ascii="仿宋_GB2312" w:hAnsi="仿宋_GB2312" w:cs="仿宋_GB2312" w:eastAsia="仿宋_GB2312"/>
                <w:sz w:val="28"/>
                <w:b/>
              </w:rPr>
              <w:t>热带农业专业领域</w:t>
            </w:r>
          </w:p>
          <w:tbl>
            <w:tblPr>
              <w:tblBorders>
                <w:top w:val="none" w:color="000000" w:sz="4"/>
                <w:left w:val="none" w:color="000000" w:sz="4"/>
                <w:bottom w:val="none" w:color="000000" w:sz="4"/>
                <w:right w:val="none" w:color="000000" w:sz="4"/>
                <w:insideH w:val="none"/>
                <w:insideV w:val="none"/>
              </w:tblBorders>
            </w:tblPr>
            <w:tblGrid>
              <w:gridCol w:w="113"/>
              <w:gridCol w:w="218"/>
              <w:gridCol w:w="297"/>
              <w:gridCol w:w="205"/>
              <w:gridCol w:w="895"/>
              <w:gridCol w:w="563"/>
              <w:gridCol w:w="262"/>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热带农业专业</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B类：何梁何利基金科学与技术成就奖获得者</w:t>
                  </w:r>
                </w:p>
                <w:p>
                  <w:pPr>
                    <w:pStyle w:val="null3"/>
                    <w:jc w:val="both"/>
                  </w:pPr>
                  <w:r>
                    <w:rPr>
                      <w:rFonts w:ascii="仿宋_GB2312" w:hAnsi="仿宋_GB2312" w:cs="仿宋_GB2312" w:eastAsia="仿宋_GB2312"/>
                      <w:sz w:val="22"/>
                    </w:rPr>
                    <w:t>C类：何梁何利基金科学与技术进步奖</w:t>
                  </w:r>
                </w:p>
                <w:p>
                  <w:pPr>
                    <w:pStyle w:val="null3"/>
                    <w:jc w:val="both"/>
                  </w:pPr>
                  <w:r>
                    <w:rPr>
                      <w:rFonts w:ascii="仿宋_GB2312" w:hAnsi="仿宋_GB2312" w:cs="仿宋_GB2312" w:eastAsia="仿宋_GB2312"/>
                      <w:sz w:val="22"/>
                    </w:rPr>
                    <w:t>D类：何梁何利基金科学与技术创新奖获得者</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何梁何利基金</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http：//www.hlhl.org.cn/news/findnews/showtech.asp</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1.中国热带作物学会</w:t>
                  </w:r>
                </w:p>
                <w:p>
                  <w:pPr>
                    <w:pStyle w:val="null3"/>
                    <w:jc w:val="both"/>
                  </w:pPr>
                  <w:r>
                    <w:rPr>
                      <w:rFonts w:ascii="仿宋_GB2312" w:hAnsi="仿宋_GB2312" w:cs="仿宋_GB2312" w:eastAsia="仿宋_GB2312"/>
                      <w:sz w:val="22"/>
                    </w:rPr>
                    <w:t>https：//www.cstcs.org.cn/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cstcorg@126.com，电话：0898-66962982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何梁何利基金获奖名单</w:t>
                  </w:r>
                </w:p>
              </w:tc>
            </w:tr>
          </w:tbl>
          <w:p>
            <w:pPr>
              <w:pStyle w:val="null3"/>
              <w:ind w:firstLine="562"/>
              <w:jc w:val="both"/>
            </w:pPr>
            <w:r>
              <w:rPr>
                <w:rFonts w:ascii="仿宋_GB2312" w:hAnsi="仿宋_GB2312" w:cs="仿宋_GB2312" w:eastAsia="仿宋_GB2312"/>
                <w:sz w:val="28"/>
                <w:b/>
              </w:rPr>
              <w:t>b.</w:t>
            </w:r>
            <w:r>
              <w:rPr>
                <w:rFonts w:ascii="仿宋_GB2312" w:hAnsi="仿宋_GB2312" w:cs="仿宋_GB2312" w:eastAsia="仿宋_GB2312"/>
                <w:sz w:val="28"/>
                <w:b/>
              </w:rPr>
              <w:t>互联网和电信领域</w:t>
            </w:r>
          </w:p>
          <w:tbl>
            <w:tblPr>
              <w:tblBorders>
                <w:top w:val="none" w:color="000000" w:sz="4"/>
                <w:left w:val="none" w:color="000000" w:sz="4"/>
                <w:bottom w:val="none" w:color="000000" w:sz="4"/>
                <w:right w:val="none" w:color="000000" w:sz="4"/>
                <w:insideH w:val="none"/>
                <w:insideV w:val="none"/>
              </w:tblBorders>
            </w:tblPr>
            <w:tblGrid>
              <w:gridCol w:w="108"/>
              <w:gridCol w:w="203"/>
              <w:gridCol w:w="407"/>
              <w:gridCol w:w="262"/>
              <w:gridCol w:w="470"/>
              <w:gridCol w:w="737"/>
              <w:gridCol w:w="366"/>
            </w:tblGrid>
            <w:tr>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互联网和电信</w:t>
                  </w:r>
                </w:p>
              </w:tc>
              <w:tc>
                <w:tcPr>
                  <w:tcW w:type="dxa" w:w="4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E类：具有5年以上从业经历的程序员、软件工程师（业务包括软件开发、产品研发、技术架构、自动化测试、UE、互联网运营等）、集成管理业人才（业务包括弱电解决方案设计、实施、造价等）；网络安防专业人才（业务包括系统运维、数据库运维、网络运维、信息安全、IT流程管理等）；具有RHCE/RHCA证书的人才。</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RedHat</w:t>
                  </w:r>
                </w:p>
              </w:tc>
              <w:tc>
                <w:tcPr>
                  <w:tcW w:type="dxa" w:w="4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https://rhtapps.redhat.com/verify/</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1.中国互联网协会</w:t>
                  </w:r>
                </w:p>
                <w:p>
                  <w:pPr>
                    <w:pStyle w:val="null3"/>
                    <w:jc w:val="both"/>
                  </w:pPr>
                  <w:r>
                    <w:rPr>
                      <w:rFonts w:ascii="仿宋_GB2312" w:hAnsi="仿宋_GB2312" w:cs="仿宋_GB2312" w:eastAsia="仿宋_GB2312"/>
                      <w:sz w:val="22"/>
                    </w:rPr>
                    <w:t>https：//www.isc.org.cn/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ISC@isc.org.cn，电话：010-57234929转1056</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具有</w:t>
                  </w:r>
                  <w:r>
                    <w:rPr>
                      <w:rFonts w:ascii="仿宋_GB2312" w:hAnsi="仿宋_GB2312" w:cs="仿宋_GB2312" w:eastAsia="仿宋_GB2312"/>
                      <w:sz w:val="22"/>
                    </w:rPr>
                    <w:t>RHCE/RHCA证书的人员名单</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03"/>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470"/>
                  <w:vMerge/>
                  <w:tcBorders>
                    <w:top w:val="none" w:color="000000" w:sz="4"/>
                    <w:left w:val="non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2.北京信息产业协会</w:t>
                  </w:r>
                </w:p>
                <w:p>
                  <w:pPr>
                    <w:pStyle w:val="null3"/>
                    <w:jc w:val="both"/>
                  </w:pPr>
                  <w:r>
                    <w:rPr>
                      <w:rFonts w:ascii="仿宋_GB2312" w:hAnsi="仿宋_GB2312" w:cs="仿宋_GB2312" w:eastAsia="仿宋_GB2312"/>
                      <w:sz w:val="22"/>
                    </w:rPr>
                    <w:t>http：//www.biia.org.cn/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biia2012@163.com，电话：010-68220032</w:t>
                  </w:r>
                </w:p>
              </w:tc>
              <w:tc>
                <w:tcPr>
                  <w:tcW w:type="dxa" w:w="366"/>
                  <w:vMerge/>
                  <w:tcBorders>
                    <w:top w:val="none" w:color="000000" w:sz="4"/>
                    <w:left w:val="none" w:color="000000" w:sz="4"/>
                    <w:bottom w:val="single" w:color="000000" w:sz="4"/>
                    <w:right w:val="single" w:color="000000" w:sz="4"/>
                  </w:tcBorders>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03"/>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470"/>
                  <w:vMerge/>
                  <w:tcBorders>
                    <w:top w:val="none" w:color="000000" w:sz="4"/>
                    <w:left w:val="non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3.中国高科技产业化研究会</w:t>
                  </w:r>
                </w:p>
                <w:p>
                  <w:pPr>
                    <w:pStyle w:val="null3"/>
                    <w:jc w:val="both"/>
                  </w:pPr>
                  <w:r>
                    <w:rPr>
                      <w:rFonts w:ascii="仿宋_GB2312" w:hAnsi="仿宋_GB2312" w:cs="仿宋_GB2312" w:eastAsia="仿宋_GB2312"/>
                      <w:sz w:val="22"/>
                    </w:rPr>
                    <w:t>http：//www.chia.org.cn/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kuang@ctm.com.cn，电话：88210277</w:t>
                  </w:r>
                </w:p>
              </w:tc>
              <w:tc>
                <w:tcPr>
                  <w:tcW w:type="dxa" w:w="366"/>
                  <w:vMerge/>
                  <w:tcBorders>
                    <w:top w:val="none" w:color="000000" w:sz="4"/>
                    <w:left w:val="none" w:color="000000" w:sz="4"/>
                    <w:bottom w:val="single" w:color="000000" w:sz="4"/>
                    <w:right w:val="single" w:color="000000" w:sz="4"/>
                  </w:tcBorders>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03"/>
                  <w:vMerge/>
                  <w:tcBorders>
                    <w:top w:val="none" w:color="000000" w:sz="4"/>
                    <w:left w:val="none" w:color="000000" w:sz="4"/>
                    <w:bottom w:val="single" w:color="000000" w:sz="4"/>
                    <w:right w:val="single" w:color="000000" w:sz="4"/>
                  </w:tcBorders>
                </w:tcPr>
                <w:p/>
              </w:tc>
              <w:tc>
                <w:tcPr>
                  <w:tcW w:type="dxa" w:w="4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E类：具有5年以上从业经历的程序员、软件工程师（业务包括软件开发、产品研发、技术架构、自动化测试、UE、互联网运营等）、集成管理业人才（业务包括弱电解决方案设计、实施、造价等）；网络安防专业人才（业务包括系统运维、数据库运维、网络运维、信息安全、IT流程管理等）；具有HCIP/HCIE证书的人才。</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华为技术有限公司（华为人才在线系统）</w:t>
                  </w:r>
                </w:p>
              </w:tc>
              <w:tc>
                <w:tcPr>
                  <w:tcW w:type="dxa" w:w="4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https://e.huawei.com/cn/talent/#/cert/certificate-verification</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1.中国网络空间安全协会</w:t>
                  </w:r>
                </w:p>
                <w:p>
                  <w:pPr>
                    <w:pStyle w:val="null3"/>
                    <w:jc w:val="both"/>
                  </w:pPr>
                  <w:r>
                    <w:rPr>
                      <w:rFonts w:ascii="仿宋_GB2312" w:hAnsi="仿宋_GB2312" w:cs="仿宋_GB2312" w:eastAsia="仿宋_GB2312"/>
                      <w:sz w:val="22"/>
                    </w:rPr>
                    <w:t>https：//www.cybersac.cn/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pipo@cybersac.cn</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具有</w:t>
                  </w:r>
                  <w:r>
                    <w:rPr>
                      <w:rFonts w:ascii="仿宋_GB2312" w:hAnsi="仿宋_GB2312" w:cs="仿宋_GB2312" w:eastAsia="仿宋_GB2312"/>
                      <w:sz w:val="22"/>
                    </w:rPr>
                    <w:t>HCIP/HCIE证书的人员名单</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03"/>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470"/>
                  <w:vMerge/>
                  <w:tcBorders>
                    <w:top w:val="none" w:color="000000" w:sz="4"/>
                    <w:left w:val="non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2.电信终端产业协会</w:t>
                  </w:r>
                </w:p>
                <w:p>
                  <w:pPr>
                    <w:pStyle w:val="null3"/>
                    <w:jc w:val="both"/>
                  </w:pPr>
                  <w:r>
                    <w:rPr>
                      <w:rFonts w:ascii="仿宋_GB2312" w:hAnsi="仿宋_GB2312" w:cs="仿宋_GB2312" w:eastAsia="仿宋_GB2312"/>
                      <w:sz w:val="22"/>
                    </w:rPr>
                    <w:t>http：//www.taf.org.cn/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tafrb@taf.org.cn，电话：+8601082052809</w:t>
                  </w:r>
                </w:p>
              </w:tc>
              <w:tc>
                <w:tcPr>
                  <w:tcW w:type="dxa" w:w="366"/>
                  <w:vMerge/>
                  <w:tcBorders>
                    <w:top w:val="none" w:color="000000" w:sz="4"/>
                    <w:left w:val="none" w:color="000000" w:sz="4"/>
                    <w:bottom w:val="single" w:color="000000" w:sz="4"/>
                    <w:right w:val="single" w:color="000000" w:sz="4"/>
                  </w:tcBorders>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203"/>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c>
                <w:tcPr>
                  <w:tcW w:type="dxa" w:w="470"/>
                  <w:vMerge/>
                  <w:tcBorders>
                    <w:top w:val="none" w:color="000000" w:sz="4"/>
                    <w:left w:val="none" w:color="000000" w:sz="4"/>
                    <w:bottom w:val="single" w:color="000000" w:sz="4"/>
                    <w:right w:val="single" w:color="000000" w:sz="4"/>
                  </w:tcBorders>
                </w:tc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3.中国通信企业协会</w:t>
                  </w:r>
                </w:p>
                <w:p>
                  <w:pPr>
                    <w:pStyle w:val="null3"/>
                    <w:jc w:val="both"/>
                  </w:pPr>
                  <w:r>
                    <w:rPr>
                      <w:rFonts w:ascii="仿宋_GB2312" w:hAnsi="仿宋_GB2312" w:cs="仿宋_GB2312" w:eastAsia="仿宋_GB2312"/>
                      <w:sz w:val="22"/>
                    </w:rPr>
                    <w:t>https：//www.cace.org.cn/</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01068200102</w:t>
                  </w:r>
                </w:p>
              </w:tc>
              <w:tc>
                <w:tcPr>
                  <w:tcW w:type="dxa" w:w="366"/>
                  <w:vMerge/>
                  <w:tcBorders>
                    <w:top w:val="none" w:color="000000" w:sz="4"/>
                    <w:left w:val="none" w:color="000000" w:sz="4"/>
                    <w:bottom w:val="single" w:color="000000" w:sz="4"/>
                    <w:right w:val="single" w:color="000000" w:sz="4"/>
                  </w:tcBorders>
                </w:tcPr>
                <w:p/>
              </w:tc>
            </w:tr>
          </w:tbl>
          <w:p>
            <w:pPr>
              <w:pStyle w:val="null3"/>
              <w:ind w:firstLine="562"/>
              <w:jc w:val="both"/>
            </w:pPr>
            <w:r>
              <w:rPr>
                <w:rFonts w:ascii="仿宋_GB2312" w:hAnsi="仿宋_GB2312" w:cs="仿宋_GB2312" w:eastAsia="仿宋_GB2312"/>
                <w:sz w:val="28"/>
                <w:b/>
              </w:rPr>
              <w:t>c.</w:t>
            </w:r>
            <w:r>
              <w:rPr>
                <w:rFonts w:ascii="仿宋_GB2312" w:hAnsi="仿宋_GB2312" w:cs="仿宋_GB2312" w:eastAsia="仿宋_GB2312"/>
                <w:sz w:val="28"/>
                <w:b/>
              </w:rPr>
              <w:t>医疗和健康服务业</w:t>
            </w:r>
          </w:p>
          <w:tbl>
            <w:tblPr>
              <w:tblBorders>
                <w:top w:val="none" w:color="000000" w:sz="4"/>
                <w:left w:val="none" w:color="000000" w:sz="4"/>
                <w:bottom w:val="none" w:color="000000" w:sz="4"/>
                <w:right w:val="none" w:color="000000" w:sz="4"/>
                <w:insideH w:val="none"/>
                <w:insideV w:val="none"/>
              </w:tblBorders>
            </w:tblPr>
            <w:tblGrid>
              <w:gridCol w:w="86"/>
              <w:gridCol w:w="145"/>
              <w:gridCol w:w="694"/>
              <w:gridCol w:w="277"/>
              <w:gridCol w:w="385"/>
              <w:gridCol w:w="694"/>
              <w:gridCol w:w="272"/>
            </w:tblGrid>
            <w:tr>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医疗和健康服务业</w:t>
                  </w:r>
                </w:p>
              </w:tc>
              <w:tc>
                <w:tcPr>
                  <w:tcW w:type="dxa" w:w="6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C类：复旦大学医院管理研究所《中国最佳医院专科汇总排行榜》排行前10位的医院科室主任、副主任、主任医师。</w:t>
                  </w:r>
                </w:p>
                <w:p>
                  <w:pPr>
                    <w:pStyle w:val="null3"/>
                    <w:jc w:val="both"/>
                  </w:pPr>
                  <w:r>
                    <w:rPr>
                      <w:rFonts w:ascii="仿宋_GB2312" w:hAnsi="仿宋_GB2312" w:cs="仿宋_GB2312" w:eastAsia="仿宋_GB2312"/>
                      <w:sz w:val="22"/>
                    </w:rPr>
                    <w:t>D类：复旦大学医院管理研究所《中国最佳医院综合排行榜》排行前100位的医院科室主任、副主任、主任医师。</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复旦大学医院管理研究所</w:t>
                  </w:r>
                </w:p>
              </w:tc>
              <w:tc>
                <w:tcPr>
                  <w:tcW w:type="dxa" w:w="3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http://www.fudanmed.com/institute/news222.aspx</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1.中国医药商业协会</w:t>
                  </w:r>
                </w:p>
                <w:p>
                  <w:pPr>
                    <w:pStyle w:val="null3"/>
                    <w:jc w:val="both"/>
                  </w:pPr>
                  <w:r>
                    <w:rPr>
                      <w:rFonts w:ascii="仿宋_GB2312" w:hAnsi="仿宋_GB2312" w:cs="仿宋_GB2312" w:eastAsia="仿宋_GB2312"/>
                      <w:sz w:val="22"/>
                    </w:rPr>
                    <w:t>http：//www.capc.org.cn/index.html</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secretariat@capc.org.cn，电话：87273562-803</w:t>
                  </w:r>
                </w:p>
              </w:tc>
              <w:tc>
                <w:tcPr>
                  <w:tcW w:type="dxa" w:w="2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复旦大学医院管理研究所《中国最佳医院综合排行榜》人员名单</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145"/>
                  <w:vMerge/>
                  <w:tcBorders>
                    <w:top w:val="none" w:color="000000" w:sz="4"/>
                    <w:left w:val="none" w:color="000000" w:sz="4"/>
                    <w:bottom w:val="single" w:color="000000" w:sz="4"/>
                    <w:right w:val="single" w:color="000000" w:sz="4"/>
                  </w:tcBorders>
                </w:tcPr>
                <w:p/>
              </w:tc>
              <w:tc>
                <w:tcPr>
                  <w:tcW w:type="dxa" w:w="694"/>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385"/>
                  <w:vMerge/>
                  <w:tcBorders>
                    <w:top w:val="none" w:color="000000" w:sz="4"/>
                    <w:left w:val="none" w:color="000000" w:sz="4"/>
                    <w:bottom w:val="single" w:color="000000" w:sz="4"/>
                    <w:right w:val="single" w:color="000000" w:sz="4"/>
                  </w:tcBorders>
                </w:tcP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2.中国健康协会</w:t>
                  </w:r>
                </w:p>
                <w:p>
                  <w:pPr>
                    <w:pStyle w:val="null3"/>
                    <w:jc w:val="both"/>
                  </w:pPr>
                  <w:r>
                    <w:rPr>
                      <w:rFonts w:ascii="仿宋_GB2312" w:hAnsi="仿宋_GB2312" w:cs="仿宋_GB2312" w:eastAsia="仿宋_GB2312"/>
                      <w:sz w:val="22"/>
                    </w:rPr>
                    <w:t>http：//www.chinajk.org/</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chinajk99@163.com</w:t>
                  </w:r>
                </w:p>
              </w:tc>
              <w:tc>
                <w:tcPr>
                  <w:tcW w:type="dxa" w:w="272"/>
                  <w:vMerge/>
                  <w:tcBorders>
                    <w:top w:val="none" w:color="000000" w:sz="4"/>
                    <w:left w:val="none" w:color="000000" w:sz="4"/>
                    <w:bottom w:val="single" w:color="000000" w:sz="4"/>
                    <w:right w:val="single" w:color="000000" w:sz="4"/>
                  </w:tcBorders>
                </w:tcPr>
                <w:p/>
              </w:tc>
            </w:tr>
          </w:tbl>
          <w:p>
            <w:pPr>
              <w:pStyle w:val="null3"/>
              <w:ind w:firstLine="562"/>
              <w:jc w:val="both"/>
            </w:pPr>
            <w:r>
              <w:rPr>
                <w:rFonts w:ascii="仿宋_GB2312" w:hAnsi="仿宋_GB2312" w:cs="仿宋_GB2312" w:eastAsia="仿宋_GB2312"/>
                <w:sz w:val="28"/>
                <w:b/>
              </w:rPr>
              <w:t>d.</w:t>
            </w:r>
            <w:r>
              <w:rPr>
                <w:rFonts w:ascii="仿宋_GB2312" w:hAnsi="仿宋_GB2312" w:cs="仿宋_GB2312" w:eastAsia="仿宋_GB2312"/>
                <w:sz w:val="28"/>
                <w:b/>
              </w:rPr>
              <w:t>管理领域专业</w:t>
            </w:r>
          </w:p>
          <w:tbl>
            <w:tblPr>
              <w:tblBorders>
                <w:top w:val="none" w:color="000000" w:sz="4"/>
                <w:left w:val="none" w:color="000000" w:sz="4"/>
                <w:bottom w:val="none" w:color="000000" w:sz="4"/>
                <w:right w:val="none" w:color="000000" w:sz="4"/>
                <w:insideH w:val="none"/>
                <w:insideV w:val="none"/>
              </w:tblBorders>
            </w:tblPr>
            <w:tblGrid>
              <w:gridCol w:w="117"/>
              <w:gridCol w:w="285"/>
              <w:gridCol w:w="538"/>
              <w:gridCol w:w="253"/>
              <w:gridCol w:w="398"/>
              <w:gridCol w:w="615"/>
              <w:gridCol w:w="348"/>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管理领域专业</w:t>
                  </w:r>
                </w:p>
              </w:tc>
              <w:tc>
                <w:tcPr>
                  <w:tcW w:type="dxa" w:w="5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C类：复旦大学医院管理研究所《中国最佳医院综合排行榜》排行前30位的综合医院的院长、副院长。</w:t>
                  </w:r>
                </w:p>
                <w:p>
                  <w:pPr>
                    <w:pStyle w:val="null3"/>
                    <w:jc w:val="both"/>
                  </w:pPr>
                  <w:r>
                    <w:rPr>
                      <w:rFonts w:ascii="仿宋_GB2312" w:hAnsi="仿宋_GB2312" w:cs="仿宋_GB2312" w:eastAsia="仿宋_GB2312"/>
                      <w:sz w:val="22"/>
                    </w:rPr>
                    <w:t>D类：世界500强企业总部以及一级分公司、一级子公司；中国500强企业推荐的科研技术骨干和高级管理人才。</w:t>
                  </w:r>
                </w:p>
                <w:p>
                  <w:pPr>
                    <w:pStyle w:val="null3"/>
                    <w:jc w:val="both"/>
                  </w:pPr>
                  <w:r>
                    <w:rPr>
                      <w:rFonts w:ascii="仿宋_GB2312" w:hAnsi="仿宋_GB2312" w:cs="仿宋_GB2312" w:eastAsia="仿宋_GB2312"/>
                      <w:sz w:val="22"/>
                    </w:rPr>
                    <w:t>E类：世界500强企业总部以及一级分公司、一级子公司，中国500强企业推荐的科研技术骨干和管理人才</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财富中文网</w:t>
                  </w:r>
                </w:p>
              </w:tc>
              <w:tc>
                <w:tcPr>
                  <w:tcW w:type="dxa" w:w="3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http://www.fortunechina.com/</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1.中国医师协会，邮箱：cmda63319722@163.com，电话：010-63319722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世界</w:t>
                  </w:r>
                  <w:r>
                    <w:rPr>
                      <w:rFonts w:ascii="仿宋_GB2312" w:hAnsi="仿宋_GB2312" w:cs="仿宋_GB2312" w:eastAsia="仿宋_GB2312"/>
                      <w:sz w:val="22"/>
                    </w:rPr>
                    <w:t>500强企业名单</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85"/>
                  <w:vMerge/>
                  <w:tcBorders>
                    <w:top w:val="none" w:color="000000" w:sz="4"/>
                    <w:left w:val="none" w:color="000000" w:sz="4"/>
                    <w:bottom w:val="single" w:color="000000" w:sz="4"/>
                    <w:right w:val="single" w:color="000000" w:sz="4"/>
                  </w:tcBorders>
                </w:tcPr>
                <w:p/>
              </w:tc>
              <w:tc>
                <w:tcPr>
                  <w:tcW w:type="dxa" w:w="538"/>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398"/>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1.中国商业企业管理协会</w:t>
                  </w:r>
                </w:p>
                <w:p>
                  <w:pPr>
                    <w:pStyle w:val="null3"/>
                    <w:jc w:val="both"/>
                  </w:pPr>
                  <w:r>
                    <w:rPr>
                      <w:rFonts w:ascii="仿宋_GB2312" w:hAnsi="仿宋_GB2312" w:cs="仿宋_GB2312" w:eastAsia="仿宋_GB2312"/>
                      <w:sz w:val="22"/>
                    </w:rPr>
                    <w:t>http：//www.accem.org.cn/index.html</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zhongshangqixie@163.com</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010-66095405、66095626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w:t>
                  </w:r>
                  <w:r>
                    <w:rPr>
                      <w:rFonts w:ascii="仿宋_GB2312" w:hAnsi="仿宋_GB2312" w:cs="仿宋_GB2312" w:eastAsia="仿宋_GB2312"/>
                      <w:sz w:val="22"/>
                    </w:rPr>
                    <w:t>500强企业名单</w:t>
                  </w:r>
                </w:p>
              </w:tc>
            </w:tr>
          </w:tbl>
          <w:p>
            <w:pPr>
              <w:pStyle w:val="null3"/>
              <w:ind w:firstLine="562"/>
              <w:jc w:val="both"/>
            </w:pPr>
            <w:r>
              <w:rPr>
                <w:rFonts w:ascii="仿宋_GB2312" w:hAnsi="仿宋_GB2312" w:cs="仿宋_GB2312" w:eastAsia="仿宋_GB2312"/>
                <w:sz w:val="28"/>
                <w:b/>
              </w:rPr>
              <w:t>e.</w:t>
            </w:r>
            <w:r>
              <w:rPr>
                <w:rFonts w:ascii="仿宋_GB2312" w:hAnsi="仿宋_GB2312" w:cs="仿宋_GB2312" w:eastAsia="仿宋_GB2312"/>
                <w:sz w:val="28"/>
                <w:b/>
              </w:rPr>
              <w:t>现代物流业专业</w:t>
            </w:r>
          </w:p>
          <w:tbl>
            <w:tblPr>
              <w:tblBorders>
                <w:top w:val="none" w:color="000000" w:sz="4"/>
                <w:left w:val="none" w:color="000000" w:sz="4"/>
                <w:bottom w:val="none" w:color="000000" w:sz="4"/>
                <w:right w:val="none" w:color="000000" w:sz="4"/>
                <w:insideH w:val="none"/>
                <w:insideV w:val="none"/>
              </w:tblBorders>
            </w:tblPr>
            <w:tblGrid>
              <w:gridCol w:w="118"/>
              <w:gridCol w:w="109"/>
              <w:gridCol w:w="516"/>
              <w:gridCol w:w="317"/>
              <w:gridCol w:w="616"/>
              <w:gridCol w:w="412"/>
              <w:gridCol w:w="466"/>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11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现代物流业专业</w:t>
                  </w: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A类：近3年入选中国物流与采购联合会“中国物流企业50强”排名前3位的企业高级管理人才</w:t>
                  </w:r>
                </w:p>
                <w:p>
                  <w:pPr>
                    <w:pStyle w:val="null3"/>
                    <w:jc w:val="both"/>
                  </w:pPr>
                  <w:r>
                    <w:rPr>
                      <w:rFonts w:ascii="仿宋_GB2312" w:hAnsi="仿宋_GB2312" w:cs="仿宋_GB2312" w:eastAsia="仿宋_GB2312"/>
                      <w:sz w:val="22"/>
                    </w:rPr>
                    <w:t>B类：近3年入选中国物流与采购联合会“中国物流企业50强”排名前10位的企业高级管理人才</w:t>
                  </w:r>
                </w:p>
                <w:p>
                  <w:pPr>
                    <w:pStyle w:val="null3"/>
                    <w:jc w:val="both"/>
                  </w:pPr>
                  <w:r>
                    <w:rPr>
                      <w:rFonts w:ascii="仿宋_GB2312" w:hAnsi="仿宋_GB2312" w:cs="仿宋_GB2312" w:eastAsia="仿宋_GB2312"/>
                      <w:sz w:val="22"/>
                    </w:rPr>
                    <w:t>C类：近3年入选中国物流与采购联合会“中国物流企业50强”排名前20位的企业高级管理人才</w:t>
                  </w:r>
                </w:p>
                <w:p>
                  <w:pPr>
                    <w:pStyle w:val="null3"/>
                    <w:jc w:val="both"/>
                  </w:pPr>
                  <w:r>
                    <w:rPr>
                      <w:rFonts w:ascii="仿宋_GB2312" w:hAnsi="仿宋_GB2312" w:cs="仿宋_GB2312" w:eastAsia="仿宋_GB2312"/>
                      <w:sz w:val="22"/>
                    </w:rPr>
                    <w:t>D类：近3年入选中国物流与采购联合会“中国物流企业50强”排名前20位的企业中级管理人才</w:t>
                  </w: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中国物流与采购联合会</w:t>
                  </w:r>
                </w:p>
              </w:tc>
              <w:tc>
                <w:tcPr>
                  <w:tcW w:type="dxa" w:w="6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http//www.chinawuliu.com.cn/search/result.shtml?query=%E7%89%A9%E6%B5%8150%E5%BC%BA</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1.中国物流学会</w:t>
                  </w:r>
                </w:p>
                <w:p>
                  <w:pPr>
                    <w:pStyle w:val="null3"/>
                    <w:jc w:val="both"/>
                  </w:pPr>
                  <w:r>
                    <w:rPr>
                      <w:rFonts w:ascii="仿宋_GB2312" w:hAnsi="仿宋_GB2312" w:cs="仿宋_GB2312" w:eastAsia="仿宋_GB2312"/>
                      <w:sz w:val="22"/>
                    </w:rPr>
                    <w:t>http//csl.chinawuliu.com.cn/</w:t>
                  </w:r>
                </w:p>
                <w:p>
                  <w:pPr>
                    <w:pStyle w:val="null3"/>
                    <w:jc w:val="both"/>
                  </w:pPr>
                  <w:r>
                    <w:rPr>
                      <w:rFonts w:ascii="仿宋_GB2312" w:hAnsi="仿宋_GB2312" w:cs="仿宋_GB2312" w:eastAsia="仿宋_GB2312"/>
                      <w:sz w:val="22"/>
                    </w:rPr>
                    <w:t>邮件：</w:t>
                  </w:r>
                  <w:r>
                    <w:rPr>
                      <w:rFonts w:ascii="仿宋_GB2312" w:hAnsi="仿宋_GB2312" w:cs="仿宋_GB2312" w:eastAsia="仿宋_GB2312"/>
                      <w:sz w:val="22"/>
                    </w:rPr>
                    <w:t>CSL56@vip.163.com</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010-83775681</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中国物流与采购联合会</w:t>
                  </w:r>
                  <w:r>
                    <w:rPr>
                      <w:rFonts w:ascii="仿宋_GB2312" w:hAnsi="仿宋_GB2312" w:cs="仿宋_GB2312" w:eastAsia="仿宋_GB2312"/>
                      <w:sz w:val="22"/>
                    </w:rPr>
                    <w:t>“中国物流企业50强”名单</w:t>
                  </w:r>
                </w:p>
              </w:tc>
            </w:tr>
            <w:tr>
              <w:tc>
                <w:tcPr>
                  <w:tcW w:type="dxa" w:w="11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109"/>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2.中国交通运输协会</w:t>
                  </w:r>
                </w:p>
                <w:p>
                  <w:pPr>
                    <w:pStyle w:val="null3"/>
                    <w:jc w:val="both"/>
                  </w:pPr>
                  <w:r>
                    <w:rPr>
                      <w:rFonts w:ascii="仿宋_GB2312" w:hAnsi="仿宋_GB2312" w:cs="仿宋_GB2312" w:eastAsia="仿宋_GB2312"/>
                      <w:sz w:val="22"/>
                    </w:rPr>
                    <w:t>https：//www.cctaw.cn/</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010-63691476</w:t>
                  </w:r>
                </w:p>
              </w:tc>
              <w:tc>
                <w:tcPr>
                  <w:tcW w:type="dxa" w:w="466"/>
                  <w:vMerge/>
                  <w:tcBorders>
                    <w:top w:val="none" w:color="000000" w:sz="4"/>
                    <w:left w:val="none" w:color="000000" w:sz="4"/>
                    <w:bottom w:val="single" w:color="000000" w:sz="4"/>
                    <w:right w:val="single" w:color="000000" w:sz="4"/>
                  </w:tcBorders>
                </w:tcPr>
                <w:p/>
              </w:tc>
            </w:tr>
            <w:tr>
              <w:tc>
                <w:tcPr>
                  <w:tcW w:type="dxa" w:w="11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109"/>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3.中国道路运输协会</w:t>
                  </w:r>
                </w:p>
                <w:p>
                  <w:pPr>
                    <w:pStyle w:val="null3"/>
                    <w:jc w:val="both"/>
                  </w:pPr>
                  <w:r>
                    <w:rPr>
                      <w:rFonts w:ascii="仿宋_GB2312" w:hAnsi="仿宋_GB2312" w:cs="仿宋_GB2312" w:eastAsia="仿宋_GB2312"/>
                      <w:sz w:val="22"/>
                    </w:rPr>
                    <w:t>http：//www.crta.org.cn/</w:t>
                  </w:r>
                </w:p>
                <w:p>
                  <w:pPr>
                    <w:pStyle w:val="null3"/>
                    <w:jc w:val="both"/>
                  </w:pPr>
                  <w:r>
                    <w:rPr>
                      <w:rFonts w:ascii="仿宋_GB2312" w:hAnsi="仿宋_GB2312" w:cs="仿宋_GB2312" w:eastAsia="仿宋_GB2312"/>
                      <w:sz w:val="22"/>
                    </w:rPr>
                    <w:t>邮件：</w:t>
                  </w:r>
                  <w:r>
                    <w:rPr>
                      <w:rFonts w:ascii="仿宋_GB2312" w:hAnsi="仿宋_GB2312" w:cs="仿宋_GB2312" w:eastAsia="仿宋_GB2312"/>
                      <w:sz w:val="22"/>
                    </w:rPr>
                    <w:t>crta@crta.org.cn</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010-58731030</w:t>
                  </w:r>
                </w:p>
              </w:tc>
              <w:tc>
                <w:tcPr>
                  <w:tcW w:type="dxa" w:w="466"/>
                  <w:vMerge/>
                  <w:tcBorders>
                    <w:top w:val="none" w:color="000000" w:sz="4"/>
                    <w:left w:val="none" w:color="000000" w:sz="4"/>
                    <w:bottom w:val="single" w:color="000000" w:sz="4"/>
                    <w:right w:val="single" w:color="000000" w:sz="4"/>
                  </w:tcBorders>
                </w:tcPr>
                <w:p/>
              </w:tc>
            </w:tr>
          </w:tbl>
          <w:p>
            <w:pPr>
              <w:pStyle w:val="null3"/>
              <w:ind w:firstLine="562"/>
              <w:jc w:val="both"/>
            </w:pPr>
            <w:r>
              <w:rPr>
                <w:rFonts w:ascii="仿宋_GB2312" w:hAnsi="仿宋_GB2312" w:cs="仿宋_GB2312" w:eastAsia="仿宋_GB2312"/>
                <w:sz w:val="28"/>
                <w:b/>
              </w:rPr>
              <w:t>f.</w:t>
            </w:r>
            <w:r>
              <w:rPr>
                <w:rFonts w:ascii="仿宋_GB2312" w:hAnsi="仿宋_GB2312" w:cs="仿宋_GB2312" w:eastAsia="仿宋_GB2312"/>
                <w:sz w:val="28"/>
                <w:b/>
              </w:rPr>
              <w:t>现代金融服务业专业</w:t>
            </w:r>
          </w:p>
          <w:tbl>
            <w:tblPr>
              <w:tblBorders>
                <w:top w:val="none" w:color="000000" w:sz="4"/>
                <w:left w:val="none" w:color="000000" w:sz="4"/>
                <w:bottom w:val="none" w:color="000000" w:sz="4"/>
                <w:right w:val="none" w:color="000000" w:sz="4"/>
                <w:insideH w:val="none"/>
                <w:insideV w:val="none"/>
              </w:tblBorders>
            </w:tblPr>
            <w:tblGrid>
              <w:gridCol w:w="95"/>
              <w:gridCol w:w="181"/>
              <w:gridCol w:w="443"/>
              <w:gridCol w:w="217"/>
              <w:gridCol w:w="687"/>
              <w:gridCol w:w="578"/>
              <w:gridCol w:w="352"/>
            </w:tblGrid>
            <w:tr>
              <w:tc>
                <w:tcPr>
                  <w:tcW w:type="dxa" w:w="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现代金融服务业专业</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B类：中国注册会计师协会发布的全国排名前10位的会计师事务所总部高级管理人才。</w:t>
                  </w:r>
                </w:p>
                <w:p>
                  <w:pPr>
                    <w:pStyle w:val="null3"/>
                    <w:jc w:val="both"/>
                  </w:pPr>
                  <w:r>
                    <w:rPr>
                      <w:rFonts w:ascii="仿宋_GB2312" w:hAnsi="仿宋_GB2312" w:cs="仿宋_GB2312" w:eastAsia="仿宋_GB2312"/>
                      <w:sz w:val="22"/>
                    </w:rPr>
                    <w:t>C类：中国注册会计师协会发布的全国排名前20位的会计师事务所总部高级管理人。</w:t>
                  </w:r>
                </w:p>
              </w:tc>
              <w:tc>
                <w:tcPr>
                  <w:tcW w:type="dxa" w:w="2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注册会计师协会</w:t>
                  </w:r>
                </w:p>
              </w:tc>
              <w:tc>
                <w:tcPr>
                  <w:tcW w:type="dxa" w:w="6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http：//www.cicpa.org.cn/</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1.中国金融协会</w:t>
                  </w:r>
                </w:p>
                <w:p>
                  <w:pPr>
                    <w:pStyle w:val="null3"/>
                    <w:jc w:val="both"/>
                  </w:pPr>
                  <w:r>
                    <w:rPr>
                      <w:rFonts w:ascii="仿宋_GB2312" w:hAnsi="仿宋_GB2312" w:cs="仿宋_GB2312" w:eastAsia="仿宋_GB2312"/>
                      <w:sz w:val="22"/>
                    </w:rPr>
                    <w:t>http：//www.zgjrxh.org/</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zhjrxie@163.com，电话：13811414493</w:t>
                  </w: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中国注册会计师协会发布的全国会计师事务所排名名单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18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c>
                <w:tcPr>
                  <w:tcW w:type="dxa" w:w="217"/>
                  <w:vMerge/>
                  <w:tcBorders>
                    <w:top w:val="none" w:color="000000" w:sz="4"/>
                    <w:left w:val="none" w:color="000000" w:sz="4"/>
                    <w:bottom w:val="single" w:color="000000" w:sz="4"/>
                    <w:right w:val="single" w:color="000000" w:sz="4"/>
                  </w:tcBorders>
                </w:tcPr>
                <w:p/>
              </w:tc>
              <w:tc>
                <w:tcPr>
                  <w:tcW w:type="dxa" w:w="687"/>
                  <w:vMerge/>
                  <w:tcBorders>
                    <w:top w:val="none" w:color="000000" w:sz="4"/>
                    <w:left w:val="none" w:color="000000" w:sz="4"/>
                    <w:bottom w:val="single" w:color="000000" w:sz="4"/>
                    <w:right w:val="single" w:color="000000" w:sz="4"/>
                  </w:tcBorders>
                </w:tc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2.中国互联网金融协会</w:t>
                  </w:r>
                </w:p>
                <w:p>
                  <w:pPr>
                    <w:pStyle w:val="null3"/>
                    <w:jc w:val="both"/>
                  </w:pPr>
                  <w:r>
                    <w:rPr>
                      <w:rFonts w:ascii="仿宋_GB2312" w:hAnsi="仿宋_GB2312" w:cs="仿宋_GB2312" w:eastAsia="仿宋_GB2312"/>
                      <w:sz w:val="22"/>
                    </w:rPr>
                    <w:t>https://www.nifa.org.cn/nifa/index.html</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010-66161197</w:t>
                  </w:r>
                </w:p>
              </w:tc>
              <w:tc>
                <w:tcPr>
                  <w:tcW w:type="dxa" w:w="352"/>
                  <w:vMerge/>
                  <w:tcBorders>
                    <w:top w:val="none" w:color="000000" w:sz="4"/>
                    <w:left w:val="none" w:color="000000" w:sz="4"/>
                    <w:bottom w:val="single" w:color="000000" w:sz="4"/>
                    <w:right w:val="single" w:color="000000" w:sz="4"/>
                  </w:tcBorders>
                </w:tc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D类：取得国际注册内部审计师（CIA）资格证书者。</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中国内部审计师协会</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http//www.ciia.com.cn/index.html</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取得国际注册内部审计师（</w:t>
                  </w:r>
                  <w:r>
                    <w:rPr>
                      <w:rFonts w:ascii="仿宋_GB2312" w:hAnsi="仿宋_GB2312" w:cs="仿宋_GB2312" w:eastAsia="仿宋_GB2312"/>
                      <w:sz w:val="22"/>
                    </w:rPr>
                    <w:t>CIA）资格证书的人员名单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D类：取得注册管理会计师（CMA）资格证书者</w:t>
                  </w:r>
                </w:p>
                <w:p>
                  <w:pPr>
                    <w:pStyle w:val="null3"/>
                    <w:jc w:val="both"/>
                  </w:pPr>
                  <w:r>
                    <w:rPr>
                      <w:rFonts w:ascii="仿宋_GB2312" w:hAnsi="仿宋_GB2312" w:cs="仿宋_GB2312" w:eastAsia="仿宋_GB2312"/>
                      <w:sz w:val="22"/>
                    </w:rPr>
                    <w:t>D类：取得金融风险管理师（FRM）资格证书者</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美国管理会计师协会</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https//www.imachina.org.cn/receive.html</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1.中国总会计师协会</w:t>
                  </w:r>
                </w:p>
                <w:p>
                  <w:pPr>
                    <w:pStyle w:val="null3"/>
                    <w:jc w:val="both"/>
                  </w:pPr>
                  <w:r>
                    <w:rPr>
                      <w:rFonts w:ascii="仿宋_GB2312" w:hAnsi="仿宋_GB2312" w:cs="仿宋_GB2312" w:eastAsia="仿宋_GB2312"/>
                      <w:sz w:val="22"/>
                    </w:rPr>
                    <w:t>https：//www.cacfo.com/</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webmaster@cacfo.com</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01088191834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取得注册管理会计师（</w:t>
                  </w:r>
                  <w:r>
                    <w:rPr>
                      <w:rFonts w:ascii="仿宋_GB2312" w:hAnsi="仿宋_GB2312" w:cs="仿宋_GB2312" w:eastAsia="仿宋_GB2312"/>
                      <w:sz w:val="22"/>
                    </w:rPr>
                    <w:t>CMA）资格证书的人员名单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D类：取得金融风险管理师（FRM）资格证书者</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GlobalAssociationofRiskProfessionals</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https//www.garp.org/#！/china</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1.注册金融风险管理师协会</w:t>
                  </w:r>
                </w:p>
                <w:p>
                  <w:pPr>
                    <w:pStyle w:val="null3"/>
                    <w:jc w:val="both"/>
                  </w:pPr>
                  <w:r>
                    <w:rPr>
                      <w:rFonts w:ascii="仿宋_GB2312" w:hAnsi="仿宋_GB2312" w:cs="仿宋_GB2312" w:eastAsia="仿宋_GB2312"/>
                      <w:sz w:val="22"/>
                    </w:rPr>
                    <w:t>http：//www.icfrm.org/</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info@icfrm.org，电话：00852-3741-0535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取得金融风险管理师（</w:t>
                  </w:r>
                  <w:r>
                    <w:rPr>
                      <w:rFonts w:ascii="仿宋_GB2312" w:hAnsi="仿宋_GB2312" w:cs="仿宋_GB2312" w:eastAsia="仿宋_GB2312"/>
                      <w:sz w:val="22"/>
                    </w:rPr>
                    <w:t>FRM）资格证书的人员名单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D类：取得注册国际投资分析师（CIIA）资格证书者</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中国证券业协会</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https//www.sac.net.cn/</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取得注册国际投资分析师（</w:t>
                  </w:r>
                  <w:r>
                    <w:rPr>
                      <w:rFonts w:ascii="仿宋_GB2312" w:hAnsi="仿宋_GB2312" w:cs="仿宋_GB2312" w:eastAsia="仿宋_GB2312"/>
                      <w:sz w:val="22"/>
                    </w:rPr>
                    <w:t>CIIA）资格证书的人员名单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c>
                <w:tcPr>
                  <w:tcW w:type="dxa" w:w="181"/>
                  <w:vMerge/>
                  <w:tcBorders>
                    <w:top w:val="none" w:color="000000" w:sz="4"/>
                    <w:left w:val="none" w:color="000000" w:sz="4"/>
                    <w:bottom w:val="single" w:color="000000" w:sz="4"/>
                    <w:right w:val="single" w:color="000000" w:sz="4"/>
                  </w:tcBorders>
                </w:tcPr>
                <w:p/>
              </w:tc>
              <w:tc>
                <w:tcPr>
                  <w:tcW w:type="dxa" w:w="44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E类：资产评估师</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中国资产评估协会</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http//www.cas.org.cn/</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1.四川省资产评估协会https：//www.sczcpg.org.cn/</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028-86789367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取得资产评估师证书的人员名单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c>
                <w:tcPr>
                  <w:tcW w:type="dxa" w:w="18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non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广东省资产评估协会</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https://www.gdzcpg.cn/hydtxq?article_id=6647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取得资产评估师证书的人员名单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D类：加拿大注册会计师（CPACanada）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加拿大特许专业会计师协会</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http//www.cpacanada.net.cn/Home/Index/index.html</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1.广东省注册会计师协会</w:t>
                  </w:r>
                </w:p>
                <w:p>
                  <w:pPr>
                    <w:pStyle w:val="null3"/>
                    <w:jc w:val="both"/>
                  </w:pPr>
                  <w:r>
                    <w:rPr>
                      <w:rFonts w:ascii="仿宋_GB2312" w:hAnsi="仿宋_GB2312" w:cs="仿宋_GB2312" w:eastAsia="仿宋_GB2312"/>
                      <w:sz w:val="22"/>
                    </w:rPr>
                    <w:t>http//www.gdicpa.org.cn/</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020-83063850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取得加拿大注册会计师（</w:t>
                  </w:r>
                  <w:r>
                    <w:rPr>
                      <w:rFonts w:ascii="仿宋_GB2312" w:hAnsi="仿宋_GB2312" w:cs="仿宋_GB2312" w:eastAsia="仿宋_GB2312"/>
                      <w:sz w:val="22"/>
                    </w:rPr>
                    <w:t>CPACanada）的人员名单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10</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D类：取得特许公认会计师（ACCA）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AssociationofCharteredCertifiedAccountants</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https//www.accaglobal.com/gb/en/member/find-an-accountant/directory-of-member.html</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取得特许公认会计师（</w:t>
                  </w:r>
                  <w:r>
                    <w:rPr>
                      <w:rFonts w:ascii="仿宋_GB2312" w:hAnsi="仿宋_GB2312" w:cs="仿宋_GB2312" w:eastAsia="仿宋_GB2312"/>
                      <w:sz w:val="22"/>
                    </w:rPr>
                    <w:t>ACCA）的人员名单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香港注册会计师（</w:t>
                  </w:r>
                  <w:r>
                    <w:rPr>
                      <w:rFonts w:ascii="仿宋_GB2312" w:hAnsi="仿宋_GB2312" w:cs="仿宋_GB2312" w:eastAsia="仿宋_GB2312"/>
                      <w:sz w:val="22"/>
                    </w:rPr>
                    <w:t>HKICPA）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香港会计师公会</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https//www.hkicpa.org.hk/en/Membership/Find-a-CPA</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1.江西省注册会计师协会</w:t>
                  </w:r>
                </w:p>
                <w:p>
                  <w:pPr>
                    <w:pStyle w:val="null3"/>
                    <w:jc w:val="both"/>
                  </w:pPr>
                  <w:r>
                    <w:rPr>
                      <w:rFonts w:ascii="仿宋_GB2312" w:hAnsi="仿宋_GB2312" w:cs="仿宋_GB2312" w:eastAsia="仿宋_GB2312"/>
                      <w:sz w:val="22"/>
                    </w:rPr>
                    <w:t>http//www.jxicpa.org.cn/index.html</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0791-87287847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取得香港注册会计师（</w:t>
                  </w:r>
                  <w:r>
                    <w:rPr>
                      <w:rFonts w:ascii="仿宋_GB2312" w:hAnsi="仿宋_GB2312" w:cs="仿宋_GB2312" w:eastAsia="仿宋_GB2312"/>
                      <w:sz w:val="22"/>
                    </w:rPr>
                    <w:t>HKICPA）的人员名单</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181"/>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美国注册会计师（</w:t>
                  </w:r>
                  <w:r>
                    <w:rPr>
                      <w:rFonts w:ascii="仿宋_GB2312" w:hAnsi="仿宋_GB2312" w:cs="仿宋_GB2312" w:eastAsia="仿宋_GB2312"/>
                      <w:sz w:val="22"/>
                    </w:rPr>
                    <w:t>AICPA）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NationalAssociationofStateBoardsofAccountancy</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CPAverify.org</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1.江苏省注册会计师协会</w:t>
                  </w:r>
                </w:p>
                <w:p>
                  <w:pPr>
                    <w:pStyle w:val="null3"/>
                    <w:jc w:val="both"/>
                  </w:pPr>
                  <w:r>
                    <w:rPr>
                      <w:rFonts w:ascii="仿宋_GB2312" w:hAnsi="仿宋_GB2312" w:cs="仿宋_GB2312" w:eastAsia="仿宋_GB2312"/>
                      <w:sz w:val="22"/>
                    </w:rPr>
                    <w:t>http//www.jicpa.org.cn/pub/cztzx/</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83633926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取得美国注册会计师（</w:t>
                  </w:r>
                  <w:r>
                    <w:rPr>
                      <w:rFonts w:ascii="仿宋_GB2312" w:hAnsi="仿宋_GB2312" w:cs="仿宋_GB2312" w:eastAsia="仿宋_GB2312"/>
                      <w:sz w:val="22"/>
                    </w:rPr>
                    <w:t>AICPA）的人员名单</w:t>
                  </w:r>
                </w:p>
              </w:tc>
            </w:tr>
          </w:tbl>
          <w:p>
            <w:pPr>
              <w:pStyle w:val="null3"/>
              <w:ind w:firstLine="562"/>
              <w:jc w:val="both"/>
            </w:pPr>
            <w:r>
              <w:rPr>
                <w:rFonts w:ascii="仿宋_GB2312" w:hAnsi="仿宋_GB2312" w:cs="仿宋_GB2312" w:eastAsia="仿宋_GB2312"/>
                <w:sz w:val="28"/>
                <w:b/>
              </w:rPr>
              <w:t>g.</w:t>
            </w:r>
            <w:r>
              <w:rPr>
                <w:rFonts w:ascii="仿宋_GB2312" w:hAnsi="仿宋_GB2312" w:cs="仿宋_GB2312" w:eastAsia="仿宋_GB2312"/>
                <w:sz w:val="28"/>
                <w:b/>
              </w:rPr>
              <w:t>教育和科研领域专业</w:t>
            </w:r>
          </w:p>
          <w:tbl>
            <w:tblPr>
              <w:tblBorders>
                <w:top w:val="none" w:color="000000" w:sz="4"/>
                <w:left w:val="none" w:color="000000" w:sz="4"/>
                <w:bottom w:val="none" w:color="000000" w:sz="4"/>
                <w:right w:val="none" w:color="000000" w:sz="4"/>
                <w:insideH w:val="none"/>
                <w:insideV w:val="none"/>
              </w:tblBorders>
            </w:tblPr>
            <w:tblGrid>
              <w:gridCol w:w="81"/>
              <w:gridCol w:w="154"/>
              <w:gridCol w:w="759"/>
              <w:gridCol w:w="434"/>
              <w:gridCol w:w="411"/>
              <w:gridCol w:w="366"/>
              <w:gridCol w:w="348"/>
            </w:tblGrid>
            <w:tr>
              <w:tc>
                <w:tcPr>
                  <w:tcW w:type="dxa" w:w="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教育和科研领域专业</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B类：QS世界大学排名（QSWorldUniversityRankings）上年度评选排名前200位的世界知名大学讲座教授（Chairprofessor）。</w:t>
                  </w:r>
                </w:p>
                <w:p>
                  <w:pPr>
                    <w:pStyle w:val="null3"/>
                    <w:jc w:val="both"/>
                  </w:pPr>
                  <w:r>
                    <w:rPr>
                      <w:rFonts w:ascii="仿宋_GB2312" w:hAnsi="仿宋_GB2312" w:cs="仿宋_GB2312" w:eastAsia="仿宋_GB2312"/>
                      <w:sz w:val="22"/>
                    </w:rPr>
                    <w:t>C类：QS世界大学排名（QSWorldUniversityRankings）上年度评选排名前200位的世界知名大学教授（Professor）。</w:t>
                  </w:r>
                </w:p>
                <w:p>
                  <w:pPr>
                    <w:pStyle w:val="null3"/>
                    <w:jc w:val="both"/>
                  </w:pPr>
                  <w:r>
                    <w:rPr>
                      <w:rFonts w:ascii="仿宋_GB2312" w:hAnsi="仿宋_GB2312" w:cs="仿宋_GB2312" w:eastAsia="仿宋_GB2312"/>
                      <w:sz w:val="22"/>
                    </w:rPr>
                    <w:t>D类：QS世界大学排名（QSWorldUniversityRankings）上年度评选排名前200位的世界知名大学副教授（AssociateProfessor）。</w:t>
                  </w:r>
                </w:p>
                <w:p>
                  <w:pPr>
                    <w:pStyle w:val="null3"/>
                    <w:jc w:val="both"/>
                  </w:pPr>
                  <w:r>
                    <w:rPr>
                      <w:rFonts w:ascii="仿宋_GB2312" w:hAnsi="仿宋_GB2312" w:cs="仿宋_GB2312" w:eastAsia="仿宋_GB2312"/>
                      <w:sz w:val="22"/>
                    </w:rPr>
                    <w:t>E类：QS世界大学排名（QSWorldUniversityRankings）上年度评选排名前200位的世界知名大学助理教授（AssistantProfessor）</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QSQUACQUARELLISYMONDSLIMITED</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https://www.qschina.cn/</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1.美国大学协会</w:t>
                  </w:r>
                </w:p>
                <w:p>
                  <w:pPr>
                    <w:pStyle w:val="null3"/>
                    <w:jc w:val="both"/>
                  </w:pPr>
                  <w:r>
                    <w:rPr>
                      <w:rFonts w:ascii="仿宋_GB2312" w:hAnsi="仿宋_GB2312" w:cs="仿宋_GB2312" w:eastAsia="仿宋_GB2312"/>
                      <w:sz w:val="22"/>
                    </w:rPr>
                    <w:t>https：//www.aau.edu/</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202.408.7500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QS世界大学排名前200位名单</w:t>
                  </w:r>
                </w:p>
              </w:tc>
            </w:tr>
          </w:tbl>
          <w:p>
            <w:pPr>
              <w:pStyle w:val="null3"/>
              <w:ind w:firstLine="562"/>
              <w:jc w:val="both"/>
            </w:pPr>
            <w:r>
              <w:rPr>
                <w:rFonts w:ascii="仿宋_GB2312" w:hAnsi="仿宋_GB2312" w:cs="仿宋_GB2312" w:eastAsia="仿宋_GB2312"/>
                <w:sz w:val="28"/>
                <w:b/>
              </w:rPr>
              <w:t>h.</w:t>
            </w:r>
            <w:r>
              <w:rPr>
                <w:rFonts w:ascii="仿宋_GB2312" w:hAnsi="仿宋_GB2312" w:cs="仿宋_GB2312" w:eastAsia="仿宋_GB2312"/>
                <w:sz w:val="28"/>
                <w:b/>
              </w:rPr>
              <w:t>宣传文化领域专业</w:t>
            </w:r>
          </w:p>
          <w:tbl>
            <w:tblPr>
              <w:tblBorders>
                <w:top w:val="none" w:color="000000" w:sz="4"/>
                <w:left w:val="none" w:color="000000" w:sz="4"/>
                <w:bottom w:val="none" w:color="000000" w:sz="4"/>
                <w:right w:val="none" w:color="000000" w:sz="4"/>
                <w:insideH w:val="none"/>
                <w:insideV w:val="none"/>
              </w:tblBorders>
            </w:tblPr>
            <w:tblGrid>
              <w:gridCol w:w="100"/>
              <w:gridCol w:w="190"/>
              <w:gridCol w:w="398"/>
              <w:gridCol w:w="195"/>
              <w:gridCol w:w="512"/>
              <w:gridCol w:w="715"/>
              <w:gridCol w:w="444"/>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宣传文化领域专业</w:t>
                  </w:r>
                </w:p>
              </w:tc>
              <w:tc>
                <w:tcPr>
                  <w:tcW w:type="dxa" w:w="3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D类：电视节目技术质量奖（金帆奖）获得者；广播电视节目技术质量奖（金鹿奖）获得者</w:t>
                  </w:r>
                </w:p>
              </w:tc>
              <w:tc>
                <w:tcPr>
                  <w:tcW w:type="dxa" w:w="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中国电影电视技术学会</w:t>
                  </w:r>
                </w:p>
              </w:tc>
              <w:tc>
                <w:tcPr>
                  <w:tcW w:type="dxa" w:w="5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http//www.csmpte.com/</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1.中国电影家协会</w:t>
                  </w:r>
                </w:p>
                <w:p>
                  <w:pPr>
                    <w:pStyle w:val="null3"/>
                    <w:jc w:val="both"/>
                  </w:pPr>
                  <w:r>
                    <w:rPr>
                      <w:rFonts w:ascii="仿宋_GB2312" w:hAnsi="仿宋_GB2312" w:cs="仿宋_GB2312" w:eastAsia="仿宋_GB2312"/>
                      <w:sz w:val="22"/>
                    </w:rPr>
                    <w:t>http：//www.cfa1949.com/</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zgdyjxh@163.com</w:t>
                  </w:r>
                </w:p>
              </w:tc>
              <w:tc>
                <w:tcPr>
                  <w:tcW w:type="dxa" w:w="4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电视节目技术质量奖（金帆奖）获得者；广播电视节目技术质量奖（金鹿奖）获得者名单</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190"/>
                  <w:vMerge/>
                  <w:tcBorders>
                    <w:top w:val="none" w:color="000000" w:sz="4"/>
                    <w:left w:val="none" w:color="000000" w:sz="4"/>
                    <w:bottom w:val="single" w:color="000000" w:sz="4"/>
                    <w:right w:val="single" w:color="000000" w:sz="4"/>
                  </w:tcBorders>
                </w:tcPr>
                <w:p/>
              </w:tc>
              <w:tc>
                <w:tcPr>
                  <w:tcW w:type="dxa" w:w="398"/>
                  <w:vMerge/>
                  <w:tcBorders>
                    <w:top w:val="none" w:color="000000" w:sz="4"/>
                    <w:left w:val="none" w:color="000000" w:sz="4"/>
                    <w:bottom w:val="single" w:color="000000" w:sz="4"/>
                    <w:right w:val="single" w:color="000000" w:sz="4"/>
                  </w:tcBorders>
                </w:tcPr>
                <w:p/>
              </w:tc>
              <w:tc>
                <w:tcPr>
                  <w:tcW w:type="dxa" w:w="195"/>
                  <w:vMerge/>
                  <w:tcBorders>
                    <w:top w:val="none" w:color="000000" w:sz="4"/>
                    <w:left w:val="none" w:color="000000" w:sz="4"/>
                    <w:bottom w:val="single" w:color="000000" w:sz="4"/>
                    <w:right w:val="single" w:color="000000" w:sz="4"/>
                  </w:tcBorders>
                </w:tcPr>
                <w:p/>
              </w:tc>
              <w:tc>
                <w:tcPr>
                  <w:tcW w:type="dxa" w:w="512"/>
                  <w:vMerge/>
                  <w:tcBorders>
                    <w:top w:val="none" w:color="000000" w:sz="4"/>
                    <w:left w:val="none" w:color="000000" w:sz="4"/>
                    <w:bottom w:val="single" w:color="000000" w:sz="4"/>
                    <w:right w:val="single" w:color="000000" w:sz="4"/>
                  </w:tcBorders>
                </w:tcP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2.中国电视艺术交流协会</w:t>
                  </w:r>
                </w:p>
                <w:p>
                  <w:pPr>
                    <w:pStyle w:val="null3"/>
                    <w:jc w:val="both"/>
                  </w:pPr>
                  <w:r>
                    <w:rPr>
                      <w:rFonts w:ascii="仿宋_GB2312" w:hAnsi="仿宋_GB2312" w:cs="仿宋_GB2312" w:eastAsia="仿宋_GB2312"/>
                      <w:sz w:val="22"/>
                    </w:rPr>
                    <w:t>http：//www.ctaea.com/</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ctaea1995@126.com</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010-86093539</w:t>
                  </w:r>
                </w:p>
              </w:tc>
              <w:tc>
                <w:tcPr>
                  <w:tcW w:type="dxa" w:w="444"/>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190"/>
                  <w:vMerge/>
                  <w:tcBorders>
                    <w:top w:val="none" w:color="000000" w:sz="4"/>
                    <w:left w:val="none" w:color="000000" w:sz="4"/>
                    <w:bottom w:val="single" w:color="000000" w:sz="4"/>
                    <w:right w:val="single" w:color="000000" w:sz="4"/>
                  </w:tcBorders>
                </w:tcPr>
                <w:p/>
              </w:tc>
              <w:tc>
                <w:tcPr>
                  <w:tcW w:type="dxa" w:w="398"/>
                  <w:vMerge/>
                  <w:tcBorders>
                    <w:top w:val="none" w:color="000000" w:sz="4"/>
                    <w:left w:val="none" w:color="000000" w:sz="4"/>
                    <w:bottom w:val="single" w:color="000000" w:sz="4"/>
                    <w:right w:val="single" w:color="000000" w:sz="4"/>
                  </w:tcBorders>
                </w:tcPr>
                <w:p/>
              </w:tc>
              <w:tc>
                <w:tcPr>
                  <w:tcW w:type="dxa" w:w="195"/>
                  <w:vMerge/>
                  <w:tcBorders>
                    <w:top w:val="none" w:color="000000" w:sz="4"/>
                    <w:left w:val="none" w:color="000000" w:sz="4"/>
                    <w:bottom w:val="single" w:color="000000" w:sz="4"/>
                    <w:right w:val="single" w:color="000000" w:sz="4"/>
                  </w:tcBorders>
                </w:tcPr>
                <w:p/>
              </w:tc>
              <w:tc>
                <w:tcPr>
                  <w:tcW w:type="dxa" w:w="512"/>
                  <w:vMerge/>
                  <w:tcBorders>
                    <w:top w:val="none" w:color="000000" w:sz="4"/>
                    <w:left w:val="none" w:color="000000" w:sz="4"/>
                    <w:bottom w:val="single" w:color="000000" w:sz="4"/>
                    <w:right w:val="single" w:color="000000" w:sz="4"/>
                  </w:tcBorders>
                </w:tcP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3.中国电视艺术家协会</w:t>
                  </w:r>
                </w:p>
                <w:p>
                  <w:pPr>
                    <w:pStyle w:val="null3"/>
                    <w:jc w:val="both"/>
                  </w:pPr>
                  <w:r>
                    <w:rPr>
                      <w:rFonts w:ascii="仿宋_GB2312" w:hAnsi="仿宋_GB2312" w:cs="仿宋_GB2312" w:eastAsia="仿宋_GB2312"/>
                      <w:sz w:val="22"/>
                    </w:rPr>
                    <w:t>https//www.ctaa.org.cn/邮箱：shixiewz@126.com</w:t>
                  </w:r>
                </w:p>
              </w:tc>
              <w:tc>
                <w:tcPr>
                  <w:tcW w:type="dxa" w:w="444"/>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190"/>
                  <w:vMerge/>
                  <w:tcBorders>
                    <w:top w:val="none" w:color="000000" w:sz="4"/>
                    <w:left w:val="none" w:color="000000" w:sz="4"/>
                    <w:bottom w:val="single" w:color="000000" w:sz="4"/>
                    <w:right w:val="single" w:color="000000" w:sz="4"/>
                  </w:tcBorders>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C类：中国新闻奖特别奖、一等奖（第一完成人）</w:t>
                  </w:r>
                </w:p>
                <w:p>
                  <w:pPr>
                    <w:pStyle w:val="null3"/>
                    <w:jc w:val="both"/>
                  </w:pPr>
                  <w:r>
                    <w:rPr>
                      <w:rFonts w:ascii="仿宋_GB2312" w:hAnsi="仿宋_GB2312" w:cs="仿宋_GB2312" w:eastAsia="仿宋_GB2312"/>
                      <w:sz w:val="22"/>
                    </w:rPr>
                    <w:t>D类：中国新闻奖二等奖（第一完成人）</w:t>
                  </w:r>
                </w:p>
                <w:p>
                  <w:pPr>
                    <w:pStyle w:val="null3"/>
                    <w:jc w:val="both"/>
                  </w:pPr>
                  <w:r>
                    <w:rPr>
                      <w:rFonts w:ascii="仿宋_GB2312" w:hAnsi="仿宋_GB2312" w:cs="仿宋_GB2312" w:eastAsia="仿宋_GB2312"/>
                      <w:sz w:val="22"/>
                    </w:rPr>
                    <w:t>E类：中国新闻奖三等奖（第一完成人）获得者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中华全国新闻工作者协会</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http//www.zgjx.cn/</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1.中国作家协会</w:t>
                  </w:r>
                </w:p>
                <w:p>
                  <w:pPr>
                    <w:pStyle w:val="null3"/>
                    <w:jc w:val="both"/>
                  </w:pPr>
                  <w:r>
                    <w:rPr>
                      <w:rFonts w:ascii="仿宋_GB2312" w:hAnsi="仿宋_GB2312" w:cs="仿宋_GB2312" w:eastAsia="仿宋_GB2312"/>
                      <w:sz w:val="22"/>
                    </w:rPr>
                    <w:t>http//www.chinawriter.com.cn/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cnwriter@126.com</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010-65389115</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中国新闻奖获奖名单</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190"/>
                  <w:vMerge/>
                  <w:tcBorders>
                    <w:top w:val="none" w:color="000000" w:sz="4"/>
                    <w:left w:val="none" w:color="000000" w:sz="4"/>
                    <w:bottom w:val="single" w:color="000000" w:sz="4"/>
                    <w:right w:val="single" w:color="000000" w:sz="4"/>
                  </w:tcBorders>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D类：中华优秀出版物奖（图书、音像、电子和游戏优秀出版物）获得者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中国出版协会</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http//www.pac.org.cn/</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1.中国图书馆学会</w:t>
                  </w:r>
                </w:p>
                <w:p>
                  <w:pPr>
                    <w:pStyle w:val="null3"/>
                    <w:jc w:val="both"/>
                  </w:pPr>
                  <w:r>
                    <w:rPr>
                      <w:rFonts w:ascii="仿宋_GB2312" w:hAnsi="仿宋_GB2312" w:cs="仿宋_GB2312" w:eastAsia="仿宋_GB2312"/>
                      <w:sz w:val="22"/>
                    </w:rPr>
                    <w:t>http//www.lsc.org.cn/cns/index.html</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ztxhmsc@nlc.cn</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中华优秀出版物奖（图书、音像、电子和游戏优秀出版物）获得者名单</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190"/>
                  <w:vMerge/>
                  <w:tcBorders>
                    <w:top w:val="none" w:color="000000" w:sz="4"/>
                    <w:left w:val="none" w:color="000000" w:sz="4"/>
                    <w:bottom w:val="single" w:color="000000" w:sz="4"/>
                    <w:right w:val="single" w:color="000000" w:sz="4"/>
                  </w:tcBorders>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C类：全国播音主持“金话筒”奖</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中国广播电视社会组织联合会</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http：//www.carft.cn/</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1.上海市广播电视协会</w:t>
                  </w:r>
                </w:p>
                <w:p>
                  <w:pPr>
                    <w:pStyle w:val="null3"/>
                    <w:jc w:val="both"/>
                  </w:pPr>
                  <w:r>
                    <w:rPr>
                      <w:rFonts w:ascii="仿宋_GB2312" w:hAnsi="仿宋_GB2312" w:cs="仿宋_GB2312" w:eastAsia="仿宋_GB2312"/>
                      <w:sz w:val="22"/>
                    </w:rPr>
                    <w:t>http：//www.gdxh.sh.cn/</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62091756</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全国播音主持</w:t>
                  </w:r>
                  <w:r>
                    <w:rPr>
                      <w:rFonts w:ascii="仿宋_GB2312" w:hAnsi="仿宋_GB2312" w:cs="仿宋_GB2312" w:eastAsia="仿宋_GB2312"/>
                      <w:sz w:val="22"/>
                    </w:rPr>
                    <w:t>“金话筒”奖获奖名单</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c>
                <w:tcPr>
                  <w:tcW w:type="dxa" w:w="190"/>
                  <w:vMerge/>
                  <w:tcBorders>
                    <w:top w:val="none" w:color="000000" w:sz="4"/>
                    <w:left w:val="none" w:color="000000" w:sz="4"/>
                    <w:bottom w:val="single" w:color="000000" w:sz="4"/>
                    <w:right w:val="single" w:color="000000" w:sz="4"/>
                  </w:tcBorders>
                </w:tcP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B类：孙冶方经济科学著作、论文奖获得者。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孙冶方经济科学基金会</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http：//sunyefang.cass.cn/zwzd/pjhd/ljhjmd/</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1.中国区域经济学会</w:t>
                  </w:r>
                </w:p>
                <w:p>
                  <w:pPr>
                    <w:pStyle w:val="null3"/>
                    <w:jc w:val="both"/>
                  </w:pPr>
                  <w:r>
                    <w:rPr>
                      <w:rFonts w:ascii="仿宋_GB2312" w:hAnsi="仿宋_GB2312" w:cs="仿宋_GB2312" w:eastAsia="仿宋_GB2312"/>
                      <w:sz w:val="22"/>
                    </w:rPr>
                    <w:t>http://www.quyujingji.org/</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chinaregion@163.com</w:t>
                  </w:r>
                </w:p>
                <w:p>
                  <w:pPr>
                    <w:pStyle w:val="null3"/>
                    <w:jc w:val="both"/>
                  </w:pPr>
                  <w:r>
                    <w:rPr>
                      <w:rFonts w:ascii="仿宋_GB2312" w:hAnsi="仿宋_GB2312" w:cs="仿宋_GB2312" w:eastAsia="仿宋_GB2312"/>
                      <w:sz w:val="22"/>
                    </w:rPr>
                    <w:t>电话：</w:t>
                  </w:r>
                  <w:r>
                    <w:rPr>
                      <w:rFonts w:ascii="仿宋_GB2312" w:hAnsi="仿宋_GB2312" w:cs="仿宋_GB2312" w:eastAsia="仿宋_GB2312"/>
                      <w:sz w:val="22"/>
                    </w:rPr>
                    <w:t>010-68057169</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孙冶方经济科学著作、论文奖获得者名单</w:t>
                  </w:r>
                </w:p>
              </w:tc>
            </w:tr>
          </w:tbl>
          <w:p>
            <w:pPr>
              <w:pStyle w:val="null3"/>
              <w:ind w:firstLine="562"/>
              <w:jc w:val="both"/>
            </w:pPr>
            <w:r>
              <w:rPr>
                <w:rFonts w:ascii="仿宋_GB2312" w:hAnsi="仿宋_GB2312" w:cs="仿宋_GB2312" w:eastAsia="仿宋_GB2312"/>
                <w:sz w:val="28"/>
                <w:b/>
              </w:rPr>
              <w:t>i.</w:t>
            </w:r>
            <w:r>
              <w:rPr>
                <w:rFonts w:ascii="仿宋_GB2312" w:hAnsi="仿宋_GB2312" w:cs="仿宋_GB2312" w:eastAsia="仿宋_GB2312"/>
                <w:sz w:val="28"/>
                <w:b/>
              </w:rPr>
              <w:t>体育（含电子竞技）产业专业</w:t>
            </w:r>
          </w:p>
          <w:tbl>
            <w:tblPr>
              <w:tblBorders>
                <w:top w:val="none" w:color="000000" w:sz="4"/>
                <w:left w:val="none" w:color="000000" w:sz="4"/>
                <w:bottom w:val="none" w:color="000000" w:sz="4"/>
                <w:right w:val="none" w:color="000000" w:sz="4"/>
                <w:insideH w:val="none"/>
                <w:insideV w:val="none"/>
              </w:tblBorders>
            </w:tblPr>
            <w:tblGrid>
              <w:gridCol w:w="131"/>
              <w:gridCol w:w="194"/>
              <w:gridCol w:w="461"/>
              <w:gridCol w:w="149"/>
              <w:gridCol w:w="628"/>
              <w:gridCol w:w="691"/>
              <w:gridCol w:w="298"/>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序号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认定领域</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认定标准</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对接部门</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资质认证网站或获奖信息发布网址</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相关协会网址（获取协会联系方式或者邮箱）</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备注（所需对接数据）</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体育（含电子竞技）产业专业</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E类：国家级裁判员（篮球）</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中国篮球协会</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https：//www.cba.net.cn/</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1.中国足球协会</w:t>
                  </w:r>
                </w:p>
                <w:p>
                  <w:pPr>
                    <w:pStyle w:val="null3"/>
                    <w:jc w:val="both"/>
                  </w:pPr>
                  <w:r>
                    <w:rPr>
                      <w:rFonts w:ascii="仿宋_GB2312" w:hAnsi="仿宋_GB2312" w:cs="仿宋_GB2312" w:eastAsia="仿宋_GB2312"/>
                      <w:sz w:val="22"/>
                    </w:rPr>
                    <w:t>https：//www.thecfa.cn/</w:t>
                  </w:r>
                </w:p>
                <w:p>
                  <w:pPr>
                    <w:pStyle w:val="null3"/>
                    <w:jc w:val="both"/>
                  </w:pPr>
                  <w:r>
                    <w:rPr>
                      <w:rFonts w:ascii="仿宋_GB2312" w:hAnsi="仿宋_GB2312" w:cs="仿宋_GB2312" w:eastAsia="仿宋_GB2312"/>
                      <w:sz w:val="22"/>
                    </w:rPr>
                    <w:t>邮箱：</w:t>
                  </w:r>
                  <w:r>
                    <w:rPr>
                      <w:rFonts w:ascii="仿宋_GB2312" w:hAnsi="仿宋_GB2312" w:cs="仿宋_GB2312" w:eastAsia="仿宋_GB2312"/>
                      <w:sz w:val="22"/>
                    </w:rPr>
                    <w:t>marketing@thecfa.cn</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国家级裁判员（篮球）名单</w:t>
                  </w:r>
                </w:p>
              </w:tc>
            </w:tr>
          </w:tbl>
          <w:p>
            <w:pPr>
              <w:pStyle w:val="null3"/>
              <w:ind w:firstLine="560"/>
              <w:jc w:val="both"/>
            </w:pPr>
            <w:r>
              <w:rPr>
                <w:rFonts w:ascii="仿宋_GB2312" w:hAnsi="仿宋_GB2312" w:cs="仿宋_GB2312" w:eastAsia="仿宋_GB2312"/>
                <w:sz w:val="28"/>
              </w:rPr>
              <w:t>（五）</w:t>
            </w:r>
            <w:r>
              <w:rPr>
                <w:rFonts w:ascii="仿宋_GB2312" w:hAnsi="仿宋_GB2312" w:cs="仿宋_GB2312" w:eastAsia="仿宋_GB2312"/>
                <w:sz w:val="28"/>
              </w:rPr>
              <w:t>人才行业分类</w:t>
            </w:r>
          </w:p>
          <w:p>
            <w:pPr>
              <w:pStyle w:val="null3"/>
              <w:ind w:firstLine="560"/>
              <w:jc w:val="both"/>
            </w:pPr>
            <w:r>
              <w:rPr>
                <w:rFonts w:ascii="仿宋_GB2312" w:hAnsi="仿宋_GB2312" w:cs="仿宋_GB2312" w:eastAsia="仿宋_GB2312"/>
                <w:sz w:val="28"/>
              </w:rPr>
              <w:t>治理对象。行业分类即对人才的所属行业进行打标签，治理对象即为存量所有的人才。</w:t>
            </w:r>
          </w:p>
          <w:p>
            <w:pPr>
              <w:pStyle w:val="null3"/>
              <w:ind w:firstLine="560"/>
              <w:jc w:val="both"/>
            </w:pPr>
            <w:r>
              <w:rPr>
                <w:rFonts w:ascii="仿宋_GB2312" w:hAnsi="仿宋_GB2312" w:cs="仿宋_GB2312" w:eastAsia="仿宋_GB2312"/>
                <w:sz w:val="28"/>
              </w:rPr>
              <w:t>数据梳理</w:t>
            </w:r>
            <w:r>
              <w:rPr>
                <w:rFonts w:ascii="仿宋_GB2312" w:hAnsi="仿宋_GB2312" w:cs="仿宋_GB2312" w:eastAsia="仿宋_GB2312"/>
                <w:sz w:val="28"/>
              </w:rPr>
              <w:t>：</w:t>
            </w:r>
          </w:p>
          <w:p>
            <w:pPr>
              <w:pStyle w:val="null3"/>
              <w:spacing w:before="15" w:after="15"/>
              <w:ind w:firstLine="482"/>
              <w:jc w:val="both"/>
            </w:pPr>
            <w:r>
              <w:rPr>
                <w:rFonts w:ascii="仿宋_GB2312" w:hAnsi="仿宋_GB2312" w:cs="仿宋_GB2312" w:eastAsia="仿宋_GB2312"/>
                <w:sz w:val="28"/>
                <w:b/>
              </w:rPr>
              <w:t>a.</w:t>
            </w:r>
            <w:r>
              <w:rPr>
                <w:rFonts w:ascii="仿宋_GB2312" w:hAnsi="仿宋_GB2312" w:cs="仿宋_GB2312" w:eastAsia="仿宋_GB2312"/>
                <w:sz w:val="28"/>
                <w:b/>
              </w:rPr>
              <w:t>行业按国标划分</w:t>
            </w:r>
          </w:p>
          <w:p>
            <w:pPr>
              <w:pStyle w:val="null3"/>
              <w:spacing w:before="15" w:after="15"/>
              <w:ind w:firstLine="480"/>
              <w:jc w:val="both"/>
            </w:pPr>
            <w:r>
              <w:rPr>
                <w:rFonts w:ascii="仿宋_GB2312" w:hAnsi="仿宋_GB2312" w:cs="仿宋_GB2312" w:eastAsia="仿宋_GB2312"/>
                <w:sz w:val="28"/>
              </w:rPr>
              <w:t>人才所属单位可按《国民经济行业分类</w:t>
            </w:r>
            <w:r>
              <w:rPr>
                <w:rFonts w:ascii="仿宋_GB2312" w:hAnsi="仿宋_GB2312" w:cs="仿宋_GB2312" w:eastAsia="仿宋_GB2312"/>
                <w:sz w:val="28"/>
              </w:rPr>
              <w:t>GB/T4754—2017》划分的，平台一期已建设好的高层次人才库作为本模块功能的治理对象，提取人才工作单位全称，匹配省市场监督管理局获取到该单位的行业代码，并依据国家统计局发布的《国民经济行业分类GB/T4754—2017》标准梳理人才所属行业。</w:t>
            </w:r>
          </w:p>
          <w:p>
            <w:pPr>
              <w:pStyle w:val="null3"/>
              <w:spacing w:before="15" w:after="15"/>
              <w:ind w:firstLine="482"/>
              <w:jc w:val="both"/>
            </w:pPr>
            <w:r>
              <w:rPr>
                <w:rFonts w:ascii="仿宋_GB2312" w:hAnsi="仿宋_GB2312" w:cs="仿宋_GB2312" w:eastAsia="仿宋_GB2312"/>
                <w:sz w:val="28"/>
                <w:b/>
              </w:rPr>
              <w:t>b.</w:t>
            </w:r>
            <w:r>
              <w:rPr>
                <w:rFonts w:ascii="仿宋_GB2312" w:hAnsi="仿宋_GB2312" w:cs="仿宋_GB2312" w:eastAsia="仿宋_GB2312"/>
                <w:sz w:val="28"/>
                <w:b/>
              </w:rPr>
              <w:t>行业按关键字划分</w:t>
            </w:r>
          </w:p>
          <w:p>
            <w:pPr>
              <w:pStyle w:val="null3"/>
              <w:spacing w:before="15" w:after="15"/>
              <w:ind w:firstLine="480"/>
              <w:jc w:val="both"/>
            </w:pPr>
            <w:r>
              <w:rPr>
                <w:rFonts w:ascii="仿宋_GB2312" w:hAnsi="仿宋_GB2312" w:cs="仿宋_GB2312" w:eastAsia="仿宋_GB2312"/>
                <w:sz w:val="28"/>
              </w:rPr>
              <w:t>所属单位不能按《国民经济行业分类</w:t>
            </w:r>
            <w:r>
              <w:rPr>
                <w:rFonts w:ascii="仿宋_GB2312" w:hAnsi="仿宋_GB2312" w:cs="仿宋_GB2312" w:eastAsia="仿宋_GB2312"/>
                <w:sz w:val="28"/>
              </w:rPr>
              <w:t>GB/T4754—2017》划分的，即通过人工梳理好关键词，对应划分到二十大行业中，关键词通过配置文件人工动态调整。</w:t>
            </w:r>
          </w:p>
          <w:p>
            <w:pPr>
              <w:pStyle w:val="null3"/>
              <w:ind w:firstLine="560"/>
              <w:jc w:val="both"/>
            </w:pPr>
            <w:r>
              <w:rPr>
                <w:rFonts w:ascii="仿宋_GB2312" w:hAnsi="仿宋_GB2312" w:cs="仿宋_GB2312" w:eastAsia="仿宋_GB2312"/>
                <w:sz w:val="28"/>
              </w:rPr>
              <w:t>四大主导产业分类</w:t>
            </w:r>
          </w:p>
          <w:p>
            <w:pPr>
              <w:pStyle w:val="null3"/>
              <w:ind w:firstLine="560"/>
              <w:jc w:val="both"/>
            </w:pPr>
            <w:r>
              <w:rPr>
                <w:rFonts w:ascii="仿宋_GB2312" w:hAnsi="仿宋_GB2312" w:cs="仿宋_GB2312" w:eastAsia="仿宋_GB2312"/>
                <w:sz w:val="28"/>
              </w:rPr>
              <w:t>治理对象。产业分类即对人才的所属产业进行打标签，治理对象即为存量所有的人才。</w:t>
            </w:r>
          </w:p>
          <w:p>
            <w:pPr>
              <w:pStyle w:val="null3"/>
              <w:ind w:firstLine="560"/>
              <w:jc w:val="both"/>
            </w:pPr>
            <w:r>
              <w:rPr>
                <w:rFonts w:ascii="仿宋_GB2312" w:hAnsi="仿宋_GB2312" w:cs="仿宋_GB2312" w:eastAsia="仿宋_GB2312"/>
                <w:sz w:val="28"/>
              </w:rPr>
              <w:t>数据梳理。通过人工整理行业代码及行业代码映射表，依据国家统计局《现代服务业统计分类》和《国家旅游及相关产业统计分类（</w:t>
            </w:r>
            <w:r>
              <w:rPr>
                <w:rFonts w:ascii="仿宋_GB2312" w:hAnsi="仿宋_GB2312" w:cs="仿宋_GB2312" w:eastAsia="仿宋_GB2312"/>
                <w:sz w:val="28"/>
              </w:rPr>
              <w:t>2018）》、海南省工业和信息化厅《海南省高新技术产业统计分类目录（试行）》、海南省农业农村厅《热带特色高效农业统计工作实施方案》为标准划分的四大产业，再将行业代码与产业代码进行人工映射。</w:t>
            </w:r>
          </w:p>
          <w:p>
            <w:pPr>
              <w:pStyle w:val="null3"/>
              <w:spacing w:before="15" w:after="15"/>
              <w:ind w:firstLine="482"/>
              <w:jc w:val="both"/>
            </w:pPr>
            <w:r>
              <w:rPr>
                <w:rFonts w:ascii="仿宋_GB2312" w:hAnsi="仿宋_GB2312" w:cs="仿宋_GB2312" w:eastAsia="仿宋_GB2312"/>
                <w:sz w:val="28"/>
                <w:b/>
              </w:rPr>
              <w:t>现代服务业：</w:t>
            </w:r>
          </w:p>
          <w:p>
            <w:pPr>
              <w:pStyle w:val="null3"/>
              <w:spacing w:before="15" w:after="15"/>
              <w:ind w:firstLine="480"/>
              <w:jc w:val="both"/>
            </w:pPr>
            <w:r>
              <w:rPr>
                <w:rFonts w:ascii="仿宋_GB2312" w:hAnsi="仿宋_GB2312" w:cs="仿宋_GB2312" w:eastAsia="仿宋_GB2312"/>
                <w:sz w:val="28"/>
              </w:rPr>
              <w:t>包含</w:t>
            </w:r>
            <w:r>
              <w:rPr>
                <w:rFonts w:ascii="仿宋_GB2312" w:hAnsi="仿宋_GB2312" w:cs="仿宋_GB2312" w:eastAsia="仿宋_GB2312"/>
                <w:sz w:val="28"/>
              </w:rPr>
              <w:t>8个一级分类40个二级分类。</w:t>
            </w:r>
          </w:p>
          <w:p>
            <w:pPr>
              <w:pStyle w:val="null3"/>
              <w:spacing w:before="15" w:after="15"/>
              <w:ind w:firstLine="482"/>
              <w:jc w:val="both"/>
            </w:pPr>
            <w:r>
              <w:rPr>
                <w:rFonts w:ascii="仿宋_GB2312" w:hAnsi="仿宋_GB2312" w:cs="仿宋_GB2312" w:eastAsia="仿宋_GB2312"/>
                <w:sz w:val="28"/>
                <w:b/>
              </w:rPr>
              <w:t>高新技术产业</w:t>
            </w:r>
            <w:r>
              <w:rPr>
                <w:rFonts w:ascii="仿宋_GB2312" w:hAnsi="仿宋_GB2312" w:cs="仿宋_GB2312" w:eastAsia="仿宋_GB2312"/>
                <w:sz w:val="28"/>
                <w:b/>
              </w:rPr>
              <w:t>：</w:t>
            </w:r>
          </w:p>
          <w:p>
            <w:pPr>
              <w:pStyle w:val="null3"/>
              <w:spacing w:before="15" w:after="15"/>
              <w:ind w:firstLine="480"/>
              <w:jc w:val="both"/>
            </w:pPr>
            <w:r>
              <w:rPr>
                <w:rFonts w:ascii="仿宋_GB2312" w:hAnsi="仿宋_GB2312" w:cs="仿宋_GB2312" w:eastAsia="仿宋_GB2312"/>
                <w:sz w:val="28"/>
              </w:rPr>
              <w:t>包含</w:t>
            </w:r>
            <w:r>
              <w:rPr>
                <w:rFonts w:ascii="仿宋_GB2312" w:hAnsi="仿宋_GB2312" w:cs="仿宋_GB2312" w:eastAsia="仿宋_GB2312"/>
                <w:sz w:val="28"/>
              </w:rPr>
              <w:t>10个一级分类30个二级分类</w:t>
            </w:r>
            <w:r>
              <w:rPr>
                <w:rFonts w:ascii="仿宋_GB2312" w:hAnsi="仿宋_GB2312" w:cs="仿宋_GB2312" w:eastAsia="仿宋_GB2312"/>
                <w:sz w:val="28"/>
              </w:rPr>
              <w:t>。</w:t>
            </w:r>
          </w:p>
          <w:p>
            <w:pPr>
              <w:pStyle w:val="null3"/>
              <w:spacing w:before="15" w:after="15"/>
              <w:ind w:firstLine="482"/>
              <w:jc w:val="both"/>
            </w:pPr>
            <w:r>
              <w:rPr>
                <w:rFonts w:ascii="仿宋_GB2312" w:hAnsi="仿宋_GB2312" w:cs="仿宋_GB2312" w:eastAsia="仿宋_GB2312"/>
                <w:sz w:val="28"/>
                <w:b/>
              </w:rPr>
              <w:t>旅游产业：</w:t>
            </w:r>
          </w:p>
          <w:p>
            <w:pPr>
              <w:pStyle w:val="null3"/>
              <w:spacing w:before="15" w:after="15"/>
              <w:ind w:firstLine="480"/>
              <w:jc w:val="both"/>
            </w:pPr>
            <w:r>
              <w:rPr>
                <w:rFonts w:ascii="仿宋_GB2312" w:hAnsi="仿宋_GB2312" w:cs="仿宋_GB2312" w:eastAsia="仿宋_GB2312"/>
                <w:sz w:val="28"/>
              </w:rPr>
              <w:t>包含</w:t>
            </w:r>
            <w:r>
              <w:rPr>
                <w:rFonts w:ascii="仿宋_GB2312" w:hAnsi="仿宋_GB2312" w:cs="仿宋_GB2312" w:eastAsia="仿宋_GB2312"/>
                <w:sz w:val="28"/>
              </w:rPr>
              <w:t>9个一级分类23个二级分类。</w:t>
            </w:r>
          </w:p>
          <w:p>
            <w:pPr>
              <w:pStyle w:val="null3"/>
              <w:spacing w:before="15" w:after="15"/>
              <w:ind w:firstLine="482"/>
              <w:jc w:val="both"/>
            </w:pPr>
            <w:r>
              <w:rPr>
                <w:rFonts w:ascii="仿宋_GB2312" w:hAnsi="仿宋_GB2312" w:cs="仿宋_GB2312" w:eastAsia="仿宋_GB2312"/>
                <w:sz w:val="28"/>
                <w:b/>
              </w:rPr>
              <w:t>热带特色高效农业</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包含</w:t>
            </w:r>
            <w:r>
              <w:rPr>
                <w:rFonts w:ascii="仿宋_GB2312" w:hAnsi="仿宋_GB2312" w:cs="仿宋_GB2312" w:eastAsia="仿宋_GB2312"/>
                <w:sz w:val="28"/>
              </w:rPr>
              <w:t>5个一级分类18个二级分类</w:t>
            </w:r>
            <w:r>
              <w:rPr>
                <w:rFonts w:ascii="仿宋_GB2312" w:hAnsi="仿宋_GB2312" w:cs="仿宋_GB2312" w:eastAsia="仿宋_GB2312"/>
                <w:sz w:val="28"/>
              </w:rPr>
              <w:t>。</w:t>
            </w:r>
          </w:p>
          <w:p>
            <w:pPr>
              <w:pStyle w:val="null3"/>
              <w:numPr>
                <w:ilvl w:val="1"/>
                <w:numId w:val="2"/>
              </w:numPr>
              <w:jc w:val="left"/>
            </w:pPr>
            <w:r>
              <w:rPr>
                <w:rFonts w:ascii="仿宋_GB2312" w:hAnsi="仿宋_GB2312" w:cs="仿宋_GB2312" w:eastAsia="仿宋_GB2312"/>
                <w:sz w:val="28"/>
              </w:rPr>
              <w:t>性能要求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系统响应要求</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基于对系统用户规模的分析，在应用系统性能设计方面，充分满足海南省政务服务应用提升项目建设的需要，软件系统必须有很强的健壮性，不能因为大量用户并发使用而造成系统崩溃。采用合理的数据库结构和查询算法，以保证查询的响应速度不随记录数的增长显著下降。</w:t>
            </w:r>
          </w:p>
          <w:p>
            <w:pPr>
              <w:pStyle w:val="null3"/>
              <w:ind w:firstLine="560"/>
              <w:jc w:val="left"/>
            </w:pPr>
            <w:r>
              <w:rPr>
                <w:rFonts w:ascii="仿宋_GB2312" w:hAnsi="仿宋_GB2312" w:cs="仿宋_GB2312" w:eastAsia="仿宋_GB2312"/>
                <w:sz w:val="28"/>
              </w:rPr>
              <w:t>具体功能应满足的性能要求如下表所示：</w:t>
            </w:r>
          </w:p>
          <w:p>
            <w:pPr>
              <w:pStyle w:val="null3"/>
              <w:ind w:firstLine="560"/>
              <w:jc w:val="left"/>
            </w:pPr>
            <w:r>
              <w:rPr>
                <w:rFonts w:ascii="仿宋_GB2312" w:hAnsi="仿宋_GB2312" w:cs="仿宋_GB2312" w:eastAsia="仿宋_GB2312"/>
                <w:sz w:val="28"/>
              </w:rPr>
              <w:t>表</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系统功能划分及响应时间要求</w:t>
            </w:r>
          </w:p>
          <w:tbl>
            <w:tblPr>
              <w:tblBorders>
                <w:top w:val="none" w:color="000000" w:sz="4"/>
                <w:left w:val="none" w:color="000000" w:sz="4"/>
                <w:bottom w:val="none" w:color="000000" w:sz="4"/>
                <w:right w:val="none" w:color="000000" w:sz="4"/>
                <w:insideH w:val="none"/>
                <w:insideV w:val="none"/>
              </w:tblBorders>
            </w:tblPr>
            <w:tblGrid>
              <w:gridCol w:w="540"/>
              <w:gridCol w:w="2013"/>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功能划分</w:t>
                  </w:r>
                </w:p>
              </w:tc>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响应时间要求</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数据提取</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可以按照一定格式，自动提取信息，并进行数据完整性、合法性检查；处理时间</w:t>
                  </w:r>
                  <w:r>
                    <w:rPr>
                      <w:rFonts w:ascii="仿宋_GB2312" w:hAnsi="仿宋_GB2312" w:cs="仿宋_GB2312" w:eastAsia="仿宋_GB2312"/>
                      <w:sz w:val="24"/>
                    </w:rPr>
                    <w:t>&lt;5秒</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数据保存</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向数据库中更新的速度</w:t>
                  </w:r>
                  <w:r>
                    <w:rPr>
                      <w:rFonts w:ascii="仿宋_GB2312" w:hAnsi="仿宋_GB2312" w:cs="仿宋_GB2312" w:eastAsia="仿宋_GB2312"/>
                      <w:sz w:val="24"/>
                    </w:rPr>
                    <w:t>&lt;5秒</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数据关联</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能够检查出重复的关联。建立关联的速度不大于</w:t>
                  </w:r>
                  <w:r>
                    <w:rPr>
                      <w:rFonts w:ascii="仿宋_GB2312" w:hAnsi="仿宋_GB2312" w:cs="仿宋_GB2312" w:eastAsia="仿宋_GB2312"/>
                      <w:sz w:val="24"/>
                    </w:rPr>
                    <w:t>5秒</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数据信息编辑</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对于关键字以外的字段能够修改。并检查数据的完整性、数值的合理性，有相似性和重复性检查；响应时间在</w:t>
                  </w:r>
                  <w:r>
                    <w:rPr>
                      <w:rFonts w:ascii="仿宋_GB2312" w:hAnsi="仿宋_GB2312" w:cs="仿宋_GB2312" w:eastAsia="仿宋_GB2312"/>
                      <w:sz w:val="24"/>
                    </w:rPr>
                    <w:t>5秒内</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查询检索</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简单查询响应速度</w:t>
                  </w:r>
                  <w:r>
                    <w:rPr>
                      <w:rFonts w:ascii="仿宋_GB2312" w:hAnsi="仿宋_GB2312" w:cs="仿宋_GB2312" w:eastAsia="仿宋_GB2312"/>
                      <w:sz w:val="24"/>
                    </w:rPr>
                    <w:t>&lt;3秒；复杂和组合查询响应速度&lt;30秒；能够对相关文件进行检索、模糊查询；查询结果可以按照一定原则进行排序、筛选、保存；查询结果可以显示为图形或图表，可以输出到通用的办公处理软件中。</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汇总</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简单汇总处理时间不大于</w:t>
                  </w:r>
                  <w:r>
                    <w:rPr>
                      <w:rFonts w:ascii="仿宋_GB2312" w:hAnsi="仿宋_GB2312" w:cs="仿宋_GB2312" w:eastAsia="仿宋_GB2312"/>
                      <w:sz w:val="24"/>
                    </w:rPr>
                    <w:t>10秒钟；</w:t>
                  </w:r>
                </w:p>
                <w:p>
                  <w:pPr>
                    <w:pStyle w:val="null3"/>
                    <w:ind w:firstLine="480"/>
                    <w:jc w:val="left"/>
                  </w:pPr>
                  <w:r>
                    <w:rPr>
                      <w:rFonts w:ascii="仿宋_GB2312" w:hAnsi="仿宋_GB2312" w:cs="仿宋_GB2312" w:eastAsia="仿宋_GB2312"/>
                      <w:sz w:val="24"/>
                    </w:rPr>
                    <w:t>固定制表处理时间不大于</w:t>
                  </w:r>
                  <w:r>
                    <w:rPr>
                      <w:rFonts w:ascii="仿宋_GB2312" w:hAnsi="仿宋_GB2312" w:cs="仿宋_GB2312" w:eastAsia="仿宋_GB2312"/>
                      <w:sz w:val="24"/>
                    </w:rPr>
                    <w:t>5秒</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制表</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组合制表处理时间不大于</w:t>
                  </w:r>
                  <w:r>
                    <w:rPr>
                      <w:rFonts w:ascii="仿宋_GB2312" w:hAnsi="仿宋_GB2312" w:cs="仿宋_GB2312" w:eastAsia="仿宋_GB2312"/>
                      <w:sz w:val="24"/>
                    </w:rPr>
                    <w:t>10秒，并有进度显示；动态、复杂制表处理时间不大于30秒，并有进度显示；报表格式，应当符合中国人的习惯。</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数据分析</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数据分析预测的处理时间一般在</w:t>
                  </w:r>
                  <w:r>
                    <w:rPr>
                      <w:rFonts w:ascii="仿宋_GB2312" w:hAnsi="仿宋_GB2312" w:cs="仿宋_GB2312" w:eastAsia="仿宋_GB2312"/>
                      <w:sz w:val="24"/>
                    </w:rPr>
                    <w:t>10秒以内，复杂情况处理时间不大于30秒</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备份恢复</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应用系统和数据库系统等的备份、恢复定期自动进行，也可以人工进行；提供数据库和表两级备份恢复。处理时间最好不大于</w:t>
                  </w:r>
                  <w:r>
                    <w:rPr>
                      <w:rFonts w:ascii="仿宋_GB2312" w:hAnsi="仿宋_GB2312" w:cs="仿宋_GB2312" w:eastAsia="仿宋_GB2312"/>
                      <w:sz w:val="24"/>
                    </w:rPr>
                    <w:t>30分钟</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权限管理</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根据用户类别划分角色和权限。处理时间不大于</w:t>
                  </w:r>
                  <w:r>
                    <w:rPr>
                      <w:rFonts w:ascii="仿宋_GB2312" w:hAnsi="仿宋_GB2312" w:cs="仿宋_GB2312" w:eastAsia="仿宋_GB2312"/>
                      <w:sz w:val="24"/>
                    </w:rPr>
                    <w:t>5秒钟</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系统日志</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系统运行日志应记录对系统数据的修改、访问日志；可以定期清理；数据库应当有日志文件，以便备份恢复。处理时间不大于</w:t>
                  </w:r>
                  <w:r>
                    <w:rPr>
                      <w:rFonts w:ascii="仿宋_GB2312" w:hAnsi="仿宋_GB2312" w:cs="仿宋_GB2312" w:eastAsia="仿宋_GB2312"/>
                      <w:sz w:val="24"/>
                    </w:rPr>
                    <w:t>5分钟</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接口管理</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业务系统之间的数据交换时间不大于</w:t>
                  </w:r>
                  <w:r>
                    <w:rPr>
                      <w:rFonts w:ascii="仿宋_GB2312" w:hAnsi="仿宋_GB2312" w:cs="仿宋_GB2312" w:eastAsia="仿宋_GB2312"/>
                      <w:sz w:val="24"/>
                    </w:rPr>
                    <w:t>1分钟</w:t>
                  </w:r>
                </w:p>
              </w:tc>
            </w:tr>
          </w:tbl>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稳定性：</w:t>
            </w:r>
            <w:r>
              <w:rPr>
                <w:rFonts w:ascii="仿宋_GB2312" w:hAnsi="仿宋_GB2312" w:cs="仿宋_GB2312" w:eastAsia="仿宋_GB2312"/>
                <w:sz w:val="28"/>
              </w:rPr>
              <w:t>整体系统应能支持亿级数据规模的快速存储和查询，支持连续不间断的稳定运行，并保证数据的一致、完整、准确，不发生长时间业务中断、阻塞、死锁等情况。系统应提供迅速的故障恢复能力，确保出现一般性局部故障时不影响整个系统的正常运行。</w:t>
            </w:r>
          </w:p>
          <w:p>
            <w:pPr>
              <w:pStyle w:val="null3"/>
              <w:ind w:firstLine="560"/>
              <w:jc w:val="left"/>
            </w:pPr>
            <w:r>
              <w:rPr>
                <w:rFonts w:ascii="仿宋_GB2312" w:hAnsi="仿宋_GB2312" w:cs="仿宋_GB2312" w:eastAsia="仿宋_GB2312"/>
                <w:sz w:val="28"/>
              </w:rPr>
              <w:t>避免由于单点故障或系统的升级而影响整个系统的正常运行。</w:t>
            </w:r>
          </w:p>
          <w:p>
            <w:pPr>
              <w:pStyle w:val="null3"/>
              <w:ind w:firstLine="560"/>
              <w:jc w:val="left"/>
            </w:pPr>
            <w:r>
              <w:rPr>
                <w:rFonts w:ascii="仿宋_GB2312" w:hAnsi="仿宋_GB2312" w:cs="仿宋_GB2312" w:eastAsia="仿宋_GB2312"/>
                <w:sz w:val="28"/>
              </w:rPr>
              <w:t>系统支持</w:t>
            </w:r>
            <w:r>
              <w:rPr>
                <w:rFonts w:ascii="仿宋_GB2312" w:hAnsi="仿宋_GB2312" w:cs="仿宋_GB2312" w:eastAsia="仿宋_GB2312"/>
                <w:sz w:val="28"/>
              </w:rPr>
              <w:t>7*24小时不间断服务。单次系统故障修复时间，紧急事故不得超过2小时，一般事故不超过4小时。</w:t>
            </w:r>
          </w:p>
          <w:p>
            <w:pPr>
              <w:pStyle w:val="null3"/>
              <w:ind w:firstLine="560"/>
              <w:jc w:val="left"/>
            </w:pPr>
            <w:r>
              <w:rPr>
                <w:rFonts w:ascii="仿宋_GB2312" w:hAnsi="仿宋_GB2312" w:cs="仿宋_GB2312" w:eastAsia="仿宋_GB2312"/>
                <w:sz w:val="28"/>
              </w:rPr>
              <w:t>应满足网络不稳定、后台压力较大等特殊情况下，保证软件正常运行。因软件系统自身原因宕机次数需少于每年</w:t>
            </w:r>
            <w:r>
              <w:rPr>
                <w:rFonts w:ascii="仿宋_GB2312" w:hAnsi="仿宋_GB2312" w:cs="仿宋_GB2312" w:eastAsia="仿宋_GB2312"/>
                <w:sz w:val="28"/>
              </w:rPr>
              <w:t>2次。</w:t>
            </w:r>
          </w:p>
          <w:p>
            <w:pPr>
              <w:pStyle w:val="null3"/>
              <w:ind w:firstLine="560"/>
              <w:jc w:val="left"/>
            </w:pPr>
            <w:r>
              <w:rPr>
                <w:rFonts w:ascii="仿宋_GB2312" w:hAnsi="仿宋_GB2312" w:cs="仿宋_GB2312" w:eastAsia="仿宋_GB2312"/>
                <w:sz w:val="28"/>
              </w:rPr>
              <w:t>系统运行前需进行或接受安全脆弱性检查，并对检查发现的漏洞和隐患进行修改、弥补。</w:t>
            </w:r>
          </w:p>
          <w:p>
            <w:pPr>
              <w:pStyle w:val="null3"/>
              <w:ind w:firstLine="560"/>
              <w:jc w:val="left"/>
            </w:pPr>
            <w:r>
              <w:rPr>
                <w:rFonts w:ascii="仿宋_GB2312" w:hAnsi="仿宋_GB2312" w:cs="仿宋_GB2312" w:eastAsia="仿宋_GB2312"/>
                <w:sz w:val="28"/>
              </w:rPr>
              <w:t>在系统发生失效的情况下，系统应容易重建规定的性能级别并恢复受直接影响的数据。</w:t>
            </w:r>
          </w:p>
          <w:p>
            <w:pPr>
              <w:pStyle w:val="null3"/>
              <w:ind w:firstLine="560"/>
              <w:jc w:val="left"/>
            </w:pPr>
            <w:r>
              <w:rPr>
                <w:rFonts w:ascii="仿宋_GB2312" w:hAnsi="仿宋_GB2312" w:cs="仿宋_GB2312" w:eastAsia="仿宋_GB2312"/>
                <w:sz w:val="28"/>
              </w:rPr>
              <w:t>当系统在高负荷运转或出现故障，进入异步工作模式时，必须采用可靠的机制，保证数据的零丢失。</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可扩展性：</w:t>
            </w:r>
            <w:r>
              <w:rPr>
                <w:rFonts w:ascii="仿宋_GB2312" w:hAnsi="仿宋_GB2312" w:cs="仿宋_GB2312" w:eastAsia="仿宋_GB2312"/>
                <w:sz w:val="28"/>
              </w:rPr>
              <w:t>根据业务需求的变化，做好相关系统的部署和调整、支持后期的扩展需求。</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用户体验性：</w:t>
            </w:r>
            <w:r>
              <w:rPr>
                <w:rFonts w:ascii="仿宋_GB2312" w:hAnsi="仿宋_GB2312" w:cs="仿宋_GB2312" w:eastAsia="仿宋_GB2312"/>
                <w:sz w:val="28"/>
              </w:rPr>
              <w:t>从界面展示、页面排版、导航设置、互动内容等方面满足用户的需求，达到友好性、易用性要求，具有良好的用户体验。</w:t>
            </w:r>
          </w:p>
          <w:p>
            <w:pPr>
              <w:pStyle w:val="null3"/>
              <w:numPr>
                <w:ilvl w:val="1"/>
                <w:numId w:val="2"/>
              </w:numPr>
              <w:jc w:val="left"/>
            </w:pPr>
            <w:r>
              <w:rPr>
                <w:rFonts w:ascii="仿宋_GB2312" w:hAnsi="仿宋_GB2312" w:cs="仿宋_GB2312" w:eastAsia="仿宋_GB2312"/>
                <w:sz w:val="28"/>
              </w:rPr>
              <w:t>安全要求</w:t>
            </w:r>
          </w:p>
          <w:p>
            <w:pPr>
              <w:pStyle w:val="null3"/>
              <w:ind w:firstLine="560"/>
              <w:jc w:val="left"/>
            </w:pPr>
            <w:r>
              <w:rPr>
                <w:rFonts w:ascii="仿宋_GB2312" w:hAnsi="仿宋_GB2312" w:cs="仿宋_GB2312" w:eastAsia="仿宋_GB2312"/>
                <w:sz w:val="28"/>
              </w:rPr>
              <w:t>系统安全设计要满足信息系统安全等级保护三级标准。</w:t>
            </w:r>
          </w:p>
          <w:p>
            <w:pPr>
              <w:pStyle w:val="null3"/>
              <w:ind w:firstLine="560"/>
              <w:jc w:val="left"/>
            </w:pPr>
            <w:r>
              <w:rPr>
                <w:rFonts w:ascii="仿宋_GB2312" w:hAnsi="仿宋_GB2312" w:cs="仿宋_GB2312" w:eastAsia="仿宋_GB2312"/>
                <w:sz w:val="28"/>
              </w:rPr>
              <w:t>系统开发过程中要根据安全与保密的有关规定，严格区分对内和对外的操作权限和信息权限，确保信息安全。符合国家和人力资源社会保障部颁发的各项应用软件系统安全管理制度的要求，支持业务安全管理方面的需求。</w:t>
            </w:r>
          </w:p>
          <w:p>
            <w:pPr>
              <w:pStyle w:val="null3"/>
              <w:ind w:firstLine="560"/>
              <w:jc w:val="left"/>
            </w:pPr>
            <w:r>
              <w:rPr>
                <w:rFonts w:ascii="仿宋_GB2312" w:hAnsi="仿宋_GB2312" w:cs="仿宋_GB2312" w:eastAsia="仿宋_GB2312"/>
                <w:sz w:val="28"/>
              </w:rPr>
              <w:t>能够提供数据安全解决方案；根据项目应用安全需求，能够提供应用安全解决方案。</w:t>
            </w:r>
          </w:p>
          <w:p>
            <w:pPr>
              <w:pStyle w:val="null3"/>
              <w:numPr>
                <w:ilvl w:val="1"/>
                <w:numId w:val="2"/>
              </w:numPr>
              <w:jc w:val="left"/>
            </w:pPr>
            <w:r>
              <w:rPr>
                <w:rFonts w:ascii="仿宋_GB2312" w:hAnsi="仿宋_GB2312" w:cs="仿宋_GB2312" w:eastAsia="仿宋_GB2312"/>
                <w:sz w:val="28"/>
              </w:rPr>
              <w:t>实施及管理要求</w:t>
            </w:r>
          </w:p>
          <w:p>
            <w:pPr>
              <w:pStyle w:val="null3"/>
              <w:ind w:firstLine="560"/>
              <w:jc w:val="left"/>
            </w:pPr>
            <w:r>
              <w:rPr>
                <w:rFonts w:ascii="仿宋_GB2312" w:hAnsi="仿宋_GB2312" w:cs="仿宋_GB2312" w:eastAsia="仿宋_GB2312"/>
                <w:sz w:val="28"/>
              </w:rPr>
              <w:t>承建商应严格按照项目招标要求的建设周期合理安排计划，在投标文件中提供详细的项目进度计划表。按照软件质量管理和保证体系，提出具体相关过程管理方案和质量保证措施，确保应用软件开发质量。</w:t>
            </w:r>
          </w:p>
          <w:p>
            <w:pPr>
              <w:pStyle w:val="null3"/>
              <w:ind w:firstLine="560"/>
              <w:jc w:val="left"/>
            </w:pPr>
            <w:r>
              <w:rPr>
                <w:rFonts w:ascii="仿宋_GB2312" w:hAnsi="仿宋_GB2312" w:cs="仿宋_GB2312" w:eastAsia="仿宋_GB2312"/>
                <w:sz w:val="28"/>
              </w:rPr>
              <w:t>为使工程按质、按量、按时及有序实施，投标人应对本项目组织一个完善的管理组织结构，人员配置应科学、合理、有效，应充分保证人员的数量和质量。需指定一名项目经理负责本软件研发、实施任务的具体实施和组织，可全权对参与本项目的技术人员进行统一管理和调配。项目组在人员配备上，应包含实施人员、设计人员、开发人员、测试人员等。投标时应提交该组织结构和人员配备方案的详细资料。</w:t>
            </w:r>
          </w:p>
          <w:p>
            <w:pPr>
              <w:pStyle w:val="null3"/>
              <w:numPr>
                <w:ilvl w:val="1"/>
                <w:numId w:val="2"/>
              </w:numPr>
              <w:jc w:val="left"/>
            </w:pPr>
            <w:r>
              <w:rPr>
                <w:rFonts w:ascii="仿宋_GB2312" w:hAnsi="仿宋_GB2312" w:cs="仿宋_GB2312" w:eastAsia="仿宋_GB2312"/>
                <w:sz w:val="28"/>
              </w:rPr>
              <w:t>项目实施进度要求</w:t>
            </w:r>
          </w:p>
          <w:p>
            <w:pPr>
              <w:pStyle w:val="null3"/>
              <w:spacing w:before="15" w:after="15"/>
              <w:ind w:firstLine="480"/>
              <w:jc w:val="both"/>
            </w:pPr>
            <w:r>
              <w:rPr>
                <w:rFonts w:ascii="仿宋_GB2312" w:hAnsi="仿宋_GB2312" w:cs="仿宋_GB2312" w:eastAsia="仿宋_GB2312"/>
                <w:sz w:val="28"/>
              </w:rPr>
              <w:t>本项目建设期为</w:t>
            </w:r>
            <w:r>
              <w:rPr>
                <w:rFonts w:ascii="仿宋_GB2312" w:hAnsi="仿宋_GB2312" w:cs="仿宋_GB2312" w:eastAsia="仿宋_GB2312"/>
                <w:sz w:val="28"/>
              </w:rPr>
              <w:t>12</w:t>
            </w:r>
            <w:r>
              <w:rPr>
                <w:rFonts w:ascii="仿宋_GB2312" w:hAnsi="仿宋_GB2312" w:cs="仿宋_GB2312" w:eastAsia="仿宋_GB2312"/>
                <w:sz w:val="28"/>
              </w:rPr>
              <w:t>个月。</w:t>
            </w:r>
          </w:p>
          <w:p>
            <w:pPr>
              <w:pStyle w:val="null3"/>
              <w:spacing w:before="15" w:after="15"/>
              <w:ind w:firstLine="480"/>
              <w:jc w:val="both"/>
            </w:pPr>
            <w:r>
              <w:rPr>
                <w:rFonts w:ascii="仿宋_GB2312" w:hAnsi="仿宋_GB2312" w:cs="仿宋_GB2312" w:eastAsia="仿宋_GB2312"/>
                <w:sz w:val="28"/>
              </w:rPr>
              <w:t>投标人必须针对本项目提供完善的项目进度计划。</w:t>
            </w:r>
          </w:p>
          <w:p>
            <w:pPr>
              <w:pStyle w:val="null3"/>
              <w:numPr>
                <w:ilvl w:val="1"/>
                <w:numId w:val="2"/>
              </w:numPr>
              <w:jc w:val="left"/>
            </w:pPr>
            <w:r>
              <w:rPr>
                <w:rFonts w:ascii="仿宋_GB2312" w:hAnsi="仿宋_GB2312" w:cs="仿宋_GB2312" w:eastAsia="仿宋_GB2312"/>
                <w:sz w:val="28"/>
              </w:rPr>
              <w:t>质量保证要求</w:t>
            </w:r>
          </w:p>
          <w:p>
            <w:pPr>
              <w:pStyle w:val="null3"/>
              <w:ind w:firstLine="560"/>
              <w:jc w:val="left"/>
            </w:pPr>
            <w:r>
              <w:rPr>
                <w:rFonts w:ascii="仿宋_GB2312" w:hAnsi="仿宋_GB2312" w:cs="仿宋_GB2312" w:eastAsia="仿宋_GB2312"/>
                <w:sz w:val="28"/>
              </w:rPr>
              <w:t>投标人提供的所有产品，其提供商应有完善的质量保证体系，产品须符合国家标准和行业标准。投标人提供的所有技术文件中的技术指标除非在技术规格中另作规定外，均应符合相应的国家标准，行业标准和国际标准。</w:t>
            </w:r>
          </w:p>
          <w:p>
            <w:pPr>
              <w:pStyle w:val="null3"/>
              <w:numPr>
                <w:ilvl w:val="1"/>
                <w:numId w:val="2"/>
              </w:numPr>
              <w:jc w:val="left"/>
            </w:pPr>
            <w:r>
              <w:rPr>
                <w:rFonts w:ascii="仿宋_GB2312" w:hAnsi="仿宋_GB2312" w:cs="仿宋_GB2312" w:eastAsia="仿宋_GB2312"/>
                <w:sz w:val="28"/>
              </w:rPr>
              <w:t>培训要求</w:t>
            </w:r>
          </w:p>
          <w:p>
            <w:pPr>
              <w:pStyle w:val="null3"/>
              <w:ind w:firstLine="560"/>
              <w:jc w:val="left"/>
            </w:pPr>
            <w:r>
              <w:rPr>
                <w:rFonts w:ascii="仿宋_GB2312" w:hAnsi="仿宋_GB2312" w:cs="仿宋_GB2312" w:eastAsia="仿宋_GB2312"/>
                <w:sz w:val="28"/>
              </w:rPr>
              <w:t>承建商应根据项目实施的进度要求，及时安排有关培训。应保证对采购方领导干部、系统管理员、业务人员等采取现场培训、授课培训等方式进行培训。并根据不同的培训对象，有针对性的提供应用管理、应用系统操作等方面的培训内容。</w:t>
            </w:r>
          </w:p>
          <w:p>
            <w:pPr>
              <w:pStyle w:val="null3"/>
              <w:ind w:firstLine="560"/>
              <w:jc w:val="left"/>
            </w:pPr>
            <w:r>
              <w:rPr>
                <w:rFonts w:ascii="仿宋_GB2312" w:hAnsi="仿宋_GB2312" w:cs="仿宋_GB2312" w:eastAsia="仿宋_GB2312"/>
                <w:sz w:val="28"/>
              </w:rPr>
              <w:t>培训方案应包括培训目的、培训对象、培训时间安排、人数、教材等。</w:t>
            </w:r>
          </w:p>
          <w:p>
            <w:pPr>
              <w:pStyle w:val="null3"/>
              <w:ind w:firstLine="560"/>
              <w:jc w:val="left"/>
            </w:pPr>
            <w:r>
              <w:rPr>
                <w:rFonts w:ascii="仿宋_GB2312" w:hAnsi="仿宋_GB2312" w:cs="仿宋_GB2312" w:eastAsia="仿宋_GB2312"/>
                <w:sz w:val="28"/>
              </w:rPr>
              <w:t>培训对象包括业务人员、管理人员、技术人员。</w:t>
            </w:r>
          </w:p>
          <w:p>
            <w:pPr>
              <w:pStyle w:val="null3"/>
              <w:ind w:firstLine="560"/>
              <w:jc w:val="left"/>
            </w:pPr>
            <w:r>
              <w:rPr>
                <w:rFonts w:ascii="仿宋_GB2312" w:hAnsi="仿宋_GB2312" w:cs="仿宋_GB2312" w:eastAsia="仿宋_GB2312"/>
                <w:sz w:val="28"/>
              </w:rPr>
              <w:t>培训内容至少应包括系统操作培训、系统维护管理培训：</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系统操作培训主要是面向管理人员、业务人员等系统使用人员进行的系统操作使用方法及系统作业流程的培训。（培训内容包括系统操作使用、系统作业流程等）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系统维护管理培训主要是面向技术人员，如：系统运维人员及系统管理人员进行的培训，使其具备独立进行系统与设备管理及日常运行维护的能力（培训内容包括数据库、操作系统、应用系统、硬件系统及操作流程等）。</w:t>
            </w:r>
          </w:p>
          <w:p>
            <w:pPr>
              <w:pStyle w:val="null3"/>
              <w:ind w:firstLine="560"/>
              <w:jc w:val="left"/>
            </w:pPr>
            <w:r>
              <w:rPr>
                <w:rFonts w:ascii="仿宋_GB2312" w:hAnsi="仿宋_GB2312" w:cs="仿宋_GB2312" w:eastAsia="仿宋_GB2312"/>
                <w:sz w:val="28"/>
              </w:rPr>
              <w:t>提供现场培训，培训时间不少于</w:t>
            </w:r>
            <w:r>
              <w:rPr>
                <w:rFonts w:ascii="仿宋_GB2312" w:hAnsi="仿宋_GB2312" w:cs="仿宋_GB2312" w:eastAsia="仿宋_GB2312"/>
                <w:sz w:val="28"/>
              </w:rPr>
              <w:t>2天，培训人数不少于20人，在此之外须提供多次不限人数的现场指导。</w:t>
            </w:r>
          </w:p>
          <w:p>
            <w:pPr>
              <w:pStyle w:val="null3"/>
              <w:numPr>
                <w:ilvl w:val="1"/>
                <w:numId w:val="2"/>
              </w:numPr>
              <w:jc w:val="left"/>
            </w:pPr>
            <w:r>
              <w:rPr>
                <w:rFonts w:ascii="仿宋_GB2312" w:hAnsi="仿宋_GB2312" w:cs="仿宋_GB2312" w:eastAsia="仿宋_GB2312"/>
                <w:sz w:val="28"/>
              </w:rPr>
              <w:t>售后服务要求</w:t>
            </w:r>
          </w:p>
          <w:p>
            <w:pPr>
              <w:pStyle w:val="null3"/>
              <w:spacing w:before="15" w:after="15"/>
              <w:ind w:firstLine="480"/>
              <w:jc w:val="both"/>
            </w:pPr>
            <w:r>
              <w:rPr>
                <w:rFonts w:ascii="仿宋_GB2312" w:hAnsi="仿宋_GB2312" w:cs="仿宋_GB2312" w:eastAsia="仿宋_GB2312"/>
                <w:sz w:val="28"/>
              </w:rPr>
              <w:t>投标人须认真理解本章技术服务要求，对此做出明确、详细、实质性的响应，提供完整的售后服务方案。</w:t>
            </w:r>
          </w:p>
          <w:p>
            <w:pPr>
              <w:pStyle w:val="null3"/>
              <w:numPr>
                <w:ilvl w:val="2"/>
                <w:numId w:val="3"/>
              </w:numPr>
              <w:jc w:val="left"/>
            </w:pPr>
            <w:r>
              <w:rPr>
                <w:rFonts w:ascii="仿宋_GB2312" w:hAnsi="仿宋_GB2312" w:cs="仿宋_GB2312" w:eastAsia="仿宋_GB2312"/>
                <w:sz w:val="28"/>
              </w:rPr>
              <w:t>质量保证期内服务内容</w:t>
            </w:r>
          </w:p>
          <w:p>
            <w:pPr>
              <w:pStyle w:val="null3"/>
              <w:spacing w:before="15" w:after="15"/>
              <w:jc w:val="left"/>
            </w:pPr>
            <w:r>
              <w:rPr>
                <w:rFonts w:ascii="仿宋_GB2312" w:hAnsi="仿宋_GB2312" w:cs="仿宋_GB2312" w:eastAsia="仿宋_GB2312"/>
                <w:sz w:val="28"/>
              </w:rPr>
              <w:t>中标人应提供系统运维从竣工验收通过之日起的</w:t>
            </w:r>
            <w:r>
              <w:rPr>
                <w:rFonts w:ascii="仿宋_GB2312" w:hAnsi="仿宋_GB2312" w:cs="仿宋_GB2312" w:eastAsia="仿宋_GB2312"/>
                <w:sz w:val="28"/>
              </w:rPr>
              <w:t>2年免费质保服务，系统运维期内中标人须免费承担由其自主开发产品及相关系统的运行维护，包括系统维护、数据维护、安全管理和代码维护等工作。</w:t>
            </w:r>
          </w:p>
          <w:p>
            <w:pPr>
              <w:pStyle w:val="null3"/>
              <w:numPr>
                <w:ilvl w:val="2"/>
                <w:numId w:val="3"/>
              </w:numPr>
              <w:jc w:val="left"/>
            </w:pPr>
            <w:r>
              <w:rPr>
                <w:rFonts w:ascii="仿宋_GB2312" w:hAnsi="仿宋_GB2312" w:cs="仿宋_GB2312" w:eastAsia="仿宋_GB2312"/>
                <w:sz w:val="28"/>
              </w:rPr>
              <w:t>质量保证期内服务要求</w:t>
            </w:r>
          </w:p>
          <w:p>
            <w:pPr>
              <w:pStyle w:val="null3"/>
              <w:spacing w:before="15" w:after="15"/>
              <w:ind w:firstLine="480"/>
              <w:jc w:val="both"/>
            </w:pPr>
            <w:r>
              <w:rPr>
                <w:rFonts w:ascii="仿宋_GB2312" w:hAnsi="仿宋_GB2312" w:cs="仿宋_GB2312" w:eastAsia="仿宋_GB2312"/>
                <w:sz w:val="28"/>
              </w:rPr>
              <w:t>系统质量保证期内的维护服务不收取任何额外费用。</w:t>
            </w:r>
          </w:p>
          <w:p>
            <w:pPr>
              <w:pStyle w:val="null3"/>
              <w:spacing w:before="15" w:after="15"/>
              <w:ind w:firstLine="480"/>
              <w:jc w:val="both"/>
            </w:pPr>
            <w:r>
              <w:rPr>
                <w:rFonts w:ascii="仿宋_GB2312" w:hAnsi="仿宋_GB2312" w:cs="仿宋_GB2312" w:eastAsia="仿宋_GB2312"/>
                <w:sz w:val="28"/>
              </w:rPr>
              <w:t>任何软件，包括中标人所开发、采购或免费提供的应用软件在质量保证期内如有升级版本，中标人应免费为采购人更新。</w:t>
            </w:r>
          </w:p>
          <w:p>
            <w:pPr>
              <w:pStyle w:val="null3"/>
              <w:spacing w:before="15" w:after="15"/>
              <w:ind w:firstLine="480"/>
              <w:jc w:val="both"/>
            </w:pPr>
            <w:r>
              <w:rPr>
                <w:rFonts w:ascii="仿宋_GB2312" w:hAnsi="仿宋_GB2312" w:cs="仿宋_GB2312" w:eastAsia="仿宋_GB2312"/>
                <w:sz w:val="28"/>
              </w:rPr>
              <w:t>提供</w:t>
            </w:r>
            <w:r>
              <w:rPr>
                <w:rFonts w:ascii="仿宋_GB2312" w:hAnsi="仿宋_GB2312" w:cs="仿宋_GB2312" w:eastAsia="仿宋_GB2312"/>
                <w:sz w:val="28"/>
              </w:rPr>
              <w:t>7×24小时电话技术支持。中标人应提供至少热线电话、远程在线诊断和故障排除以及Email和传真支持服务。在远程服务不能解决解决问题时，中标人应在最短的时限内安排上门服务。</w:t>
            </w:r>
          </w:p>
          <w:p>
            <w:pPr>
              <w:pStyle w:val="null3"/>
              <w:spacing w:before="15" w:after="15"/>
              <w:ind w:firstLine="480"/>
              <w:jc w:val="both"/>
            </w:pPr>
            <w:r>
              <w:rPr>
                <w:rFonts w:ascii="仿宋_GB2312" w:hAnsi="仿宋_GB2312" w:cs="仿宋_GB2312" w:eastAsia="仿宋_GB2312"/>
                <w:sz w:val="28"/>
              </w:rPr>
              <w:t>中标人应指定至少一名参与本项目建设的关键技术人员负责系统维护，及时排除应用系统运行中出现的故障，不经采购人同意不得更换维护人员。遇到重大技术问题，中标人应根据故障种类，制定相应服务级别，及时组织有关技术专家进行会诊，并在规定时间内采取相应措施恢复系统正常运行。</w:t>
            </w:r>
          </w:p>
          <w:p>
            <w:pPr>
              <w:pStyle w:val="null3"/>
              <w:spacing w:before="15" w:after="15"/>
              <w:ind w:firstLine="480"/>
              <w:jc w:val="both"/>
            </w:pPr>
            <w:r>
              <w:rPr>
                <w:rFonts w:ascii="仿宋_GB2312" w:hAnsi="仿宋_GB2312" w:cs="仿宋_GB2312" w:eastAsia="仿宋_GB2312"/>
                <w:sz w:val="28"/>
              </w:rPr>
              <w:t>对于系统瘫痪、业务系统不能运转的，中标人应立即响应，</w:t>
            </w:r>
            <w:r>
              <w:rPr>
                <w:rFonts w:ascii="仿宋_GB2312" w:hAnsi="仿宋_GB2312" w:cs="仿宋_GB2312" w:eastAsia="仿宋_GB2312"/>
                <w:sz w:val="28"/>
              </w:rPr>
              <w:t>2小时内远程或赶到现场解决问题。</w:t>
            </w:r>
          </w:p>
          <w:p>
            <w:pPr>
              <w:pStyle w:val="null3"/>
              <w:spacing w:before="15" w:after="15"/>
              <w:ind w:firstLine="480"/>
              <w:jc w:val="both"/>
            </w:pPr>
            <w:r>
              <w:rPr>
                <w:rFonts w:ascii="仿宋_GB2312" w:hAnsi="仿宋_GB2312" w:cs="仿宋_GB2312" w:eastAsia="仿宋_GB2312"/>
                <w:sz w:val="28"/>
              </w:rPr>
              <w:t>对于系统部分出现故障、业务系统仍能运转的，中标人应立即响应，</w:t>
            </w:r>
            <w:r>
              <w:rPr>
                <w:rFonts w:ascii="仿宋_GB2312" w:hAnsi="仿宋_GB2312" w:cs="仿宋_GB2312" w:eastAsia="仿宋_GB2312"/>
                <w:sz w:val="28"/>
              </w:rPr>
              <w:t>4小时内远程或赶到现场解决问题。</w:t>
            </w:r>
          </w:p>
          <w:p>
            <w:pPr>
              <w:pStyle w:val="null3"/>
              <w:spacing w:before="15" w:after="15"/>
              <w:ind w:firstLine="480"/>
              <w:jc w:val="both"/>
            </w:pPr>
            <w:r>
              <w:rPr>
                <w:rFonts w:ascii="仿宋_GB2312" w:hAnsi="仿宋_GB2312" w:cs="仿宋_GB2312" w:eastAsia="仿宋_GB2312"/>
                <w:sz w:val="28"/>
              </w:rPr>
              <w:t>对于造成业务系统性能下降的，中标人应立即响应，</w:t>
            </w:r>
            <w:r>
              <w:rPr>
                <w:rFonts w:ascii="仿宋_GB2312" w:hAnsi="仿宋_GB2312" w:cs="仿宋_GB2312" w:eastAsia="仿宋_GB2312"/>
                <w:sz w:val="28"/>
              </w:rPr>
              <w:t>24小时内解决问题。</w:t>
            </w:r>
          </w:p>
          <w:p>
            <w:pPr>
              <w:pStyle w:val="null3"/>
              <w:spacing w:before="15" w:after="15"/>
              <w:ind w:firstLine="480"/>
              <w:jc w:val="both"/>
            </w:pPr>
            <w:r>
              <w:rPr>
                <w:rFonts w:ascii="仿宋_GB2312" w:hAnsi="仿宋_GB2312" w:cs="仿宋_GB2312" w:eastAsia="仿宋_GB2312"/>
                <w:sz w:val="28"/>
              </w:rPr>
              <w:t>对于重大临时性的服务请求，中标人应立即响应，到达现场服务。</w:t>
            </w:r>
          </w:p>
          <w:p>
            <w:pPr>
              <w:pStyle w:val="null3"/>
              <w:spacing w:before="15" w:after="15"/>
              <w:ind w:firstLine="480"/>
              <w:jc w:val="both"/>
            </w:pPr>
            <w:r>
              <w:rPr>
                <w:rFonts w:ascii="仿宋_GB2312" w:hAnsi="仿宋_GB2312" w:cs="仿宋_GB2312" w:eastAsia="仿宋_GB2312"/>
                <w:sz w:val="28"/>
              </w:rPr>
              <w:t>提供上门回访服务：每半年回访一次，检查系统运行情况、解决系统运行过程中遇到的问题。</w:t>
            </w:r>
          </w:p>
          <w:p>
            <w:pPr>
              <w:pStyle w:val="null3"/>
              <w:spacing w:before="15" w:after="15"/>
              <w:ind w:firstLine="480"/>
              <w:jc w:val="both"/>
            </w:pPr>
            <w:r>
              <w:rPr>
                <w:rFonts w:ascii="仿宋_GB2312" w:hAnsi="仿宋_GB2312" w:cs="仿宋_GB2312" w:eastAsia="仿宋_GB2312"/>
                <w:sz w:val="28"/>
              </w:rPr>
              <w:t>配合采购人提供特殊时期应急演练和应急保障服务。</w:t>
            </w:r>
          </w:p>
          <w:p>
            <w:pPr>
              <w:pStyle w:val="null3"/>
              <w:numPr>
                <w:ilvl w:val="2"/>
                <w:numId w:val="3"/>
              </w:numPr>
              <w:jc w:val="left"/>
            </w:pPr>
            <w:r>
              <w:rPr>
                <w:rFonts w:ascii="仿宋_GB2312" w:hAnsi="仿宋_GB2312" w:cs="仿宋_GB2312" w:eastAsia="仿宋_GB2312"/>
                <w:sz w:val="28"/>
              </w:rPr>
              <w:t>质量保证期外服务要求</w:t>
            </w:r>
          </w:p>
          <w:p>
            <w:pPr>
              <w:pStyle w:val="null3"/>
              <w:spacing w:before="15" w:after="15"/>
              <w:ind w:firstLine="480"/>
              <w:jc w:val="both"/>
            </w:pPr>
            <w:r>
              <w:rPr>
                <w:rFonts w:ascii="仿宋_GB2312" w:hAnsi="仿宋_GB2312" w:cs="仿宋_GB2312" w:eastAsia="仿宋_GB2312"/>
                <w:sz w:val="28"/>
              </w:rPr>
              <w:t>定期跟踪，随时定期电话和现场回访，了解使用情况和存在的问题，听取意见和建议，及时帮助解决。</w:t>
            </w:r>
          </w:p>
          <w:p>
            <w:pPr>
              <w:pStyle w:val="null3"/>
              <w:spacing w:before="15" w:after="15"/>
              <w:ind w:firstLine="480"/>
              <w:jc w:val="both"/>
            </w:pPr>
            <w:r>
              <w:rPr>
                <w:rFonts w:ascii="仿宋_GB2312" w:hAnsi="仿宋_GB2312" w:cs="仿宋_GB2312" w:eastAsia="仿宋_GB2312"/>
                <w:sz w:val="28"/>
              </w:rPr>
              <w:t>能够继续承担采购人在本项目中包含的相应系统的维护责任，并且保证维修响应速度。</w:t>
            </w:r>
          </w:p>
          <w:p>
            <w:pPr>
              <w:pStyle w:val="null3"/>
              <w:spacing w:before="15" w:after="15"/>
              <w:ind w:firstLine="480"/>
              <w:jc w:val="both"/>
            </w:pPr>
            <w:r>
              <w:rPr>
                <w:rFonts w:ascii="仿宋_GB2312" w:hAnsi="仿宋_GB2312" w:cs="仿宋_GB2312" w:eastAsia="仿宋_GB2312"/>
                <w:sz w:val="28"/>
              </w:rPr>
              <w:t>在质量保证期外所发生的与此项目相关的软硬件维修费用，采购人只承担其更换备件的成本费用支出和必要的技术服务费用，并以相应票据为证。</w:t>
            </w:r>
          </w:p>
          <w:p>
            <w:pPr>
              <w:pStyle w:val="null3"/>
              <w:jc w:val="both"/>
            </w:pPr>
            <w:r>
              <w:rPr>
                <w:rFonts w:ascii="仿宋_GB2312" w:hAnsi="仿宋_GB2312" w:cs="仿宋_GB2312" w:eastAsia="仿宋_GB2312"/>
              </w:rPr>
              <w:t xml:space="preserve"> </w:t>
            </w:r>
          </w:p>
          <w:p>
            <w:pPr>
              <w:pStyle w:val="null3"/>
              <w:numPr>
                <w:ilvl w:val="1"/>
                <w:numId w:val="3"/>
              </w:numPr>
              <w:jc w:val="left"/>
            </w:pPr>
            <w:r>
              <w:rPr>
                <w:rFonts w:ascii="仿宋_GB2312" w:hAnsi="仿宋_GB2312" w:cs="仿宋_GB2312" w:eastAsia="仿宋_GB2312"/>
                <w:sz w:val="28"/>
              </w:rPr>
              <w:t>采购清单</w:t>
            </w:r>
          </w:p>
          <w:p>
            <w:pPr>
              <w:pStyle w:val="null3"/>
              <w:numPr>
                <w:ilvl w:val="2"/>
                <w:numId w:val="3"/>
              </w:numPr>
              <w:jc w:val="left"/>
            </w:pPr>
            <w:r>
              <w:rPr>
                <w:rFonts w:ascii="仿宋_GB2312" w:hAnsi="仿宋_GB2312" w:cs="仿宋_GB2312" w:eastAsia="仿宋_GB2312"/>
                <w:sz w:val="28"/>
              </w:rPr>
              <w:t>定制软件开发</w:t>
            </w:r>
          </w:p>
          <w:tbl>
            <w:tblPr>
              <w:tblBorders>
                <w:top w:val="none" w:color="000000" w:sz="4"/>
                <w:left w:val="none" w:color="000000" w:sz="4"/>
                <w:bottom w:val="none" w:color="000000" w:sz="4"/>
                <w:right w:val="none" w:color="000000" w:sz="4"/>
                <w:insideH w:val="none"/>
                <w:insideV w:val="none"/>
              </w:tblBorders>
            </w:tblPr>
            <w:tblGrid>
              <w:gridCol w:w="279"/>
              <w:gridCol w:w="635"/>
              <w:gridCol w:w="752"/>
              <w:gridCol w:w="887"/>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系统模块</w:t>
                  </w:r>
                </w:p>
              </w:tc>
              <w:tc>
                <w:tcPr>
                  <w:tcW w:type="dxa" w:w="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功能模块</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人才服务系统能力跃迁</w:t>
                  </w: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人才服务专区改造升级</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政务服务网人才服务专区升级改版</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专属空间身份校验</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个人专属空间</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企业专属空间</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国际人才服务专区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35"/>
                  <w:vMerge/>
                  <w:tcBorders>
                    <w:top w:val="none" w:color="000000" w:sz="4"/>
                    <w:left w:val="none" w:color="000000" w:sz="4"/>
                    <w:bottom w:val="single" w:color="000000" w:sz="4"/>
                    <w:right w:val="single" w:color="000000" w:sz="4"/>
                  </w:tcBorders>
                </w:tcP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人才数据应用能力升级</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人才数据库扩容</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业务申报校验</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申报表单自动填充</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业务审批智能化程度提升</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我的所有件回溯管理</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635"/>
                  <w:vMerge/>
                  <w:tcBorders>
                    <w:top w:val="none" w:color="000000" w:sz="4"/>
                    <w:left w:val="none" w:color="000000" w:sz="4"/>
                    <w:bottom w:val="single" w:color="000000" w:sz="4"/>
                    <w:right w:val="single" w:color="000000" w:sz="4"/>
                  </w:tcBorders>
                </w:tcP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人才监管保障系统建设</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社保巡检</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高层次人才证书状态巡检</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纳税信息巡检</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人才住房补贴申领情况巡检</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巡检结果反馈</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人才监管驾驶舱</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人才后台管理系统</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635"/>
                  <w:vMerge/>
                  <w:tcBorders>
                    <w:top w:val="none" w:color="000000" w:sz="4"/>
                    <w:left w:val="non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多部门人才服务事项信息系统整合</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多部门人才服务事项信息系统整合</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高频业务系统定制化开发</w:t>
                  </w: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自贸港人才个税优惠服务专区</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个人中心自贸港人才个税优惠服务查询申报入口</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个人所得税优惠查询信息申报</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初审结果反馈</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个人所得税优惠补录申报</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补录结果反馈</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个税优惠人才名单管理</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人才个税优惠审批专区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635"/>
                  <w:vMerge/>
                  <w:tcBorders>
                    <w:top w:val="none" w:color="000000" w:sz="4"/>
                    <w:left w:val="none" w:color="000000" w:sz="4"/>
                    <w:bottom w:val="single" w:color="000000" w:sz="4"/>
                    <w:right w:val="single" w:color="000000" w:sz="4"/>
                  </w:tcBorders>
                </w:tcP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人才住房补贴业务定管理系统</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人才住房补贴定制化表单</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补贴数据管理</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补贴业务报表</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市县统计模块</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635"/>
                  <w:vMerge/>
                  <w:tcBorders>
                    <w:top w:val="none" w:color="000000" w:sz="4"/>
                    <w:left w:val="none" w:color="000000" w:sz="4"/>
                    <w:bottom w:val="single" w:color="000000" w:sz="4"/>
                    <w:right w:val="single" w:color="000000" w:sz="4"/>
                  </w:tcBorders>
                </w:tcP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高层次人才管理系统</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高层次人才业务定制化表单</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认定人才综合查询</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查人才专区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查办件专区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常用表单生成导出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人员办件统计</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刚性人才英才卡导出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柔性人才英才卡导出</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认定人才领导视窗</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635"/>
                  <w:vMerge/>
                  <w:tcBorders>
                    <w:top w:val="none" w:color="000000" w:sz="4"/>
                    <w:left w:val="none" w:color="000000" w:sz="4"/>
                    <w:bottom w:val="single" w:color="000000" w:sz="4"/>
                    <w:right w:val="single" w:color="000000" w:sz="4"/>
                  </w:tcBorders>
                </w:tcP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人才商保服务专区</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商保办件自动生成</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商保报表自动生成</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人才商保数据综合查询</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特殊商保数据管理</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自贸港人才服务智能化拓展</w:t>
                  </w: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w:t>
                  </w:r>
                  <w:r>
                    <w:rPr>
                      <w:rFonts w:ascii="仿宋_GB2312" w:hAnsi="仿宋_GB2312" w:cs="仿宋_GB2312" w:eastAsia="仿宋_GB2312"/>
                      <w:sz w:val="22"/>
                    </w:rPr>
                    <w:t>“店小二”服务管理系统</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服务系统</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业务管理系统</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业务收件系统</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监管系统</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635"/>
                  <w:vMerge/>
                  <w:tcBorders>
                    <w:top w:val="none" w:color="000000" w:sz="4"/>
                    <w:left w:val="non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海南自贸港特色智能</w:t>
                  </w:r>
                  <w:r>
                    <w:rPr>
                      <w:rFonts w:ascii="仿宋_GB2312" w:hAnsi="仿宋_GB2312" w:cs="仿宋_GB2312" w:eastAsia="仿宋_GB2312"/>
                      <w:sz w:val="22"/>
                    </w:rPr>
                    <w:t>“人才港”</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AI智能引才服务中心</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635"/>
                  <w:vMerge/>
                  <w:tcBorders>
                    <w:top w:val="none" w:color="000000" w:sz="4"/>
                    <w:left w:val="none" w:color="000000" w:sz="4"/>
                    <w:bottom w:val="single" w:color="000000" w:sz="4"/>
                    <w:right w:val="single" w:color="000000" w:sz="4"/>
                  </w:tcBorders>
                </w:tcP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主动服务专区</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人才自测</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智能推荐</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635"/>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人才码基础应用</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635"/>
                  <w:vMerge/>
                  <w:tcBorders>
                    <w:top w:val="none" w:color="000000" w:sz="4"/>
                    <w:left w:val="non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系统数据对接</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国际人才服务数据对接</w:t>
                  </w:r>
                </w:p>
              </w:tc>
            </w:tr>
          </w:tbl>
          <w:p>
            <w:pPr>
              <w:pStyle w:val="null3"/>
              <w:numPr>
                <w:ilvl w:val="2"/>
                <w:numId w:val="3"/>
              </w:numPr>
              <w:jc w:val="left"/>
            </w:pPr>
            <w:r>
              <w:rPr>
                <w:rFonts w:ascii="仿宋_GB2312" w:hAnsi="仿宋_GB2312" w:cs="仿宋_GB2312" w:eastAsia="仿宋_GB2312"/>
                <w:sz w:val="28"/>
              </w:rPr>
              <w:t>系统集成实施</w:t>
            </w:r>
          </w:p>
          <w:tbl>
            <w:tblPr>
              <w:tblBorders>
                <w:top w:val="none" w:color="000000" w:sz="4"/>
                <w:left w:val="none" w:color="000000" w:sz="4"/>
                <w:bottom w:val="none" w:color="000000" w:sz="4"/>
                <w:right w:val="none" w:color="000000" w:sz="4"/>
                <w:insideH w:val="none"/>
                <w:insideV w:val="none"/>
              </w:tblBorders>
            </w:tblPr>
            <w:tblGrid>
              <w:gridCol w:w="298"/>
              <w:gridCol w:w="628"/>
              <w:gridCol w:w="727"/>
              <w:gridCol w:w="899"/>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模块</w:t>
                  </w:r>
                </w:p>
              </w:tc>
              <w:tc>
                <w:tcPr>
                  <w:tcW w:type="dxa" w:w="7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子模块</w:t>
                  </w:r>
                </w:p>
              </w:tc>
              <w:tc>
                <w:tcPr>
                  <w:tcW w:type="dxa" w:w="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人才服务系统能力跃迁</w:t>
                  </w:r>
                </w:p>
              </w:tc>
              <w:tc>
                <w:tcPr>
                  <w:tcW w:type="dxa" w:w="7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电子书架</w:t>
                  </w:r>
                  <w:r>
                    <w:rPr>
                      <w:rFonts w:ascii="仿宋_GB2312" w:hAnsi="仿宋_GB2312" w:cs="仿宋_GB2312" w:eastAsia="仿宋_GB2312"/>
                      <w:sz w:val="22"/>
                    </w:rPr>
                    <w:t>UI设计</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个人电子书架</w:t>
                  </w:r>
                  <w:r>
                    <w:rPr>
                      <w:rFonts w:ascii="仿宋_GB2312" w:hAnsi="仿宋_GB2312" w:cs="仿宋_GB2312" w:eastAsia="仿宋_GB2312"/>
                      <w:sz w:val="22"/>
                    </w:rPr>
                    <w:t>UI设计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企业电子书架</w:t>
                  </w:r>
                  <w:r>
                    <w:rPr>
                      <w:rFonts w:ascii="仿宋_GB2312" w:hAnsi="仿宋_GB2312" w:cs="仿宋_GB2312" w:eastAsia="仿宋_GB2312"/>
                      <w:sz w:val="22"/>
                    </w:rPr>
                    <w:t>UI设计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28"/>
                  <w:vMerge/>
                  <w:tcBorders>
                    <w:top w:val="none" w:color="000000" w:sz="4"/>
                    <w:left w:val="none" w:color="000000" w:sz="4"/>
                    <w:bottom w:val="single" w:color="000000" w:sz="4"/>
                    <w:right w:val="single" w:color="000000" w:sz="4"/>
                  </w:tcBorders>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人才专区整体</w:t>
                  </w:r>
                  <w:r>
                    <w:rPr>
                      <w:rFonts w:ascii="仿宋_GB2312" w:hAnsi="仿宋_GB2312" w:cs="仿宋_GB2312" w:eastAsia="仿宋_GB2312"/>
                      <w:sz w:val="22"/>
                    </w:rPr>
                    <w:t>UI升级优化</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人才专区整体</w:t>
                  </w:r>
                  <w:r>
                    <w:rPr>
                      <w:rFonts w:ascii="仿宋_GB2312" w:hAnsi="仿宋_GB2312" w:cs="仿宋_GB2312" w:eastAsia="仿宋_GB2312"/>
                      <w:sz w:val="22"/>
                    </w:rPr>
                    <w:t>UI设计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28"/>
                  <w:vMerge/>
                  <w:tcBorders>
                    <w:top w:val="none" w:color="000000" w:sz="4"/>
                    <w:left w:val="none" w:color="000000" w:sz="4"/>
                    <w:bottom w:val="single" w:color="000000" w:sz="4"/>
                    <w:right w:val="single" w:color="000000" w:sz="4"/>
                  </w:tcBorders>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国际人才服务专区</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国际人才专题页面</w:t>
                  </w:r>
                  <w:r>
                    <w:rPr>
                      <w:rFonts w:ascii="仿宋_GB2312" w:hAnsi="仿宋_GB2312" w:cs="仿宋_GB2312" w:eastAsia="仿宋_GB2312"/>
                      <w:sz w:val="22"/>
                    </w:rPr>
                    <w:t>UI设计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自贸港人才服务智能化拓展</w:t>
                  </w: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w:t>
                  </w:r>
                  <w:r>
                    <w:rPr>
                      <w:rFonts w:ascii="仿宋_GB2312" w:hAnsi="仿宋_GB2312" w:cs="仿宋_GB2312" w:eastAsia="仿宋_GB2312"/>
                      <w:sz w:val="22"/>
                    </w:rPr>
                    <w:t>“店小二”服务管理系统</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w:t>
                  </w:r>
                  <w:r>
                    <w:rPr>
                      <w:rFonts w:ascii="仿宋_GB2312" w:hAnsi="仿宋_GB2312" w:cs="仿宋_GB2312" w:eastAsia="仿宋_GB2312"/>
                      <w:sz w:val="22"/>
                    </w:rPr>
                    <w:t>“店小二”服务管理系统页面UI设计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28"/>
                  <w:vMerge/>
                  <w:tcBorders>
                    <w:top w:val="none" w:color="000000" w:sz="4"/>
                    <w:left w:val="none" w:color="000000" w:sz="4"/>
                    <w:bottom w:val="single" w:color="000000" w:sz="4"/>
                    <w:right w:val="single" w:color="000000" w:sz="4"/>
                  </w:tcBorders>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主动服务专区</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人才自测</w:t>
                  </w:r>
                  <w:r>
                    <w:rPr>
                      <w:rFonts w:ascii="仿宋_GB2312" w:hAnsi="仿宋_GB2312" w:cs="仿宋_GB2312" w:eastAsia="仿宋_GB2312"/>
                      <w:sz w:val="22"/>
                    </w:rPr>
                    <w:t>-人才匹配规则梳理设计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人才咨询与实施服务</w:t>
                  </w:r>
                </w:p>
              </w:tc>
              <w:tc>
                <w:tcPr>
                  <w:tcW w:type="dxa" w:w="7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人才服务三目录三清单编制支撑服务</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人才服务清单、目录、业务数据系统对接实施工作</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开展省级人才服务部门职责目录编制指导咨询服务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开展市县人才服务部门职责目录编制指导服务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开展全省人才服务部门系统目录编制指导服务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开展全省人才部门数据目录质检与更新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开展全省人才部门数据使用说明书编制指导</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开展全省人才部门政务数据目录质检与更新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人才服务部门数据需求清单填报指导咨询服务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人才服务部门数据责任清单填报指导咨询服务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人才服务部门数据负面清单填报指导咨询服务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人才服务</w:t>
                  </w:r>
                  <w:r>
                    <w:rPr>
                      <w:rFonts w:ascii="仿宋_GB2312" w:hAnsi="仿宋_GB2312" w:cs="仿宋_GB2312" w:eastAsia="仿宋_GB2312"/>
                      <w:sz w:val="22"/>
                    </w:rPr>
                    <w:t>“单一窗口”项目资源目录编制指导培训服务</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628"/>
                  <w:vMerge/>
                  <w:tcBorders>
                    <w:top w:val="none" w:color="000000" w:sz="4"/>
                    <w:left w:val="none" w:color="000000" w:sz="4"/>
                    <w:bottom w:val="single" w:color="000000" w:sz="4"/>
                    <w:right w:val="single" w:color="000000" w:sz="4"/>
                  </w:tcBorders>
                </w:tcPr>
                <w:p/>
              </w:tc>
              <w:tc>
                <w:tcPr>
                  <w:tcW w:type="dxa" w:w="7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业务运行情况分析咨询</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数据获取与调研开展</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数据整理</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数据分析</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628"/>
                  <w:vMerge/>
                  <w:tcBorders>
                    <w:top w:val="none" w:color="000000" w:sz="4"/>
                    <w:left w:val="none" w:color="000000" w:sz="4"/>
                    <w:bottom w:val="single" w:color="000000" w:sz="4"/>
                    <w:right w:val="single" w:color="000000" w:sz="4"/>
                  </w:tcBorders>
                </w:tcPr>
                <w:p/>
              </w:tc>
              <w:tc>
                <w:tcPr>
                  <w:tcW w:type="dxa" w:w="727"/>
                  <w:vMerge/>
                  <w:tcBorders>
                    <w:top w:val="none" w:color="000000" w:sz="4"/>
                    <w:left w:val="none" w:color="000000" w:sz="4"/>
                    <w:bottom w:val="single" w:color="000000" w:sz="4"/>
                    <w:right w:val="single" w:color="000000" w:sz="4"/>
                  </w:tcBorders>
                </w:tcP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报告编制</w:t>
                  </w:r>
                </w:p>
              </w:tc>
            </w:tr>
          </w:tbl>
          <w:p>
            <w:pPr>
              <w:pStyle w:val="null3"/>
              <w:numPr>
                <w:ilvl w:val="2"/>
                <w:numId w:val="3"/>
              </w:numPr>
              <w:jc w:val="left"/>
            </w:pPr>
            <w:r>
              <w:rPr>
                <w:rFonts w:ascii="仿宋_GB2312" w:hAnsi="仿宋_GB2312" w:cs="仿宋_GB2312" w:eastAsia="仿宋_GB2312"/>
                <w:sz w:val="28"/>
              </w:rPr>
              <w:t>数据资源建设及数据治理</w:t>
            </w:r>
          </w:p>
          <w:tbl>
            <w:tblPr>
              <w:tblBorders>
                <w:top w:val="none" w:color="000000" w:sz="4"/>
                <w:left w:val="none" w:color="000000" w:sz="4"/>
                <w:bottom w:val="none" w:color="000000" w:sz="4"/>
                <w:right w:val="none" w:color="000000" w:sz="4"/>
                <w:insideH w:val="none"/>
                <w:insideV w:val="none"/>
              </w:tblBorders>
            </w:tblPr>
            <w:tblGrid>
              <w:gridCol w:w="302"/>
              <w:gridCol w:w="609"/>
              <w:gridCol w:w="744"/>
              <w:gridCol w:w="898"/>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w:t>
                  </w:r>
                  <w:r>
                    <w:rPr>
                      <w:rFonts w:ascii="仿宋_GB2312" w:hAnsi="仿宋_GB2312" w:cs="仿宋_GB2312" w:eastAsia="仿宋_GB2312"/>
                      <w:sz w:val="22"/>
                      <w:b/>
                    </w:rPr>
                    <w:t xml:space="preserve">  </w:t>
                  </w:r>
                  <w:r>
                    <w:rPr>
                      <w:rFonts w:ascii="仿宋_GB2312" w:hAnsi="仿宋_GB2312" w:cs="仿宋_GB2312" w:eastAsia="仿宋_GB2312"/>
                      <w:sz w:val="22"/>
                      <w:b/>
                    </w:rPr>
                    <w:t>称</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模块</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相关指标或用途说明</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一、国内外人才获取</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数据梳理</w:t>
                  </w:r>
                </w:p>
              </w:tc>
              <w:tc>
                <w:tcPr>
                  <w:tcW w:type="dxa" w:w="7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国际及港澳人才基础信息抓取</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美国</w:t>
                  </w:r>
                  <w:r>
                    <w:rPr>
                      <w:rFonts w:ascii="仿宋_GB2312" w:hAnsi="仿宋_GB2312" w:cs="仿宋_GB2312" w:eastAsia="仿宋_GB2312"/>
                      <w:sz w:val="22"/>
                    </w:rPr>
                    <w:t>3所高校</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singl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澳洲</w:t>
                  </w:r>
                  <w:r>
                    <w:rPr>
                      <w:rFonts w:ascii="仿宋_GB2312" w:hAnsi="仿宋_GB2312" w:cs="仿宋_GB2312" w:eastAsia="仿宋_GB2312"/>
                      <w:sz w:val="22"/>
                    </w:rPr>
                    <w:t>4所高校</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singl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新西兰</w:t>
                  </w:r>
                  <w:r>
                    <w:rPr>
                      <w:rFonts w:ascii="仿宋_GB2312" w:hAnsi="仿宋_GB2312" w:cs="仿宋_GB2312" w:eastAsia="仿宋_GB2312"/>
                      <w:sz w:val="22"/>
                    </w:rPr>
                    <w:t>3所高校</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singl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香港</w:t>
                  </w:r>
                  <w:r>
                    <w:rPr>
                      <w:rFonts w:ascii="仿宋_GB2312" w:hAnsi="仿宋_GB2312" w:cs="仿宋_GB2312" w:eastAsia="仿宋_GB2312"/>
                      <w:sz w:val="22"/>
                    </w:rPr>
                    <w:t>2所高校</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singl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澳门</w:t>
                  </w:r>
                  <w:r>
                    <w:rPr>
                      <w:rFonts w:ascii="仿宋_GB2312" w:hAnsi="仿宋_GB2312" w:cs="仿宋_GB2312" w:eastAsia="仿宋_GB2312"/>
                      <w:sz w:val="22"/>
                    </w:rPr>
                    <w:t>2所高校</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09"/>
                  <w:vMerge/>
                  <w:tcBorders>
                    <w:top w:val="single" w:color="000000" w:sz="4"/>
                    <w:left w:val="none" w:color="000000" w:sz="4"/>
                    <w:bottom w:val="single" w:color="000000" w:sz="4"/>
                    <w:right w:val="single" w:color="000000" w:sz="4"/>
                  </w:tcBorders>
                </w:tcPr>
                <w:p/>
              </w:tc>
              <w:tc>
                <w:tcPr>
                  <w:tcW w:type="dxa" w:w="7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中国大陆人才基础信息抓取</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海南大学</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北京邮电大学</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北京理工大学</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厦门大学</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四川大学</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中山大学</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609"/>
                  <w:vMerge/>
                  <w:tcBorders>
                    <w:top w:val="single" w:color="000000" w:sz="4"/>
                    <w:left w:val="none" w:color="000000" w:sz="4"/>
                    <w:bottom w:val="single" w:color="000000" w:sz="4"/>
                    <w:right w:val="single" w:color="000000" w:sz="4"/>
                  </w:tcBorders>
                </w:tcPr>
                <w:p/>
              </w:tc>
              <w:tc>
                <w:tcPr>
                  <w:tcW w:type="dxa" w:w="7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各领域人才获取来源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热带农业专业领域</w:t>
                  </w:r>
                  <w:r>
                    <w:rPr>
                      <w:rFonts w:ascii="仿宋_GB2312" w:hAnsi="仿宋_GB2312" w:cs="仿宋_GB2312" w:eastAsia="仿宋_GB2312"/>
                      <w:sz w:val="22"/>
                    </w:rPr>
                    <w:t>1个网站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互联网和电信领域</w:t>
                  </w:r>
                  <w:r>
                    <w:rPr>
                      <w:rFonts w:ascii="仿宋_GB2312" w:hAnsi="仿宋_GB2312" w:cs="仿宋_GB2312" w:eastAsia="仿宋_GB2312"/>
                      <w:sz w:val="22"/>
                    </w:rPr>
                    <w:t>2个网站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医疗和健康服务业领域</w:t>
                  </w:r>
                  <w:r>
                    <w:rPr>
                      <w:rFonts w:ascii="仿宋_GB2312" w:hAnsi="仿宋_GB2312" w:cs="仿宋_GB2312" w:eastAsia="仿宋_GB2312"/>
                      <w:sz w:val="22"/>
                    </w:rPr>
                    <w:t>1个网站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管理领域专业</w:t>
                  </w:r>
                  <w:r>
                    <w:rPr>
                      <w:rFonts w:ascii="仿宋_GB2312" w:hAnsi="仿宋_GB2312" w:cs="仿宋_GB2312" w:eastAsia="仿宋_GB2312"/>
                      <w:sz w:val="22"/>
                    </w:rPr>
                    <w:t>1个网站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现代物流业专业</w:t>
                  </w:r>
                  <w:r>
                    <w:rPr>
                      <w:rFonts w:ascii="仿宋_GB2312" w:hAnsi="仿宋_GB2312" w:cs="仿宋_GB2312" w:eastAsia="仿宋_GB2312"/>
                      <w:sz w:val="22"/>
                    </w:rPr>
                    <w:t>1个网站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现代金融服务业专业</w:t>
                  </w:r>
                  <w:r>
                    <w:rPr>
                      <w:rFonts w:ascii="仿宋_GB2312" w:hAnsi="仿宋_GB2312" w:cs="仿宋_GB2312" w:eastAsia="仿宋_GB2312"/>
                      <w:sz w:val="22"/>
                    </w:rPr>
                    <w:t>11个网站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教育和科研领域专业</w:t>
                  </w:r>
                  <w:r>
                    <w:rPr>
                      <w:rFonts w:ascii="仿宋_GB2312" w:hAnsi="仿宋_GB2312" w:cs="仿宋_GB2312" w:eastAsia="仿宋_GB2312"/>
                      <w:sz w:val="22"/>
                    </w:rPr>
                    <w:t>1个网站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宣传文化领域专业</w:t>
                  </w:r>
                  <w:r>
                    <w:rPr>
                      <w:rFonts w:ascii="仿宋_GB2312" w:hAnsi="仿宋_GB2312" w:cs="仿宋_GB2312" w:eastAsia="仿宋_GB2312"/>
                      <w:sz w:val="22"/>
                    </w:rPr>
                    <w:t>5个网站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体育（含电子竞技）产业专业</w:t>
                  </w:r>
                  <w:r>
                    <w:rPr>
                      <w:rFonts w:ascii="仿宋_GB2312" w:hAnsi="仿宋_GB2312" w:cs="仿宋_GB2312" w:eastAsia="仿宋_GB2312"/>
                      <w:sz w:val="22"/>
                    </w:rPr>
                    <w:t>1个网站</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二、人才行业分类</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数据梳理</w:t>
                  </w:r>
                </w:p>
              </w:tc>
              <w:tc>
                <w:tcPr>
                  <w:tcW w:type="dxa" w:w="7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人才行业业务梳理及智能划分</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行业按国标划分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09"/>
                  <w:vMerge/>
                  <w:tcBorders>
                    <w:top w:val="single" w:color="000000" w:sz="4"/>
                    <w:left w:val="none" w:color="000000" w:sz="4"/>
                    <w:bottom w:val="single" w:color="000000" w:sz="4"/>
                    <w:right w:val="single" w:color="000000" w:sz="4"/>
                  </w:tcBorders>
                </w:tcPr>
                <w:p/>
              </w:tc>
              <w:tc>
                <w:tcPr>
                  <w:tcW w:type="dxa" w:w="744"/>
                  <w:vMerge/>
                  <w:tcBorders>
                    <w:top w:val="singl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行业按关键词划分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三、人才四大主导产业分类</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治理对象</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产业分类即对人才的所属产业进行打标签，治理对象即为存量所有的人才</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数据梳理</w:t>
                  </w:r>
                </w:p>
              </w:tc>
              <w:tc>
                <w:tcPr>
                  <w:tcW w:type="dxa" w:w="7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人才产业业务梳理及智能划分</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现代服务业</w:t>
                  </w:r>
                  <w:r>
                    <w:rPr>
                      <w:rFonts w:ascii="仿宋_GB2312" w:hAnsi="仿宋_GB2312" w:cs="仿宋_GB2312" w:eastAsia="仿宋_GB2312"/>
                      <w:sz w:val="22"/>
                    </w:rPr>
                    <w:t>8个一级分类40个二级分类的智能划分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09"/>
                  <w:vMerge/>
                  <w:tcBorders>
                    <w:top w:val="non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高新技术产业</w:t>
                  </w:r>
                  <w:r>
                    <w:rPr>
                      <w:rFonts w:ascii="仿宋_GB2312" w:hAnsi="仿宋_GB2312" w:cs="仿宋_GB2312" w:eastAsia="仿宋_GB2312"/>
                      <w:sz w:val="22"/>
                    </w:rPr>
                    <w:t>10个一级分类30个二级分类的智能划分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09"/>
                  <w:vMerge/>
                  <w:tcBorders>
                    <w:top w:val="non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旅游产业</w:t>
                  </w:r>
                  <w:r>
                    <w:rPr>
                      <w:rFonts w:ascii="仿宋_GB2312" w:hAnsi="仿宋_GB2312" w:cs="仿宋_GB2312" w:eastAsia="仿宋_GB2312"/>
                      <w:sz w:val="22"/>
                    </w:rPr>
                    <w:t>9个一级分类23个二级分类的智能划分</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09"/>
                  <w:vMerge/>
                  <w:tcBorders>
                    <w:top w:val="none" w:color="000000" w:sz="4"/>
                    <w:left w:val="none" w:color="000000" w:sz="4"/>
                    <w:bottom w:val="single" w:color="000000" w:sz="4"/>
                    <w:right w:val="single" w:color="000000" w:sz="4"/>
                  </w:tcBorders>
                </w:tcPr>
                <w:p/>
              </w:tc>
              <w:tc>
                <w:tcPr>
                  <w:tcW w:type="dxa" w:w="744"/>
                  <w:vMerge/>
                  <w:tcBorders>
                    <w:top w:val="none" w:color="000000" w:sz="4"/>
                    <w:left w:val="none" w:color="000000" w:sz="4"/>
                    <w:bottom w:val="single" w:color="000000" w:sz="4"/>
                    <w:right w:val="single" w:color="000000" w:sz="4"/>
                  </w:tcBorders>
                </w:tcP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热带特色高效农业</w:t>
                  </w:r>
                  <w:r>
                    <w:rPr>
                      <w:rFonts w:ascii="仿宋_GB2312" w:hAnsi="仿宋_GB2312" w:cs="仿宋_GB2312" w:eastAsia="仿宋_GB2312"/>
                      <w:sz w:val="22"/>
                    </w:rPr>
                    <w:t>5个一级分类18个二级分类的智能划分</w:t>
                  </w:r>
                </w:p>
              </w:tc>
            </w:tr>
          </w:tbl>
          <w:p>
            <w:pPr>
              <w:pStyle w:val="null3"/>
              <w:ind w:firstLine="210"/>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标的名称：C20020600-工程监理服务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3"/>
              </w:numPr>
              <w:jc w:val="both"/>
            </w:pPr>
            <w:r>
              <w:rPr>
                <w:rFonts w:ascii="仿宋_GB2312" w:hAnsi="仿宋_GB2312" w:cs="仿宋_GB2312" w:eastAsia="仿宋_GB2312"/>
                <w:sz w:val="32"/>
                <w:b/>
              </w:rPr>
              <w:t>包</w:t>
            </w:r>
            <w:r>
              <w:rPr>
                <w:rFonts w:ascii="仿宋_GB2312" w:hAnsi="仿宋_GB2312" w:cs="仿宋_GB2312" w:eastAsia="仿宋_GB2312"/>
                <w:sz w:val="32"/>
                <w:b/>
              </w:rPr>
              <w:t>2</w:t>
            </w:r>
            <w:r>
              <w:rPr>
                <w:rFonts w:ascii="仿宋_GB2312" w:hAnsi="仿宋_GB2312" w:cs="仿宋_GB2312" w:eastAsia="仿宋_GB2312"/>
                <w:sz w:val="32"/>
                <w:b/>
              </w:rPr>
              <w:t>（监理）</w:t>
            </w:r>
          </w:p>
          <w:p>
            <w:pPr>
              <w:pStyle w:val="null3"/>
              <w:jc w:val="both"/>
              <w:outlineLvl w:val="1"/>
            </w:pPr>
            <w:r>
              <w:rPr>
                <w:rFonts w:ascii="仿宋_GB2312" w:hAnsi="仿宋_GB2312" w:cs="仿宋_GB2312" w:eastAsia="仿宋_GB2312"/>
                <w:sz w:val="28"/>
                <w:b/>
              </w:rPr>
              <w:t>一、</w:t>
            </w:r>
            <w:r>
              <w:rPr>
                <w:rFonts w:ascii="仿宋_GB2312" w:hAnsi="仿宋_GB2312" w:cs="仿宋_GB2312" w:eastAsia="仿宋_GB2312"/>
                <w:sz w:val="28"/>
                <w:b/>
              </w:rPr>
              <w:t>监理项目</w:t>
            </w:r>
          </w:p>
          <w:p>
            <w:pPr>
              <w:pStyle w:val="null3"/>
              <w:ind w:firstLine="640"/>
              <w:jc w:val="both"/>
            </w:pPr>
            <w:r>
              <w:rPr>
                <w:rFonts w:ascii="仿宋_GB2312" w:hAnsi="仿宋_GB2312" w:cs="仿宋_GB2312" w:eastAsia="仿宋_GB2312"/>
                <w:sz w:val="32"/>
              </w:rPr>
              <w:t>对海南省自由贸易港人才服务</w:t>
            </w:r>
            <w:r>
              <w:rPr>
                <w:rFonts w:ascii="仿宋_GB2312" w:hAnsi="仿宋_GB2312" w:cs="仿宋_GB2312" w:eastAsia="仿宋_GB2312"/>
                <w:sz w:val="32"/>
              </w:rPr>
              <w:t>“单一窗口”（二期）项目的</w:t>
            </w:r>
            <w:r>
              <w:rPr>
                <w:rFonts w:ascii="仿宋_GB2312" w:hAnsi="仿宋_GB2312" w:cs="仿宋_GB2312" w:eastAsia="仿宋_GB2312"/>
                <w:sz w:val="32"/>
              </w:rPr>
              <w:t>建设</w:t>
            </w:r>
            <w:r>
              <w:rPr>
                <w:rFonts w:ascii="仿宋_GB2312" w:hAnsi="仿宋_GB2312" w:cs="仿宋_GB2312" w:eastAsia="仿宋_GB2312"/>
                <w:sz w:val="32"/>
              </w:rPr>
              <w:t>、</w:t>
            </w:r>
            <w:r>
              <w:rPr>
                <w:rFonts w:ascii="仿宋_GB2312" w:hAnsi="仿宋_GB2312" w:cs="仿宋_GB2312" w:eastAsia="仿宋_GB2312"/>
                <w:sz w:val="32"/>
              </w:rPr>
              <w:t>集成、</w:t>
            </w:r>
            <w:r>
              <w:rPr>
                <w:rFonts w:ascii="仿宋_GB2312" w:hAnsi="仿宋_GB2312" w:cs="仿宋_GB2312" w:eastAsia="仿宋_GB2312"/>
                <w:sz w:val="32"/>
              </w:rPr>
              <w:t>测试、验收全过程实施监理。</w:t>
            </w:r>
          </w:p>
          <w:p>
            <w:pPr>
              <w:pStyle w:val="null3"/>
              <w:jc w:val="both"/>
              <w:outlineLvl w:val="1"/>
            </w:pPr>
            <w:r>
              <w:rPr>
                <w:rFonts w:ascii="仿宋_GB2312" w:hAnsi="仿宋_GB2312" w:cs="仿宋_GB2312" w:eastAsia="仿宋_GB2312"/>
                <w:sz w:val="28"/>
                <w:b/>
              </w:rPr>
              <w:t>二、</w:t>
            </w:r>
            <w:r>
              <w:rPr>
                <w:rFonts w:ascii="仿宋_GB2312" w:hAnsi="仿宋_GB2312" w:cs="仿宋_GB2312" w:eastAsia="仿宋_GB2312"/>
                <w:sz w:val="28"/>
                <w:b/>
              </w:rPr>
              <w:t>监理技术要求</w:t>
            </w:r>
          </w:p>
          <w:p>
            <w:pPr>
              <w:pStyle w:val="null3"/>
              <w:jc w:val="left"/>
              <w:outlineLvl w:val="2"/>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监理服务周期</w:t>
            </w:r>
          </w:p>
          <w:p>
            <w:pPr>
              <w:pStyle w:val="null3"/>
              <w:ind w:firstLine="560"/>
              <w:jc w:val="both"/>
            </w:pPr>
            <w:r>
              <w:rPr>
                <w:rFonts w:ascii="仿宋_GB2312" w:hAnsi="仿宋_GB2312" w:cs="仿宋_GB2312" w:eastAsia="仿宋_GB2312"/>
                <w:sz w:val="28"/>
              </w:rPr>
              <w:t>自签订合同之日起，至建设项目完成竣工验收。</w:t>
            </w:r>
          </w:p>
          <w:p>
            <w:pPr>
              <w:pStyle w:val="null3"/>
              <w:jc w:val="left"/>
              <w:outlineLvl w:val="2"/>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监理范围</w:t>
            </w:r>
          </w:p>
          <w:p>
            <w:pPr>
              <w:pStyle w:val="null3"/>
              <w:ind w:firstLine="560"/>
              <w:jc w:val="both"/>
            </w:pPr>
            <w:r>
              <w:rPr>
                <w:rFonts w:ascii="仿宋_GB2312" w:hAnsi="仿宋_GB2312" w:cs="仿宋_GB2312" w:eastAsia="仿宋_GB2312"/>
                <w:sz w:val="28"/>
              </w:rPr>
              <w:t>重点对项目建设过程中设备</w:t>
            </w:r>
            <w:r>
              <w:rPr>
                <w:rFonts w:ascii="仿宋_GB2312" w:hAnsi="仿宋_GB2312" w:cs="仿宋_GB2312" w:eastAsia="仿宋_GB2312"/>
                <w:sz w:val="28"/>
              </w:rPr>
              <w:t>/</w:t>
            </w:r>
            <w:r>
              <w:rPr>
                <w:rFonts w:ascii="仿宋_GB2312" w:hAnsi="仿宋_GB2312" w:cs="仿宋_GB2312" w:eastAsia="仿宋_GB2312"/>
                <w:sz w:val="28"/>
              </w:rPr>
              <w:t>材料的采购及安装调试、系统开发、系统集成及应用技术培训、测试、试运行、验收等全过程进行监督管理，从硬件监理、软件开发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left"/>
              <w:outlineLvl w:val="2"/>
            </w:pPr>
            <w:r>
              <w:rPr>
                <w:rFonts w:ascii="仿宋_GB2312" w:hAnsi="仿宋_GB2312" w:cs="仿宋_GB2312" w:eastAsia="仿宋_GB2312"/>
                <w:sz w:val="28"/>
                <w:b/>
              </w:rPr>
              <w:t>1.</w:t>
            </w:r>
            <w:r>
              <w:rPr>
                <w:rFonts w:ascii="仿宋_GB2312" w:hAnsi="仿宋_GB2312" w:cs="仿宋_GB2312" w:eastAsia="仿宋_GB2312"/>
                <w:sz w:val="28"/>
                <w:b/>
              </w:rPr>
              <w:t>监理目标控制方案</w:t>
            </w:r>
          </w:p>
          <w:p>
            <w:pPr>
              <w:pStyle w:val="null3"/>
              <w:ind w:firstLine="560"/>
              <w:jc w:val="both"/>
            </w:pPr>
            <w:r>
              <w:rPr>
                <w:rFonts w:ascii="仿宋_GB2312" w:hAnsi="仿宋_GB2312" w:cs="仿宋_GB2312" w:eastAsia="仿宋_GB2312"/>
                <w:sz w:val="28"/>
              </w:rPr>
              <w:t>以工程建设合同、监理委托合同、国家（</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监理质量目标控制</w:t>
            </w:r>
          </w:p>
          <w:p>
            <w:pPr>
              <w:pStyle w:val="null3"/>
              <w:ind w:firstLine="560"/>
              <w:jc w:val="both"/>
            </w:pPr>
            <w:r>
              <w:rPr>
                <w:rFonts w:ascii="仿宋_GB2312" w:hAnsi="仿宋_GB2312" w:cs="仿宋_GB2312" w:eastAsia="仿宋_GB2312"/>
                <w:sz w:val="28"/>
              </w:rPr>
              <w:t>监理质量目标控制是监理技术服务的核心所在，也是监理单位综合实力的最好反映，所以做好监理质量目标控制方案，确保本项目建设质量能达到建设单位要求的质量目标。</w:t>
            </w:r>
          </w:p>
          <w:p>
            <w:pPr>
              <w:pStyle w:val="null3"/>
              <w:ind w:firstLine="560"/>
              <w:jc w:val="both"/>
            </w:pPr>
            <w:r>
              <w:rPr>
                <w:rFonts w:ascii="仿宋_GB2312" w:hAnsi="仿宋_GB2312" w:cs="仿宋_GB2312" w:eastAsia="仿宋_GB2312"/>
                <w:sz w:val="28"/>
              </w:rPr>
              <w:t>确保本项目建设质量达到工程合同中规定的功能、技术参数等目标。</w:t>
            </w:r>
          </w:p>
          <w:p>
            <w:pPr>
              <w:pStyle w:val="null3"/>
              <w:ind w:firstLine="560"/>
              <w:jc w:val="both"/>
            </w:pPr>
            <w:r>
              <w:rPr>
                <w:rFonts w:ascii="仿宋_GB2312" w:hAnsi="仿宋_GB2312" w:cs="仿宋_GB2312" w:eastAsia="仿宋_GB2312"/>
                <w:sz w:val="28"/>
              </w:rPr>
              <w:t>确保工程建设中的设备和各个节点满足相关国家（</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地方或行业质量标准和技术标准，按照承建合同要求进行基于总体方案的细化设计、安装、调试和运行；系统开发、系统集成过程涉及系统实现、系统测试和系统运行等比较复杂、制约因素多的工作内容，应该成为质量控制的重点；深化设计方案的选定，也要进行充分论证。</w:t>
            </w:r>
          </w:p>
          <w:p>
            <w:pPr>
              <w:pStyle w:val="null3"/>
              <w:ind w:firstLine="560"/>
              <w:jc w:val="both"/>
            </w:pPr>
            <w:r>
              <w:rPr>
                <w:rFonts w:ascii="仿宋_GB2312" w:hAnsi="仿宋_GB2312" w:cs="仿宋_GB2312" w:eastAsia="仿宋_GB2312"/>
                <w:sz w:val="28"/>
              </w:rPr>
              <w:t>要求监理在整个工程实施过程中做好对工程质量的事前控制，事中监督和事后评估，以确保工程质量合格。</w:t>
            </w:r>
          </w:p>
          <w:p>
            <w:pPr>
              <w:pStyle w:val="null3"/>
              <w:ind w:firstLine="560"/>
              <w:jc w:val="both"/>
            </w:pPr>
            <w:r>
              <w:rPr>
                <w:rFonts w:ascii="仿宋_GB2312" w:hAnsi="仿宋_GB2312" w:cs="仿宋_GB2312" w:eastAsia="仿宋_GB2312"/>
                <w:sz w:val="28"/>
              </w:rPr>
              <w:t>投标人应针对本项目建设中硬件设备采购及安装调试、系统系统开发、系统集成、工程培训等提出工程监理的质量控制原则、方法、措施、工作流程和目标。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监理进度目标控制</w:t>
            </w:r>
          </w:p>
          <w:p>
            <w:pPr>
              <w:pStyle w:val="null3"/>
              <w:ind w:firstLine="560"/>
              <w:jc w:val="both"/>
            </w:pPr>
            <w:r>
              <w:rPr>
                <w:rFonts w:ascii="仿宋_GB2312" w:hAnsi="仿宋_GB2312" w:cs="仿宋_GB2312" w:eastAsia="仿宋_GB2312"/>
                <w:sz w:val="28"/>
              </w:rPr>
              <w:t>确保本项目按合同规定的工期完工。</w:t>
            </w:r>
          </w:p>
          <w:p>
            <w:pPr>
              <w:pStyle w:val="null3"/>
              <w:ind w:firstLine="560"/>
              <w:jc w:val="both"/>
            </w:pPr>
            <w:r>
              <w:rPr>
                <w:rFonts w:ascii="仿宋_GB2312" w:hAnsi="仿宋_GB2312" w:cs="仿宋_GB2312" w:eastAsia="仿宋_GB2312"/>
                <w:sz w:val="28"/>
              </w:rPr>
              <w:t>依据合同所约定的工期目标，在确保质量和安全的原则下，采用动态的控制方法，对进度进行主动控制，确保项目按规定的工期完工。</w:t>
            </w:r>
          </w:p>
          <w:p>
            <w:pPr>
              <w:pStyle w:val="null3"/>
              <w:ind w:firstLine="560"/>
              <w:jc w:val="both"/>
            </w:pPr>
            <w:r>
              <w:rPr>
                <w:rFonts w:ascii="仿宋_GB2312" w:hAnsi="仿宋_GB2312" w:cs="仿宋_GB2312" w:eastAsia="仿宋_GB2312"/>
                <w:sz w:val="28"/>
              </w:rPr>
              <w:t>通过对本项目概要设计的分析、研究，提出针对本项目建设的、有代表性的信息工程监理进度控制的主要原则、方法、内容、措施、工作流程和目标。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监理投资目标控制</w:t>
            </w:r>
          </w:p>
          <w:p>
            <w:pPr>
              <w:pStyle w:val="null3"/>
              <w:ind w:firstLine="560"/>
              <w:jc w:val="both"/>
            </w:pPr>
            <w:r>
              <w:rPr>
                <w:rFonts w:ascii="仿宋_GB2312" w:hAnsi="仿宋_GB2312" w:cs="仿宋_GB2312" w:eastAsia="仿宋_GB2312"/>
                <w:sz w:val="28"/>
              </w:rPr>
              <w:t>协助用户控制本项目建设总投资在项目预算及审计范围内，减少项目建设中的额外开支。</w:t>
            </w:r>
          </w:p>
          <w:p>
            <w:pPr>
              <w:pStyle w:val="null3"/>
              <w:ind w:firstLine="560"/>
              <w:jc w:val="both"/>
            </w:pPr>
            <w:r>
              <w:rPr>
                <w:rFonts w:ascii="仿宋_GB2312" w:hAnsi="仿宋_GB2312" w:cs="仿宋_GB2312" w:eastAsia="仿宋_GB2312"/>
                <w:sz w:val="28"/>
              </w:rPr>
              <w:t>以项目建设方和承建单位实际签订的合同金额为准，确保项目费用控制在合同规定的范围内。</w:t>
            </w:r>
          </w:p>
          <w:p>
            <w:pPr>
              <w:pStyle w:val="null3"/>
              <w:ind w:firstLine="560"/>
              <w:jc w:val="both"/>
            </w:pPr>
            <w:r>
              <w:rPr>
                <w:rFonts w:ascii="仿宋_GB2312" w:hAnsi="仿宋_GB2312" w:cs="仿宋_GB2312" w:eastAsia="仿宋_GB2312"/>
                <w:sz w:val="28"/>
              </w:rPr>
              <w:t>在项目建设中，合理减少项目变更，保护建设单位的经济利益。</w:t>
            </w:r>
          </w:p>
          <w:p>
            <w:pPr>
              <w:pStyle w:val="null3"/>
              <w:jc w:val="left"/>
              <w:outlineLvl w:val="2"/>
            </w:pPr>
            <w:r>
              <w:rPr>
                <w:rFonts w:ascii="仿宋_GB2312" w:hAnsi="仿宋_GB2312" w:cs="仿宋_GB2312" w:eastAsia="仿宋_GB2312"/>
                <w:sz w:val="28"/>
                <w:b/>
              </w:rPr>
              <w:t>2.</w:t>
            </w:r>
            <w:r>
              <w:rPr>
                <w:rFonts w:ascii="仿宋_GB2312" w:hAnsi="仿宋_GB2312" w:cs="仿宋_GB2312" w:eastAsia="仿宋_GB2312"/>
                <w:sz w:val="28"/>
                <w:b/>
              </w:rPr>
              <w:t>工程监理重点难点分析</w:t>
            </w:r>
          </w:p>
          <w:p>
            <w:pPr>
              <w:pStyle w:val="null3"/>
              <w:ind w:firstLine="560"/>
              <w:jc w:val="both"/>
            </w:pPr>
            <w:r>
              <w:rPr>
                <w:rFonts w:ascii="仿宋_GB2312" w:hAnsi="仿宋_GB2312" w:cs="仿宋_GB2312" w:eastAsia="仿宋_GB2312"/>
                <w:sz w:val="28"/>
              </w:rPr>
              <w:t>投标人应根据本项目建设的特点，从实际出发分析本项目监理工作的重点、难点，并根据分析的结果制定相应的监理工作规划、对策和策略，以便日后有针对性的开展建设工程的监理服务工作。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）项目组织及总体技术方案的质量控制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协助审查项目建设方的投标书、合同及实施方案；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在技术上、经济上、性能上和风险上进行分析和评估，为采购人提供建议；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协助审查项目建设方提交的组织实施方案和项目计划等相关文档；</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协助审查项目建设方的工程质量保证计划及质量控制体系；</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参与制定项目质量控制的关键节点及关键路径。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）项目质量控制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组织措施：建立质量管理系统，完善职责分工及有关质量监督制度，落实质量控制责任。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软件开发质量控制</w:t>
            </w:r>
          </w:p>
          <w:p>
            <w:pPr>
              <w:pStyle w:val="null3"/>
              <w:ind w:firstLine="560"/>
              <w:jc w:val="both"/>
            </w:pPr>
            <w:r>
              <w:rPr>
                <w:rFonts w:ascii="仿宋_GB2312" w:hAnsi="仿宋_GB2312" w:cs="仿宋_GB2312" w:eastAsia="仿宋_GB2312"/>
                <w:sz w:val="28"/>
              </w:rPr>
              <w:t>审核实施方案；</w:t>
            </w:r>
          </w:p>
          <w:p>
            <w:pPr>
              <w:pStyle w:val="null3"/>
              <w:ind w:firstLine="560"/>
              <w:jc w:val="both"/>
            </w:pPr>
            <w:r>
              <w:rPr>
                <w:rFonts w:ascii="仿宋_GB2312" w:hAnsi="仿宋_GB2312" w:cs="仿宋_GB2312" w:eastAsia="仿宋_GB2312"/>
                <w:sz w:val="28"/>
              </w:rPr>
              <w:t>对系统开发的综合质量进行检验、测试和验收；</w:t>
            </w:r>
          </w:p>
          <w:p>
            <w:pPr>
              <w:pStyle w:val="null3"/>
              <w:ind w:firstLine="560"/>
              <w:jc w:val="both"/>
            </w:pPr>
            <w:r>
              <w:rPr>
                <w:rFonts w:ascii="仿宋_GB2312" w:hAnsi="仿宋_GB2312" w:cs="仿宋_GB2312" w:eastAsia="仿宋_GB2312"/>
                <w:sz w:val="28"/>
              </w:rPr>
              <w:t>参与制定系统验收大纲；</w:t>
            </w:r>
          </w:p>
          <w:p>
            <w:pPr>
              <w:pStyle w:val="null3"/>
              <w:ind w:firstLine="560"/>
              <w:jc w:val="both"/>
            </w:pPr>
            <w:r>
              <w:rPr>
                <w:rFonts w:ascii="仿宋_GB2312" w:hAnsi="仿宋_GB2312" w:cs="仿宋_GB2312" w:eastAsia="仿宋_GB2312"/>
                <w:sz w:val="28"/>
              </w:rPr>
              <w:t>对系统测试进行验收；</w:t>
            </w:r>
          </w:p>
          <w:p>
            <w:pPr>
              <w:pStyle w:val="null3"/>
              <w:ind w:firstLine="560"/>
              <w:jc w:val="both"/>
            </w:pPr>
            <w:r>
              <w:rPr>
                <w:rFonts w:ascii="仿宋_GB2312" w:hAnsi="仿宋_GB2312" w:cs="仿宋_GB2312" w:eastAsia="仿宋_GB2312"/>
                <w:sz w:val="28"/>
              </w:rPr>
              <w:t>对系统进行总体验收。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系统集成质量控制审核系统总集成方案；</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）对采购的硬件设备及网络环境的综合质量进行检验、测试和验收；</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）参与制定系统验收大纲；</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）对设备安装、调试进行验收；</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）对系统进行总体验收。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人员培训的质量控制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）协助审查并确认培训计划，审定培训大纲；</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）监督审查建设方实施其培训计划，并征求采购人的意见反馈；</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）监督审查考核工作，评估培训效果；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）协助审核并确认培训总结报告。</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文档、资料的质量控制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监督审查建设方提供的设备型号、数量、到货时间以及设备的技术资料、系统开发、系统集成在实施过程中所有相关文件的标准性和规范化，在各项目验收时，应监督项目建设方提交符合规定的成套资料，包括印刷本和电子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）对监理项目实施过程中的文档进行标准化、规范化管理，在监理项目验收时， 应提交符合规定的监理项目的成套资料，包括印刷本和电子版。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）进度协调控制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组织措施：建立进度控制协调制度，落实进度控制责任。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编制项目控制进度计划：编制项目总进度计划和网络图。按各子系统实际情况进行编制，包括系统建设开工、设备的采购、设备的安装调试、系统开发、测试、试运行等各方面内容</w:t>
            </w:r>
            <w:r>
              <w:rPr>
                <w:rFonts w:ascii="仿宋_GB2312" w:hAnsi="仿宋_GB2312" w:cs="仿宋_GB2312" w:eastAsia="仿宋_GB2312"/>
                <w:sz w:val="28"/>
              </w:rPr>
              <w:t xml:space="preserve">, </w:t>
            </w:r>
            <w:r>
              <w:rPr>
                <w:rFonts w:ascii="仿宋_GB2312" w:hAnsi="仿宋_GB2312" w:cs="仿宋_GB2312" w:eastAsia="仿宋_GB2312"/>
                <w:sz w:val="28"/>
              </w:rPr>
              <w:t>做到既要保证各子系统、各阶段目标的顺利实现，又要保证项目间、阶段间的衔接、统一和协调。</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审查各子系统建设方编制的工作进度计划：分析系统建设进度计划是否能满足合同工期及系统建设总进度计划的要求，特别要对照上阶段计划工程量完成情况进行审查</w:t>
            </w:r>
            <w:r>
              <w:rPr>
                <w:rFonts w:ascii="仿宋_GB2312" w:hAnsi="仿宋_GB2312" w:cs="仿宋_GB2312" w:eastAsia="仿宋_GB2312"/>
                <w:sz w:val="28"/>
              </w:rPr>
              <w:t xml:space="preserve">, </w:t>
            </w:r>
            <w:r>
              <w:rPr>
                <w:rFonts w:ascii="仿宋_GB2312" w:hAnsi="仿宋_GB2312" w:cs="仿宋_GB2312" w:eastAsia="仿宋_GB2312"/>
                <w:sz w:val="28"/>
              </w:rPr>
              <w:t>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进度计划的分析与调整</w:t>
            </w:r>
            <w:r>
              <w:rPr>
                <w:rFonts w:ascii="仿宋_GB2312" w:hAnsi="仿宋_GB2312" w:cs="仿宋_GB2312" w:eastAsia="仿宋_GB2312"/>
                <w:sz w:val="28"/>
              </w:rPr>
              <w:t xml:space="preserve">: </w:t>
            </w:r>
            <w:r>
              <w:rPr>
                <w:rFonts w:ascii="仿宋_GB2312" w:hAnsi="仿宋_GB2312" w:cs="仿宋_GB2312" w:eastAsia="仿宋_GB2312"/>
                <w:sz w:val="28"/>
              </w:rPr>
              <w:t>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）投资控制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组织措施：建立健全项目管理组织，完善职责分工及有关质量项目管理制度，落实投资控制的责任。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审查设计图纸和文件，审查建设方的施工组织设计和各项技术措施，深入了解设计意图，在保证系统建设质量和安全的前提下尽可能优化设计。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）合同管理</w:t>
            </w:r>
          </w:p>
          <w:p>
            <w:pPr>
              <w:pStyle w:val="null3"/>
              <w:ind w:firstLine="560"/>
              <w:jc w:val="both"/>
            </w:pPr>
            <w:r>
              <w:rPr>
                <w:rFonts w:ascii="仿宋_GB2312" w:hAnsi="仿宋_GB2312" w:cs="仿宋_GB2312" w:eastAsia="仿宋_GB2312"/>
                <w:sz w:val="28"/>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ind w:firstLine="560"/>
              <w:jc w:val="both"/>
            </w:pPr>
            <w:r>
              <w:rPr>
                <w:rFonts w:ascii="仿宋_GB2312" w:hAnsi="仿宋_GB2312" w:cs="仿宋_GB2312" w:eastAsia="仿宋_GB2312"/>
                <w:sz w:val="28"/>
              </w:rPr>
              <w:t>以合同为依据，本着</w:t>
            </w:r>
            <w:r>
              <w:rPr>
                <w:rFonts w:ascii="仿宋_GB2312" w:hAnsi="仿宋_GB2312" w:cs="仿宋_GB2312" w:eastAsia="仿宋_GB2312"/>
                <w:sz w:val="28"/>
              </w:rPr>
              <w:t>“实事求是、公正”的原则，合情合理地处理合同执行过程中的各种争议。</w:t>
            </w:r>
          </w:p>
          <w:p>
            <w:pPr>
              <w:pStyle w:val="null3"/>
              <w:ind w:firstLine="560"/>
              <w:jc w:val="both"/>
            </w:pPr>
            <w:r>
              <w:rPr>
                <w:rFonts w:ascii="仿宋_GB2312" w:hAnsi="仿宋_GB2312" w:cs="仿宋_GB2312" w:eastAsia="仿宋_GB2312"/>
                <w:sz w:val="28"/>
              </w:rPr>
              <w:t>分析、跟踪和检查合同执行情况，确保项目建设方按时履约。</w:t>
            </w:r>
          </w:p>
          <w:p>
            <w:pPr>
              <w:pStyle w:val="null3"/>
              <w:ind w:firstLine="560"/>
              <w:jc w:val="both"/>
            </w:pPr>
            <w:r>
              <w:rPr>
                <w:rFonts w:ascii="仿宋_GB2312" w:hAnsi="仿宋_GB2312" w:cs="仿宋_GB2312" w:eastAsia="仿宋_GB2312"/>
                <w:sz w:val="28"/>
              </w:rPr>
              <w:t>对合同的工期的延误和延期进行审核确认。</w:t>
            </w:r>
          </w:p>
          <w:p>
            <w:pPr>
              <w:pStyle w:val="null3"/>
              <w:ind w:firstLine="560"/>
              <w:jc w:val="both"/>
            </w:pPr>
            <w:r>
              <w:rPr>
                <w:rFonts w:ascii="仿宋_GB2312" w:hAnsi="仿宋_GB2312" w:cs="仿宋_GB2312" w:eastAsia="仿宋_GB2312"/>
                <w:sz w:val="28"/>
              </w:rPr>
              <w:t>对合同变更、索赔等事宜进行审核确认。</w:t>
            </w:r>
          </w:p>
          <w:p>
            <w:pPr>
              <w:pStyle w:val="null3"/>
              <w:ind w:firstLine="560"/>
              <w:jc w:val="both"/>
            </w:pPr>
            <w:r>
              <w:rPr>
                <w:rFonts w:ascii="仿宋_GB2312" w:hAnsi="仿宋_GB2312" w:cs="仿宋_GB2312" w:eastAsia="仿宋_GB2312"/>
                <w:sz w:val="28"/>
              </w:rPr>
              <w:t>根据合同约定，审核项目建设方的支付申请。</w:t>
            </w:r>
          </w:p>
          <w:p>
            <w:pPr>
              <w:pStyle w:val="null3"/>
              <w:ind w:firstLine="560"/>
              <w:jc w:val="both"/>
            </w:pPr>
            <w:r>
              <w:rPr>
                <w:rFonts w:ascii="仿宋_GB2312" w:hAnsi="仿宋_GB2312" w:cs="仿宋_GB2312" w:eastAsia="仿宋_GB2312"/>
                <w:sz w:val="28"/>
              </w:rPr>
              <w:t>建立合同目录、编码和档案。</w:t>
            </w:r>
          </w:p>
          <w:p>
            <w:pPr>
              <w:pStyle w:val="null3"/>
              <w:ind w:firstLine="560"/>
              <w:jc w:val="both"/>
            </w:pPr>
            <w:r>
              <w:rPr>
                <w:rFonts w:ascii="仿宋_GB2312" w:hAnsi="仿宋_GB2312" w:cs="仿宋_GB2312" w:eastAsia="仿宋_GB2312"/>
                <w:sz w:val="28"/>
              </w:rPr>
              <w:t>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）信息、工程文档管理</w:t>
            </w:r>
          </w:p>
          <w:p>
            <w:pPr>
              <w:pStyle w:val="null3"/>
              <w:ind w:firstLine="560"/>
              <w:jc w:val="both"/>
            </w:pPr>
            <w:r>
              <w:rPr>
                <w:rFonts w:ascii="仿宋_GB2312" w:hAnsi="仿宋_GB2312" w:cs="仿宋_GB2312" w:eastAsia="仿宋_GB2312"/>
                <w:sz w:val="28"/>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560"/>
              <w:jc w:val="both"/>
            </w:pPr>
            <w:r>
              <w:rPr>
                <w:rFonts w:ascii="仿宋_GB2312" w:hAnsi="仿宋_GB2312" w:cs="仿宋_GB2312" w:eastAsia="仿宋_GB2312"/>
                <w:sz w:val="28"/>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560"/>
              <w:jc w:val="both"/>
            </w:pPr>
            <w:r>
              <w:rPr>
                <w:rFonts w:ascii="仿宋_GB2312" w:hAnsi="仿宋_GB2312" w:cs="仿宋_GB2312" w:eastAsia="仿宋_GB2312"/>
                <w:sz w:val="28"/>
              </w:rPr>
              <w:t>在项目实施过程中做好工程监理日记和工程大事记。</w:t>
            </w:r>
          </w:p>
          <w:p>
            <w:pPr>
              <w:pStyle w:val="null3"/>
              <w:ind w:firstLine="560"/>
              <w:jc w:val="both"/>
            </w:pPr>
            <w:r>
              <w:rPr>
                <w:rFonts w:ascii="仿宋_GB2312" w:hAnsi="仿宋_GB2312" w:cs="仿宋_GB2312" w:eastAsia="仿宋_GB2312"/>
                <w:sz w:val="28"/>
              </w:rPr>
              <w:t>做好双方合同、技术建设方案、测试文档、验收报告等各类往来文件的存档。</w:t>
            </w:r>
          </w:p>
          <w:p>
            <w:pPr>
              <w:pStyle w:val="null3"/>
              <w:ind w:firstLine="560"/>
              <w:jc w:val="both"/>
            </w:pPr>
            <w:r>
              <w:rPr>
                <w:rFonts w:ascii="仿宋_GB2312" w:hAnsi="仿宋_GB2312" w:cs="仿宋_GB2312" w:eastAsia="仿宋_GB2312"/>
                <w:sz w:val="28"/>
              </w:rPr>
              <w:t>建立必要的会议、例会制度，整理好会议纪要，并监督会议有关事项的</w:t>
            </w:r>
          </w:p>
          <w:p>
            <w:pPr>
              <w:pStyle w:val="null3"/>
              <w:ind w:firstLine="560"/>
              <w:jc w:val="both"/>
            </w:pPr>
            <w:r>
              <w:rPr>
                <w:rFonts w:ascii="仿宋_GB2312" w:hAnsi="仿宋_GB2312" w:cs="仿宋_GB2312" w:eastAsia="仿宋_GB2312"/>
                <w:sz w:val="28"/>
              </w:rPr>
              <w:t>执行情况。</w:t>
            </w:r>
          </w:p>
          <w:p>
            <w:pPr>
              <w:pStyle w:val="null3"/>
              <w:ind w:firstLine="560"/>
              <w:jc w:val="both"/>
            </w:pPr>
            <w:r>
              <w:rPr>
                <w:rFonts w:ascii="仿宋_GB2312" w:hAnsi="仿宋_GB2312" w:cs="仿宋_GB2312" w:eastAsia="仿宋_GB2312"/>
                <w:sz w:val="28"/>
              </w:rPr>
              <w:t>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560"/>
              <w:jc w:val="both"/>
            </w:pPr>
            <w:r>
              <w:rPr>
                <w:rFonts w:ascii="仿宋_GB2312" w:hAnsi="仿宋_GB2312" w:cs="仿宋_GB2312" w:eastAsia="仿宋_GB2312"/>
                <w:sz w:val="28"/>
              </w:rPr>
              <w:t>建立完整的各项报表制度，规范各种适合本项目的报表。定期将各种报表、信息分类汇总，及时向采购人及有关各方报送。</w:t>
            </w:r>
          </w:p>
          <w:p>
            <w:pPr>
              <w:pStyle w:val="null3"/>
              <w:ind w:firstLine="560"/>
              <w:jc w:val="both"/>
            </w:pPr>
            <w:r>
              <w:rPr>
                <w:rFonts w:ascii="仿宋_GB2312" w:hAnsi="仿宋_GB2312" w:cs="仿宋_GB2312" w:eastAsia="仿宋_GB2312"/>
                <w:sz w:val="28"/>
              </w:rPr>
              <w:t>监理项目验收时，应提交符合规定的有关工程的成套资料，包括印刷本和电子版。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）日常监理</w:t>
            </w:r>
          </w:p>
          <w:p>
            <w:pPr>
              <w:pStyle w:val="null3"/>
              <w:ind w:firstLine="560"/>
              <w:jc w:val="both"/>
            </w:pPr>
            <w:r>
              <w:rPr>
                <w:rFonts w:ascii="仿宋_GB2312" w:hAnsi="仿宋_GB2312" w:cs="仿宋_GB2312" w:eastAsia="仿宋_GB2312"/>
                <w:sz w:val="28"/>
              </w:rPr>
              <w:t>掌握监理范围内涉及的各种技术及相关标准；</w:t>
            </w:r>
          </w:p>
          <w:p>
            <w:pPr>
              <w:pStyle w:val="null3"/>
              <w:ind w:firstLine="560"/>
              <w:jc w:val="left"/>
            </w:pPr>
            <w:r>
              <w:rPr>
                <w:rFonts w:ascii="仿宋_GB2312" w:hAnsi="仿宋_GB2312" w:cs="仿宋_GB2312" w:eastAsia="仿宋_GB2312"/>
                <w:sz w:val="28"/>
              </w:rPr>
              <w:t>安排足够的监理人员，按工程需要派驻相应的专业人员进行项目监理，随时为采购人提供服务，总监理工程师必需专职于本项目；</w:t>
            </w:r>
          </w:p>
          <w:p>
            <w:pPr>
              <w:pStyle w:val="null3"/>
              <w:ind w:firstLine="560"/>
              <w:jc w:val="both"/>
            </w:pPr>
            <w:r>
              <w:rPr>
                <w:rFonts w:ascii="仿宋_GB2312" w:hAnsi="仿宋_GB2312" w:cs="仿宋_GB2312" w:eastAsia="仿宋_GB2312"/>
                <w:sz w:val="28"/>
              </w:rPr>
              <w:t>制定工程管理的组织机构方案并协助采购人组建相关机构，并提供相关</w:t>
            </w:r>
            <w:r>
              <w:rPr>
                <w:rFonts w:ascii="仿宋_GB2312" w:hAnsi="仿宋_GB2312" w:cs="仿宋_GB2312" w:eastAsia="仿宋_GB2312"/>
                <w:sz w:val="28"/>
              </w:rPr>
              <w:t>培训；</w:t>
            </w:r>
          </w:p>
          <w:p>
            <w:pPr>
              <w:pStyle w:val="null3"/>
              <w:ind w:firstLine="560"/>
              <w:jc w:val="both"/>
            </w:pPr>
            <w:r>
              <w:rPr>
                <w:rFonts w:ascii="仿宋_GB2312" w:hAnsi="仿宋_GB2312" w:cs="仿宋_GB2312" w:eastAsia="仿宋_GB2312"/>
                <w:sz w:val="28"/>
              </w:rPr>
              <w:t>熟悉了解项目的业务需求，协助采购人对项目的目标、范围和功能进行界定，参与并协助项目的设计方案交底审核工作；</w:t>
            </w:r>
          </w:p>
          <w:p>
            <w:pPr>
              <w:pStyle w:val="null3"/>
              <w:ind w:firstLine="560"/>
              <w:jc w:val="both"/>
            </w:pPr>
            <w:r>
              <w:rPr>
                <w:rFonts w:ascii="仿宋_GB2312" w:hAnsi="仿宋_GB2312" w:cs="仿宋_GB2312" w:eastAsia="仿宋_GB2312"/>
                <w:sz w:val="28"/>
              </w:rPr>
              <w:t>建立健全科学合理的会议制度，并予以贯彻落实；</w:t>
            </w:r>
          </w:p>
          <w:p>
            <w:pPr>
              <w:pStyle w:val="null3"/>
              <w:ind w:firstLine="560"/>
              <w:jc w:val="both"/>
            </w:pPr>
            <w:r>
              <w:rPr>
                <w:rFonts w:ascii="仿宋_GB2312" w:hAnsi="仿宋_GB2312" w:cs="仿宋_GB2312" w:eastAsia="仿宋_GB2312"/>
                <w:sz w:val="28"/>
              </w:rPr>
              <w:t>建立健全科学合理的文档管理制度，制订施工过程中产生的各类文档制作、管理规范，并予以贯彻落实；</w:t>
            </w:r>
          </w:p>
          <w:p>
            <w:pPr>
              <w:pStyle w:val="null3"/>
              <w:ind w:firstLine="560"/>
              <w:jc w:val="both"/>
            </w:pPr>
            <w:r>
              <w:rPr>
                <w:rFonts w:ascii="仿宋_GB2312" w:hAnsi="仿宋_GB2312" w:cs="仿宋_GB2312" w:eastAsia="仿宋_GB2312"/>
                <w:sz w:val="28"/>
              </w:rPr>
              <w:t>与采购方一起制定评审机制，在工程实施全过程中随时关注隐患苗头，如发现将会导致工程失败的情况出现时，应及时启动评审机制，组织专家对工程实施情况进行评审，对评审不合格的，应向采购方提出终止合同意见。</w:t>
            </w:r>
          </w:p>
          <w:p>
            <w:pPr>
              <w:pStyle w:val="null3"/>
              <w:ind w:firstLine="560"/>
              <w:jc w:val="both"/>
            </w:pPr>
            <w:r>
              <w:rPr>
                <w:rFonts w:ascii="仿宋_GB2312" w:hAnsi="仿宋_GB2312" w:cs="仿宋_GB2312" w:eastAsia="仿宋_GB2312"/>
                <w:sz w:val="28"/>
              </w:rPr>
              <w:t>此外，还应组织定期评审（阶段性评审、里程碑评审、验收评审），对评审结果为优的，提出奖励意见，评审不合格的，则向采购方提出处理意见。</w:t>
            </w:r>
          </w:p>
          <w:p>
            <w:pPr>
              <w:pStyle w:val="null3"/>
              <w:jc w:val="left"/>
              <w:outlineLvl w:val="2"/>
            </w:pPr>
            <w:r>
              <w:rPr>
                <w:rFonts w:ascii="仿宋_GB2312" w:hAnsi="仿宋_GB2312" w:cs="仿宋_GB2312" w:eastAsia="仿宋_GB2312"/>
                <w:sz w:val="28"/>
                <w:b/>
              </w:rPr>
              <w:t>3.</w:t>
            </w:r>
            <w:r>
              <w:rPr>
                <w:rFonts w:ascii="仿宋_GB2312" w:hAnsi="仿宋_GB2312" w:cs="仿宋_GB2312" w:eastAsia="仿宋_GB2312"/>
                <w:sz w:val="28"/>
                <w:b/>
              </w:rPr>
              <w:t>工程各阶段的监理规划、实施</w:t>
            </w:r>
          </w:p>
          <w:p>
            <w:pPr>
              <w:pStyle w:val="null3"/>
              <w:ind w:firstLine="560"/>
              <w:jc w:val="both"/>
            </w:pPr>
            <w:r>
              <w:rPr>
                <w:rFonts w:ascii="仿宋_GB2312" w:hAnsi="仿宋_GB2312" w:cs="仿宋_GB2312" w:eastAsia="仿宋_GB2312"/>
                <w:sz w:val="28"/>
              </w:rPr>
              <w:t>投标人应对本项目从设计施工到项目竣工验收阶段制定一整套工程监理的工作流程，并叙述各阶段主要监理工作内容。</w:t>
            </w:r>
          </w:p>
          <w:p>
            <w:pPr>
              <w:pStyle w:val="null3"/>
              <w:ind w:firstLine="560"/>
              <w:jc w:val="both"/>
            </w:pPr>
            <w:r>
              <w:rPr>
                <w:rFonts w:ascii="仿宋_GB2312" w:hAnsi="仿宋_GB2312" w:cs="仿宋_GB2312" w:eastAsia="仿宋_GB2312"/>
                <w:sz w:val="28"/>
              </w:rPr>
              <w:t>本项目监理工作主要分为设备</w:t>
            </w:r>
            <w:r>
              <w:rPr>
                <w:rFonts w:ascii="仿宋_GB2312" w:hAnsi="仿宋_GB2312" w:cs="仿宋_GB2312" w:eastAsia="仿宋_GB2312"/>
                <w:sz w:val="28"/>
              </w:rPr>
              <w:t>/</w:t>
            </w:r>
            <w:r>
              <w:rPr>
                <w:rFonts w:ascii="仿宋_GB2312" w:hAnsi="仿宋_GB2312" w:cs="仿宋_GB2312" w:eastAsia="仿宋_GB2312"/>
                <w:sz w:val="28"/>
              </w:rPr>
              <w:t>材料采购、施工阶段、验收阶段、质保期阶段等。</w:t>
            </w:r>
          </w:p>
          <w:p>
            <w:pPr>
              <w:pStyle w:val="null3"/>
              <w:ind w:firstLine="560"/>
              <w:jc w:val="both"/>
            </w:pPr>
            <w:r>
              <w:rPr>
                <w:rFonts w:ascii="仿宋_GB2312" w:hAnsi="仿宋_GB2312" w:cs="仿宋_GB2312" w:eastAsia="仿宋_GB2312"/>
                <w:sz w:val="28"/>
              </w:rPr>
              <w:t>⑴设备</w:t>
            </w:r>
            <w:r>
              <w:rPr>
                <w:rFonts w:ascii="仿宋_GB2312" w:hAnsi="仿宋_GB2312" w:cs="仿宋_GB2312" w:eastAsia="仿宋_GB2312"/>
                <w:sz w:val="28"/>
              </w:rPr>
              <w:t>/</w:t>
            </w:r>
            <w:r>
              <w:rPr>
                <w:rFonts w:ascii="仿宋_GB2312" w:hAnsi="仿宋_GB2312" w:cs="仿宋_GB2312" w:eastAsia="仿宋_GB2312"/>
                <w:sz w:val="28"/>
              </w:rPr>
              <w:t>材料采购监理</w:t>
            </w:r>
          </w:p>
          <w:p>
            <w:pPr>
              <w:pStyle w:val="null3"/>
              <w:ind w:firstLine="560"/>
              <w:jc w:val="both"/>
            </w:pPr>
            <w:r>
              <w:rPr>
                <w:rFonts w:ascii="仿宋_GB2312" w:hAnsi="仿宋_GB2312" w:cs="仿宋_GB2312" w:eastAsia="仿宋_GB2312"/>
                <w:sz w:val="28"/>
              </w:rPr>
              <w:t>建设项目由承包单位承担设备</w:t>
            </w:r>
            <w:r>
              <w:rPr>
                <w:rFonts w:ascii="仿宋_GB2312" w:hAnsi="仿宋_GB2312" w:cs="仿宋_GB2312" w:eastAsia="仿宋_GB2312"/>
                <w:sz w:val="28"/>
              </w:rPr>
              <w:t>/</w:t>
            </w:r>
            <w:r>
              <w:rPr>
                <w:rFonts w:ascii="仿宋_GB2312" w:hAnsi="仿宋_GB2312" w:cs="仿宋_GB2312" w:eastAsia="仿宋_GB2312"/>
                <w:sz w:val="28"/>
              </w:rPr>
              <w:t>材料采购任务，工程监理单位在设备</w:t>
            </w:r>
            <w:r>
              <w:rPr>
                <w:rFonts w:ascii="仿宋_GB2312" w:hAnsi="仿宋_GB2312" w:cs="仿宋_GB2312" w:eastAsia="仿宋_GB2312"/>
                <w:sz w:val="28"/>
              </w:rPr>
              <w:t>/</w:t>
            </w:r>
            <w:r>
              <w:rPr>
                <w:rFonts w:ascii="仿宋_GB2312" w:hAnsi="仿宋_GB2312" w:cs="仿宋_GB2312" w:eastAsia="仿宋_GB2312"/>
                <w:sz w:val="28"/>
              </w:rPr>
              <w:t>材料采购阶段监理工作主要有：</w:t>
            </w:r>
          </w:p>
          <w:p>
            <w:pPr>
              <w:pStyle w:val="null3"/>
              <w:ind w:firstLine="560"/>
              <w:jc w:val="both"/>
            </w:pPr>
            <w:r>
              <w:rPr>
                <w:rFonts w:ascii="仿宋_GB2312" w:hAnsi="仿宋_GB2312" w:cs="仿宋_GB2312" w:eastAsia="仿宋_GB2312"/>
                <w:sz w:val="28"/>
              </w:rPr>
              <w:t>◆审核承包单位的设备采购计划和设备采购清单；</w:t>
            </w:r>
          </w:p>
          <w:p>
            <w:pPr>
              <w:pStyle w:val="null3"/>
              <w:ind w:firstLine="560"/>
              <w:jc w:val="both"/>
            </w:pPr>
            <w:r>
              <w:rPr>
                <w:rFonts w:ascii="仿宋_GB2312" w:hAnsi="仿宋_GB2312" w:cs="仿宋_GB2312" w:eastAsia="仿宋_GB2312"/>
                <w:sz w:val="28"/>
              </w:rPr>
              <w:t>◆订货进货验证；</w:t>
            </w:r>
          </w:p>
          <w:p>
            <w:pPr>
              <w:pStyle w:val="null3"/>
              <w:ind w:firstLine="560"/>
              <w:jc w:val="both"/>
            </w:pPr>
            <w:r>
              <w:rPr>
                <w:rFonts w:ascii="仿宋_GB2312" w:hAnsi="仿宋_GB2312" w:cs="仿宋_GB2312" w:eastAsia="仿宋_GB2312"/>
                <w:sz w:val="28"/>
              </w:rPr>
              <w:t>◆组织到货验收；</w:t>
            </w:r>
          </w:p>
          <w:p>
            <w:pPr>
              <w:pStyle w:val="null3"/>
              <w:ind w:firstLine="560"/>
              <w:jc w:val="both"/>
            </w:pPr>
            <w:r>
              <w:rPr>
                <w:rFonts w:ascii="仿宋_GB2312" w:hAnsi="仿宋_GB2312" w:cs="仿宋_GB2312" w:eastAsia="仿宋_GB2312"/>
                <w:sz w:val="28"/>
              </w:rPr>
              <w:t>◆鉴定、设备移交等；</w:t>
            </w:r>
          </w:p>
          <w:p>
            <w:pPr>
              <w:pStyle w:val="null3"/>
              <w:ind w:firstLine="560"/>
              <w:jc w:val="both"/>
            </w:pPr>
            <w:r>
              <w:rPr>
                <w:rFonts w:ascii="仿宋_GB2312" w:hAnsi="仿宋_GB2312" w:cs="仿宋_GB2312" w:eastAsia="仿宋_GB2312"/>
                <w:sz w:val="28"/>
              </w:rPr>
              <w:t>⑵实施阶段监理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开工前的监理</w:t>
            </w:r>
          </w:p>
          <w:p>
            <w:pPr>
              <w:pStyle w:val="null3"/>
              <w:ind w:firstLine="560"/>
              <w:jc w:val="both"/>
            </w:pPr>
            <w:r>
              <w:rPr>
                <w:rFonts w:ascii="仿宋_GB2312" w:hAnsi="仿宋_GB2312" w:cs="仿宋_GB2312" w:eastAsia="仿宋_GB2312"/>
                <w:sz w:val="28"/>
              </w:rPr>
              <w:t>审核施工设计方案：开工前，由监理单位组织实施方案的审核，内容包括设计交底，了解需求、质量要求，依据设计邀标文件，审核总体设计方案和有关的技术合同附件，以避免因设计失误造成实施的障碍；</w:t>
            </w:r>
          </w:p>
          <w:p>
            <w:pPr>
              <w:pStyle w:val="null3"/>
              <w:ind w:firstLine="560"/>
              <w:jc w:val="both"/>
            </w:pPr>
            <w:r>
              <w:rPr>
                <w:rFonts w:ascii="仿宋_GB2312" w:hAnsi="仿宋_GB2312" w:cs="仿宋_GB2312" w:eastAsia="仿宋_GB2312"/>
                <w:sz w:val="28"/>
              </w:rPr>
              <w:t>审核实施方案的合法性、合理性、与设计方案的符合性；</w:t>
            </w:r>
          </w:p>
          <w:p>
            <w:pPr>
              <w:pStyle w:val="null3"/>
              <w:ind w:firstLine="560"/>
              <w:jc w:val="both"/>
            </w:pPr>
            <w:r>
              <w:rPr>
                <w:rFonts w:ascii="仿宋_GB2312" w:hAnsi="仿宋_GB2312" w:cs="仿宋_GB2312" w:eastAsia="仿宋_GB2312"/>
                <w:sz w:val="28"/>
              </w:rPr>
              <w:t>审批施工组织设计：对施工单位的实施工作准备情况进行和监督；</w:t>
            </w:r>
          </w:p>
          <w:p>
            <w:pPr>
              <w:pStyle w:val="null3"/>
              <w:ind w:firstLine="560"/>
              <w:jc w:val="both"/>
            </w:pPr>
            <w:r>
              <w:rPr>
                <w:rFonts w:ascii="仿宋_GB2312" w:hAnsi="仿宋_GB2312" w:cs="仿宋_GB2312" w:eastAsia="仿宋_GB2312"/>
                <w:sz w:val="28"/>
              </w:rPr>
              <w:t>审核实施进度计划：对施工单位的实施进度计划进行评估和审查；</w:t>
            </w:r>
          </w:p>
          <w:p>
            <w:pPr>
              <w:pStyle w:val="null3"/>
              <w:ind w:firstLine="560"/>
              <w:jc w:val="both"/>
            </w:pPr>
            <w:r>
              <w:rPr>
                <w:rFonts w:ascii="仿宋_GB2312" w:hAnsi="仿宋_GB2312" w:cs="仿宋_GB2312" w:eastAsia="仿宋_GB2312"/>
                <w:sz w:val="28"/>
              </w:rPr>
              <w:t>审核实施人员：确认施工方提交的实施人员与实际工作人员的一致性，</w:t>
            </w:r>
            <w:r>
              <w:rPr>
                <w:rFonts w:ascii="仿宋_GB2312" w:hAnsi="仿宋_GB2312" w:cs="仿宋_GB2312" w:eastAsia="仿宋_GB2312"/>
                <w:sz w:val="28"/>
              </w:rPr>
              <w:t>如有变更，则要求叙述其原因；</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施工准备阶段的监理</w:t>
            </w:r>
          </w:p>
          <w:p>
            <w:pPr>
              <w:pStyle w:val="null3"/>
              <w:ind w:firstLine="560"/>
              <w:jc w:val="both"/>
            </w:pPr>
            <w:r>
              <w:rPr>
                <w:rFonts w:ascii="仿宋_GB2312" w:hAnsi="仿宋_GB2312" w:cs="仿宋_GB2312" w:eastAsia="仿宋_GB2312"/>
                <w:sz w:val="28"/>
              </w:rPr>
              <w:t>审批开工申请，确定开工日期；</w:t>
            </w:r>
          </w:p>
          <w:p>
            <w:pPr>
              <w:pStyle w:val="null3"/>
              <w:ind w:firstLine="560"/>
              <w:jc w:val="both"/>
            </w:pPr>
            <w:r>
              <w:rPr>
                <w:rFonts w:ascii="仿宋_GB2312" w:hAnsi="仿宋_GB2312" w:cs="仿宋_GB2312" w:eastAsia="仿宋_GB2312"/>
                <w:sz w:val="28"/>
              </w:rPr>
              <w:t>了解承包商设备订单的定购和运输情况；</w:t>
            </w:r>
          </w:p>
          <w:p>
            <w:pPr>
              <w:pStyle w:val="null3"/>
              <w:ind w:firstLine="560"/>
              <w:jc w:val="both"/>
            </w:pPr>
            <w:r>
              <w:rPr>
                <w:rFonts w:ascii="仿宋_GB2312" w:hAnsi="仿宋_GB2312" w:cs="仿宋_GB2312" w:eastAsia="仿宋_GB2312"/>
                <w:sz w:val="28"/>
              </w:rPr>
              <w:t>了解施工条件准备情况；</w:t>
            </w:r>
          </w:p>
          <w:p>
            <w:pPr>
              <w:pStyle w:val="null3"/>
              <w:ind w:firstLine="560"/>
              <w:jc w:val="both"/>
            </w:pPr>
            <w:r>
              <w:rPr>
                <w:rFonts w:ascii="仿宋_GB2312" w:hAnsi="仿宋_GB2312" w:cs="仿宋_GB2312" w:eastAsia="仿宋_GB2312"/>
                <w:sz w:val="28"/>
              </w:rPr>
              <w:t>了解承建单位实施前期的人员组织、施工设备到位情况；</w:t>
            </w:r>
          </w:p>
          <w:p>
            <w:pPr>
              <w:pStyle w:val="null3"/>
              <w:ind w:firstLine="560"/>
              <w:jc w:val="both"/>
            </w:pPr>
            <w:r>
              <w:rPr>
                <w:rFonts w:ascii="仿宋_GB2312" w:hAnsi="仿宋_GB2312" w:cs="仿宋_GB2312" w:eastAsia="仿宋_GB2312"/>
                <w:sz w:val="28"/>
              </w:rPr>
              <w:t>编制各个子项目监理细则；</w:t>
            </w:r>
          </w:p>
          <w:p>
            <w:pPr>
              <w:pStyle w:val="null3"/>
              <w:ind w:firstLine="560"/>
              <w:jc w:val="both"/>
            </w:pPr>
            <w:r>
              <w:rPr>
                <w:rFonts w:ascii="仿宋_GB2312" w:hAnsi="仿宋_GB2312" w:cs="仿宋_GB2312" w:eastAsia="仿宋_GB2312"/>
                <w:sz w:val="28"/>
              </w:rPr>
              <w:t>签发开工令。</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实施阶段的监理</w:t>
            </w:r>
          </w:p>
          <w:p>
            <w:pPr>
              <w:pStyle w:val="null3"/>
              <w:ind w:firstLine="560"/>
              <w:jc w:val="both"/>
            </w:pPr>
            <w:r>
              <w:rPr>
                <w:rFonts w:ascii="仿宋_GB2312" w:hAnsi="仿宋_GB2312" w:cs="仿宋_GB2312" w:eastAsia="仿宋_GB2312"/>
                <w:sz w:val="28"/>
              </w:rPr>
              <w:t>审核实施各个阶段文件；</w:t>
            </w:r>
          </w:p>
          <w:p>
            <w:pPr>
              <w:pStyle w:val="null3"/>
              <w:ind w:firstLine="560"/>
              <w:jc w:val="both"/>
            </w:pPr>
            <w:r>
              <w:rPr>
                <w:rFonts w:ascii="仿宋_GB2312" w:hAnsi="仿宋_GB2312" w:cs="仿宋_GB2312" w:eastAsia="仿宋_GB2312"/>
                <w:sz w:val="28"/>
              </w:rPr>
              <w:t>协助采购人组织软件开发阶段评审；</w:t>
            </w:r>
          </w:p>
          <w:p>
            <w:pPr>
              <w:pStyle w:val="null3"/>
              <w:ind w:firstLine="560"/>
              <w:jc w:val="both"/>
            </w:pPr>
            <w:r>
              <w:rPr>
                <w:rFonts w:ascii="仿宋_GB2312" w:hAnsi="仿宋_GB2312" w:cs="仿宋_GB2312" w:eastAsia="仿宋_GB2312"/>
                <w:sz w:val="28"/>
              </w:rPr>
              <w:t>材料、硬件设备、系统软件的进场、开箱和检验；</w:t>
            </w:r>
          </w:p>
          <w:p>
            <w:pPr>
              <w:pStyle w:val="null3"/>
              <w:ind w:firstLine="560"/>
              <w:jc w:val="both"/>
            </w:pPr>
            <w:r>
              <w:rPr>
                <w:rFonts w:ascii="仿宋_GB2312" w:hAnsi="仿宋_GB2312" w:cs="仿宋_GB2312" w:eastAsia="仿宋_GB2312"/>
                <w:sz w:val="28"/>
              </w:rPr>
              <w:t>促使项目中所使用的产品和服务符合合同及国家相关法律法规和标准；</w:t>
            </w:r>
          </w:p>
          <w:p>
            <w:pPr>
              <w:pStyle w:val="null3"/>
              <w:ind w:firstLine="560"/>
              <w:jc w:val="both"/>
            </w:pPr>
            <w:r>
              <w:rPr>
                <w:rFonts w:ascii="仿宋_GB2312" w:hAnsi="仿宋_GB2312" w:cs="仿宋_GB2312" w:eastAsia="仿宋_GB2312"/>
                <w:sz w:val="28"/>
              </w:rPr>
              <w:t>对施工各个阶段的安装工艺进行检查；</w:t>
            </w:r>
          </w:p>
          <w:p>
            <w:pPr>
              <w:pStyle w:val="null3"/>
              <w:ind w:firstLine="560"/>
              <w:jc w:val="both"/>
            </w:pPr>
            <w:r>
              <w:rPr>
                <w:rFonts w:ascii="仿宋_GB2312" w:hAnsi="仿宋_GB2312" w:cs="仿宋_GB2312" w:eastAsia="仿宋_GB2312"/>
                <w:sz w:val="28"/>
              </w:rPr>
              <w:t>审核项目各个阶段进度计划；</w:t>
            </w:r>
          </w:p>
          <w:p>
            <w:pPr>
              <w:pStyle w:val="null3"/>
              <w:ind w:firstLine="560"/>
              <w:jc w:val="both"/>
            </w:pPr>
            <w:r>
              <w:rPr>
                <w:rFonts w:ascii="仿宋_GB2312" w:hAnsi="仿宋_GB2312" w:cs="仿宋_GB2312" w:eastAsia="仿宋_GB2312"/>
                <w:sz w:val="28"/>
              </w:rPr>
              <w:t>督促、检查承建单位进度执行情况；</w:t>
            </w:r>
          </w:p>
          <w:p>
            <w:pPr>
              <w:pStyle w:val="null3"/>
              <w:ind w:firstLine="560"/>
              <w:jc w:val="both"/>
            </w:pPr>
            <w:r>
              <w:rPr>
                <w:rFonts w:ascii="仿宋_GB2312" w:hAnsi="仿宋_GB2312" w:cs="仿宋_GB2312" w:eastAsia="仿宋_GB2312"/>
                <w:sz w:val="28"/>
              </w:rPr>
              <w:t>审查项目变更，提出监理意见；</w:t>
            </w:r>
          </w:p>
          <w:p>
            <w:pPr>
              <w:pStyle w:val="null3"/>
              <w:ind w:firstLine="560"/>
              <w:jc w:val="both"/>
            </w:pPr>
            <w:r>
              <w:rPr>
                <w:rFonts w:ascii="仿宋_GB2312" w:hAnsi="仿宋_GB2312" w:cs="仿宋_GB2312" w:eastAsia="仿宋_GB2312"/>
                <w:sz w:val="28"/>
              </w:rPr>
              <w:t>审查承建单位阶段款支付申请，提出监理意见；</w:t>
            </w:r>
          </w:p>
          <w:p>
            <w:pPr>
              <w:pStyle w:val="null3"/>
              <w:ind w:firstLine="560"/>
              <w:jc w:val="both"/>
            </w:pPr>
            <w:r>
              <w:rPr>
                <w:rFonts w:ascii="仿宋_GB2312" w:hAnsi="仿宋_GB2312" w:cs="仿宋_GB2312" w:eastAsia="仿宋_GB2312"/>
                <w:sz w:val="28"/>
              </w:rPr>
              <w:t>按周（月、旬）定期报告项目情况；</w:t>
            </w:r>
          </w:p>
          <w:p>
            <w:pPr>
              <w:pStyle w:val="null3"/>
              <w:ind w:firstLine="560"/>
              <w:jc w:val="both"/>
            </w:pPr>
            <w:r>
              <w:rPr>
                <w:rFonts w:ascii="仿宋_GB2312" w:hAnsi="仿宋_GB2312" w:cs="仿宋_GB2312" w:eastAsia="仿宋_GB2312"/>
                <w:sz w:val="28"/>
              </w:rPr>
              <w:t>组织召开项目例会和专项会议。</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试运行阶段的监理</w:t>
            </w:r>
          </w:p>
          <w:p>
            <w:pPr>
              <w:pStyle w:val="null3"/>
              <w:ind w:firstLine="560"/>
              <w:jc w:val="both"/>
            </w:pPr>
            <w:r>
              <w:rPr>
                <w:rFonts w:ascii="仿宋_GB2312" w:hAnsi="仿宋_GB2312" w:cs="仿宋_GB2312" w:eastAsia="仿宋_GB2312"/>
                <w:sz w:val="28"/>
              </w:rPr>
              <w:t>协助建设方确认项目进入试运行；</w:t>
            </w:r>
          </w:p>
          <w:p>
            <w:pPr>
              <w:pStyle w:val="null3"/>
              <w:ind w:firstLine="560"/>
              <w:jc w:val="both"/>
            </w:pPr>
            <w:r>
              <w:rPr>
                <w:rFonts w:ascii="仿宋_GB2312" w:hAnsi="仿宋_GB2312" w:cs="仿宋_GB2312" w:eastAsia="仿宋_GB2312"/>
                <w:sz w:val="28"/>
              </w:rPr>
              <w:t>监查系统的调试和试运行情况，记录系统试运行数据；</w:t>
            </w:r>
          </w:p>
          <w:p>
            <w:pPr>
              <w:pStyle w:val="null3"/>
              <w:ind w:firstLine="560"/>
              <w:jc w:val="both"/>
            </w:pPr>
            <w:r>
              <w:rPr>
                <w:rFonts w:ascii="仿宋_GB2312" w:hAnsi="仿宋_GB2312" w:cs="仿宋_GB2312" w:eastAsia="仿宋_GB2312"/>
                <w:sz w:val="28"/>
              </w:rPr>
              <w:t>进行试运行期系统检测或测试，做出检测或测试报告；</w:t>
            </w:r>
          </w:p>
          <w:p>
            <w:pPr>
              <w:pStyle w:val="null3"/>
              <w:ind w:firstLine="560"/>
              <w:jc w:val="both"/>
            </w:pPr>
            <w:r>
              <w:rPr>
                <w:rFonts w:ascii="仿宋_GB2312" w:hAnsi="仿宋_GB2312" w:cs="仿宋_GB2312" w:eastAsia="仿宋_GB2312"/>
                <w:sz w:val="28"/>
              </w:rPr>
              <w:t>对试运行期间系统出现的质量问题进行记录，并责成有关单位解决。解决问题后，进行二次监测；</w:t>
            </w:r>
          </w:p>
          <w:p>
            <w:pPr>
              <w:pStyle w:val="null3"/>
              <w:ind w:firstLine="560"/>
              <w:jc w:val="both"/>
            </w:pPr>
            <w:r>
              <w:rPr>
                <w:rFonts w:ascii="仿宋_GB2312" w:hAnsi="仿宋_GB2312" w:cs="仿宋_GB2312" w:eastAsia="仿宋_GB2312"/>
                <w:sz w:val="28"/>
              </w:rPr>
              <w:t>进行试运行时间核算；</w:t>
            </w:r>
          </w:p>
          <w:p>
            <w:pPr>
              <w:pStyle w:val="null3"/>
              <w:ind w:firstLine="560"/>
              <w:jc w:val="both"/>
            </w:pPr>
            <w:r>
              <w:rPr>
                <w:rFonts w:ascii="仿宋_GB2312" w:hAnsi="仿宋_GB2312" w:cs="仿宋_GB2312" w:eastAsia="仿宋_GB2312"/>
                <w:sz w:val="28"/>
              </w:rPr>
              <w:t>协助业主确认试运行通过。</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验收阶段监理</w:t>
            </w:r>
          </w:p>
          <w:p>
            <w:pPr>
              <w:pStyle w:val="null3"/>
              <w:ind w:firstLine="560"/>
              <w:jc w:val="both"/>
            </w:pPr>
            <w:r>
              <w:rPr>
                <w:rFonts w:ascii="仿宋_GB2312" w:hAnsi="仿宋_GB2312" w:cs="仿宋_GB2312" w:eastAsia="仿宋_GB2312"/>
                <w:sz w:val="28"/>
              </w:rPr>
              <w:t>验收阶段</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对承建单位在试运行阶段出现的问题的整改情况进行监督和复查；</w:t>
            </w:r>
          </w:p>
          <w:p>
            <w:pPr>
              <w:pStyle w:val="null3"/>
              <w:ind w:firstLine="560"/>
              <w:jc w:val="both"/>
            </w:pPr>
            <w:r>
              <w:rPr>
                <w:rFonts w:ascii="仿宋_GB2312" w:hAnsi="仿宋_GB2312" w:cs="仿宋_GB2312" w:eastAsia="仿宋_GB2312"/>
                <w:sz w:val="28"/>
              </w:rPr>
              <w:t>监督检查承建单位作好用户培训工作，检查用户文档；</w:t>
            </w:r>
          </w:p>
          <w:p>
            <w:pPr>
              <w:pStyle w:val="null3"/>
              <w:ind w:firstLine="560"/>
              <w:jc w:val="both"/>
            </w:pPr>
            <w:r>
              <w:rPr>
                <w:rFonts w:ascii="仿宋_GB2312" w:hAnsi="仿宋_GB2312" w:cs="仿宋_GB2312" w:eastAsia="仿宋_GB2312"/>
                <w:sz w:val="28"/>
              </w:rPr>
              <w:t>组织系统初步验收；</w:t>
            </w:r>
          </w:p>
          <w:p>
            <w:pPr>
              <w:pStyle w:val="null3"/>
              <w:ind w:firstLine="560"/>
              <w:jc w:val="both"/>
            </w:pPr>
            <w:r>
              <w:rPr>
                <w:rFonts w:ascii="仿宋_GB2312" w:hAnsi="仿宋_GB2312" w:cs="仿宋_GB2312" w:eastAsia="仿宋_GB2312"/>
                <w:sz w:val="28"/>
              </w:rPr>
              <w:t>审查承建单位提交的竣工文档；</w:t>
            </w:r>
          </w:p>
          <w:p>
            <w:pPr>
              <w:pStyle w:val="null3"/>
              <w:ind w:firstLine="560"/>
              <w:jc w:val="both"/>
            </w:pPr>
            <w:r>
              <w:rPr>
                <w:rFonts w:ascii="仿宋_GB2312" w:hAnsi="仿宋_GB2312" w:cs="仿宋_GB2312" w:eastAsia="仿宋_GB2312"/>
                <w:sz w:val="28"/>
              </w:rPr>
              <w:t>参与项目竣工验收；</w:t>
            </w:r>
          </w:p>
          <w:p>
            <w:pPr>
              <w:pStyle w:val="null3"/>
              <w:ind w:firstLine="560"/>
              <w:jc w:val="both"/>
            </w:pPr>
            <w:r>
              <w:rPr>
                <w:rFonts w:ascii="仿宋_GB2312" w:hAnsi="仿宋_GB2312" w:cs="仿宋_GB2312" w:eastAsia="仿宋_GB2312"/>
                <w:sz w:val="28"/>
              </w:rPr>
              <w:t>竣工资料收集整理齐全并装订，签署验收报告；</w:t>
            </w:r>
          </w:p>
          <w:p>
            <w:pPr>
              <w:pStyle w:val="null3"/>
              <w:ind w:firstLine="560"/>
              <w:jc w:val="both"/>
            </w:pPr>
            <w:r>
              <w:rPr>
                <w:rFonts w:ascii="仿宋_GB2312" w:hAnsi="仿宋_GB2312" w:cs="仿宋_GB2312" w:eastAsia="仿宋_GB2312"/>
                <w:sz w:val="28"/>
              </w:rPr>
              <w:t>审核项目结算；</w:t>
            </w:r>
          </w:p>
          <w:p>
            <w:pPr>
              <w:pStyle w:val="null3"/>
              <w:ind w:firstLine="560"/>
              <w:jc w:val="both"/>
            </w:pPr>
            <w:r>
              <w:rPr>
                <w:rFonts w:ascii="仿宋_GB2312" w:hAnsi="仿宋_GB2312" w:cs="仿宋_GB2312" w:eastAsia="仿宋_GB2312"/>
                <w:sz w:val="28"/>
              </w:rPr>
              <w:t>审查承建单位阶段款支付申请，提出监理意见；</w:t>
            </w:r>
          </w:p>
          <w:p>
            <w:pPr>
              <w:pStyle w:val="null3"/>
              <w:ind w:firstLine="560"/>
              <w:jc w:val="both"/>
            </w:pPr>
            <w:r>
              <w:rPr>
                <w:rFonts w:ascii="仿宋_GB2312" w:hAnsi="仿宋_GB2312" w:cs="仿宋_GB2312" w:eastAsia="仿宋_GB2312"/>
                <w:sz w:val="28"/>
              </w:rPr>
              <w:t>向建设单位提交监理工作总结；</w:t>
            </w:r>
          </w:p>
          <w:p>
            <w:pPr>
              <w:pStyle w:val="null3"/>
              <w:ind w:firstLine="560"/>
              <w:jc w:val="both"/>
            </w:pPr>
            <w:r>
              <w:rPr>
                <w:rFonts w:ascii="仿宋_GB2312" w:hAnsi="仿宋_GB2312" w:cs="仿宋_GB2312" w:eastAsia="仿宋_GB2312"/>
                <w:sz w:val="28"/>
              </w:rPr>
              <w:t>将所有的监理材料汇总，编制监理业务手册，提交采购人；</w:t>
            </w:r>
          </w:p>
          <w:p>
            <w:pPr>
              <w:pStyle w:val="null3"/>
              <w:ind w:firstLine="560"/>
              <w:jc w:val="both"/>
            </w:pPr>
            <w:r>
              <w:rPr>
                <w:rFonts w:ascii="仿宋_GB2312" w:hAnsi="仿宋_GB2312" w:cs="仿宋_GB2312" w:eastAsia="仿宋_GB2312"/>
                <w:sz w:val="28"/>
              </w:rPr>
              <w:t>系统验收完毕进入保修阶段的审核与签发移交证书。</w:t>
            </w:r>
          </w:p>
          <w:p>
            <w:pPr>
              <w:pStyle w:val="null3"/>
              <w:ind w:firstLine="560"/>
              <w:jc w:val="both"/>
            </w:pPr>
            <w:r>
              <w:rPr>
                <w:rFonts w:ascii="仿宋_GB2312" w:hAnsi="仿宋_GB2312" w:cs="仿宋_GB2312" w:eastAsia="仿宋_GB2312"/>
                <w:sz w:val="28"/>
              </w:rPr>
              <w:t>项目移交阶段</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系统的设计方案、设计图纸和竣工资料的全部移交；</w:t>
            </w:r>
          </w:p>
          <w:p>
            <w:pPr>
              <w:pStyle w:val="null3"/>
              <w:ind w:firstLine="560"/>
              <w:jc w:val="both"/>
            </w:pPr>
            <w:r>
              <w:rPr>
                <w:rFonts w:ascii="仿宋_GB2312" w:hAnsi="仿宋_GB2312" w:cs="仿宋_GB2312" w:eastAsia="仿宋_GB2312"/>
                <w:sz w:val="28"/>
              </w:rPr>
              <w:t>设备、材料等的验收文档核实；</w:t>
            </w:r>
          </w:p>
          <w:p>
            <w:pPr>
              <w:pStyle w:val="null3"/>
              <w:ind w:firstLine="560"/>
              <w:jc w:val="both"/>
            </w:pPr>
            <w:r>
              <w:rPr>
                <w:rFonts w:ascii="仿宋_GB2312" w:hAnsi="仿宋_GB2312" w:cs="仿宋_GB2312" w:eastAsia="仿宋_GB2312"/>
                <w:sz w:val="28"/>
              </w:rPr>
              <w:t>施工文档的移交；</w:t>
            </w:r>
          </w:p>
          <w:p>
            <w:pPr>
              <w:pStyle w:val="null3"/>
              <w:ind w:firstLine="560"/>
              <w:jc w:val="both"/>
            </w:pPr>
            <w:r>
              <w:rPr>
                <w:rFonts w:ascii="仿宋_GB2312" w:hAnsi="仿宋_GB2312" w:cs="仿宋_GB2312" w:eastAsia="仿宋_GB2312"/>
                <w:sz w:val="28"/>
              </w:rPr>
              <w:t>竣工文档的移交；</w:t>
            </w:r>
          </w:p>
          <w:p>
            <w:pPr>
              <w:pStyle w:val="null3"/>
              <w:ind w:firstLine="560"/>
              <w:jc w:val="both"/>
            </w:pPr>
            <w:r>
              <w:rPr>
                <w:rFonts w:ascii="仿宋_GB2312" w:hAnsi="仿宋_GB2312" w:cs="仿宋_GB2312" w:eastAsia="仿宋_GB2312"/>
                <w:sz w:val="28"/>
              </w:rPr>
              <w:t>项目的整体移交。</w:t>
            </w:r>
          </w:p>
          <w:p>
            <w:pPr>
              <w:pStyle w:val="null3"/>
              <w:ind w:firstLine="560"/>
              <w:jc w:val="both"/>
            </w:pPr>
            <w:r>
              <w:rPr>
                <w:rFonts w:ascii="仿宋_GB2312" w:hAnsi="仿宋_GB2312" w:cs="仿宋_GB2312" w:eastAsia="仿宋_GB2312"/>
                <w:sz w:val="28"/>
              </w:rPr>
              <w:t>质保期阶段监理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监理单位承诺依据委托监理合同约定的工程质量保修期规定的时间、范围和内容开展工作主要有：</w:t>
            </w:r>
          </w:p>
          <w:p>
            <w:pPr>
              <w:pStyle w:val="null3"/>
              <w:ind w:firstLine="560"/>
              <w:jc w:val="both"/>
            </w:pPr>
            <w:r>
              <w:rPr>
                <w:rFonts w:ascii="仿宋_GB2312" w:hAnsi="仿宋_GB2312" w:cs="仿宋_GB2312" w:eastAsia="仿宋_GB2312"/>
                <w:sz w:val="28"/>
              </w:rPr>
              <w:t>定期对项目进行回访，协助解决技术问题；</w:t>
            </w:r>
          </w:p>
          <w:p>
            <w:pPr>
              <w:pStyle w:val="null3"/>
              <w:ind w:firstLine="560"/>
              <w:jc w:val="both"/>
            </w:pPr>
            <w:r>
              <w:rPr>
                <w:rFonts w:ascii="仿宋_GB2312" w:hAnsi="仿宋_GB2312" w:cs="仿宋_GB2312" w:eastAsia="仿宋_GB2312"/>
                <w:sz w:val="28"/>
              </w:rPr>
              <w:t>对项目建设单位提出的质量缺陷进行检查和记录；</w:t>
            </w:r>
          </w:p>
          <w:p>
            <w:pPr>
              <w:pStyle w:val="null3"/>
              <w:ind w:firstLine="560"/>
              <w:jc w:val="both"/>
            </w:pPr>
            <w:r>
              <w:rPr>
                <w:rFonts w:ascii="仿宋_GB2312" w:hAnsi="仿宋_GB2312" w:cs="仿宋_GB2312" w:eastAsia="仿宋_GB2312"/>
                <w:sz w:val="28"/>
              </w:rPr>
              <w:t>对质量缺陷原因进行调查分析并确定责任归属；</w:t>
            </w:r>
          </w:p>
          <w:p>
            <w:pPr>
              <w:pStyle w:val="null3"/>
              <w:ind w:firstLine="560"/>
              <w:jc w:val="both"/>
            </w:pPr>
            <w:r>
              <w:rPr>
                <w:rFonts w:ascii="仿宋_GB2312" w:hAnsi="仿宋_GB2312" w:cs="仿宋_GB2312" w:eastAsia="仿宋_GB2312"/>
                <w:sz w:val="28"/>
              </w:rPr>
              <w:t>检查承建单位质保期履约情况，督促执行；</w:t>
            </w:r>
          </w:p>
          <w:p>
            <w:pPr>
              <w:pStyle w:val="null3"/>
              <w:ind w:firstLine="560"/>
              <w:jc w:val="both"/>
            </w:pPr>
            <w:r>
              <w:rPr>
                <w:rFonts w:ascii="仿宋_GB2312" w:hAnsi="仿宋_GB2312" w:cs="仿宋_GB2312" w:eastAsia="仿宋_GB2312"/>
                <w:sz w:val="28"/>
              </w:rPr>
              <w:t>审查承建单位阶段款支付申请，提出监理意见。</w:t>
            </w:r>
          </w:p>
          <w:p>
            <w:pPr>
              <w:pStyle w:val="null3"/>
              <w:ind w:firstLine="560"/>
              <w:jc w:val="both"/>
            </w:pPr>
            <w:r>
              <w:rPr>
                <w:rFonts w:ascii="仿宋_GB2312" w:hAnsi="仿宋_GB2312" w:cs="仿宋_GB2312" w:eastAsia="仿宋_GB2312"/>
                <w:sz w:val="28"/>
              </w:rPr>
              <w:t>投标人应根据上述监理工作内容（但不局限于上述内容），分别制定详细的监理工作流程，使本项目的监理工作流程化、制度化。</w:t>
            </w:r>
          </w:p>
          <w:p>
            <w:pPr>
              <w:pStyle w:val="null3"/>
              <w:jc w:val="left"/>
              <w:outlineLvl w:val="2"/>
            </w:pPr>
            <w:r>
              <w:rPr>
                <w:rFonts w:ascii="仿宋_GB2312" w:hAnsi="仿宋_GB2312" w:cs="仿宋_GB2312" w:eastAsia="仿宋_GB2312"/>
                <w:sz w:val="28"/>
                <w:b/>
              </w:rPr>
              <w:t>4.</w:t>
            </w:r>
            <w:r>
              <w:rPr>
                <w:rFonts w:ascii="仿宋_GB2312" w:hAnsi="仿宋_GB2312" w:cs="仿宋_GB2312" w:eastAsia="仿宋_GB2312"/>
                <w:sz w:val="28"/>
                <w:b/>
              </w:rPr>
              <w:t>监理工作要求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监理工作制度要求</w:t>
            </w:r>
          </w:p>
          <w:p>
            <w:pPr>
              <w:pStyle w:val="null3"/>
              <w:ind w:firstLine="560"/>
              <w:jc w:val="both"/>
            </w:pPr>
            <w:r>
              <w:rPr>
                <w:rFonts w:ascii="仿宋_GB2312" w:hAnsi="仿宋_GB2312" w:cs="仿宋_GB2312" w:eastAsia="仿宋_GB2312"/>
                <w:sz w:val="28"/>
              </w:rPr>
              <w:t>根据本项目的特色，本项目要求以现场监理为主要方式进行，在施工现场主要监理人员必须具备所从事监理业务的经验。本次监理项目实行总监理工程师负责制，且必须在建设期间全程有监理工程师常驻在甲方现场。监理公司应建立项目监理小组，负责整个项目的全程监理工作。监理人员的确定和变更，须事先经业主方同意。监理人员必须奉公守法，具有高度的责任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监理项目组织要求</w:t>
            </w:r>
          </w:p>
          <w:p>
            <w:pPr>
              <w:pStyle w:val="null3"/>
              <w:ind w:firstLine="560"/>
              <w:jc w:val="both"/>
            </w:pPr>
            <w:r>
              <w:rPr>
                <w:rFonts w:ascii="仿宋_GB2312" w:hAnsi="仿宋_GB2312" w:cs="仿宋_GB2312" w:eastAsia="仿宋_GB2312"/>
                <w:sz w:val="28"/>
              </w:rPr>
              <w:t>工程监理组织形式应根据工程项目的特点、工程项目承包模式、业主委托的</w:t>
            </w:r>
            <w:r>
              <w:rPr>
                <w:rFonts w:ascii="仿宋_GB2312" w:hAnsi="仿宋_GB2312" w:cs="仿宋_GB2312" w:eastAsia="仿宋_GB2312"/>
                <w:sz w:val="28"/>
              </w:rPr>
              <w:t>任务以及监理单位自身情况而确定，结构形式的选择应考虑有利于项目合同管理、有利于目标控控制、有利于决策指挥、有利于信息沟通。要求投标人在报价方案中要明确工程监理的各项运作，包括监理人员的相关资料、职能分配、监理组织的构成及工作流程、各项监理工作的相关负责人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监理信息管理要求</w:t>
            </w:r>
          </w:p>
          <w:p>
            <w:pPr>
              <w:pStyle w:val="null3"/>
              <w:ind w:firstLine="560"/>
              <w:jc w:val="both"/>
            </w:pPr>
            <w:r>
              <w:rPr>
                <w:rFonts w:ascii="仿宋_GB2312" w:hAnsi="仿宋_GB2312" w:cs="仿宋_GB2312" w:eastAsia="仿宋_GB2312"/>
                <w:sz w:val="28"/>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8"/>
              </w:rPr>
              <w:t>/</w:t>
            </w:r>
            <w:r>
              <w:rPr>
                <w:rFonts w:ascii="仿宋_GB2312" w:hAnsi="仿宋_GB2312" w:cs="仿宋_GB2312" w:eastAsia="仿宋_GB2312"/>
                <w:sz w:val="28"/>
              </w:rPr>
              <w:t>季）报形式提交业主。包括下列监理工作：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）做好监理日记及工程大事记；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）做好合同批复等各类往来文件的批复和存档；</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）做好项目协调会、技术专题会等各项会议纪要；</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）管理好实施期间的各类、各方技术文档；</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）做好项目周报；</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）做好监理建议书、监理通知书存档；</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）按信息化项目档案管理要求，在项目建设过程中按标准整理项目档案材料。</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）阶段性项目总结。</w:t>
            </w:r>
          </w:p>
          <w:p>
            <w:pPr>
              <w:pStyle w:val="null3"/>
              <w:ind w:firstLine="560"/>
              <w:jc w:val="both"/>
            </w:pPr>
            <w:r>
              <w:rPr>
                <w:rFonts w:ascii="仿宋_GB2312" w:hAnsi="仿宋_GB2312" w:cs="仿宋_GB2312" w:eastAsia="仿宋_GB2312"/>
                <w:sz w:val="28"/>
              </w:rPr>
              <w:t>投标人应针对项目特点，制定相应的信息分类表、信息流程图、信息管理表格、信息管理工作流程与措施，同时要求采用先进的项目信息管理软件对项目信息进行综合管理。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监理合同管理要求</w:t>
            </w:r>
          </w:p>
          <w:p>
            <w:pPr>
              <w:pStyle w:val="null3"/>
              <w:ind w:firstLine="560"/>
              <w:jc w:val="both"/>
            </w:pPr>
            <w:r>
              <w:rPr>
                <w:rFonts w:ascii="仿宋_GB2312" w:hAnsi="仿宋_GB2312" w:cs="仿宋_GB2312" w:eastAsia="仿宋_GB2312"/>
                <w:sz w:val="28"/>
              </w:rPr>
              <w:t>本项目建设过程中会与承建单位签订各种合同，投标人应该针对项目特点制定合同从草案到签署的管理工作流程与措施，规范合同管理，并在具体项目合同执行时进行下列监理工作：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）跟踪检查合同的执行情况，确保承建单位按时履约；</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）对合同工期的延误和延期进行审核确认；</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）对合同变更、索赔等事宜进行审核确认；</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）对合同终止进行审核确认；</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）根据合同约定，审核承建单位提交的支付申请，签发付款凭证。</w:t>
            </w:r>
          </w:p>
          <w:p>
            <w:pPr>
              <w:pStyle w:val="null3"/>
              <w:ind w:firstLine="560"/>
              <w:jc w:val="both"/>
            </w:pPr>
            <w:r>
              <w:rPr>
                <w:rFonts w:ascii="仿宋_GB2312" w:hAnsi="仿宋_GB2312" w:cs="仿宋_GB2312" w:eastAsia="仿宋_GB2312"/>
                <w:sz w:val="28"/>
              </w:rPr>
              <w:t>要求对项目合同进行合理的管理，以完善整个项目建设的过程。</w:t>
            </w:r>
          </w:p>
          <w:p>
            <w:pPr>
              <w:pStyle w:val="null3"/>
              <w:jc w:val="left"/>
              <w:outlineLvl w:val="2"/>
            </w:pPr>
            <w:r>
              <w:rPr>
                <w:rFonts w:ascii="仿宋_GB2312" w:hAnsi="仿宋_GB2312" w:cs="仿宋_GB2312" w:eastAsia="仿宋_GB2312"/>
                <w:sz w:val="28"/>
                <w:b/>
              </w:rPr>
              <w:t>5.</w:t>
            </w:r>
            <w:r>
              <w:rPr>
                <w:rFonts w:ascii="仿宋_GB2312" w:hAnsi="仿宋_GB2312" w:cs="仿宋_GB2312" w:eastAsia="仿宋_GB2312"/>
                <w:sz w:val="28"/>
                <w:b/>
              </w:rPr>
              <w:t>监理服务准则</w:t>
            </w:r>
          </w:p>
          <w:p>
            <w:pPr>
              <w:pStyle w:val="null3"/>
              <w:ind w:firstLine="560"/>
              <w:jc w:val="both"/>
            </w:pPr>
            <w:r>
              <w:rPr>
                <w:rFonts w:ascii="仿宋_GB2312" w:hAnsi="仿宋_GB2312" w:cs="仿宋_GB2312" w:eastAsia="仿宋_GB2312"/>
                <w:sz w:val="28"/>
              </w:rPr>
              <w:t>遵照国家（</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信息系统服务监理规范》的规定，以“守法、诚信、公正、科学”的准则执业，维护建设方与承建方的合法权益。具体应做到：</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）执行有关项目建设的法律、法规、规范、标准和制度，履行监理合同规定的义务和职责。</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）不收受被监理单位的任何礼金。</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）不泄漏所监理项目各方认为需要保密的事项。</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）遵守国家的法律和政府的有关条例、规定和办法等。</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）坚持公正的立场，独立、公正地处理有关各方的争议。</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）坚持科学的态度和实事求是的原则。</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）在坚持按监理合同的规定向建设单位提供技术服务的同时，帮助被监理者完成起担负的建设任务。</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）不泄漏所监理的项目需保密的事项。</w:t>
            </w:r>
          </w:p>
          <w:p>
            <w:pPr>
              <w:pStyle w:val="null3"/>
              <w:jc w:val="left"/>
              <w:outlineLvl w:val="2"/>
            </w:pPr>
            <w:r>
              <w:rPr>
                <w:rFonts w:ascii="仿宋_GB2312" w:hAnsi="仿宋_GB2312" w:cs="仿宋_GB2312" w:eastAsia="仿宋_GB2312"/>
                <w:sz w:val="28"/>
                <w:b/>
              </w:rPr>
              <w:t>6.</w:t>
            </w:r>
            <w:r>
              <w:rPr>
                <w:rFonts w:ascii="仿宋_GB2312" w:hAnsi="仿宋_GB2312" w:cs="仿宋_GB2312" w:eastAsia="仿宋_GB2312"/>
                <w:sz w:val="28"/>
                <w:b/>
              </w:rPr>
              <w:t>监理依据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）国 家 （</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信息系统服务监理规范》和海南省有关信息系统项目建设和监理管理规范；</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）建设单位与承建单位签订的承包工程合同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）建设单位与监理单位签订的委托监理合同</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）本工程邀标书、邀标过程文件、各中标商的投标书</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）国家有关合同、招投标、政府采购的法律法规</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）部颁、地方政府的信息工程、信息工程监理的管理办法和规定</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）建设工程和信息工程相关的国家、行业标准和规范</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）建设工程和信息工程技术监督、工程验收规范</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）与工程相关的技术资料</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）其他与本项目适用的法律、法规和标准</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）国家、地方及行业相关的技术标准</w:t>
            </w:r>
          </w:p>
          <w:p>
            <w:pPr>
              <w:pStyle w:val="null3"/>
              <w:ind w:left="1140"/>
              <w:jc w:val="both"/>
              <w:outlineLvl w:val="1"/>
            </w:pPr>
            <w:r>
              <w:rPr>
                <w:rFonts w:ascii="仿宋_GB2312" w:hAnsi="仿宋_GB2312" w:cs="仿宋_GB2312" w:eastAsia="仿宋_GB2312"/>
                <w:sz w:val="28"/>
                <w:b/>
              </w:rPr>
              <w:t>（</w:t>
            </w: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安全保密要求</w:t>
            </w:r>
          </w:p>
          <w:p>
            <w:pPr>
              <w:pStyle w:val="null3"/>
              <w:ind w:firstLine="560"/>
              <w:jc w:val="both"/>
            </w:pPr>
            <w:r>
              <w:rPr>
                <w:rFonts w:ascii="仿宋_GB2312" w:hAnsi="仿宋_GB2312" w:cs="仿宋_GB2312" w:eastAsia="仿宋_GB2312"/>
                <w:sz w:val="28"/>
              </w:rPr>
              <w:t>本项目要求投标人制定一整套工程监理安全保密制度，确定工程保密责任人，</w:t>
            </w:r>
            <w:r>
              <w:rPr>
                <w:rFonts w:ascii="仿宋_GB2312" w:hAnsi="仿宋_GB2312" w:cs="仿宋_GB2312" w:eastAsia="仿宋_GB2312"/>
                <w:sz w:val="28"/>
              </w:rPr>
              <w:t>同时要求投标人：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）按照国家、省、市的有关法规文件规定，要求监理履行保密责任，并与建设单位签订保密协议；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）监理单位各级组织严格履行保密职责；</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）按照国家有关保密规定开展监理工作。</w:t>
            </w:r>
          </w:p>
          <w:p>
            <w:pPr>
              <w:pStyle w:val="null3"/>
              <w:jc w:val="both"/>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3"/>
              </w:numPr>
              <w:jc w:val="both"/>
            </w:pPr>
            <w:r>
              <w:rPr>
                <w:rFonts w:ascii="仿宋_GB2312" w:hAnsi="仿宋_GB2312" w:cs="仿宋_GB2312" w:eastAsia="仿宋_GB2312"/>
                <w:sz w:val="28"/>
                <w:b/>
              </w:rPr>
              <w:t>包</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32"/>
              </w:rPr>
              <w:t>软件测评</w:t>
            </w:r>
            <w:r>
              <w:rPr>
                <w:rFonts w:ascii="仿宋_GB2312" w:hAnsi="仿宋_GB2312" w:cs="仿宋_GB2312" w:eastAsia="仿宋_GB2312"/>
                <w:sz w:val="28"/>
                <w:b/>
              </w:rPr>
              <w:t>）</w:t>
            </w:r>
          </w:p>
          <w:p>
            <w:pPr>
              <w:pStyle w:val="null3"/>
              <w:jc w:val="left"/>
            </w:pPr>
            <w:r>
              <w:rPr>
                <w:rFonts w:ascii="仿宋_GB2312" w:hAnsi="仿宋_GB2312" w:cs="仿宋_GB2312" w:eastAsia="仿宋_GB2312"/>
                <w:sz w:val="28"/>
              </w:rPr>
              <w:t>一、项目概况</w:t>
            </w:r>
          </w:p>
          <w:p>
            <w:pPr>
              <w:pStyle w:val="null3"/>
              <w:ind w:firstLine="480"/>
              <w:jc w:val="both"/>
            </w:pPr>
            <w:r>
              <w:rPr>
                <w:rFonts w:ascii="仿宋_GB2312" w:hAnsi="仿宋_GB2312" w:cs="仿宋_GB2312" w:eastAsia="仿宋_GB2312"/>
                <w:sz w:val="28"/>
              </w:rPr>
              <w:t>对海南省发展和改革委员会批复的《海南省自由贸易港人才服务</w:t>
            </w:r>
            <w:r>
              <w:rPr>
                <w:rFonts w:ascii="仿宋_GB2312" w:hAnsi="仿宋_GB2312" w:cs="仿宋_GB2312" w:eastAsia="仿宋_GB2312"/>
                <w:sz w:val="28"/>
              </w:rPr>
              <w:t>“单一窗口”（二期）项目初步设计及概算》（以下简称“项目”）所涉及的开发建设的软件（包含成品软件和定制开发部分）提供第三方验收评测服务，对本项目所涉及的软件系统按照项目招标文件、合同文件以及建设方案的要求，以及相关的国家和行业的质量标准，对项目相关信息系统进行功能、性能、安全性及关联性等方面进行软件验收测试，并出具《测试报告》，作为该项目验收的依据。</w:t>
            </w:r>
          </w:p>
          <w:p>
            <w:pPr>
              <w:pStyle w:val="null3"/>
              <w:ind w:firstLine="480"/>
              <w:jc w:val="both"/>
            </w:pPr>
            <w:r>
              <w:rPr>
                <w:rFonts w:ascii="仿宋_GB2312" w:hAnsi="仿宋_GB2312" w:cs="仿宋_GB2312" w:eastAsia="仿宋_GB2312"/>
                <w:sz w:val="28"/>
              </w:rPr>
              <w:t>所属行业：软件和信息技术服务业</w:t>
            </w:r>
          </w:p>
          <w:p>
            <w:pPr>
              <w:pStyle w:val="null3"/>
              <w:jc w:val="left"/>
            </w:pPr>
            <w:r>
              <w:rPr>
                <w:rFonts w:ascii="仿宋_GB2312" w:hAnsi="仿宋_GB2312" w:cs="仿宋_GB2312" w:eastAsia="仿宋_GB2312"/>
                <w:sz w:val="28"/>
              </w:rPr>
              <w:t>二、项目服务要求</w:t>
            </w:r>
          </w:p>
          <w:p>
            <w:pPr>
              <w:pStyle w:val="null3"/>
              <w:jc w:val="left"/>
            </w:pPr>
            <w:r>
              <w:rPr>
                <w:rFonts w:ascii="仿宋_GB2312" w:hAnsi="仿宋_GB2312" w:cs="仿宋_GB2312" w:eastAsia="仿宋_GB2312"/>
                <w:sz w:val="28"/>
                <w:b/>
              </w:rPr>
              <w:t>（一）基本原则</w:t>
            </w:r>
          </w:p>
          <w:p>
            <w:pPr>
              <w:pStyle w:val="null3"/>
              <w:ind w:firstLine="480"/>
              <w:jc w:val="both"/>
            </w:pPr>
            <w:r>
              <w:rPr>
                <w:rFonts w:ascii="仿宋_GB2312" w:hAnsi="仿宋_GB2312" w:cs="仿宋_GB2312" w:eastAsia="仿宋_GB2312"/>
                <w:sz w:val="28"/>
              </w:rPr>
              <w:t>坚持科学、客观、公正、高效的基本原则，从第三方角度，对项目实施情况进行验收评测。</w:t>
            </w:r>
          </w:p>
          <w:p>
            <w:pPr>
              <w:pStyle w:val="null3"/>
              <w:ind w:firstLine="480"/>
              <w:jc w:val="both"/>
            </w:pPr>
            <w:r>
              <w:rPr>
                <w:rFonts w:ascii="仿宋_GB2312" w:hAnsi="仿宋_GB2312" w:cs="仿宋_GB2312" w:eastAsia="仿宋_GB2312"/>
                <w:sz w:val="28"/>
              </w:rPr>
              <w:t>保密原则：对测评服务过程中接触到的各种信息，不得泄漏给任何单位和个人，未经允许不得利用这些信息从事与服务无关的活动。</w:t>
            </w:r>
          </w:p>
          <w:p>
            <w:pPr>
              <w:pStyle w:val="null3"/>
              <w:ind w:firstLine="480"/>
              <w:jc w:val="both"/>
            </w:pPr>
            <w:r>
              <w:rPr>
                <w:rFonts w:ascii="仿宋_GB2312" w:hAnsi="仿宋_GB2312" w:cs="仿宋_GB2312" w:eastAsia="仿宋_GB2312"/>
                <w:sz w:val="28"/>
              </w:rPr>
              <w:t>公平原则：实施方应遵循</w:t>
            </w:r>
            <w:r>
              <w:rPr>
                <w:rFonts w:ascii="仿宋_GB2312" w:hAnsi="仿宋_GB2312" w:cs="仿宋_GB2312" w:eastAsia="仿宋_GB2312"/>
                <w:sz w:val="28"/>
              </w:rPr>
              <w:t>“面向应用、保证质量、客观公正、诚信守诺”的原则开展软件测评工作。</w:t>
            </w:r>
          </w:p>
          <w:p>
            <w:pPr>
              <w:pStyle w:val="null3"/>
              <w:ind w:firstLine="480"/>
              <w:jc w:val="both"/>
            </w:pPr>
            <w:r>
              <w:rPr>
                <w:rFonts w:ascii="仿宋_GB2312" w:hAnsi="仿宋_GB2312" w:cs="仿宋_GB2312" w:eastAsia="仿宋_GB2312"/>
                <w:sz w:val="28"/>
              </w:rPr>
              <w:t>标准性原则：实施方应依据相关国家标准、行业标准开展测评工作。本测评要求所使用的标准和规范如与实施方所执行的标准不一致时，按较高标准执行。</w:t>
            </w:r>
          </w:p>
          <w:p>
            <w:pPr>
              <w:pStyle w:val="null3"/>
              <w:jc w:val="left"/>
            </w:pPr>
            <w:r>
              <w:rPr>
                <w:rFonts w:ascii="仿宋_GB2312" w:hAnsi="仿宋_GB2312" w:cs="仿宋_GB2312" w:eastAsia="仿宋_GB2312"/>
                <w:sz w:val="28"/>
                <w:b/>
              </w:rPr>
              <w:t>（二）测试依据</w:t>
            </w:r>
          </w:p>
          <w:p>
            <w:pPr>
              <w:pStyle w:val="null3"/>
              <w:ind w:firstLine="480"/>
              <w:jc w:val="both"/>
            </w:pPr>
            <w:r>
              <w:rPr>
                <w:rFonts w:ascii="仿宋_GB2312" w:hAnsi="仿宋_GB2312" w:cs="仿宋_GB2312" w:eastAsia="仿宋_GB2312"/>
                <w:sz w:val="28"/>
              </w:rPr>
              <w:t>测评参考相关标准与文件主要包括如下内容：</w:t>
            </w:r>
          </w:p>
          <w:p>
            <w:pPr>
              <w:pStyle w:val="null3"/>
              <w:ind w:firstLine="480"/>
              <w:jc w:val="both"/>
            </w:pPr>
            <w:r>
              <w:rPr>
                <w:rFonts w:ascii="仿宋_GB2312" w:hAnsi="仿宋_GB2312" w:cs="仿宋_GB2312" w:eastAsia="仿宋_GB2312"/>
                <w:sz w:val="28"/>
              </w:rPr>
              <w:t>1、国家标准：</w:t>
            </w:r>
          </w:p>
          <w:p>
            <w:pPr>
              <w:pStyle w:val="null3"/>
              <w:ind w:firstLine="480"/>
              <w:jc w:val="both"/>
            </w:pPr>
            <w:r>
              <w:rPr>
                <w:rFonts w:ascii="仿宋_GB2312" w:hAnsi="仿宋_GB2312" w:cs="仿宋_GB2312" w:eastAsia="仿宋_GB2312"/>
                <w:sz w:val="28"/>
              </w:rPr>
              <w:t>GB/T25000.51-2016 《系统与软件工程 系统与软件质量要求和评价（SQuaRE） 第51部分：就绪可用软件产品（RUSP）的质量要求和测试细则》GB/T25000.10-2016 《系统与软件工程 系统与软件质量要求和评价（SQuaRE） 第10部分：系统与软件质量模型》</w:t>
            </w:r>
          </w:p>
          <w:p>
            <w:pPr>
              <w:pStyle w:val="null3"/>
              <w:ind w:firstLine="480"/>
              <w:jc w:val="both"/>
            </w:pPr>
            <w:r>
              <w:rPr>
                <w:rFonts w:ascii="仿宋_GB2312" w:hAnsi="仿宋_GB2312" w:cs="仿宋_GB2312" w:eastAsia="仿宋_GB2312"/>
                <w:sz w:val="28"/>
              </w:rPr>
              <w:t>GB/T 9386-2008《计算机软件测试文件编制规范》</w:t>
            </w:r>
          </w:p>
          <w:p>
            <w:pPr>
              <w:pStyle w:val="null3"/>
              <w:ind w:firstLine="480"/>
              <w:jc w:val="both"/>
            </w:pPr>
            <w:r>
              <w:rPr>
                <w:rFonts w:ascii="仿宋_GB2312" w:hAnsi="仿宋_GB2312" w:cs="仿宋_GB2312" w:eastAsia="仿宋_GB2312"/>
                <w:sz w:val="28"/>
              </w:rPr>
              <w:t>2、项目需求及相关文档：《初步设计方案》、 《项目招投标文件》、 《项目合同书》、《项目变更文档》等与本项目软件系统相关的文档。</w:t>
            </w:r>
          </w:p>
          <w:p>
            <w:pPr>
              <w:pStyle w:val="null3"/>
              <w:ind w:firstLine="480"/>
              <w:jc w:val="both"/>
            </w:pPr>
            <w:r>
              <w:rPr>
                <w:rFonts w:ascii="仿宋_GB2312" w:hAnsi="仿宋_GB2312" w:cs="仿宋_GB2312" w:eastAsia="仿宋_GB2312"/>
                <w:sz w:val="28"/>
              </w:rPr>
              <w:t>3、在进行测试时依据的相关标准、规范次序如下：</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优先依据项目建设合同、初设方案、招投标文件等约定的验收依据、规范；</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其次依据相关国家、国际标准；</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再次依据相关行业标准</w:t>
            </w:r>
            <w:r>
              <w:rPr>
                <w:rFonts w:ascii="仿宋_GB2312" w:hAnsi="仿宋_GB2312" w:cs="仿宋_GB2312" w:eastAsia="仿宋_GB2312"/>
                <w:sz w:val="28"/>
              </w:rPr>
              <w:t>/地方标准/内部和管理规范。</w:t>
            </w:r>
          </w:p>
          <w:p>
            <w:pPr>
              <w:pStyle w:val="null3"/>
              <w:ind w:firstLine="480"/>
              <w:jc w:val="both"/>
            </w:pPr>
            <w:r>
              <w:rPr>
                <w:rFonts w:ascii="仿宋_GB2312" w:hAnsi="仿宋_GB2312" w:cs="仿宋_GB2312" w:eastAsia="仿宋_GB2312"/>
                <w:sz w:val="28"/>
              </w:rPr>
              <w:t>当各测试依据之间存在不一致之处时，以优先级高的为准。</w:t>
            </w:r>
          </w:p>
          <w:p>
            <w:pPr>
              <w:pStyle w:val="null3"/>
              <w:jc w:val="left"/>
            </w:pPr>
            <w:r>
              <w:rPr>
                <w:rFonts w:ascii="仿宋_GB2312" w:hAnsi="仿宋_GB2312" w:cs="仿宋_GB2312" w:eastAsia="仿宋_GB2312"/>
                <w:sz w:val="28"/>
                <w:b/>
              </w:rPr>
              <w:t>（三）检测具体要求</w:t>
            </w:r>
          </w:p>
          <w:p>
            <w:pPr>
              <w:pStyle w:val="null3"/>
              <w:ind w:firstLine="480"/>
              <w:jc w:val="both"/>
            </w:pPr>
            <w:r>
              <w:rPr>
                <w:rFonts w:ascii="仿宋_GB2312" w:hAnsi="仿宋_GB2312" w:cs="仿宋_GB2312" w:eastAsia="仿宋_GB2312"/>
                <w:sz w:val="28"/>
              </w:rPr>
              <w:t>根据项目招标等文档，初步编写测试方案，对项目测试内容进行阐述，并提出项目对应的测试通过准则。测试方案应针对测试范围内各种测试类型提出所采用的工具和所采取的技术步骤，并符合各类测试的具体要求。完成项目的验收测试工作后，根据测试情况，出具验收评测报告。</w:t>
            </w:r>
          </w:p>
          <w:p>
            <w:pPr>
              <w:pStyle w:val="null3"/>
              <w:ind w:firstLine="480"/>
              <w:jc w:val="both"/>
            </w:pPr>
            <w:r>
              <w:rPr>
                <w:rFonts w:ascii="仿宋_GB2312" w:hAnsi="仿宋_GB2312" w:cs="仿宋_GB2312" w:eastAsia="仿宋_GB2312"/>
                <w:sz w:val="28"/>
              </w:rPr>
              <w:t>1、功能性测试</w:t>
            </w:r>
          </w:p>
          <w:p>
            <w:pPr>
              <w:pStyle w:val="null3"/>
              <w:ind w:firstLine="480"/>
              <w:jc w:val="both"/>
            </w:pPr>
            <w:r>
              <w:rPr>
                <w:rFonts w:ascii="仿宋_GB2312" w:hAnsi="仿宋_GB2312" w:cs="仿宋_GB2312" w:eastAsia="仿宋_GB2312"/>
                <w:sz w:val="28"/>
              </w:rPr>
              <w:t>软件系统的功能性是指当软件在指定条件下使用时，软件产品提供满足明确和隐含要求的功能和能力，且保证在基于原系统升级建设的新功能点须与原系统功能性进行有效衔接和功能关联匹配。</w:t>
            </w:r>
          </w:p>
          <w:p>
            <w:pPr>
              <w:pStyle w:val="null3"/>
              <w:ind w:firstLine="480"/>
              <w:jc w:val="both"/>
            </w:pPr>
            <w:r>
              <w:rPr>
                <w:rFonts w:ascii="仿宋_GB2312" w:hAnsi="仿宋_GB2312" w:cs="仿宋_GB2312" w:eastAsia="仿宋_GB2312"/>
                <w:sz w:val="28"/>
              </w:rPr>
              <w:t>2、性能效率测试</w:t>
            </w:r>
          </w:p>
          <w:p>
            <w:pPr>
              <w:pStyle w:val="null3"/>
              <w:ind w:firstLine="480"/>
              <w:jc w:val="both"/>
            </w:pPr>
            <w:r>
              <w:rPr>
                <w:rFonts w:ascii="仿宋_GB2312" w:hAnsi="仿宋_GB2312" w:cs="仿宋_GB2312" w:eastAsia="仿宋_GB2312"/>
                <w:sz w:val="28"/>
              </w:rPr>
              <w:t>性能测试内容主要包括：应用程序、数据库并发性能，组件调用并发访问，检测用户的数量极限以及响应时间的压力测试：利用测试软件</w:t>
            </w:r>
            <w:r>
              <w:rPr>
                <w:rFonts w:ascii="仿宋_GB2312" w:hAnsi="仿宋_GB2312" w:cs="仿宋_GB2312" w:eastAsia="仿宋_GB2312"/>
                <w:sz w:val="28"/>
              </w:rPr>
              <w:t>, 模拟巨大的工作负荷以查看应用程序在峰值使用情况下如何执行操作，记录响应时间，并分析。</w:t>
            </w:r>
          </w:p>
          <w:p>
            <w:pPr>
              <w:pStyle w:val="null3"/>
              <w:ind w:firstLine="480"/>
              <w:jc w:val="both"/>
            </w:pPr>
            <w:r>
              <w:rPr>
                <w:rFonts w:ascii="仿宋_GB2312" w:hAnsi="仿宋_GB2312" w:cs="仿宋_GB2312" w:eastAsia="仿宋_GB2312"/>
                <w:sz w:val="28"/>
              </w:rPr>
              <w:t>3、可靠性测试</w:t>
            </w:r>
          </w:p>
          <w:p>
            <w:pPr>
              <w:pStyle w:val="null3"/>
              <w:ind w:firstLine="480"/>
              <w:jc w:val="both"/>
            </w:pPr>
            <w:r>
              <w:rPr>
                <w:rFonts w:ascii="仿宋_GB2312" w:hAnsi="仿宋_GB2312" w:cs="仿宋_GB2312" w:eastAsia="仿宋_GB2312"/>
                <w:sz w:val="28"/>
              </w:rPr>
              <w:t>可靠性测试：指根据软件系统可靠性结构</w:t>
            </w:r>
            <w:r>
              <w:rPr>
                <w:rFonts w:ascii="仿宋_GB2312" w:hAnsi="仿宋_GB2312" w:cs="仿宋_GB2312" w:eastAsia="仿宋_GB2312"/>
                <w:sz w:val="28"/>
              </w:rPr>
              <w:t>(单元与系统间可靠性关系)、寿命类型和各单元的可靠性试验信息，利用概率统计方法，评估出系统的可靠性特征量。软件可靠性是软件系统在规定的时间内以及规定的环境条件下，完成规定功能的能力。可靠性测试包括以下3方面：成熟性、容错性、易恢复性。</w:t>
            </w:r>
          </w:p>
          <w:p>
            <w:pPr>
              <w:pStyle w:val="null3"/>
              <w:ind w:firstLine="480"/>
              <w:jc w:val="both"/>
            </w:pPr>
            <w:r>
              <w:rPr>
                <w:rFonts w:ascii="仿宋_GB2312" w:hAnsi="仿宋_GB2312" w:cs="仿宋_GB2312" w:eastAsia="仿宋_GB2312"/>
                <w:sz w:val="28"/>
              </w:rPr>
              <w:t>4、易用性测试</w:t>
            </w:r>
          </w:p>
          <w:p>
            <w:pPr>
              <w:pStyle w:val="null3"/>
              <w:ind w:firstLine="480"/>
              <w:jc w:val="both"/>
            </w:pPr>
            <w:r>
              <w:rPr>
                <w:rFonts w:ascii="仿宋_GB2312" w:hAnsi="仿宋_GB2312" w:cs="仿宋_GB2312" w:eastAsia="仿宋_GB2312"/>
                <w:sz w:val="28"/>
              </w:rPr>
              <w:t>易用性测试是考察软件产品是否易于理解、学习和使用。对该系统的易用性测试包括以下</w:t>
            </w:r>
            <w:r>
              <w:rPr>
                <w:rFonts w:ascii="仿宋_GB2312" w:hAnsi="仿宋_GB2312" w:cs="仿宋_GB2312" w:eastAsia="仿宋_GB2312"/>
                <w:sz w:val="28"/>
              </w:rPr>
              <w:t>3个方面：易理解性、易学性、易操作性。</w:t>
            </w:r>
          </w:p>
          <w:p>
            <w:pPr>
              <w:pStyle w:val="null3"/>
              <w:ind w:firstLine="480"/>
              <w:jc w:val="both"/>
            </w:pPr>
            <w:r>
              <w:rPr>
                <w:rFonts w:ascii="仿宋_GB2312" w:hAnsi="仿宋_GB2312" w:cs="仿宋_GB2312" w:eastAsia="仿宋_GB2312"/>
                <w:sz w:val="28"/>
              </w:rPr>
              <w:t>5、信息安全性</w:t>
            </w:r>
          </w:p>
          <w:p>
            <w:pPr>
              <w:pStyle w:val="null3"/>
              <w:ind w:firstLine="480"/>
              <w:jc w:val="both"/>
            </w:pPr>
            <w:r>
              <w:rPr>
                <w:rFonts w:ascii="仿宋_GB2312" w:hAnsi="仿宋_GB2312" w:cs="仿宋_GB2312" w:eastAsia="仿宋_GB2312"/>
                <w:sz w:val="28"/>
              </w:rPr>
              <w:t>从保密性、完整性、抗抵赖性、可核查性、真实性五个方面验证被测系统是否满足规定的安全性的要求。</w:t>
            </w:r>
          </w:p>
          <w:p>
            <w:pPr>
              <w:pStyle w:val="null3"/>
              <w:ind w:firstLine="480"/>
              <w:jc w:val="both"/>
            </w:pPr>
            <w:r>
              <w:rPr>
                <w:rFonts w:ascii="仿宋_GB2312" w:hAnsi="仿宋_GB2312" w:cs="仿宋_GB2312" w:eastAsia="仿宋_GB2312"/>
                <w:sz w:val="28"/>
              </w:rPr>
              <w:t>6、文档测试</w:t>
            </w:r>
          </w:p>
          <w:p>
            <w:pPr>
              <w:pStyle w:val="null3"/>
              <w:ind w:firstLine="480"/>
              <w:jc w:val="both"/>
            </w:pPr>
            <w:r>
              <w:rPr>
                <w:rFonts w:ascii="仿宋_GB2312" w:hAnsi="仿宋_GB2312" w:cs="仿宋_GB2312" w:eastAsia="仿宋_GB2312"/>
                <w:sz w:val="28"/>
              </w:rPr>
              <w:t>对系统竣工文档进行测试，主要包括以下</w:t>
            </w:r>
            <w:r>
              <w:rPr>
                <w:rFonts w:ascii="仿宋_GB2312" w:hAnsi="仿宋_GB2312" w:cs="仿宋_GB2312" w:eastAsia="仿宋_GB2312"/>
                <w:sz w:val="28"/>
              </w:rPr>
              <w:t>5个方面：完整性、正确性、一致性、易理解性、易浏览性。</w:t>
            </w:r>
          </w:p>
          <w:p>
            <w:pPr>
              <w:pStyle w:val="null3"/>
              <w:jc w:val="left"/>
            </w:pPr>
            <w:r>
              <w:rPr>
                <w:rFonts w:ascii="仿宋_GB2312" w:hAnsi="仿宋_GB2312" w:cs="仿宋_GB2312" w:eastAsia="仿宋_GB2312"/>
                <w:sz w:val="28"/>
                <w:b/>
              </w:rPr>
              <w:t>（四）保密要求</w:t>
            </w:r>
          </w:p>
          <w:p>
            <w:pPr>
              <w:pStyle w:val="null3"/>
              <w:ind w:firstLine="480"/>
              <w:jc w:val="both"/>
            </w:pPr>
            <w:r>
              <w:rPr>
                <w:rFonts w:ascii="仿宋_GB2312" w:hAnsi="仿宋_GB2312" w:cs="仿宋_GB2312" w:eastAsia="仿宋_GB2312"/>
                <w:sz w:val="28"/>
              </w:rPr>
              <w:t>1、现场保密管理</w:t>
            </w:r>
          </w:p>
          <w:p>
            <w:pPr>
              <w:pStyle w:val="null3"/>
              <w:ind w:firstLine="480"/>
              <w:jc w:val="both"/>
            </w:pPr>
            <w:r>
              <w:rPr>
                <w:rFonts w:ascii="仿宋_GB2312" w:hAnsi="仿宋_GB2312" w:cs="仿宋_GB2312" w:eastAsia="仿宋_GB2312"/>
                <w:sz w:val="28"/>
              </w:rPr>
              <w:t>工作服务现场除应满足被测设备工作环境外，应满足以下要求：</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1）网络采取和设定密级相适应的防病毒和安全防护等信息安全措施。</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2）按照设定保密等级要求对现场人员和设备，尤其是可移动存储介质进行管理。</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3）对本次项目有关的技术文件、数据等，按照设定密级进行管理。</w:t>
            </w:r>
          </w:p>
          <w:p>
            <w:pPr>
              <w:pStyle w:val="null3"/>
              <w:ind w:firstLine="480"/>
              <w:jc w:val="both"/>
            </w:pPr>
            <w:r>
              <w:rPr>
                <w:rFonts w:ascii="仿宋_GB2312" w:hAnsi="仿宋_GB2312" w:cs="仿宋_GB2312" w:eastAsia="仿宋_GB2312"/>
                <w:sz w:val="28"/>
              </w:rPr>
              <w:t>2、资料的保密管理和控制</w:t>
            </w:r>
          </w:p>
          <w:p>
            <w:pPr>
              <w:pStyle w:val="null3"/>
              <w:ind w:firstLine="480"/>
              <w:jc w:val="both"/>
            </w:pPr>
            <w:r>
              <w:rPr>
                <w:rFonts w:ascii="仿宋_GB2312" w:hAnsi="仿宋_GB2312" w:cs="仿宋_GB2312" w:eastAsia="仿宋_GB2312"/>
                <w:sz w:val="28"/>
              </w:rPr>
              <w:t>技术资料在项目过程中由项目经理专人保管，项目服务过程所需的技术资料由资料管理员负责收发。任何人不得将技术资料及相关信息透露给第三方。</w:t>
            </w:r>
          </w:p>
          <w:p>
            <w:pPr>
              <w:pStyle w:val="null3"/>
              <w:jc w:val="left"/>
            </w:pPr>
            <w:r>
              <w:rPr>
                <w:rFonts w:ascii="仿宋_GB2312" w:hAnsi="仿宋_GB2312" w:cs="仿宋_GB2312" w:eastAsia="仿宋_GB2312"/>
                <w:sz w:val="28"/>
                <w:b/>
              </w:rPr>
              <w:t>（五）项目成果交付</w:t>
            </w:r>
          </w:p>
          <w:p>
            <w:pPr>
              <w:pStyle w:val="null3"/>
              <w:ind w:firstLine="480"/>
              <w:jc w:val="both"/>
            </w:pPr>
            <w:r>
              <w:rPr>
                <w:rFonts w:ascii="仿宋_GB2312" w:hAnsi="仿宋_GB2312" w:cs="仿宋_GB2312" w:eastAsia="仿宋_GB2312"/>
                <w:sz w:val="28"/>
              </w:rPr>
              <w:t>在测试完成后需提供下列技术文档：</w:t>
            </w:r>
          </w:p>
          <w:p>
            <w:pPr>
              <w:pStyle w:val="null3"/>
              <w:ind w:firstLine="480"/>
              <w:jc w:val="both"/>
            </w:pPr>
            <w:r>
              <w:rPr>
                <w:rFonts w:ascii="仿宋_GB2312" w:hAnsi="仿宋_GB2312" w:cs="仿宋_GB2312" w:eastAsia="仿宋_GB2312"/>
                <w:sz w:val="28"/>
              </w:rPr>
              <w:t>1、测试报告；</w:t>
            </w:r>
          </w:p>
          <w:p>
            <w:pPr>
              <w:pStyle w:val="null3"/>
              <w:ind w:firstLine="480"/>
              <w:jc w:val="both"/>
            </w:pPr>
            <w:r>
              <w:rPr>
                <w:rFonts w:ascii="仿宋_GB2312" w:hAnsi="仿宋_GB2312" w:cs="仿宋_GB2312" w:eastAsia="仿宋_GB2312"/>
                <w:sz w:val="28"/>
              </w:rPr>
              <w:t>2、测试问题清单及整改建议；</w:t>
            </w:r>
          </w:p>
          <w:p>
            <w:pPr>
              <w:pStyle w:val="null3"/>
              <w:ind w:firstLine="480"/>
              <w:jc w:val="both"/>
            </w:pPr>
            <w:r>
              <w:rPr>
                <w:rFonts w:ascii="仿宋_GB2312" w:hAnsi="仿宋_GB2312" w:cs="仿宋_GB2312" w:eastAsia="仿宋_GB2312"/>
                <w:sz w:val="28"/>
              </w:rPr>
              <w:t>3、回归测试报告。</w:t>
            </w:r>
          </w:p>
          <w:p>
            <w:pPr>
              <w:pStyle w:val="null3"/>
              <w:jc w:val="left"/>
            </w:pPr>
            <w:r>
              <w:rPr>
                <w:rFonts w:ascii="仿宋_GB2312" w:hAnsi="仿宋_GB2312" w:cs="仿宋_GB2312" w:eastAsia="仿宋_GB2312"/>
                <w:sz w:val="28"/>
                <w:b/>
              </w:rPr>
              <w:t>（六）其它相关要求</w:t>
            </w:r>
          </w:p>
          <w:p>
            <w:pPr>
              <w:pStyle w:val="null3"/>
              <w:ind w:firstLine="480"/>
              <w:jc w:val="both"/>
            </w:pPr>
            <w:r>
              <w:rPr>
                <w:rFonts w:ascii="仿宋_GB2312" w:hAnsi="仿宋_GB2312" w:cs="仿宋_GB2312" w:eastAsia="仿宋_GB2312"/>
                <w:sz w:val="28"/>
              </w:rPr>
              <w:t>1、项目实施过程如存在软件变更情况，测评内容则应含软件变更部分。</w:t>
            </w:r>
          </w:p>
          <w:p>
            <w:pPr>
              <w:pStyle w:val="null3"/>
              <w:ind w:firstLine="560"/>
              <w:jc w:val="left"/>
            </w:pPr>
            <w:r>
              <w:rPr>
                <w:rFonts w:ascii="仿宋_GB2312" w:hAnsi="仿宋_GB2312" w:cs="仿宋_GB2312" w:eastAsia="仿宋_GB2312"/>
                <w:sz w:val="28"/>
              </w:rPr>
              <w:t>2、本项目采用总价包干，所报价格应包含本项目所产生的一切费用。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645"/>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交付时间：</w:t>
            </w:r>
            <w:r>
              <w:rPr>
                <w:rFonts w:ascii="仿宋_GB2312" w:hAnsi="仿宋_GB2312" w:cs="仿宋_GB2312" w:eastAsia="仿宋_GB2312"/>
                <w:sz w:val="28"/>
              </w:rPr>
              <w:t>合同签订后</w:t>
            </w:r>
            <w:r>
              <w:rPr>
                <w:rFonts w:ascii="仿宋_GB2312" w:hAnsi="仿宋_GB2312" w:cs="仿宋_GB2312" w:eastAsia="仿宋_GB2312"/>
                <w:sz w:val="28"/>
              </w:rPr>
              <w:t>12</w:t>
            </w:r>
            <w:r>
              <w:rPr>
                <w:rFonts w:ascii="仿宋_GB2312" w:hAnsi="仿宋_GB2312" w:cs="仿宋_GB2312" w:eastAsia="仿宋_GB2312"/>
                <w:sz w:val="28"/>
              </w:rPr>
              <w:t>个月内；</w:t>
            </w:r>
          </w:p>
          <w:p>
            <w:pPr>
              <w:pStyle w:val="null3"/>
              <w:ind w:left="645"/>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交付地点：用户指定地点。</w:t>
            </w:r>
          </w:p>
          <w:p>
            <w:pPr>
              <w:pStyle w:val="null3"/>
              <w:ind w:left="645"/>
              <w:jc w:val="left"/>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交付方式：</w:t>
            </w:r>
            <w:r>
              <w:rPr>
                <w:rFonts w:ascii="仿宋_GB2312" w:hAnsi="仿宋_GB2312" w:cs="仿宋_GB2312" w:eastAsia="仿宋_GB2312"/>
                <w:sz w:val="28"/>
                <w:b/>
              </w:rPr>
              <w:t>软件开发源代码及</w:t>
            </w:r>
            <w:r>
              <w:rPr>
                <w:rFonts w:ascii="仿宋_GB2312" w:hAnsi="仿宋_GB2312" w:cs="仿宋_GB2312" w:eastAsia="仿宋_GB2312"/>
                <w:sz w:val="28"/>
                <w:b/>
              </w:rPr>
              <w:t>用户指定</w:t>
            </w:r>
            <w:r>
              <w:rPr>
                <w:rFonts w:ascii="仿宋_GB2312" w:hAnsi="仿宋_GB2312" w:cs="仿宋_GB2312" w:eastAsia="仿宋_GB2312"/>
                <w:sz w:val="28"/>
                <w:b/>
              </w:rPr>
              <w:t>的其他</w:t>
            </w:r>
            <w:r>
              <w:rPr>
                <w:rFonts w:ascii="仿宋_GB2312" w:hAnsi="仿宋_GB2312" w:cs="仿宋_GB2312" w:eastAsia="仿宋_GB2312"/>
                <w:sz w:val="28"/>
                <w:b/>
              </w:rPr>
              <w:t>方式。</w:t>
            </w:r>
          </w:p>
          <w:p>
            <w:pPr>
              <w:pStyle w:val="null3"/>
              <w:ind w:left="645"/>
              <w:jc w:val="left"/>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付款方式：（具体款项支付以财政预算实际到账为准）</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合同签订并收到正规发票后支付合同总额</w:t>
            </w:r>
            <w:r>
              <w:rPr>
                <w:rFonts w:ascii="仿宋_GB2312" w:hAnsi="仿宋_GB2312" w:cs="仿宋_GB2312" w:eastAsia="仿宋_GB2312"/>
                <w:sz w:val="28"/>
              </w:rPr>
              <w:t>15%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系统初步验收合格并收到正规发票后</w:t>
            </w:r>
            <w:r>
              <w:rPr>
                <w:rFonts w:ascii="仿宋_GB2312" w:hAnsi="仿宋_GB2312" w:cs="仿宋_GB2312" w:eastAsia="仿宋_GB2312"/>
                <w:sz w:val="28"/>
              </w:rPr>
              <w:t>10 个工作日内，支付合同额7</w:t>
            </w:r>
            <w:r>
              <w:rPr>
                <w:rFonts w:ascii="仿宋_GB2312" w:hAnsi="仿宋_GB2312" w:cs="仿宋_GB2312" w:eastAsia="仿宋_GB2312"/>
                <w:sz w:val="28"/>
              </w:rPr>
              <w:t>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最终验收合格并收到正规发票后</w:t>
            </w:r>
            <w:r>
              <w:rPr>
                <w:rFonts w:ascii="仿宋_GB2312" w:hAnsi="仿宋_GB2312" w:cs="仿宋_GB2312" w:eastAsia="仿宋_GB2312"/>
                <w:sz w:val="28"/>
              </w:rPr>
              <w:t>10 个工作日内支付合同额1</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left="645"/>
              <w:jc w:val="left"/>
            </w:pP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w:t>
            </w:r>
            <w:r>
              <w:rPr>
                <w:rFonts w:ascii="仿宋_GB2312" w:hAnsi="仿宋_GB2312" w:cs="仿宋_GB2312" w:eastAsia="仿宋_GB2312"/>
                <w:sz w:val="28"/>
                <w:b/>
              </w:rPr>
              <w:t>安装、调试及验收要求：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按标书技术参数和国家行业标准及项目设计文件</w:t>
            </w:r>
            <w:r>
              <w:rPr>
                <w:rFonts w:ascii="仿宋_GB2312" w:hAnsi="仿宋_GB2312" w:cs="仿宋_GB2312" w:eastAsia="仿宋_GB2312"/>
                <w:sz w:val="28"/>
              </w:rPr>
              <w:t>、上级信息化主管部门要求</w:t>
            </w:r>
            <w:r>
              <w:rPr>
                <w:rFonts w:ascii="仿宋_GB2312" w:hAnsi="仿宋_GB2312" w:cs="仿宋_GB2312" w:eastAsia="仿宋_GB2312"/>
                <w:sz w:val="28"/>
              </w:rPr>
              <w:t>进行验收。</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投标人应遵守施工现场的规章制度，服从采购方的安排。</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投标人应按照招标文件的要求，完成整个系统的安装、调试。在安装、调试过程中所需的工具以及安装材料均由中标人负责解决，费用由中标人承担。由于中标人原因造成的缺损由中标人负责补充、更换。</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在安装、调试过程中，中标人应对采购方技术人员所提出的问题给予满意的答复，并向采购方提供安装调试过程中的各种文档资料以及项目源代码，以便采购方今后能掌握操作方法和维护方法。</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本项目各个功能必须按照用户日常工作的需求进行开发和更改，并符合日常工作的需求，系统统计的数据及各项分析报表需说明取值依据和逻辑，不得出现乱码或丢失。</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中标人应按信息化项目档案管理要求，在项目建设过程中按标准整理项目档案材料。</w:t>
            </w:r>
          </w:p>
          <w:p>
            <w:pPr>
              <w:pStyle w:val="null3"/>
              <w:ind w:firstLine="562"/>
              <w:jc w:val="left"/>
            </w:pPr>
            <w:r>
              <w:rPr>
                <w:rFonts w:ascii="仿宋_GB2312" w:hAnsi="仿宋_GB2312" w:cs="仿宋_GB2312" w:eastAsia="仿宋_GB2312"/>
                <w:sz w:val="28"/>
                <w:b/>
              </w:rPr>
              <w:t>6.</w:t>
            </w:r>
            <w:r>
              <w:rPr>
                <w:rFonts w:ascii="仿宋_GB2312" w:hAnsi="仿宋_GB2312" w:cs="仿宋_GB2312" w:eastAsia="仿宋_GB2312"/>
                <w:sz w:val="28"/>
                <w:b/>
              </w:rPr>
              <w:t>售后服务要求</w:t>
            </w:r>
          </w:p>
          <w:p>
            <w:pPr>
              <w:pStyle w:val="null3"/>
              <w:ind w:firstLine="562"/>
              <w:jc w:val="left"/>
            </w:pPr>
            <w:r>
              <w:rPr>
                <w:rFonts w:ascii="仿宋_GB2312" w:hAnsi="仿宋_GB2312" w:cs="仿宋_GB2312" w:eastAsia="仿宋_GB2312"/>
                <w:sz w:val="28"/>
                <w:b/>
              </w:rPr>
              <w:t>6.1</w:t>
            </w:r>
            <w:r>
              <w:rPr>
                <w:rFonts w:ascii="仿宋_GB2312" w:hAnsi="仿宋_GB2312" w:cs="仿宋_GB2312" w:eastAsia="仿宋_GB2312"/>
                <w:sz w:val="28"/>
                <w:b/>
              </w:rPr>
              <w:t>维护服务要求</w:t>
            </w:r>
            <w:r>
              <w:rPr>
                <w:rFonts w:ascii="仿宋_GB2312" w:hAnsi="仿宋_GB2312" w:cs="仿宋_GB2312" w:eastAsia="仿宋_GB2312"/>
                <w:sz w:val="28"/>
              </w:rPr>
              <w:t>：在维护期内，承建商应对采购人提出的问题提供咨询解答服务，对本系统提供</w:t>
            </w:r>
            <w:r>
              <w:rPr>
                <w:rFonts w:ascii="仿宋_GB2312" w:hAnsi="仿宋_GB2312" w:cs="仿宋_GB2312" w:eastAsia="仿宋_GB2312"/>
                <w:sz w:val="28"/>
              </w:rPr>
              <w:t>7x24</w:t>
            </w:r>
            <w:r>
              <w:rPr>
                <w:rFonts w:ascii="仿宋_GB2312" w:hAnsi="仿宋_GB2312" w:cs="仿宋_GB2312" w:eastAsia="仿宋_GB2312"/>
                <w:sz w:val="28"/>
              </w:rPr>
              <w:t>小时响应服务。对于采购人提出的相关问题，应在</w:t>
            </w:r>
            <w:r>
              <w:rPr>
                <w:rFonts w:ascii="仿宋_GB2312" w:hAnsi="仿宋_GB2312" w:cs="仿宋_GB2312" w:eastAsia="仿宋_GB2312"/>
                <w:sz w:val="28"/>
              </w:rPr>
              <w:t>3</w:t>
            </w:r>
            <w:r>
              <w:rPr>
                <w:rFonts w:ascii="仿宋_GB2312" w:hAnsi="仿宋_GB2312" w:cs="仿宋_GB2312" w:eastAsia="仿宋_GB2312"/>
                <w:sz w:val="28"/>
              </w:rPr>
              <w:t>日内给予答复。</w:t>
            </w:r>
          </w:p>
          <w:p>
            <w:pPr>
              <w:pStyle w:val="null3"/>
              <w:ind w:firstLine="562"/>
              <w:jc w:val="left"/>
            </w:pPr>
            <w:r>
              <w:rPr>
                <w:rFonts w:ascii="仿宋_GB2312" w:hAnsi="仿宋_GB2312" w:cs="仿宋_GB2312" w:eastAsia="仿宋_GB2312"/>
                <w:sz w:val="28"/>
                <w:b/>
              </w:rPr>
              <w:t>6.2</w:t>
            </w:r>
            <w:r>
              <w:rPr>
                <w:rFonts w:ascii="仿宋_GB2312" w:hAnsi="仿宋_GB2312" w:cs="仿宋_GB2312" w:eastAsia="仿宋_GB2312"/>
                <w:sz w:val="28"/>
                <w:b/>
              </w:rPr>
              <w:t>系统维护服务内容包括：</w:t>
            </w:r>
          </w:p>
          <w:p>
            <w:pPr>
              <w:pStyle w:val="null3"/>
              <w:ind w:firstLine="560"/>
              <w:jc w:val="left"/>
            </w:pPr>
            <w:r>
              <w:rPr>
                <w:rFonts w:ascii="仿宋_GB2312" w:hAnsi="仿宋_GB2312" w:cs="仿宋_GB2312" w:eastAsia="仿宋_GB2312"/>
                <w:sz w:val="28"/>
              </w:rPr>
              <w:t>6.2</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软件的升级，软件的技术故障处理；</w:t>
            </w:r>
          </w:p>
          <w:p>
            <w:pPr>
              <w:pStyle w:val="null3"/>
              <w:ind w:firstLine="560"/>
              <w:jc w:val="left"/>
            </w:pPr>
            <w:r>
              <w:rPr>
                <w:rFonts w:ascii="仿宋_GB2312" w:hAnsi="仿宋_GB2312" w:cs="仿宋_GB2312" w:eastAsia="仿宋_GB2312"/>
                <w:sz w:val="28"/>
              </w:rPr>
              <w:t>6.2</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根据采购人的要求对软件进行调整、修改等；</w:t>
            </w:r>
          </w:p>
          <w:p>
            <w:pPr>
              <w:pStyle w:val="null3"/>
              <w:ind w:firstLine="560"/>
              <w:jc w:val="left"/>
            </w:pPr>
            <w:r>
              <w:rPr>
                <w:rFonts w:ascii="仿宋_GB2312" w:hAnsi="仿宋_GB2312" w:cs="仿宋_GB2312" w:eastAsia="仿宋_GB2312"/>
                <w:sz w:val="28"/>
              </w:rPr>
              <w:t>6.2</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对于系统安全问题应及时免费提供补丁。</w:t>
            </w:r>
          </w:p>
          <w:p>
            <w:pPr>
              <w:pStyle w:val="null3"/>
              <w:ind w:firstLine="562"/>
              <w:jc w:val="left"/>
            </w:pPr>
            <w:r>
              <w:rPr>
                <w:rFonts w:ascii="仿宋_GB2312" w:hAnsi="仿宋_GB2312" w:cs="仿宋_GB2312" w:eastAsia="仿宋_GB2312"/>
                <w:sz w:val="28"/>
                <w:b/>
              </w:rPr>
              <w:t>6.3</w:t>
            </w:r>
            <w:r>
              <w:rPr>
                <w:rFonts w:ascii="仿宋_GB2312" w:hAnsi="仿宋_GB2312" w:cs="仿宋_GB2312" w:eastAsia="仿宋_GB2312"/>
                <w:sz w:val="28"/>
                <w:b/>
              </w:rPr>
              <w:t>承建商设有技术服务热线，提供电话咨询技术支持服务。并设有专门的用户反馈系统，方便采购人问题咨询与投诉。</w:t>
            </w:r>
          </w:p>
          <w:p>
            <w:pPr>
              <w:pStyle w:val="null3"/>
              <w:ind w:firstLine="562"/>
              <w:jc w:val="left"/>
            </w:pPr>
            <w:r>
              <w:rPr>
                <w:rFonts w:ascii="仿宋_GB2312" w:hAnsi="仿宋_GB2312" w:cs="仿宋_GB2312" w:eastAsia="仿宋_GB2312"/>
                <w:sz w:val="28"/>
                <w:b/>
              </w:rPr>
              <w:t>6.4</w:t>
            </w:r>
            <w:r>
              <w:rPr>
                <w:rFonts w:ascii="仿宋_GB2312" w:hAnsi="仿宋_GB2312" w:cs="仿宋_GB2312" w:eastAsia="仿宋_GB2312"/>
                <w:sz w:val="28"/>
                <w:b/>
              </w:rPr>
              <w:t>承建商的项目团队需提供</w:t>
            </w:r>
            <w:r>
              <w:rPr>
                <w:rFonts w:ascii="仿宋_GB2312" w:hAnsi="仿宋_GB2312" w:cs="仿宋_GB2312" w:eastAsia="仿宋_GB2312"/>
                <w:sz w:val="28"/>
                <w:b/>
              </w:rPr>
              <w:t>1</w:t>
            </w:r>
            <w:r>
              <w:rPr>
                <w:rFonts w:ascii="仿宋_GB2312" w:hAnsi="仿宋_GB2312" w:cs="仿宋_GB2312" w:eastAsia="仿宋_GB2312"/>
                <w:sz w:val="28"/>
                <w:b/>
              </w:rPr>
              <w:t>名技术人员驻场，提供</w:t>
            </w:r>
            <w:r>
              <w:rPr>
                <w:rFonts w:ascii="仿宋_GB2312" w:hAnsi="仿宋_GB2312" w:cs="仿宋_GB2312" w:eastAsia="仿宋_GB2312"/>
                <w:sz w:val="28"/>
                <w:b/>
              </w:rPr>
              <w:t>5天×8小时本地化技术服务支持。</w:t>
            </w:r>
          </w:p>
          <w:p>
            <w:pPr>
              <w:pStyle w:val="null3"/>
              <w:ind w:firstLine="562"/>
              <w:jc w:val="left"/>
            </w:pPr>
            <w:r>
              <w:rPr>
                <w:rFonts w:ascii="仿宋_GB2312" w:hAnsi="仿宋_GB2312" w:cs="仿宋_GB2312" w:eastAsia="仿宋_GB2312"/>
                <w:sz w:val="28"/>
                <w:b/>
              </w:rPr>
              <w:t>7</w:t>
            </w:r>
            <w:r>
              <w:rPr>
                <w:rFonts w:ascii="仿宋_GB2312" w:hAnsi="仿宋_GB2312" w:cs="仿宋_GB2312" w:eastAsia="仿宋_GB2312"/>
                <w:sz w:val="28"/>
                <w:b/>
              </w:rPr>
              <w:t>、知识产权要求</w:t>
            </w:r>
            <w:r>
              <w:rPr>
                <w:rFonts w:ascii="仿宋_GB2312" w:hAnsi="仿宋_GB2312" w:cs="仿宋_GB2312" w:eastAsia="仿宋_GB2312"/>
                <w:b/>
              </w:rPr>
              <w:t xml:space="preserve"> </w:t>
            </w:r>
          </w:p>
          <w:p>
            <w:pPr>
              <w:pStyle w:val="null3"/>
              <w:ind w:firstLine="560"/>
              <w:jc w:val="left"/>
            </w:pPr>
            <w:r>
              <w:rPr>
                <w:rFonts w:ascii="仿宋_GB2312" w:hAnsi="仿宋_GB2312" w:cs="仿宋_GB2312" w:eastAsia="仿宋_GB2312"/>
                <w:sz w:val="28"/>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b/>
              </w:rPr>
              <w:t>质保期</w:t>
            </w:r>
            <w:r>
              <w:rPr>
                <w:rFonts w:ascii="仿宋_GB2312" w:hAnsi="仿宋_GB2312" w:cs="仿宋_GB2312" w:eastAsia="仿宋_GB2312"/>
                <w:sz w:val="28"/>
              </w:rPr>
              <w:t>：</w:t>
            </w:r>
            <w:r>
              <w:rPr>
                <w:rFonts w:ascii="仿宋_GB2312" w:hAnsi="仿宋_GB2312" w:cs="仿宋_GB2312" w:eastAsia="仿宋_GB2312"/>
                <w:sz w:val="28"/>
              </w:rPr>
              <w:t>质保期为验收之日起两年。</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、投标人不得低于成本价恶意报价，</w:t>
            </w:r>
            <w:r>
              <w:rPr>
                <w:rFonts w:ascii="仿宋_GB2312" w:hAnsi="仿宋_GB2312" w:cs="仿宋_GB2312" w:eastAsia="仿宋_GB2312"/>
                <w:sz w:val="28"/>
              </w:rPr>
              <w:t>有可能影响产品质量或者不能诚信履约的，评标委员会应当要求其在评标现场合理的时间内提供书面说明，必要时提交相关证明材料，投标人不能证明其报价合理性的，评标委员会应当将其作为无效投标处理。如投标人提供的说明或证明材料，评审委员会经过综合评审认为可行，并且该投标人最终中标，如中标人在合同履行过程中偷工减料、不按要求完成项目，则采购人有权终止合同，</w:t>
            </w:r>
            <w:r>
              <w:rPr>
                <w:rFonts w:ascii="仿宋_GB2312" w:hAnsi="仿宋_GB2312" w:cs="仿宋_GB2312" w:eastAsia="仿宋_GB2312"/>
                <w:sz w:val="28"/>
              </w:rPr>
              <w:t>并报主管部门严肃处理。</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、本</w:t>
            </w:r>
            <w:r>
              <w:rPr>
                <w:rFonts w:ascii="仿宋_GB2312" w:hAnsi="仿宋_GB2312" w:cs="仿宋_GB2312" w:eastAsia="仿宋_GB2312"/>
                <w:sz w:val="28"/>
              </w:rPr>
              <w:t>包</w:t>
            </w:r>
            <w:r>
              <w:rPr>
                <w:rFonts w:ascii="仿宋_GB2312" w:hAnsi="仿宋_GB2312" w:cs="仿宋_GB2312" w:eastAsia="仿宋_GB2312"/>
                <w:sz w:val="28"/>
              </w:rPr>
              <w:t>预算金额、最高限价均为</w:t>
            </w:r>
            <w:r>
              <w:rPr>
                <w:rFonts w:ascii="仿宋_GB2312" w:hAnsi="仿宋_GB2312" w:cs="仿宋_GB2312" w:eastAsia="仿宋_GB2312"/>
                <w:sz w:val="28"/>
                <w:u w:val="single"/>
              </w:rPr>
              <w:t>6456197.97</w:t>
            </w:r>
            <w:r>
              <w:rPr>
                <w:rFonts w:ascii="仿宋_GB2312" w:hAnsi="仿宋_GB2312" w:cs="仿宋_GB2312" w:eastAsia="仿宋_GB2312"/>
                <w:sz w:val="28"/>
              </w:rPr>
              <w:t>元，投标报价超过预算金</w:t>
            </w:r>
            <w:r>
              <w:rPr>
                <w:rFonts w:ascii="仿宋_GB2312" w:hAnsi="仿宋_GB2312" w:cs="仿宋_GB2312" w:eastAsia="仿宋_GB2312"/>
                <w:sz w:val="28"/>
              </w:rPr>
              <w:t>额或最高限价的均按无效投标处理。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监理服务周期：自签订合同之日起，至建设项目完成竣工验收。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监理服务地点：用户指定地点。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w:t>
            </w:r>
            <w:r>
              <w:rPr>
                <w:rFonts w:ascii="仿宋_GB2312" w:hAnsi="仿宋_GB2312" w:cs="仿宋_GB2312" w:eastAsia="仿宋_GB2312"/>
                <w:sz w:val="28"/>
                <w:b/>
              </w:rPr>
              <w:t>（具体款项支付以财政预算实际到账为准）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首付款：签订合同后</w:t>
            </w:r>
            <w:r>
              <w:rPr>
                <w:rFonts w:ascii="仿宋_GB2312" w:hAnsi="仿宋_GB2312" w:cs="仿宋_GB2312" w:eastAsia="仿宋_GB2312"/>
                <w:sz w:val="28"/>
              </w:rPr>
              <w:t>15</w:t>
            </w:r>
            <w:r>
              <w:rPr>
                <w:rFonts w:ascii="仿宋_GB2312" w:hAnsi="仿宋_GB2312" w:cs="仿宋_GB2312" w:eastAsia="仿宋_GB2312"/>
                <w:sz w:val="28"/>
              </w:rPr>
              <w:t>个工作日内支付合同款的</w:t>
            </w:r>
            <w:r>
              <w:rPr>
                <w:rFonts w:ascii="仿宋_GB2312" w:hAnsi="仿宋_GB2312" w:cs="仿宋_GB2312" w:eastAsia="仿宋_GB2312"/>
                <w:sz w:val="28"/>
              </w:rPr>
              <w:t>35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初验款：项目通过初步验收后支付合同款</w:t>
            </w:r>
            <w:r>
              <w:rPr>
                <w:rFonts w:ascii="仿宋_GB2312" w:hAnsi="仿宋_GB2312" w:cs="仿宋_GB2312" w:eastAsia="仿宋_GB2312"/>
                <w:sz w:val="28"/>
              </w:rPr>
              <w:t>50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终验款：项目通过竣工验收后支付合同款的</w:t>
            </w: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28"/>
              </w:rPr>
              <w:t>监理验收要求</w:t>
            </w:r>
          </w:p>
          <w:p>
            <w:pPr>
              <w:pStyle w:val="null3"/>
              <w:ind w:firstLine="560"/>
              <w:jc w:val="both"/>
            </w:pPr>
            <w:r>
              <w:rPr>
                <w:rFonts w:ascii="仿宋_GB2312" w:hAnsi="仿宋_GB2312" w:cs="仿宋_GB2312" w:eastAsia="仿宋_GB2312"/>
                <w:sz w:val="28"/>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ind w:firstLine="560"/>
              <w:jc w:val="both"/>
            </w:pPr>
            <w:r>
              <w:rPr>
                <w:rFonts w:ascii="仿宋_GB2312" w:hAnsi="仿宋_GB2312" w:cs="仿宋_GB2312" w:eastAsia="仿宋_GB2312"/>
                <w:sz w:val="28"/>
              </w:rPr>
              <w:t>本监理工作的最终验收由委托方组织。</w:t>
            </w:r>
          </w:p>
          <w:p>
            <w:pPr>
              <w:pStyle w:val="null3"/>
              <w:ind w:firstLine="560"/>
              <w:jc w:val="both"/>
            </w:pPr>
            <w:r>
              <w:rPr>
                <w:rFonts w:ascii="仿宋_GB2312" w:hAnsi="仿宋_GB2312" w:cs="仿宋_GB2312" w:eastAsia="仿宋_GB2312"/>
                <w:sz w:val="28"/>
              </w:rPr>
              <w:t>（五）</w:t>
            </w:r>
            <w:r>
              <w:rPr>
                <w:rFonts w:ascii="仿宋_GB2312" w:hAnsi="仿宋_GB2312" w:cs="仿宋_GB2312" w:eastAsia="仿宋_GB2312"/>
                <w:sz w:val="28"/>
              </w:rPr>
              <w:t>投标人</w:t>
            </w:r>
            <w:r>
              <w:rPr>
                <w:rFonts w:ascii="仿宋_GB2312" w:hAnsi="仿宋_GB2312" w:cs="仿宋_GB2312" w:eastAsia="仿宋_GB2312"/>
                <w:sz w:val="28"/>
              </w:rPr>
              <w:t>不得低于成本价恶意报价，</w:t>
            </w:r>
            <w:r>
              <w:rPr>
                <w:rFonts w:ascii="仿宋_GB2312" w:hAnsi="仿宋_GB2312" w:cs="仿宋_GB2312" w:eastAsia="仿宋_GB2312"/>
                <w:sz w:val="28"/>
              </w:rPr>
              <w:t>有可能影响产品质量或者不能诚信履约的，评标委员会应当要求其在评标现场合理的时间内提供书面说明，必要时提交相关证明材料</w:t>
            </w:r>
            <w:r>
              <w:rPr>
                <w:rFonts w:ascii="仿宋_GB2312" w:hAnsi="仿宋_GB2312" w:cs="仿宋_GB2312" w:eastAsia="仿宋_GB2312"/>
                <w:sz w:val="28"/>
              </w:rPr>
              <w:t>，</w:t>
            </w:r>
            <w:r>
              <w:rPr>
                <w:rFonts w:ascii="仿宋_GB2312" w:hAnsi="仿宋_GB2312" w:cs="仿宋_GB2312" w:eastAsia="仿宋_GB2312"/>
                <w:sz w:val="28"/>
              </w:rPr>
              <w:t>投标人不能证明其报价合理性的，评标委员会应当将其作为无效投标处理。如投标人提供的说明或证明材料，</w:t>
            </w:r>
            <w:r>
              <w:rPr>
                <w:rFonts w:ascii="仿宋_GB2312" w:hAnsi="仿宋_GB2312" w:cs="仿宋_GB2312" w:eastAsia="仿宋_GB2312"/>
                <w:sz w:val="28"/>
              </w:rPr>
              <w:t>评审委员</w:t>
            </w:r>
            <w:r>
              <w:rPr>
                <w:rFonts w:ascii="仿宋_GB2312" w:hAnsi="仿宋_GB2312" w:cs="仿宋_GB2312" w:eastAsia="仿宋_GB2312"/>
                <w:sz w:val="28"/>
              </w:rPr>
              <w:t>会经过综合评审认为可行，并且该投标人最终中标，</w:t>
            </w:r>
            <w:r>
              <w:rPr>
                <w:rFonts w:ascii="仿宋_GB2312" w:hAnsi="仿宋_GB2312" w:cs="仿宋_GB2312" w:eastAsia="仿宋_GB2312"/>
                <w:sz w:val="28"/>
              </w:rPr>
              <w:t>如中标人在合同履行过程中偷工减料、不按要求完成项目，</w:t>
            </w:r>
            <w:r>
              <w:rPr>
                <w:rFonts w:ascii="仿宋_GB2312" w:hAnsi="仿宋_GB2312" w:cs="仿宋_GB2312" w:eastAsia="仿宋_GB2312"/>
                <w:sz w:val="28"/>
              </w:rPr>
              <w:t>则采购人有权终止合同，并报主管部门严肃处理。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六</w:t>
            </w:r>
            <w:r>
              <w:rPr>
                <w:rFonts w:ascii="仿宋_GB2312" w:hAnsi="仿宋_GB2312" w:cs="仿宋_GB2312" w:eastAsia="仿宋_GB2312"/>
                <w:sz w:val="28"/>
              </w:rPr>
              <w:t>）</w:t>
            </w:r>
            <w:r>
              <w:rPr>
                <w:rFonts w:ascii="仿宋_GB2312" w:hAnsi="仿宋_GB2312" w:cs="仿宋_GB2312" w:eastAsia="仿宋_GB2312"/>
                <w:sz w:val="28"/>
              </w:rPr>
              <w:t>本</w:t>
            </w:r>
            <w:r>
              <w:rPr>
                <w:rFonts w:ascii="仿宋_GB2312" w:hAnsi="仿宋_GB2312" w:cs="仿宋_GB2312" w:eastAsia="仿宋_GB2312"/>
                <w:sz w:val="28"/>
              </w:rPr>
              <w:t>包</w:t>
            </w:r>
            <w:r>
              <w:rPr>
                <w:rFonts w:ascii="仿宋_GB2312" w:hAnsi="仿宋_GB2312" w:cs="仿宋_GB2312" w:eastAsia="仿宋_GB2312"/>
                <w:sz w:val="28"/>
              </w:rPr>
              <w:t>预算金额、最高限价均为</w:t>
            </w:r>
            <w:r>
              <w:rPr>
                <w:rFonts w:ascii="仿宋_GB2312" w:hAnsi="仿宋_GB2312" w:cs="仿宋_GB2312" w:eastAsia="仿宋_GB2312"/>
                <w:sz w:val="28"/>
              </w:rPr>
              <w:t>146,154.69</w:t>
            </w:r>
            <w:r>
              <w:rPr>
                <w:rFonts w:ascii="仿宋_GB2312" w:hAnsi="仿宋_GB2312" w:cs="仿宋_GB2312" w:eastAsia="仿宋_GB2312"/>
                <w:sz w:val="28"/>
              </w:rPr>
              <w:t>元，投标报价超过预算金</w:t>
            </w:r>
            <w:r>
              <w:rPr>
                <w:rFonts w:ascii="仿宋_GB2312" w:hAnsi="仿宋_GB2312" w:cs="仿宋_GB2312" w:eastAsia="仿宋_GB2312"/>
                <w:sz w:val="28"/>
              </w:rPr>
              <w:t>额或最高限价的均按无效投标处理。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软件测试服务周期：自签订合同之日起，至建设项目完成竣工验收。</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软件测试服务地点：用户指定地点</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w:t>
            </w:r>
            <w:r>
              <w:rPr>
                <w:rFonts w:ascii="仿宋_GB2312" w:hAnsi="仿宋_GB2312" w:cs="仿宋_GB2312" w:eastAsia="仿宋_GB2312"/>
                <w:sz w:val="28"/>
                <w:b/>
              </w:rPr>
              <w:t>（具体款项支付以财政预算实际到账为准）</w:t>
            </w:r>
          </w:p>
          <w:p>
            <w:pPr>
              <w:pStyle w:val="null3"/>
              <w:ind w:firstLine="560"/>
              <w:jc w:val="left"/>
            </w:pPr>
            <w:r>
              <w:rPr>
                <w:rFonts w:ascii="仿宋_GB2312" w:hAnsi="仿宋_GB2312" w:cs="仿宋_GB2312" w:eastAsia="仿宋_GB2312"/>
                <w:sz w:val="28"/>
              </w:rPr>
              <w:t xml:space="preserve">3.1 </w:t>
            </w:r>
            <w:r>
              <w:rPr>
                <w:rFonts w:ascii="仿宋_GB2312" w:hAnsi="仿宋_GB2312" w:cs="仿宋_GB2312" w:eastAsia="仿宋_GB2312"/>
                <w:sz w:val="28"/>
              </w:rPr>
              <w:t>首付款：签订合同后</w:t>
            </w:r>
            <w:r>
              <w:rPr>
                <w:rFonts w:ascii="仿宋_GB2312" w:hAnsi="仿宋_GB2312" w:cs="仿宋_GB2312" w:eastAsia="仿宋_GB2312"/>
                <w:sz w:val="28"/>
              </w:rPr>
              <w:t>15</w:t>
            </w:r>
            <w:r>
              <w:rPr>
                <w:rFonts w:ascii="仿宋_GB2312" w:hAnsi="仿宋_GB2312" w:cs="仿宋_GB2312" w:eastAsia="仿宋_GB2312"/>
                <w:sz w:val="28"/>
              </w:rPr>
              <w:t>个工作日内支付合同款的</w:t>
            </w:r>
            <w:r>
              <w:rPr>
                <w:rFonts w:ascii="仿宋_GB2312" w:hAnsi="仿宋_GB2312" w:cs="仿宋_GB2312" w:eastAsia="仿宋_GB2312"/>
                <w:sz w:val="28"/>
              </w:rPr>
              <w:t>35%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 xml:space="preserve">3.2 </w:t>
            </w:r>
            <w:r>
              <w:rPr>
                <w:rFonts w:ascii="仿宋_GB2312" w:hAnsi="仿宋_GB2312" w:cs="仿宋_GB2312" w:eastAsia="仿宋_GB2312"/>
                <w:sz w:val="28"/>
              </w:rPr>
              <w:t>初验款</w:t>
            </w:r>
            <w:r>
              <w:rPr>
                <w:rFonts w:ascii="仿宋_GB2312" w:hAnsi="仿宋_GB2312" w:cs="仿宋_GB2312" w:eastAsia="仿宋_GB2312"/>
                <w:sz w:val="28"/>
              </w:rPr>
              <w:t>：项目通过</w:t>
            </w:r>
            <w:r>
              <w:rPr>
                <w:rFonts w:ascii="仿宋_GB2312" w:hAnsi="仿宋_GB2312" w:cs="仿宋_GB2312" w:eastAsia="仿宋_GB2312"/>
                <w:sz w:val="28"/>
              </w:rPr>
              <w:t>初步</w:t>
            </w:r>
            <w:r>
              <w:rPr>
                <w:rFonts w:ascii="仿宋_GB2312" w:hAnsi="仿宋_GB2312" w:cs="仿宋_GB2312" w:eastAsia="仿宋_GB2312"/>
                <w:sz w:val="28"/>
              </w:rPr>
              <w:t>验收后支付合同款的</w:t>
            </w:r>
            <w:r>
              <w:rPr>
                <w:rFonts w:ascii="仿宋_GB2312" w:hAnsi="仿宋_GB2312" w:cs="仿宋_GB2312" w:eastAsia="仿宋_GB2312"/>
                <w:sz w:val="28"/>
              </w:rPr>
              <w:t>50%</w:t>
            </w:r>
            <w:r>
              <w:rPr>
                <w:rFonts w:ascii="仿宋_GB2312" w:hAnsi="仿宋_GB2312" w:cs="仿宋_GB2312" w:eastAsia="仿宋_GB2312"/>
                <w:sz w:val="28"/>
              </w:rPr>
              <w:t>。</w:t>
            </w:r>
          </w:p>
          <w:p>
            <w:pPr>
              <w:pStyle w:val="null3"/>
              <w:ind w:firstLine="200"/>
              <w:jc w:val="left"/>
            </w:pPr>
            <w:r>
              <w:rPr>
                <w:rFonts w:ascii="仿宋_GB2312" w:hAnsi="仿宋_GB2312" w:cs="仿宋_GB2312" w:eastAsia="仿宋_GB2312"/>
                <w:sz w:val="28"/>
              </w:rPr>
              <w:t xml:space="preserve">    3.3 </w:t>
            </w:r>
            <w:r>
              <w:rPr>
                <w:rFonts w:ascii="仿宋_GB2312" w:hAnsi="仿宋_GB2312" w:cs="仿宋_GB2312" w:eastAsia="仿宋_GB2312"/>
                <w:sz w:val="28"/>
              </w:rPr>
              <w:t>终验款：项目通过竣工验收后支付合同款的</w:t>
            </w: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、知识产权要求</w:t>
            </w:r>
            <w:r>
              <w:rPr>
                <w:rFonts w:ascii="仿宋_GB2312" w:hAnsi="仿宋_GB2312" w:cs="仿宋_GB2312" w:eastAsia="仿宋_GB2312"/>
                <w:sz w:val="32"/>
              </w:rPr>
              <w:t xml:space="preserve"> </w:t>
            </w:r>
          </w:p>
          <w:p>
            <w:pPr>
              <w:pStyle w:val="null3"/>
              <w:ind w:firstLine="560"/>
              <w:jc w:val="left"/>
            </w:pPr>
            <w:r>
              <w:rPr>
                <w:rFonts w:ascii="仿宋_GB2312" w:hAnsi="仿宋_GB2312" w:cs="仿宋_GB2312" w:eastAsia="仿宋_GB2312"/>
                <w:sz w:val="28"/>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r>
              <w:rPr>
                <w:rFonts w:ascii="仿宋_GB2312" w:hAnsi="仿宋_GB2312" w:cs="仿宋_GB2312" w:eastAsia="仿宋_GB2312"/>
                <w:sz w:val="28"/>
                <w:b/>
              </w:rPr>
              <w:t>（提供承诺函，格式自拟）。</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测评验收要求</w:t>
            </w:r>
          </w:p>
          <w:p>
            <w:pPr>
              <w:pStyle w:val="null3"/>
              <w:ind w:firstLine="560"/>
              <w:jc w:val="left"/>
            </w:pPr>
            <w:r>
              <w:rPr>
                <w:rFonts w:ascii="仿宋_GB2312" w:hAnsi="仿宋_GB2312" w:cs="仿宋_GB2312" w:eastAsia="仿宋_GB2312"/>
                <w:sz w:val="28"/>
              </w:rPr>
              <w:t>软件测评方应提交的各类测评文档和最终测评总结报告，提供测评过程相关文件，包括调研表、技术测评记录、会议纪要等。</w:t>
            </w:r>
          </w:p>
          <w:p>
            <w:pPr>
              <w:pStyle w:val="null3"/>
              <w:ind w:firstLine="560"/>
              <w:jc w:val="left"/>
            </w:pPr>
            <w:r>
              <w:rPr>
                <w:rFonts w:ascii="仿宋_GB2312" w:hAnsi="仿宋_GB2312" w:cs="仿宋_GB2312" w:eastAsia="仿宋_GB2312"/>
                <w:sz w:val="28"/>
              </w:rPr>
              <w:t>符合省级以上公安部门提出的网络安全等级保护测评相关要求。</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、保密要求</w:t>
            </w:r>
          </w:p>
          <w:p>
            <w:pPr>
              <w:pStyle w:val="null3"/>
              <w:ind w:firstLine="560"/>
              <w:jc w:val="left"/>
            </w:pPr>
            <w:r>
              <w:rPr>
                <w:rFonts w:ascii="仿宋_GB2312" w:hAnsi="仿宋_GB2312" w:cs="仿宋_GB2312" w:eastAsia="仿宋_GB2312"/>
                <w:sz w:val="28"/>
              </w:rPr>
              <w:t>鉴于第三方测评机构在为采购人提供测评服务期间，需要开放信息系统的访问权限，为加强需求方信息系统的信息安全管理，提出以下保密要求：</w:t>
            </w:r>
          </w:p>
          <w:p>
            <w:pPr>
              <w:pStyle w:val="null3"/>
              <w:ind w:firstLine="560"/>
              <w:jc w:val="left"/>
            </w:pPr>
            <w:r>
              <w:rPr>
                <w:rFonts w:ascii="仿宋_GB2312" w:hAnsi="仿宋_GB2312" w:cs="仿宋_GB2312" w:eastAsia="仿宋_GB2312"/>
                <w:sz w:val="28"/>
              </w:rPr>
              <w:t>第三方测评机构在访问信息系统期间，负有保护采购人企业的网络安全、信息安全和系统数据的义务和责任；负有保护所持有、接触的属于或涉及需求方企业商业秘密的信息安全的义务和责任。</w:t>
            </w:r>
          </w:p>
          <w:p>
            <w:pPr>
              <w:pStyle w:val="null3"/>
              <w:ind w:firstLine="560"/>
              <w:jc w:val="left"/>
            </w:pPr>
            <w:r>
              <w:rPr>
                <w:rFonts w:ascii="仿宋_GB2312" w:hAnsi="仿宋_GB2312" w:cs="仿宋_GB2312" w:eastAsia="仿宋_GB2312"/>
                <w:sz w:val="28"/>
              </w:rPr>
              <w:t>商业秘密是指因其信息泄露会影响企业生产和发展、影响企业营销活动、影响企业技术进步、使企业在商业竞争中处于被动或不利地位、使企业经济利益受到损害、影响企业对外交流和商业谈判顺利进行、影响企业稳定和安全、影响企业对外承担保密义务的事项。</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、投标人</w:t>
            </w:r>
            <w:r>
              <w:rPr>
                <w:rFonts w:ascii="仿宋_GB2312" w:hAnsi="仿宋_GB2312" w:cs="仿宋_GB2312" w:eastAsia="仿宋_GB2312"/>
                <w:sz w:val="28"/>
              </w:rPr>
              <w:t>不得低于成本价恶意报价，</w:t>
            </w:r>
            <w:r>
              <w:rPr>
                <w:rFonts w:ascii="仿宋_GB2312" w:hAnsi="仿宋_GB2312" w:cs="仿宋_GB2312" w:eastAsia="仿宋_GB2312"/>
                <w:sz w:val="28"/>
              </w:rPr>
              <w:t>有可能影响产品质量或者不能诚信履约的，评标委员会应当要求其在评标现场合理的时间内提供书面说明，必要时提交相关证明材料</w:t>
            </w:r>
            <w:r>
              <w:rPr>
                <w:rFonts w:ascii="仿宋_GB2312" w:hAnsi="仿宋_GB2312" w:cs="仿宋_GB2312" w:eastAsia="仿宋_GB2312"/>
                <w:sz w:val="28"/>
              </w:rPr>
              <w:t>，</w:t>
            </w:r>
            <w:r>
              <w:rPr>
                <w:rFonts w:ascii="仿宋_GB2312" w:hAnsi="仿宋_GB2312" w:cs="仿宋_GB2312" w:eastAsia="仿宋_GB2312"/>
                <w:sz w:val="28"/>
              </w:rPr>
              <w:t>投标人不能证明其报价合理性的，评标委员会应当将其作为无效投标处理。如投标人提供的说明或证明材料，</w:t>
            </w:r>
            <w:r>
              <w:rPr>
                <w:rFonts w:ascii="仿宋_GB2312" w:hAnsi="仿宋_GB2312" w:cs="仿宋_GB2312" w:eastAsia="仿宋_GB2312"/>
                <w:sz w:val="28"/>
              </w:rPr>
              <w:t>评审委员</w:t>
            </w:r>
            <w:r>
              <w:rPr>
                <w:rFonts w:ascii="仿宋_GB2312" w:hAnsi="仿宋_GB2312" w:cs="仿宋_GB2312" w:eastAsia="仿宋_GB2312"/>
                <w:sz w:val="28"/>
              </w:rPr>
              <w:t>会经过综合评审认为可行，并且该投标人最终中标，</w:t>
            </w:r>
            <w:r>
              <w:rPr>
                <w:rFonts w:ascii="仿宋_GB2312" w:hAnsi="仿宋_GB2312" w:cs="仿宋_GB2312" w:eastAsia="仿宋_GB2312"/>
                <w:sz w:val="28"/>
              </w:rPr>
              <w:t>如中标</w:t>
            </w:r>
            <w:r>
              <w:rPr>
                <w:rFonts w:ascii="仿宋_GB2312" w:hAnsi="仿宋_GB2312" w:cs="仿宋_GB2312" w:eastAsia="仿宋_GB2312"/>
                <w:sz w:val="28"/>
              </w:rPr>
              <w:t>人</w:t>
            </w:r>
            <w:r>
              <w:rPr>
                <w:rFonts w:ascii="仿宋_GB2312" w:hAnsi="仿宋_GB2312" w:cs="仿宋_GB2312" w:eastAsia="仿宋_GB2312"/>
                <w:sz w:val="28"/>
              </w:rPr>
              <w:t>在合同履行过程中偷工减料、不按要求完成项目，</w:t>
            </w:r>
            <w:r>
              <w:rPr>
                <w:rFonts w:ascii="仿宋_GB2312" w:hAnsi="仿宋_GB2312" w:cs="仿宋_GB2312" w:eastAsia="仿宋_GB2312"/>
                <w:sz w:val="28"/>
              </w:rPr>
              <w:t>则采购人有权终止合同，并报主管部门严肃处理。</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、本</w:t>
            </w:r>
            <w:r>
              <w:rPr>
                <w:rFonts w:ascii="仿宋_GB2312" w:hAnsi="仿宋_GB2312" w:cs="仿宋_GB2312" w:eastAsia="仿宋_GB2312"/>
                <w:sz w:val="28"/>
              </w:rPr>
              <w:t>包</w:t>
            </w:r>
            <w:r>
              <w:rPr>
                <w:rFonts w:ascii="仿宋_GB2312" w:hAnsi="仿宋_GB2312" w:cs="仿宋_GB2312" w:eastAsia="仿宋_GB2312"/>
                <w:sz w:val="28"/>
              </w:rPr>
              <w:t>预算金额、最高限价均为</w:t>
            </w:r>
            <w:r>
              <w:rPr>
                <w:rFonts w:ascii="仿宋_GB2312" w:hAnsi="仿宋_GB2312" w:cs="仿宋_GB2312" w:eastAsia="仿宋_GB2312"/>
                <w:sz w:val="28"/>
              </w:rPr>
              <w:t>125,352.72</w:t>
            </w:r>
            <w:r>
              <w:rPr>
                <w:rFonts w:ascii="仿宋_GB2312" w:hAnsi="仿宋_GB2312" w:cs="仿宋_GB2312" w:eastAsia="仿宋_GB2312"/>
                <w:sz w:val="28"/>
              </w:rPr>
              <w:t>元，投标报价超过预算金</w:t>
            </w:r>
            <w:r>
              <w:rPr>
                <w:rFonts w:ascii="仿宋_GB2312" w:hAnsi="仿宋_GB2312" w:cs="仿宋_GB2312" w:eastAsia="仿宋_GB2312"/>
                <w:sz w:val="28"/>
              </w:rPr>
              <w:t>额或最高限价的均按无效投标处理。</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投标人承诺函 无重大违法记录声明函 自觉抵制政府采购领域商业贿赂行为承诺书 供应商资格承诺函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供应商资格承诺函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投标人承诺函 供应商资格承诺函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 供应商资格承诺函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自觉抵制政府采购领域商业贿赂行为承诺书 无重大违法记录声明函 供应商资格承诺函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 自觉抵制政府采购领域商业贿赂行为承诺书 供应商资格承诺函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供应商资格承诺函 具备履行合同所必需设备和专业技术能力的声明函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投标人承诺函 无重大违法记录声明函 供应商资格承诺函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供应商资格承诺函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供应商应提交的相关证明材料 供应商资格承诺函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供应商资格承诺函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供应商应提交的相关证明材料 供应商资格承诺函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供应商资格承诺函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项目分析</w:t>
            </w:r>
          </w:p>
        </w:tc>
        <w:tc>
          <w:tcPr>
            <w:tcW w:type="dxa" w:w="2492"/>
          </w:tcPr>
          <w:p>
            <w:pPr>
              <w:pStyle w:val="null3"/>
              <w:jc w:val="both"/>
            </w:pPr>
            <w:r>
              <w:rPr>
                <w:rFonts w:ascii="仿宋_GB2312" w:hAnsi="仿宋_GB2312" w:cs="仿宋_GB2312" w:eastAsia="仿宋_GB2312"/>
              </w:rPr>
              <w:t>一档（6分）：投标人对项目背景、需求、目标进行了全面深入的分析，充分了解海南省相关基础现状情况，并通过调研先进地方做法，指出我省存在的差距和问题，识别出项目建设实施的重点难点，分析内容详实、逻辑严谨。 二档（3分）：投标人对项目背景、需求、目标进行了较为全面的分析，能够从背景、目标、现状、需求等方面进行分析，分析内容较为完整。 三档（1分）：投标人对项目背景、现状、问题、建设意义等方面进行了简单分析，分析内容较为基础。 四档（0分）：缺少对背景、现状、问题、建设意义等方面的分析，分析内容不完整或存在偏差。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一档（6分）：投标人对项目需求、目标、难点有深刻的理解，能够准确把握项目的核心问题，并提出针对性的应对措施，理解全面且深入。 二档（3分）：投标人对项目目标和需求理解较为全面，能够清楚项目建设目标，理解较为深入。 三档（1分）：投标人对项目目标和需求有一定理解，理解较为基础。 四档（0分）：对项目的理解存在偏差，理解不全面或不准确。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总体架构设计</w:t>
            </w:r>
          </w:p>
        </w:tc>
        <w:tc>
          <w:tcPr>
            <w:tcW w:type="dxa" w:w="2492"/>
          </w:tcPr>
          <w:p>
            <w:pPr>
              <w:pStyle w:val="null3"/>
              <w:jc w:val="both"/>
            </w:pPr>
            <w:r>
              <w:rPr>
                <w:rFonts w:ascii="仿宋_GB2312" w:hAnsi="仿宋_GB2312" w:cs="仿宋_GB2312" w:eastAsia="仿宋_GB2312"/>
              </w:rPr>
              <w:t>一档（6分）：总体架构设计全面、合理，符合海南省相关信息化建设要求，充分考虑已有基础，提出项目总体架构、业务架构、数据架构和安全架构，梳理清晰与各平台（系统）关系以及本期项目与一期的关系，技术路线先进，扩展性好。 二档（3分）：总体架构设计合理可行，技术路线可行，架构设计较为完整。 三档（1分）：总体架构设计基本合理，基本满足项目要求。 四档（0分）：总体架构设计不合理，无法满足项目要求。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功能与安全设计</w:t>
            </w:r>
          </w:p>
        </w:tc>
        <w:tc>
          <w:tcPr>
            <w:tcW w:type="dxa" w:w="2492"/>
          </w:tcPr>
          <w:p>
            <w:pPr>
              <w:pStyle w:val="null3"/>
              <w:jc w:val="both"/>
            </w:pPr>
            <w:r>
              <w:rPr>
                <w:rFonts w:ascii="仿宋_GB2312" w:hAnsi="仿宋_GB2312" w:cs="仿宋_GB2312" w:eastAsia="仿宋_GB2312"/>
              </w:rPr>
              <w:t>一档（6分）：功能设计全面、合理，模块完整、扩展性好，能够完全满足招标要求。 安全设计符合海南省相关信息化建设要求，提出详细的安全架构和保障措施，能够有效应对各类安全风险。 二档（3分）：功能设计合理可行，功能项较为完整，安全设计合理可行，提供较为完整的安全保障措施，基本满足项目要求。 三档（1分）：功能设计与安全设计基本合理，基本满足项目要求。 四档（0分）：功能设计与安全设计不合理，功能项不完整，安全设计无法满足项目要求。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人才服务系统能力跃迁建设方案</w:t>
            </w:r>
          </w:p>
        </w:tc>
        <w:tc>
          <w:tcPr>
            <w:tcW w:type="dxa" w:w="2492"/>
          </w:tcPr>
          <w:p>
            <w:pPr>
              <w:pStyle w:val="null3"/>
              <w:jc w:val="both"/>
            </w:pPr>
            <w:r>
              <w:rPr>
                <w:rFonts w:ascii="仿宋_GB2312" w:hAnsi="仿宋_GB2312" w:cs="仿宋_GB2312" w:eastAsia="仿宋_GB2312"/>
              </w:rPr>
              <w:t>一档（3分）：针对每一项建设任务分别设计详细的建设方案，业务规划合理、流程梳理清晰、逻辑严谨、功能设计友好，能够与现有各内外部应用系统有效衔接，实现业务闭环。建设方案符合海南实际情况，能够快速指导具体工作开展，能够有效保证项目建设及应用成效。 二档（2分）：详细建设方案合理可行，能够提供相对完整可行的建设方案，可以保证项目建设及应用效果，功能项完全满足。 三档（1分）：详细建设方案基本合理，系统功能基本满足项目要求。 四档（0分）：详细建设方案不合理，功能不完整。</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高频人才业务系统定制化开发建设方案</w:t>
            </w:r>
          </w:p>
        </w:tc>
        <w:tc>
          <w:tcPr>
            <w:tcW w:type="dxa" w:w="2492"/>
          </w:tcPr>
          <w:p>
            <w:pPr>
              <w:pStyle w:val="null3"/>
              <w:jc w:val="both"/>
            </w:pPr>
            <w:r>
              <w:rPr>
                <w:rFonts w:ascii="仿宋_GB2312" w:hAnsi="仿宋_GB2312" w:cs="仿宋_GB2312" w:eastAsia="仿宋_GB2312"/>
              </w:rPr>
              <w:t>一档（3分）：针对每一项建设任务分别设计详细的建设方案，业务规划合理、流程梳理清晰、逻辑严谨、功能设计友好，能够与现有各内外部应用系统有效衔接，实现业务闭环。建设方案符合海南实际情况，能够快速指导具体工作开展，能够有效保证项目建设及应用成效。 二档（2分）：详细建设方案合理可行，能够提供相对完整可行的建设方案，可以保证项目建设及应用效果，功能项完全满足。 三档（1分）：详细建设方案基本合理，系统功能基本满足项目要求。 四档（0分）：详细建设方案不合理，功能不完整。</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自贸港人才服务智能化拓展建设方案</w:t>
            </w:r>
          </w:p>
        </w:tc>
        <w:tc>
          <w:tcPr>
            <w:tcW w:type="dxa" w:w="2492"/>
          </w:tcPr>
          <w:p>
            <w:pPr>
              <w:pStyle w:val="null3"/>
              <w:jc w:val="both"/>
            </w:pPr>
            <w:r>
              <w:rPr>
                <w:rFonts w:ascii="仿宋_GB2312" w:hAnsi="仿宋_GB2312" w:cs="仿宋_GB2312" w:eastAsia="仿宋_GB2312"/>
              </w:rPr>
              <w:t>一档（3分）：针对每一项建设任务分别设计详细的建设方案，业务规划合理、流程梳理清晰、逻辑严谨、功能设计友好，能够与现有各内外部应用系统有效衔接，实现业务闭环。建设方案符合海南实际情况，能够快速指导具体工作开展，能够有效保证项目建设及应用成效。 二档（2分）：详细建设方案合理可行，能够提供相对完整可行的建设方案，可以保证项目建设及应用效果，功能项完全满足。 三档（1分）：详细建设方案基本合理，系统功能基本满足项目要求。 四档（0分）：详细建设方案不合理，功能不完整。</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人才咨询与实施、数据资源建设与数据开放应用服务实施方案</w:t>
            </w:r>
          </w:p>
        </w:tc>
        <w:tc>
          <w:tcPr>
            <w:tcW w:type="dxa" w:w="2492"/>
          </w:tcPr>
          <w:p>
            <w:pPr>
              <w:pStyle w:val="null3"/>
              <w:jc w:val="both"/>
            </w:pPr>
            <w:r>
              <w:rPr>
                <w:rFonts w:ascii="仿宋_GB2312" w:hAnsi="仿宋_GB2312" w:cs="仿宋_GB2312" w:eastAsia="仿宋_GB2312"/>
              </w:rPr>
              <w:t>一档（3分）：人才咨询与实施方案全面、详细，数据开放应用服务方案可行、合理，方案符合海南省信息化建设要求，能够有效支持项目的顺利实施。 二档（2分）：人才咨询与实施、数据资源建设与数据开放应用服务实施方案较为全面，全部符合项目需求。 三档（1分）：人才咨询与实施、数据资源建设与数据开放应用服务实施方案基本合理，基本满足项目要求。 四档（0分）：人才咨询与实施、数据资源建设与数据开放应用服务实施方案不合理，内容不完整或不可行，无法满足项目需求。</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一档（5分）：项目管理方案优于采购要求，能够提供详细的项目管理方案，制定详细实施进度计划、项目分阶段实施时间表和各阶段人员安排，有详细完善的项目测试方案、验收方案、风险管理方案、质量保障方案等，各个方案均有详细的论述。 二档（3分）：项目管理方案完整可行，满足招标要求，有较好的实施进度计划、工期保证措施，提供较好的测试方案、验收方案、质量保障方案，内容可行。 三档（1分）：项目管理方案基本完整可行，有基本的质量控制方案，提供的实施进度计划一般，内容简单，基本满足项目要求。 四档（0分）：项目管理方案不完整或不可行，进度不合理，不能满足项目要求。</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项目组织实施方案</w:t>
            </w:r>
          </w:p>
        </w:tc>
        <w:tc>
          <w:tcPr>
            <w:tcW w:type="dxa" w:w="2492"/>
          </w:tcPr>
          <w:p>
            <w:pPr>
              <w:pStyle w:val="null3"/>
              <w:jc w:val="both"/>
            </w:pPr>
            <w:r>
              <w:rPr>
                <w:rFonts w:ascii="仿宋_GB2312" w:hAnsi="仿宋_GB2312" w:cs="仿宋_GB2312" w:eastAsia="仿宋_GB2312"/>
              </w:rPr>
              <w:t>一档（5分）：组织实施方案详细、合理，能够提供详细的组织实施方案，明确各阶段的人员安排、职责分工，确保项目顺利实施。 二档（3分）：组织实施方案完整可行，满足招标要求，有较好的人员安排和职责分工，内容可行。 三档（1分）：组织实施方案基本完整可行，有基本的人员安排和职责分工，内容简单，基本满足项目要求。 四档（0分）：组织实施方案不完整或不可行，人员安排不合理，不能满足项目要求。</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一档（5分）：有完善的项目售后服务方案，方案内容包含完整的售后服务体系、对不同级别的系统故障提供有针对性的快速响应方案、日常维护的可调配资源和协调解决问题的相关承诺，满足项目需求的所有服务要求，服务承诺描述详细、全面，措施具体、有效、可行性高，安排故障处理响应时间、解决故障承诺时间及时，应急保障措施可行性强，提供 7*24 售后服务热线。 二档（3分）：售后服务方案合理、贴切，项目售后服务方案良好，具备较完善的响应体系，计划科学合理、内容较详细、可行性较好，服务承诺较全面，提供 7*24 售后服务热线。 三档（1分）：售后服务方案简单、可行，基本满足项目要求，提供简单服务承诺。 四档（0分）：售后服务方案不能满足项目需求，缺少服务承诺。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一档（5分）：培训方案全面、详细、合理有效，培训计划详细完整，培训方式和培训渠道多样，师资力量雄厚，培训内容安排科学、合理、完善且完全覆盖项目建设内容范围。 二档（3分）：培训方案完整可行，有完整的培训计划、多种培训方式，提供培训材料，以及规划合理的培训内容，切实可行。 三档（1分）：培训方案基本可行，有培训计划、培训方式、培训内容基本可行。 四档（0分）：培训方案不能满足项目需求，缺少培训方案。</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供应商综合能力1</w:t>
            </w:r>
          </w:p>
        </w:tc>
        <w:tc>
          <w:tcPr>
            <w:tcW w:type="dxa" w:w="2492"/>
          </w:tcPr>
          <w:p>
            <w:pPr>
              <w:pStyle w:val="null3"/>
              <w:jc w:val="both"/>
            </w:pPr>
            <w:r>
              <w:rPr>
                <w:rFonts w:ascii="仿宋_GB2312" w:hAnsi="仿宋_GB2312" w:cs="仿宋_GB2312" w:eastAsia="仿宋_GB2312"/>
              </w:rPr>
              <w:t>投标人具备CMMI或CSMM能力成熟度模型集成证书，5级得2分，4级得1.5分,3级得1分,2级得0.5分,1级不得分。须提供在有效期内的证书（扫描件）并加盖公章。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供应商综合能力2</w:t>
            </w:r>
          </w:p>
        </w:tc>
        <w:tc>
          <w:tcPr>
            <w:tcW w:type="dxa" w:w="2492"/>
          </w:tcPr>
          <w:p>
            <w:pPr>
              <w:pStyle w:val="null3"/>
              <w:jc w:val="both"/>
            </w:pPr>
            <w:r>
              <w:rPr>
                <w:rFonts w:ascii="仿宋_GB2312" w:hAnsi="仿宋_GB2312" w:cs="仿宋_GB2312" w:eastAsia="仿宋_GB2312"/>
              </w:rPr>
              <w:t>投标人具备DCMM数据管理能力成熟度（乙方）稳健级及以上等级证书，量化管理级及以上得2分，稳健级得1分，其他不得分。须提供在有效期内的证书（扫描件）并加盖公章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供应商综合能力3</w:t>
            </w:r>
          </w:p>
        </w:tc>
        <w:tc>
          <w:tcPr>
            <w:tcW w:type="dxa" w:w="2492"/>
          </w:tcPr>
          <w:p>
            <w:pPr>
              <w:pStyle w:val="null3"/>
              <w:jc w:val="both"/>
            </w:pPr>
            <w:r>
              <w:rPr>
                <w:rFonts w:ascii="仿宋_GB2312" w:hAnsi="仿宋_GB2312" w:cs="仿宋_GB2312" w:eastAsia="仿宋_GB2312"/>
              </w:rPr>
              <w:t>投标人具有ITSS信息技术服务运行维护标准符合性成熟度一级证书得2分，二级得1分，其他不得分。须提供在有效期内的证书（扫描件）并加盖公章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供应商综合能力4</w:t>
            </w:r>
          </w:p>
        </w:tc>
        <w:tc>
          <w:tcPr>
            <w:tcW w:type="dxa" w:w="2492"/>
          </w:tcPr>
          <w:p>
            <w:pPr>
              <w:pStyle w:val="null3"/>
              <w:jc w:val="both"/>
            </w:pPr>
            <w:r>
              <w:rPr>
                <w:rFonts w:ascii="仿宋_GB2312" w:hAnsi="仿宋_GB2312" w:cs="仿宋_GB2312" w:eastAsia="仿宋_GB2312"/>
              </w:rPr>
              <w:t>投标人具有中国电子信息行业联合会颁发的信息系统建设和服务能力等级证书，CS4（含）以上得2分，CS3（含）以下得1分；须提供在有效期内的证书（扫描件）并加盖公章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供应商综合能力5</w:t>
            </w:r>
          </w:p>
        </w:tc>
        <w:tc>
          <w:tcPr>
            <w:tcW w:type="dxa" w:w="2492"/>
          </w:tcPr>
          <w:p>
            <w:pPr>
              <w:pStyle w:val="null3"/>
              <w:jc w:val="both"/>
            </w:pPr>
            <w:r>
              <w:rPr>
                <w:rFonts w:ascii="仿宋_GB2312" w:hAnsi="仿宋_GB2312" w:cs="仿宋_GB2312" w:eastAsia="仿宋_GB2312"/>
              </w:rPr>
              <w:t>投标人具备下列的认证证书： 1）ISO9001质量管理体系认证证书 2）ISO/IEC20000 IT服务管理体系认证证书 3）ISO/IEC27001信息安全管理体系认证证书 4）ISO27701隐私信息管理体系认证证书 每提供一项得1分，未提供不得分，最多得4分。 须提供在有效期内的证书（扫描件）并加盖公章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项目团队实力（项目总负责人）</w:t>
            </w:r>
          </w:p>
        </w:tc>
        <w:tc>
          <w:tcPr>
            <w:tcW w:type="dxa" w:w="2492"/>
          </w:tcPr>
          <w:p>
            <w:pPr>
              <w:pStyle w:val="null3"/>
              <w:jc w:val="both"/>
            </w:pPr>
            <w:r>
              <w:rPr>
                <w:rFonts w:ascii="仿宋_GB2312" w:hAnsi="仿宋_GB2312" w:cs="仿宋_GB2312" w:eastAsia="仿宋_GB2312"/>
              </w:rPr>
              <w:t>拟派项目总负责人： 1）具有高级工程师（计算机相关专业）及以上职称证书；(不含以下三种） 2）具有人社部门颁布的高级信息系统项目管理师认证； 3）具有人社部门颁布的高级系统架构设计师证书； 4）具有人社部门颁布的高级系统分析师证书； 每提供一项得1分，未提供不得分，最多得4分。 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项目团队实力（项目技术负责人（与项目总负责人不能为同一人））</w:t>
            </w:r>
          </w:p>
        </w:tc>
        <w:tc>
          <w:tcPr>
            <w:tcW w:type="dxa" w:w="2492"/>
          </w:tcPr>
          <w:p>
            <w:pPr>
              <w:pStyle w:val="null3"/>
              <w:jc w:val="both"/>
            </w:pPr>
            <w:r>
              <w:rPr>
                <w:rFonts w:ascii="仿宋_GB2312" w:hAnsi="仿宋_GB2312" w:cs="仿宋_GB2312" w:eastAsia="仿宋_GB2312"/>
              </w:rPr>
              <w:t>拟派项目技术负责人（与项目总负责人不能为同一人）： 1）具有中级工程师（计算机相关专业）及以上职称证书；（不包含以下两种） 2）具有人社部门颁布的高级信息系统项目管理师证书； 3）具有人社部门颁布的高级系统架构设计师证书； 每提供一项得1分，未提供不得分，最多得3分。 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项目团队实力（项目团队）</w:t>
            </w:r>
          </w:p>
        </w:tc>
        <w:tc>
          <w:tcPr>
            <w:tcW w:type="dxa" w:w="2492"/>
          </w:tcPr>
          <w:p>
            <w:pPr>
              <w:pStyle w:val="null3"/>
              <w:jc w:val="both"/>
            </w:pPr>
            <w:r>
              <w:rPr>
                <w:rFonts w:ascii="仿宋_GB2312" w:hAnsi="仿宋_GB2312" w:cs="仿宋_GB2312" w:eastAsia="仿宋_GB2312"/>
              </w:rPr>
              <w:t>拟派项目团队（不包括项目负责人）具有：工信部、人社部颁发的信息系统项目管理师证书高级）；高级职称证书（计算机专业）；工信部、人社部颁发的网络工程师证书；ITIL证书；ITSS证书；每提供一项得0.6分，未提供不得分，最多得3分，同一人持多个证书不重复计分。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技术创新及知识产权</w:t>
            </w:r>
          </w:p>
        </w:tc>
        <w:tc>
          <w:tcPr>
            <w:tcW w:type="dxa" w:w="2492"/>
          </w:tcPr>
          <w:p>
            <w:pPr>
              <w:pStyle w:val="null3"/>
              <w:jc w:val="both"/>
            </w:pPr>
            <w:r>
              <w:rPr>
                <w:rFonts w:ascii="仿宋_GB2312" w:hAnsi="仿宋_GB2312" w:cs="仿宋_GB2312" w:eastAsia="仿宋_GB2312"/>
              </w:rPr>
              <w:t>具有人才服务系统、申报管理服务、智能分析与应用、数据指标管理的软件著作权，每提供一项得1分，满分4分。（证明资料：需提供软件著作权登记证书复印件加盖投标人公章，提供证书不全或不提供均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类似业绩证明</w:t>
            </w:r>
          </w:p>
        </w:tc>
        <w:tc>
          <w:tcPr>
            <w:tcW w:type="dxa" w:w="2492"/>
          </w:tcPr>
          <w:p>
            <w:pPr>
              <w:pStyle w:val="null3"/>
              <w:jc w:val="both"/>
            </w:pPr>
            <w:r>
              <w:rPr>
                <w:rFonts w:ascii="仿宋_GB2312" w:hAnsi="仿宋_GB2312" w:cs="仿宋_GB2312" w:eastAsia="仿宋_GB2312"/>
              </w:rPr>
              <w:t>自2021年1月至今承接或完成政务服务软件类项目业绩，每提供一个得2分，满分8分。（证明材料：提供合同复印件关键页加盖投标人公章，不提供不得分。时间以签订合同时间为准）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方案的完整性、可行性、合理性等服务内容。 (1)方案完善，分析全面，具有很强的合理性和可操作性，计8分； (2)方案较完善，分析到位，具有较强的合理性和可操作性，计5分； （3）方案一般，分析不足，合理性和可操作性不强，计3分。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质量控制</w:t>
            </w:r>
          </w:p>
        </w:tc>
        <w:tc>
          <w:tcPr>
            <w:tcW w:type="dxa" w:w="2492"/>
          </w:tcPr>
          <w:p>
            <w:pPr>
              <w:pStyle w:val="null3"/>
              <w:jc w:val="both"/>
            </w:pPr>
            <w:r>
              <w:rPr>
                <w:rFonts w:ascii="仿宋_GB2312" w:hAnsi="仿宋_GB2312" w:cs="仿宋_GB2312" w:eastAsia="仿宋_GB2312"/>
              </w:rPr>
              <w:t>质量控制方案，方案的完整性、可行性、合理性等服务内容。 (1)方案完善，分析全面，具有很强的合理性和可操作性，计6分； (2)方案较完善，分析到位，具有较强的合理性和可操作性，计3分； （3）方案一般，分析不足，没有合理性和可操作性，计1分；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进度控制</w:t>
            </w:r>
          </w:p>
        </w:tc>
        <w:tc>
          <w:tcPr>
            <w:tcW w:type="dxa" w:w="2492"/>
          </w:tcPr>
          <w:p>
            <w:pPr>
              <w:pStyle w:val="null3"/>
              <w:jc w:val="both"/>
            </w:pPr>
            <w:r>
              <w:rPr>
                <w:rFonts w:ascii="仿宋_GB2312" w:hAnsi="仿宋_GB2312" w:cs="仿宋_GB2312" w:eastAsia="仿宋_GB2312"/>
              </w:rPr>
              <w:t>进度控制，方案的完整性、可行性、合理性等服务内容。 (1)方案完善，分析全面，具有很强的合理性和可操作性，计7分； (2)方案较完善，分析到位，具有较强的合理性和可操作性，计3分； （3）方案一般，分析不足，没有合理性和可操作性，计1分； （4）不提供不得分。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投资控制</w:t>
            </w:r>
          </w:p>
        </w:tc>
        <w:tc>
          <w:tcPr>
            <w:tcW w:type="dxa" w:w="2492"/>
          </w:tcPr>
          <w:p>
            <w:pPr>
              <w:pStyle w:val="null3"/>
              <w:jc w:val="both"/>
            </w:pPr>
            <w:r>
              <w:rPr>
                <w:rFonts w:ascii="仿宋_GB2312" w:hAnsi="仿宋_GB2312" w:cs="仿宋_GB2312" w:eastAsia="仿宋_GB2312"/>
              </w:rPr>
              <w:t>投资控制方案，方案的完整性、可行性、合理性等服务内容。 (1)方案完善，分析全面，具有很强的合理性和可操作性，计5分； (2)方案较完善，分析到位，具有较强的合理性和可操作性，计3分； （3）方案一般，分析不足，没有合理性和可操作性，计1分；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变更控制</w:t>
            </w:r>
          </w:p>
        </w:tc>
        <w:tc>
          <w:tcPr>
            <w:tcW w:type="dxa" w:w="2492"/>
          </w:tcPr>
          <w:p>
            <w:pPr>
              <w:pStyle w:val="null3"/>
              <w:jc w:val="both"/>
            </w:pPr>
            <w:r>
              <w:rPr>
                <w:rFonts w:ascii="仿宋_GB2312" w:hAnsi="仿宋_GB2312" w:cs="仿宋_GB2312" w:eastAsia="仿宋_GB2312"/>
              </w:rPr>
              <w:t>变更控制方案。 (1)方案完善，分析全面，具有很强的合理性和可操作性，计5分； (2)方案较完善，分析到位，具有较强的合理性和可操作性，计3分； （3）方案一般，分析不足，没有合理性和可操作性，计1分；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信息管理</w:t>
            </w:r>
          </w:p>
        </w:tc>
        <w:tc>
          <w:tcPr>
            <w:tcW w:type="dxa" w:w="2492"/>
          </w:tcPr>
          <w:p>
            <w:pPr>
              <w:pStyle w:val="null3"/>
              <w:jc w:val="both"/>
            </w:pPr>
            <w:r>
              <w:rPr>
                <w:rFonts w:ascii="仿宋_GB2312" w:hAnsi="仿宋_GB2312" w:cs="仿宋_GB2312" w:eastAsia="仿宋_GB2312"/>
              </w:rPr>
              <w:t>信息管理方案。 (1)方案完善，分析全面，具有很强的合理性和可操作性，计5分； (2)方案较完善，分析到位，具有较强的合理性和可操作性，计3分； （3）方案一般，分析不足，没有合理性和可操作性，计1分；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w:t>
            </w:r>
          </w:p>
        </w:tc>
        <w:tc>
          <w:tcPr>
            <w:tcW w:type="dxa" w:w="2492"/>
          </w:tcPr>
          <w:p>
            <w:pPr>
              <w:pStyle w:val="null3"/>
              <w:jc w:val="both"/>
            </w:pPr>
            <w:r>
              <w:rPr>
                <w:rFonts w:ascii="仿宋_GB2312" w:hAnsi="仿宋_GB2312" w:cs="仿宋_GB2312" w:eastAsia="仿宋_GB2312"/>
              </w:rPr>
              <w:t>安全管理方案。 (1)方案完善，分析全面，具有很强的合理性和可操作性计5分； (2)方案较完善，分析到位，具有较强的合理性和可操作性计3分； （3）方案一般，分析不足，没有合理性和可操作性计1分； （4）不提供不得分。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组织协调</w:t>
            </w:r>
          </w:p>
        </w:tc>
        <w:tc>
          <w:tcPr>
            <w:tcW w:type="dxa" w:w="2492"/>
          </w:tcPr>
          <w:p>
            <w:pPr>
              <w:pStyle w:val="null3"/>
              <w:jc w:val="both"/>
            </w:pPr>
            <w:r>
              <w:rPr>
                <w:rFonts w:ascii="仿宋_GB2312" w:hAnsi="仿宋_GB2312" w:cs="仿宋_GB2312" w:eastAsia="仿宋_GB2312"/>
              </w:rPr>
              <w:t>组织协调方案。 (1)方案完善，分析全面，具有很强的合理性和可操作性，计6分； (2)方案较完善，分析到位，具有较强的合理性和可操作性，计3分； （3）方案一般，分析不足，没有合理性和可操作性，计1分；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监理服务承诺</w:t>
            </w:r>
          </w:p>
        </w:tc>
        <w:tc>
          <w:tcPr>
            <w:tcW w:type="dxa" w:w="2492"/>
          </w:tcPr>
          <w:p>
            <w:pPr>
              <w:pStyle w:val="null3"/>
              <w:jc w:val="both"/>
            </w:pPr>
            <w:r>
              <w:rPr>
                <w:rFonts w:ascii="仿宋_GB2312" w:hAnsi="仿宋_GB2312" w:cs="仿宋_GB2312" w:eastAsia="仿宋_GB2312"/>
              </w:rPr>
              <w:t>对本项目监理提供快速及时的服务响应；承诺解决问题的时限迅速、合理；人员到位保障措施的完善程度，承诺的可操作性强、有实际使用价值计5分； 可操作性一般、较有实际使用价值计3分。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本项目监理咨询建议的针对性、内容的完善性、建议的合理性等，进行综合评分。监理咨询建议针对、完善、合理计5分；监理咨询建议较差计2.5分，未提供不计分。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总监理工程师：具有信息系统项目管理师、信息系统监理师证书、软件评测师证书、软件工程造价师证书，每提供1项证书得2分，满分8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具有信息化相关专业中级职称证书、PMP项目管理师证书、软件造价评估师证书，每提供1项证书得2分，满分6分。注：须提供相应证书及在投标单位自2024年1月至今连续3个月的社保证明，扫描件并加盖公章。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具有信息化相关专业高级职称证书、信息系统监理师证书、软件工程造价证书，每提供1项证书得2分，满分6分。注：须提供相应证书及在投标单位自2024年1月至今连续3个月的社保证明，扫描件并加盖公章。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项目监理服务团队其他成员中(不含总监理工程师和总监理工程师代表、技术负责人)具备信息系统监理师证书得5分、系统集成项目管理工程师证书得1、软件工程造价证书得2分，最多得8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提供2021年1月1日以来类似项目业绩证明文件，评审时以业绩证明文件的复印件(合同书复印件加盖鲜章)为计分依据，每出具一份业绩证明文件得2.5分，满分5分。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商务部分70.00分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根据投标人提供的实施方案进行评分。针对本项目有关实施工作：方案内容详细完整、进度安排贴合实际、测评工具配合、实施人员配备、质量控制措施得当等。 （1）投标人提供的实施方案涵盖且满足或优于采购需求的，得20分；未提供方案得0分。 如每缺少一项内容扣4分，扣完为止；因实施方案内容缺陷每项最多扣2分（缺陷是指：方案内容存在缺漏，进度安排无法完全贴合实际，测评工具配备、人员配备、质量控制措施执行性不高，不利于项目实施等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投标人资质能力</w:t>
            </w:r>
          </w:p>
        </w:tc>
        <w:tc>
          <w:tcPr>
            <w:tcW w:type="dxa" w:w="2492"/>
          </w:tcPr>
          <w:p>
            <w:pPr>
              <w:pStyle w:val="null3"/>
              <w:jc w:val="both"/>
            </w:pPr>
            <w:r>
              <w:rPr>
                <w:rFonts w:ascii="仿宋_GB2312" w:hAnsi="仿宋_GB2312" w:cs="仿宋_GB2312" w:eastAsia="仿宋_GB2312"/>
              </w:rPr>
              <w:t>1.投标人具有ISO27001信息安全管理体系认证证书的得4分； 2.投标人具有ISO20000信息技术服务管理体系认证证书的得4分； 3.投标人具有信息安全风险评估认证证书的得5分； 4.投标人具有中国电子质量管理协会颁发的软件工程造价评估机构能力符合性证书的得5分； 证明材料：需提供相关证书复印件并加盖投标人公章，不提供不得分。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投标人检测能力</w:t>
            </w:r>
          </w:p>
        </w:tc>
        <w:tc>
          <w:tcPr>
            <w:tcW w:type="dxa" w:w="2492"/>
          </w:tcPr>
          <w:p>
            <w:pPr>
              <w:pStyle w:val="null3"/>
              <w:jc w:val="both"/>
            </w:pPr>
            <w:r>
              <w:rPr>
                <w:rFonts w:ascii="仿宋_GB2312" w:hAnsi="仿宋_GB2312" w:cs="仿宋_GB2312" w:eastAsia="仿宋_GB2312"/>
              </w:rPr>
              <w:t>检测能力，投标人具有：提供CNAS证书及附件或CMA证书及附件的复印件并加盖投标人公章，得5分。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投标人自2020年1月1日以来签约的类似项目业绩，每提供一份得3分，本项最高得12分。 注：案例需提供合同复印件，至少包含合同首页、合同主要内容页、签字盖章页复印件并加盖投标人公章，未提供或者提供内容与要求不符，不得分。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项目团队人员实力（项目经理）</w:t>
            </w:r>
          </w:p>
        </w:tc>
        <w:tc>
          <w:tcPr>
            <w:tcW w:type="dxa" w:w="2492"/>
          </w:tcPr>
          <w:p>
            <w:pPr>
              <w:pStyle w:val="null3"/>
              <w:jc w:val="both"/>
            </w:pPr>
            <w:r>
              <w:rPr>
                <w:rFonts w:ascii="仿宋_GB2312" w:hAnsi="仿宋_GB2312" w:cs="仿宋_GB2312" w:eastAsia="仿宋_GB2312"/>
              </w:rPr>
              <w:t>本项目的项目经理： （1）具有计算机技术与软件专业技术资格软件评测师（中级）证书，得5分； （2）具有中级工程师及以上（电子信息工程、通信工程）证书，得2分； （3）具有信息系统项目管理师证书，得1分。 （提供证书复印件并加盖投标人公章；提供投标人为该持证人员自2024年1月以来连续三个月的社保缴纳证明并加盖投标人公章；须提供在项目建设完成并竣工验收结束前不更换项目经理的承诺书并加盖投标人公章。以上材料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项目团队人员实力（项目技术团队成员（与项目经理不是同一人））</w:t>
            </w:r>
          </w:p>
        </w:tc>
        <w:tc>
          <w:tcPr>
            <w:tcW w:type="dxa" w:w="2492"/>
          </w:tcPr>
          <w:p>
            <w:pPr>
              <w:pStyle w:val="null3"/>
              <w:jc w:val="both"/>
            </w:pPr>
            <w:r>
              <w:rPr>
                <w:rFonts w:ascii="仿宋_GB2312" w:hAnsi="仿宋_GB2312" w:cs="仿宋_GB2312" w:eastAsia="仿宋_GB2312"/>
              </w:rPr>
              <w:t>项目技术团队成员（与项目经理不是同一人）满足以下要求： （1）具有计算机技术与软件专业技术资格软件评测师（中级）证书，每有一个人具有该证书得5分，最高得10分； （2）具有中级工程师及以上（电子信息工程、通信工程），每证书得1分，最高2分。 （一人多证只计分一次。提供证书复印件并加盖投标人公章；提供投标人为该持证人员自2024年1月以来连续三个月的社保缴纳证明并加盖投标人公章；须提供在项目建设完成并竣工验收结束前不更换团队人员的承诺书加盖投标人公章。以上材料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测评工具配备</w:t>
            </w:r>
          </w:p>
        </w:tc>
        <w:tc>
          <w:tcPr>
            <w:tcW w:type="dxa" w:w="2492"/>
          </w:tcPr>
          <w:p>
            <w:pPr>
              <w:pStyle w:val="null3"/>
              <w:jc w:val="both"/>
            </w:pPr>
            <w:r>
              <w:rPr>
                <w:rFonts w:ascii="仿宋_GB2312" w:hAnsi="仿宋_GB2312" w:cs="仿宋_GB2312" w:eastAsia="仿宋_GB2312"/>
              </w:rPr>
              <w:t>1、投标人具有商业正版软件性能测试工具的得5分。（提供采购合同和发票证明文件复印件并加盖投标人公章） 2、投标人具有有效的安全扫描工具的得5分。（提供采购合同和发票证明文件复印件并加盖投标人公章） 3、投标人具有商业正版或自主研发的源代码检查工具的得5分。（提供采购合同和发票证明文件复印件并加盖投标人公章，自主研发的提供国家版权局颁发的计算机软件著作权登记证书或专利复印件）</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GGP20241012.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海南自由贸易港人才服务“单一窗口”（二期）项目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软件集成实施服务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服务期限</w:t>
            </w:r>
          </w:p>
        </w:tc>
        <w:tc>
          <w:tcPr>
            <w:tcW w:type="dxa" w:w="755"/>
          </w:tcPr>
          <w:p>
            <w:pPr>
              <w:pStyle w:val="null3"/>
              <w:jc w:val="left"/>
            </w:pPr>
            <w:r>
              <w:rPr>
                <w:rFonts w:ascii="仿宋_GB2312" w:hAnsi="仿宋_GB2312" w:cs="仿宋_GB2312" w:eastAsia="仿宋_GB2312"/>
              </w:rPr>
              <w:t xml:space="preserve"> 备注</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C16020300-软件集成实施服务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6456197.97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GGP20241012.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海南自由贸易港人才服务“单一窗口”（二期）项目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工程监理服务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C20020600-工程监理服务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146154.69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GGP20241012.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海南自由贸易港人才服务“单一窗口”（二期）项目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支撑软件开发服务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125352.72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详见附件：供应商资格承诺函</w:t>
      </w:r>
    </w:p>
    <w:p>
      <w:pPr>
        <w:pStyle w:val="null3"/>
        <w:ind w:firstLine="960"/>
        <w:jc w:val="left"/>
      </w:pPr>
      <w:r>
        <w:rPr>
          <w:rFonts w:ascii="仿宋_GB2312" w:hAnsi="仿宋_GB2312" w:cs="仿宋_GB2312" w:eastAsia="仿宋_GB2312"/>
        </w:rPr>
        <w:t>详见附件：供应商资格承诺函</w:t>
      </w:r>
    </w:p>
    <w:p>
      <w:pPr>
        <w:pStyle w:val="null3"/>
        <w:ind w:firstLine="960"/>
        <w:jc w:val="left"/>
      </w:pPr>
      <w:r>
        <w:rPr>
          <w:rFonts w:ascii="仿宋_GB2312" w:hAnsi="仿宋_GB2312" w:cs="仿宋_GB2312" w:eastAsia="仿宋_GB2312"/>
        </w:rPr>
        <w:t>详见附件：供应商资格承诺函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