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版本号：2025-ZYD-ZB-00720250328001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2025年财政专网线路租赁服务项目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2025-ZYD-ZB-007</w:t>
      </w:r>
      <w:r>
        <w:br/>
      </w:r>
      <w:r>
        <w:br/>
      </w:r>
      <w:r>
        <w:br/>
      </w:r>
    </w:p>
    <w:p>
      <w:pPr>
        <w:pStyle w:val="null3"/>
        <w:jc w:val="center"/>
        <w:outlineLvl w:val="5"/>
      </w:pPr>
      <w:r>
        <w:rPr>
          <w:rFonts w:ascii="仿宋_GB2312" w:hAnsi="仿宋_GB2312" w:cs="仿宋_GB2312" w:eastAsia="仿宋_GB2312"/>
          <w:sz w:val="15"/>
          <w:b/>
        </w:rPr>
        <w:t>西安市碑林区财政局</w:t>
      </w:r>
    </w:p>
    <w:p>
      <w:pPr>
        <w:pStyle w:val="null3"/>
        <w:jc w:val="center"/>
        <w:outlineLvl w:val="5"/>
      </w:pPr>
      <w:r>
        <w:rPr>
          <w:rFonts w:ascii="仿宋_GB2312" w:hAnsi="仿宋_GB2312" w:cs="仿宋_GB2312" w:eastAsia="仿宋_GB2312"/>
          <w:sz w:val="15"/>
          <w:b/>
        </w:rPr>
        <w:t>陕西中扬德项目管理有限公司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西安市碑林区财政局</w:t>
      </w:r>
      <w:r>
        <w:rPr>
          <w:rFonts w:ascii="仿宋_GB2312" w:hAnsi="仿宋_GB2312" w:cs="仿宋_GB2312" w:eastAsia="仿宋_GB2312"/>
        </w:rPr>
        <w:t>委托，拟对</w:t>
      </w:r>
      <w:r>
        <w:rPr>
          <w:rFonts w:ascii="仿宋_GB2312" w:hAnsi="仿宋_GB2312" w:cs="仿宋_GB2312" w:eastAsia="仿宋_GB2312"/>
        </w:rPr>
        <w:t>2025年财政专网线路租赁服务项目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2025-ZYD-ZB-007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2025年财政专网线路租赁服务项目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按照全市财政组建财政专网的要求，为进一步做好碑林区 2025年财政信息化工作 ，开展2025年财政专网线路租赁服务工作。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1、授权委托书：法定代表人参加投标的，须提供法定代表人身份证明及身份证复印件;法定代表人授权他人参加投标的，须提供法定代表人授权委托书及被授权人身份证复印件；</w:t>
      </w:r>
    </w:p>
    <w:p>
      <w:pPr>
        <w:pStyle w:val="null3"/>
      </w:pPr>
      <w:r>
        <w:rPr>
          <w:rFonts w:ascii="仿宋_GB2312" w:hAnsi="仿宋_GB2312" w:cs="仿宋_GB2312" w:eastAsia="仿宋_GB2312"/>
        </w:rPr>
        <w:t>2、信用查询：供应商的信用记录须符合财库[2016]125号文《财政部关于在政府采购活动中查询及使用信用记录有关问题的通知》的规定。供应商被“信用中国”网站列入失信被执行人、重大税收违法案件当事人名单的,投标人被“中国政府采购网”网站列入政府采购严重违法失信名单的，不得参与本项目投标；</w:t>
      </w:r>
    </w:p>
    <w:p>
      <w:pPr>
        <w:pStyle w:val="null3"/>
      </w:pPr>
      <w:r>
        <w:rPr>
          <w:rFonts w:ascii="仿宋_GB2312" w:hAnsi="仿宋_GB2312" w:cs="仿宋_GB2312" w:eastAsia="仿宋_GB2312"/>
        </w:rPr>
        <w:t>3、联合体：本项目不接受联合体，提供书面承诺。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029-89625310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采购包1：416,400.00元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采购包1：416,400.00元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代理服务费收费标准：代理服务费以本采购项目中标价为计算基数，按国家计委关于印发《招标代理服务收费管理暂行办法》的通知（计价格[2002]1980号）规定计取；在领取中标通知书时一次性付清。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西安市碑林区财政局</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按照全市财政组建财政专网的要求，为进一步做好碑林区 2025年财政信息化工作 ，开展2025年财政专网线路租赁服务工作。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416,400.00</w:t>
      </w:r>
    </w:p>
    <w:p>
      <w:pPr>
        <w:pStyle w:val="null3"/>
      </w:pPr>
      <w:r>
        <w:rPr>
          <w:rFonts w:ascii="仿宋_GB2312" w:hAnsi="仿宋_GB2312" w:cs="仿宋_GB2312" w:eastAsia="仿宋_GB2312"/>
        </w:rPr>
        <w:t>采购包最高限价（元）: 416,400.00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1.为满足采购人组建业务专网的需求，为采购人提供如下服务:</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服务内容</w:t>
                  </w:r>
                </w:p>
              </w:tc>
              <w:tc>
                <w:tcPr>
                  <w:tcW w:type="dxa" w:w="465"/>
                </w:tcPr>
                <w:p>
                  <w:pPr>
                    <w:pStyle w:val="null3"/>
                  </w:pPr>
                  <w:r>
                    <w:rPr>
                      <w:rFonts w:ascii="仿宋_GB2312" w:hAnsi="仿宋_GB2312" w:cs="仿宋_GB2312" w:eastAsia="仿宋_GB2312"/>
                    </w:rPr>
                    <w:t>业务种类</w:t>
                  </w:r>
                </w:p>
              </w:tc>
              <w:tc>
                <w:tcPr>
                  <w:tcW w:type="dxa" w:w="465"/>
                </w:tcPr>
                <w:p>
                  <w:pPr>
                    <w:pStyle w:val="null3"/>
                  </w:pPr>
                  <w:r>
                    <w:rPr>
                      <w:rFonts w:ascii="仿宋_GB2312" w:hAnsi="仿宋_GB2312" w:cs="仿宋_GB2312" w:eastAsia="仿宋_GB2312"/>
                    </w:rPr>
                    <w:t>带宽</w:t>
                  </w:r>
                </w:p>
              </w:tc>
              <w:tc>
                <w:tcPr>
                  <w:tcW w:type="dxa" w:w="465"/>
                </w:tcPr>
                <w:p>
                  <w:pPr>
                    <w:pStyle w:val="null3"/>
                  </w:pPr>
                  <w:r>
                    <w:rPr>
                      <w:rFonts w:ascii="仿宋_GB2312" w:hAnsi="仿宋_GB2312" w:cs="仿宋_GB2312" w:eastAsia="仿宋_GB2312"/>
                    </w:rPr>
                    <w:t>数量</w:t>
                  </w:r>
                </w:p>
              </w:tc>
            </w:tr>
            <w:tr>
              <w:tc>
                <w:tcPr>
                  <w:tcW w:type="dxa" w:w="465"/>
                </w:tcPr>
                <w:p>
                  <w:pPr>
                    <w:pStyle w:val="null3"/>
                  </w:pPr>
                  <w:r>
                    <w:rPr>
                      <w:rFonts w:ascii="仿宋_GB2312" w:hAnsi="仿宋_GB2312" w:cs="仿宋_GB2312" w:eastAsia="仿宋_GB2312"/>
                    </w:rPr>
                    <w:t>数据传输</w:t>
                  </w:r>
                </w:p>
              </w:tc>
              <w:tc>
                <w:tcPr>
                  <w:tcW w:type="dxa" w:w="465"/>
                </w:tcPr>
                <w:p>
                  <w:pPr>
                    <w:pStyle w:val="null3"/>
                  </w:pPr>
                  <w:r>
                    <w:rPr>
                      <w:rFonts w:ascii="仿宋_GB2312" w:hAnsi="仿宋_GB2312" w:cs="仿宋_GB2312" w:eastAsia="仿宋_GB2312"/>
                    </w:rPr>
                    <w:t>数字电路</w:t>
                  </w:r>
                </w:p>
              </w:tc>
              <w:tc>
                <w:tcPr>
                  <w:tcW w:type="dxa" w:w="465"/>
                </w:tcPr>
                <w:p>
                  <w:pPr>
                    <w:pStyle w:val="null3"/>
                  </w:pPr>
                  <w:r>
                    <w:rPr>
                      <w:rFonts w:ascii="仿宋_GB2312" w:hAnsi="仿宋_GB2312" w:cs="仿宋_GB2312" w:eastAsia="仿宋_GB2312"/>
                    </w:rPr>
                    <w:t>10M</w:t>
                  </w:r>
                </w:p>
              </w:tc>
              <w:tc>
                <w:tcPr>
                  <w:tcW w:type="dxa" w:w="465"/>
                </w:tcPr>
                <w:p>
                  <w:pPr>
                    <w:pStyle w:val="null3"/>
                  </w:pPr>
                  <w:r>
                    <w:rPr>
                      <w:rFonts w:ascii="仿宋_GB2312" w:hAnsi="仿宋_GB2312" w:cs="仿宋_GB2312" w:eastAsia="仿宋_GB2312"/>
                    </w:rPr>
                    <w:t>114</w:t>
                  </w:r>
                </w:p>
              </w:tc>
            </w:tr>
          </w:tbl>
          <w:p>
            <w:pPr>
              <w:pStyle w:val="null3"/>
            </w:pPr>
            <w:r>
              <w:rPr>
                <w:rFonts w:ascii="仿宋_GB2312" w:hAnsi="仿宋_GB2312" w:cs="仿宋_GB2312" w:eastAsia="仿宋_GB2312"/>
              </w:rPr>
              <w:t>2. 计费线路条数按照实际线路条数为准</w:t>
            </w:r>
            <w:r>
              <w:br/>
            </w:r>
            <w:r>
              <w:rPr>
                <w:rFonts w:ascii="仿宋_GB2312" w:hAnsi="仿宋_GB2312" w:cs="仿宋_GB2312" w:eastAsia="仿宋_GB2312"/>
              </w:rPr>
              <w:t xml:space="preserve"> 3.在采购人规划的联网范围内,提供光纤线路的接入、数字电路及互联网专线的设置</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1.负责设计、安装线路，保证光纤线路运行的稳定、可靠和安全,保证所提供的带宽等技术指标符合电信行业技术规定。</w:t>
            </w:r>
            <w:r>
              <w:br/>
            </w:r>
            <w:r>
              <w:rPr>
                <w:rFonts w:ascii="仿宋_GB2312" w:hAnsi="仿宋_GB2312" w:cs="仿宋_GB2312" w:eastAsia="仿宋_GB2312"/>
              </w:rPr>
              <w:t xml:space="preserve"> 2.免费向采购人提供采购人中心机房和需要接入单位到服务方传输网络的光纤接入线路及相关设备。</w:t>
            </w:r>
            <w:r>
              <w:br/>
            </w:r>
            <w:r>
              <w:rPr>
                <w:rFonts w:ascii="仿宋_GB2312" w:hAnsi="仿宋_GB2312" w:cs="仿宋_GB2312" w:eastAsia="仿宋_GB2312"/>
              </w:rPr>
              <w:t xml:space="preserve"> 3.接到采购人要求开通线路的当日起，30工作日内向采购人需联网单位开通线路；</w:t>
            </w:r>
          </w:p>
          <w:p>
            <w:pPr>
              <w:pStyle w:val="null3"/>
            </w:pPr>
            <w:r>
              <w:rPr>
                <w:rFonts w:ascii="仿宋_GB2312" w:hAnsi="仿宋_GB2312" w:cs="仿宋_GB2312" w:eastAsia="仿宋_GB2312"/>
              </w:rPr>
              <w:t>4.负责采购人各接入节点(含采购人核心机房)接入设备的配置及维保等服务。</w:t>
            </w:r>
            <w:r>
              <w:br/>
            </w:r>
            <w:r>
              <w:rPr>
                <w:rFonts w:ascii="仿宋_GB2312" w:hAnsi="仿宋_GB2312" w:cs="仿宋_GB2312" w:eastAsia="仿宋_GB2312"/>
              </w:rPr>
              <w:t xml:space="preserve"> 5.为采购人提供线路的运行维护保证，接到采购人线路和设备故障投诉时,保证按照国家有关电路传输维护规程中通信电路修复时限要求及本协议服务保障条款恢复采购人的通信。</w:t>
            </w:r>
            <w:r>
              <w:br/>
            </w:r>
            <w:r>
              <w:rPr>
                <w:rFonts w:ascii="仿宋_GB2312" w:hAnsi="仿宋_GB2312" w:cs="仿宋_GB2312" w:eastAsia="仿宋_GB2312"/>
              </w:rPr>
              <w:t xml:space="preserve"> 6.严格遵守国家信息网络安全和保密规定，并承担由此造成的法律责任。</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服务保障</w:t>
            </w:r>
          </w:p>
        </w:tc>
        <w:tc>
          <w:tcPr>
            <w:tcW w:type="dxa" w:w="2076"/>
          </w:tcPr>
          <w:p>
            <w:pPr>
              <w:pStyle w:val="null3"/>
            </w:pPr>
            <w:r>
              <w:rPr>
                <w:rFonts w:ascii="仿宋_GB2312" w:hAnsi="仿宋_GB2312" w:cs="仿宋_GB2312" w:eastAsia="仿宋_GB2312"/>
              </w:rPr>
              <w:t>1.承诺遵照《中华人民共和国电信条例》履行服务。</w:t>
            </w:r>
          </w:p>
          <w:p>
            <w:pPr>
              <w:pStyle w:val="null3"/>
            </w:pPr>
            <w:r>
              <w:rPr>
                <w:rFonts w:ascii="仿宋_GB2312" w:hAnsi="仿宋_GB2312" w:cs="仿宋_GB2312" w:eastAsia="仿宋_GB2312"/>
              </w:rPr>
              <w:t>2.承诺除不可抗力外，线路出现故障后，4小时内响应再开通时间不超过48小时。</w:t>
            </w:r>
            <w:r>
              <w:br/>
            </w:r>
            <w:r>
              <w:rPr>
                <w:rFonts w:ascii="仿宋_GB2312" w:hAnsi="仿宋_GB2312" w:cs="仿宋_GB2312" w:eastAsia="仿宋_GB2312"/>
              </w:rPr>
              <w:t xml:space="preserve"> 3.对设备进行维护时，如会中断通信，应提前24小时通知采购 人。</w:t>
            </w:r>
            <w:r>
              <w:br/>
            </w:r>
            <w:r>
              <w:rPr>
                <w:rFonts w:ascii="仿宋_GB2312" w:hAnsi="仿宋_GB2312" w:cs="仿宋_GB2312" w:eastAsia="仿宋_GB2312"/>
              </w:rPr>
              <w:t xml:space="preserve"> 在接到采购人要求断开某一用户的正式(书面)通知后，须在四小时内完成断开电路的相应工作。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满足采购文件全部服务内容及服务要求。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满足采购文件全部服务内容及服务要求。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服务完成，甲方收到乙方开具的发票后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1、提供有效合格的社会统一信用代码的营业执照，其他组织经营的须提供合法凭证，自然人的提供身份证明文件； 2、税收缴纳证明:提供投标截至日期前6个月内任意一个月的完税凭证或税务机关开具的完税证明(任意税种);依法免税的应提供相关文件证明; 3、社会保障资金缴纳证明:提供投标截止日期前6个月内任意一个月的社会保障资金缴存单据或社保机构开具的社会保险参保缴费情况证明;依法不需要缴纳社会保障资金的应提供相关文件证明; 4、提供参加政府采购活动近三年内在经营活动中没有重大违法记录的书面声明; 5、提供具有履行合同所必需的设备和专业技术能力的承诺书;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法定代表人参加投标的，须提供法定代表人身份证明及身份证复印件;法定代表人授权他人参加投标的，须提供法定代表人授权委托书及被授权人身份证复印件；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投标人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本项目不接受联合体，提供书面承诺。</w:t>
            </w:r>
          </w:p>
        </w:tc>
        <w:tc>
          <w:tcPr>
            <w:tcW w:type="dxa" w:w="1661"/>
          </w:tcPr>
          <w:p>
            <w:pPr>
              <w:pStyle w:val="null3"/>
            </w:pPr>
            <w:r>
              <w:rPr>
                <w:rFonts w:ascii="仿宋_GB2312" w:hAnsi="仿宋_GB2312" w:cs="仿宋_GB2312" w:eastAsia="仿宋_GB2312"/>
              </w:rPr>
              <w:t>供应商应提交的资格证明材料.docx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投标人按照招标文件要求上传投标响应文件</w:t>
            </w:r>
          </w:p>
        </w:tc>
        <w:tc>
          <w:tcPr>
            <w:tcW w:type="dxa" w:w="1661"/>
          </w:tcPr>
          <w:p>
            <w:pPr>
              <w:pStyle w:val="null3"/>
            </w:pPr>
            <w:r>
              <w:rPr>
                <w:rFonts w:ascii="仿宋_GB2312" w:hAnsi="仿宋_GB2312" w:cs="仿宋_GB2312" w:eastAsia="仿宋_GB2312"/>
              </w:rPr>
              <w:t>响应文件封面 业绩.docx 供应商应提交的资格证明材料.docx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投标人按照招标文件要求上传投标响应文件</w:t>
            </w:r>
          </w:p>
        </w:tc>
        <w:tc>
          <w:tcPr>
            <w:tcW w:type="dxa" w:w="1661"/>
          </w:tcPr>
          <w:p>
            <w:pPr>
              <w:pStyle w:val="null3"/>
            </w:pPr>
            <w:r>
              <w:rPr>
                <w:rFonts w:ascii="仿宋_GB2312" w:hAnsi="仿宋_GB2312" w:cs="仿宋_GB2312" w:eastAsia="仿宋_GB2312"/>
              </w:rPr>
              <w:t>响应文件封面 业绩.docx 供应商应提交的资格证明材料.docx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1.响应文件的签署盖章：响应文件上法定代表人或被授权人的签字齐全并加盖公章。 2.响应文件格式：应符合“响应文件格式”要求。 3.报价唯一：只能有一个有效报价，不得提交选择性报价，且报价不超过采购预算金额或最高限价。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业绩.docx 供应商应提交的资格证明材料.docx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 xml:space="preserve"> 投标响应文件内容齐全、无遗漏。</w:t>
            </w:r>
          </w:p>
        </w:tc>
        <w:tc>
          <w:tcPr>
            <w:tcW w:type="dxa" w:w="1661"/>
          </w:tcPr>
          <w:p>
            <w:pPr>
              <w:pStyle w:val="null3"/>
            </w:pPr>
            <w:r>
              <w:rPr>
                <w:rFonts w:ascii="仿宋_GB2312" w:hAnsi="仿宋_GB2312" w:cs="仿宋_GB2312" w:eastAsia="仿宋_GB2312"/>
              </w:rPr>
              <w:t>响应文件封面 业绩.docx 供应商应提交的资格证明材料.docx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1.对招标文件响应程度：要求实质性条款全部响应，不能有采购人不能接受的附加条件。 2.服务期：应满足招标文件中要求服务期。 3.投标有效期：应满足招标文件中的规定。</w:t>
            </w:r>
          </w:p>
        </w:tc>
        <w:tc>
          <w:tcPr>
            <w:tcW w:type="dxa" w:w="1661"/>
          </w:tcPr>
          <w:p>
            <w:pPr>
              <w:pStyle w:val="null3"/>
            </w:pPr>
            <w:r>
              <w:rPr>
                <w:rFonts w:ascii="仿宋_GB2312" w:hAnsi="仿宋_GB2312" w:cs="仿宋_GB2312" w:eastAsia="仿宋_GB2312"/>
              </w:rPr>
              <w:t>响应文件封面 业绩.docx 供应商应提交的资格证明材料.docx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