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98D0B">
      <w:pPr>
        <w:widowControl w:val="0"/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snapToGrid w:val="0"/>
          <w:color w:val="auto"/>
          <w:kern w:val="0"/>
          <w:sz w:val="28"/>
          <w:szCs w:val="28"/>
          <w:highlight w:val="none"/>
          <w:lang w:val="en-US" w:eastAsia="zh-CN" w:bidi="ar-SA"/>
        </w:rPr>
        <w:t>1、</w:t>
      </w:r>
      <w:r>
        <w:rPr>
          <w:rFonts w:hint="eastAsia" w:ascii="宋体" w:hAnsi="宋体" w:eastAsia="宋体" w:cs="微软雅黑"/>
          <w:b/>
          <w:snapToGrid w:val="0"/>
          <w:color w:val="auto"/>
          <w:spacing w:val="-2"/>
          <w:kern w:val="0"/>
          <w:sz w:val="28"/>
          <w:szCs w:val="28"/>
          <w:highlight w:val="none"/>
          <w:lang w:val="en-US" w:eastAsia="zh-CN" w:bidi="ar-SA"/>
        </w:rPr>
        <w:t>分</w:t>
      </w:r>
      <w:r>
        <w:rPr>
          <w:rFonts w:hint="eastAsia" w:ascii="宋体" w:hAnsi="宋体" w:eastAsia="宋体" w:cs="微软雅黑"/>
          <w:b/>
          <w:snapToGrid w:val="0"/>
          <w:color w:val="auto"/>
          <w:kern w:val="0"/>
          <w:sz w:val="28"/>
          <w:szCs w:val="28"/>
          <w:highlight w:val="none"/>
          <w:lang w:val="en-US" w:eastAsia="zh-CN" w:bidi="ar-SA"/>
        </w:rPr>
        <w:t>项</w:t>
      </w:r>
      <w:r>
        <w:rPr>
          <w:rFonts w:hint="eastAsia" w:ascii="宋体" w:hAnsi="宋体" w:eastAsia="宋体" w:cs="微软雅黑"/>
          <w:b/>
          <w:snapToGrid w:val="0"/>
          <w:color w:val="auto"/>
          <w:spacing w:val="-2"/>
          <w:kern w:val="0"/>
          <w:sz w:val="28"/>
          <w:szCs w:val="28"/>
          <w:highlight w:val="none"/>
          <w:lang w:val="en-US" w:eastAsia="zh-CN" w:bidi="ar-SA"/>
        </w:rPr>
        <w:t>报</w:t>
      </w:r>
      <w:r>
        <w:rPr>
          <w:rFonts w:hint="eastAsia" w:ascii="宋体" w:hAnsi="宋体" w:eastAsia="宋体" w:cs="微软雅黑"/>
          <w:b/>
          <w:snapToGrid w:val="0"/>
          <w:color w:val="auto"/>
          <w:kern w:val="0"/>
          <w:sz w:val="28"/>
          <w:szCs w:val="28"/>
          <w:highlight w:val="none"/>
          <w:lang w:val="en-US" w:eastAsia="zh-CN" w:bidi="ar-SA"/>
        </w:rPr>
        <w:t>价</w:t>
      </w:r>
      <w:r>
        <w:rPr>
          <w:rFonts w:hint="eastAsia" w:ascii="宋体" w:hAnsi="宋体" w:eastAsia="Arial" w:cs="微软雅黑"/>
          <w:b/>
          <w:snapToGrid w:val="0"/>
          <w:color w:val="auto"/>
          <w:kern w:val="0"/>
          <w:sz w:val="28"/>
          <w:szCs w:val="28"/>
          <w:highlight w:val="none"/>
          <w:lang w:val="en-US" w:eastAsia="zh-CN" w:bidi="ar-SA"/>
        </w:rPr>
        <w:t>明细</w:t>
      </w:r>
      <w:r>
        <w:rPr>
          <w:rFonts w:hint="eastAsia" w:ascii="宋体" w:hAnsi="宋体" w:eastAsia="宋体" w:cs="微软雅黑"/>
          <w:b/>
          <w:snapToGrid w:val="0"/>
          <w:color w:val="auto"/>
          <w:spacing w:val="-2"/>
          <w:kern w:val="0"/>
          <w:sz w:val="28"/>
          <w:szCs w:val="28"/>
          <w:highlight w:val="none"/>
          <w:lang w:val="en-US" w:eastAsia="zh-CN" w:bidi="ar-SA"/>
        </w:rPr>
        <w:t>表</w:t>
      </w:r>
      <w:r>
        <w:rPr>
          <w:rFonts w:hint="eastAsia" w:ascii="宋体" w:hAnsi="宋体" w:eastAsia="宋体" w:cs="微软雅黑"/>
          <w:b/>
          <w:snapToGrid w:val="0"/>
          <w:color w:val="auto"/>
          <w:kern w:val="0"/>
          <w:sz w:val="28"/>
          <w:szCs w:val="28"/>
          <w:highlight w:val="none"/>
          <w:lang w:val="en-US" w:eastAsia="zh-CN" w:bidi="ar-SA"/>
        </w:rPr>
        <w:t>说明</w:t>
      </w:r>
    </w:p>
    <w:p w14:paraId="0247C32C">
      <w:pPr>
        <w:widowControl w:val="0"/>
        <w:adjustRightInd w:val="0"/>
        <w:snapToGrid w:val="0"/>
        <w:spacing w:line="360" w:lineRule="auto"/>
        <w:jc w:val="both"/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  <w:t>备注：（1）本表应对应“开标一览表”。供应商如果不提供分项报价明细表，其投标无效。</w:t>
      </w:r>
    </w:p>
    <w:p w14:paraId="1754A930"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Times New Roman"/>
          <w:color w:val="auto"/>
          <w:kern w:val="2"/>
          <w:sz w:val="24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  <w:t>（2）不得填写“免费”或“赠与”，也不得进行“零”报价，否则投标无效。</w:t>
      </w:r>
    </w:p>
    <w:p w14:paraId="75AD6836"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Times New Roman"/>
          <w:color w:val="auto"/>
          <w:kern w:val="2"/>
          <w:sz w:val="24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  <w:t>（3）供应商在提交投标文件的截止时间前修改“开标一览表”中的投标报价的，本表相应内容应同时修改。否则，分项报价按投标报价修改的相同比例进行调整，其风险由供应商自已承担。</w:t>
      </w:r>
    </w:p>
    <w:p w14:paraId="52D51B26">
      <w:pPr>
        <w:widowControl w:val="0"/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Times New Roman"/>
          <w:b/>
          <w:color w:val="auto"/>
          <w:kern w:val="0"/>
          <w:position w:val="-3"/>
          <w:sz w:val="28"/>
          <w:szCs w:val="28"/>
          <w:highlight w:val="none"/>
          <w:lang w:val="en-US" w:eastAsia="zh-CN" w:bidi="ar-SA"/>
        </w:rPr>
      </w:pPr>
    </w:p>
    <w:p w14:paraId="09AB397D">
      <w:pPr>
        <w:widowControl w:val="0"/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color w:val="auto"/>
          <w:kern w:val="0"/>
          <w:position w:val="-3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snapToGrid w:val="0"/>
          <w:color w:val="auto"/>
          <w:kern w:val="0"/>
          <w:position w:val="-3"/>
          <w:sz w:val="28"/>
          <w:szCs w:val="28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微软雅黑"/>
          <w:b/>
          <w:snapToGrid w:val="0"/>
          <w:color w:val="auto"/>
          <w:spacing w:val="-2"/>
          <w:kern w:val="0"/>
          <w:position w:val="-3"/>
          <w:sz w:val="28"/>
          <w:szCs w:val="28"/>
          <w:highlight w:val="none"/>
          <w:lang w:val="en-US" w:eastAsia="zh-CN" w:bidi="ar-SA"/>
        </w:rPr>
        <w:t>分</w:t>
      </w:r>
      <w:r>
        <w:rPr>
          <w:rFonts w:hint="eastAsia" w:ascii="宋体" w:hAnsi="宋体" w:eastAsia="宋体" w:cs="微软雅黑"/>
          <w:b/>
          <w:snapToGrid w:val="0"/>
          <w:color w:val="auto"/>
          <w:kern w:val="0"/>
          <w:position w:val="-3"/>
          <w:sz w:val="28"/>
          <w:szCs w:val="28"/>
          <w:highlight w:val="none"/>
          <w:lang w:val="en-US" w:eastAsia="zh-CN" w:bidi="ar-SA"/>
        </w:rPr>
        <w:t>项</w:t>
      </w:r>
      <w:r>
        <w:rPr>
          <w:rFonts w:hint="eastAsia" w:ascii="宋体" w:hAnsi="宋体" w:eastAsia="宋体" w:cs="微软雅黑"/>
          <w:b/>
          <w:snapToGrid w:val="0"/>
          <w:color w:val="auto"/>
          <w:spacing w:val="-2"/>
          <w:kern w:val="0"/>
          <w:position w:val="-3"/>
          <w:sz w:val="28"/>
          <w:szCs w:val="28"/>
          <w:highlight w:val="none"/>
          <w:lang w:val="en-US" w:eastAsia="zh-CN" w:bidi="ar-SA"/>
        </w:rPr>
        <w:t>报</w:t>
      </w:r>
      <w:r>
        <w:rPr>
          <w:rFonts w:hint="eastAsia" w:ascii="宋体" w:hAnsi="宋体" w:eastAsia="宋体" w:cs="微软雅黑"/>
          <w:b/>
          <w:snapToGrid w:val="0"/>
          <w:color w:val="auto"/>
          <w:kern w:val="0"/>
          <w:position w:val="-3"/>
          <w:sz w:val="28"/>
          <w:szCs w:val="28"/>
          <w:highlight w:val="none"/>
          <w:lang w:val="en-US" w:eastAsia="zh-CN" w:bidi="ar-SA"/>
        </w:rPr>
        <w:t>价</w:t>
      </w:r>
      <w:r>
        <w:rPr>
          <w:rFonts w:hint="eastAsia" w:ascii="宋体" w:hAnsi="宋体" w:eastAsia="Arial" w:cs="微软雅黑"/>
          <w:b/>
          <w:snapToGrid w:val="0"/>
          <w:color w:val="auto"/>
          <w:kern w:val="0"/>
          <w:position w:val="-3"/>
          <w:sz w:val="28"/>
          <w:szCs w:val="28"/>
          <w:highlight w:val="none"/>
          <w:lang w:val="en-US" w:eastAsia="zh-CN" w:bidi="ar-SA"/>
        </w:rPr>
        <w:t>明细</w:t>
      </w:r>
      <w:r>
        <w:rPr>
          <w:rFonts w:hint="eastAsia" w:ascii="宋体" w:hAnsi="宋体" w:eastAsia="宋体" w:cs="微软雅黑"/>
          <w:b/>
          <w:snapToGrid w:val="0"/>
          <w:color w:val="auto"/>
          <w:kern w:val="0"/>
          <w:position w:val="-3"/>
          <w:sz w:val="28"/>
          <w:szCs w:val="28"/>
          <w:highlight w:val="none"/>
          <w:lang w:val="en-US" w:eastAsia="zh-CN" w:bidi="ar-SA"/>
        </w:rPr>
        <w:t>表</w:t>
      </w:r>
    </w:p>
    <w:p w14:paraId="60A8F37A">
      <w:pPr>
        <w:widowControl w:val="0"/>
        <w:adjustRightInd w:val="0"/>
        <w:snapToGrid w:val="0"/>
        <w:ind w:left="-88" w:leftChars="-42"/>
        <w:jc w:val="both"/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  <w:t>政府采购编号：                                  金额单位：人民币元</w:t>
      </w:r>
    </w:p>
    <w:tbl>
      <w:tblPr>
        <w:tblStyle w:val="2"/>
        <w:tblW w:w="860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2114"/>
        <w:gridCol w:w="1475"/>
        <w:gridCol w:w="1080"/>
        <w:gridCol w:w="1095"/>
        <w:gridCol w:w="1320"/>
        <w:gridCol w:w="720"/>
      </w:tblGrid>
      <w:tr w14:paraId="57784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  <w:jc w:val="center"/>
        </w:trPr>
        <w:tc>
          <w:tcPr>
            <w:tcW w:w="797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D3C5BA9">
            <w:pPr>
              <w:widowControl w:val="0"/>
              <w:jc w:val="center"/>
              <w:rPr>
                <w:rFonts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11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6BCADBF">
            <w:pPr>
              <w:widowControl w:val="0"/>
              <w:jc w:val="center"/>
              <w:rPr>
                <w:rFonts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分项名称</w:t>
            </w:r>
          </w:p>
        </w:tc>
        <w:tc>
          <w:tcPr>
            <w:tcW w:w="1475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95C9C83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单项服务费</w:t>
            </w:r>
          </w:p>
          <w:p w14:paraId="598DF4E6">
            <w:pPr>
              <w:widowControl w:val="0"/>
              <w:jc w:val="center"/>
              <w:rPr>
                <w:rFonts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（元/月）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4ACD2AA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数量</w:t>
            </w:r>
          </w:p>
          <w:p w14:paraId="6D7AF591">
            <w:pPr>
              <w:widowControl w:val="0"/>
              <w:jc w:val="center"/>
              <w:rPr>
                <w:rFonts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（个）</w:t>
            </w:r>
          </w:p>
        </w:tc>
        <w:tc>
          <w:tcPr>
            <w:tcW w:w="1095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E81AF8F">
            <w:pPr>
              <w:widowControl w:val="0"/>
              <w:jc w:val="center"/>
              <w:rPr>
                <w:rFonts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服务期限（月）</w:t>
            </w:r>
          </w:p>
        </w:tc>
        <w:tc>
          <w:tcPr>
            <w:tcW w:w="132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0BABEE0">
            <w:pPr>
              <w:widowControl w:val="0"/>
              <w:jc w:val="center"/>
              <w:rPr>
                <w:rFonts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小计（元）</w:t>
            </w:r>
          </w:p>
        </w:tc>
        <w:tc>
          <w:tcPr>
            <w:tcW w:w="72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center"/>
          </w:tcPr>
          <w:p w14:paraId="76E18B6A">
            <w:pPr>
              <w:widowControl w:val="0"/>
              <w:jc w:val="center"/>
              <w:rPr>
                <w:rFonts w:ascii="Calibri" w:hAnsi="Calibri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5C34E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797" w:type="dxa"/>
            <w:tcBorders>
              <w:top w:val="single" w:color="auto" w:sz="6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F034288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0C9854B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临床医疗辅助服务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AE64CB3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4443E8E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B9965ED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top"/>
          </w:tcPr>
          <w:p w14:paraId="3CDE8A2C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top"/>
          </w:tcPr>
          <w:p w14:paraId="5657E935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1C259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035C94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A5CD76C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临床护理辅助服务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482BBA4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06594CB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639FB19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top"/>
          </w:tcPr>
          <w:p w14:paraId="0E2BB159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top"/>
          </w:tcPr>
          <w:p w14:paraId="34693967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202E0D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24F9B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5E5FF35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心理咨询辅助服务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3DF3515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083B172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12333E1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top"/>
          </w:tcPr>
          <w:p w14:paraId="155231D7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top"/>
          </w:tcPr>
          <w:p w14:paraId="773E5BA8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71CB67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797" w:type="dxa"/>
            <w:tcBorders>
              <w:top w:val="sing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973BB2B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2E20CC5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公共卫生辅助服务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024B34A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9C93459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9E65C97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top"/>
          </w:tcPr>
          <w:p w14:paraId="1FACAA71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top"/>
          </w:tcPr>
          <w:p w14:paraId="0611CC12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6D7D7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79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E7B4B34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E4851EB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康复治疗辅助服务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56CA960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C009D32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B82114A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top"/>
          </w:tcPr>
          <w:p w14:paraId="7BFD02BB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top"/>
          </w:tcPr>
          <w:p w14:paraId="1C46A90B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434B4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79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5D174A8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F323A89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值班加班费</w:t>
            </w:r>
          </w:p>
        </w:tc>
        <w:tc>
          <w:tcPr>
            <w:tcW w:w="56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center"/>
          </w:tcPr>
          <w:p w14:paraId="7F0C9320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40200(按实结算）</w:t>
            </w:r>
          </w:p>
        </w:tc>
      </w:tr>
      <w:tr w14:paraId="4BB05F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exact"/>
          <w:jc w:val="center"/>
        </w:trPr>
        <w:tc>
          <w:tcPr>
            <w:tcW w:w="797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5744920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A77A41">
            <w:pPr>
              <w:widowControl w:val="0"/>
              <w:jc w:val="both"/>
              <w:rPr>
                <w:rFonts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56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/>
            <w:vAlign w:val="center"/>
          </w:tcPr>
          <w:p w14:paraId="483C1DD6">
            <w:pPr>
              <w:widowControl w:val="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大写：</w:t>
            </w:r>
          </w:p>
          <w:p w14:paraId="47E5F6B3">
            <w:pPr>
              <w:keepNext/>
              <w:keepLines/>
              <w:widowControl w:val="0"/>
              <w:spacing w:before="260" w:after="260" w:line="416" w:lineRule="auto"/>
              <w:jc w:val="both"/>
              <w:outlineLvl w:val="2"/>
              <w:rPr>
                <w:rFonts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bookmarkStart w:id="0" w:name="_Toc256000027"/>
            <w:r>
              <w:rPr>
                <w:rFonts w:hint="eastAsia" w:ascii="宋体" w:hAnsi="宋体" w:eastAsia="宋体" w:cs="Times New Roman"/>
                <w:b w:val="0"/>
                <w:bCs w:val="0"/>
                <w:snapToGrid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小写：</w:t>
            </w:r>
            <w:bookmarkEnd w:id="0"/>
          </w:p>
        </w:tc>
      </w:tr>
    </w:tbl>
    <w:p w14:paraId="5BC47E81">
      <w:pPr>
        <w:widowControl w:val="0"/>
        <w:adjustRightInd w:val="0"/>
        <w:snapToGrid w:val="0"/>
        <w:spacing w:line="360" w:lineRule="auto"/>
        <w:jc w:val="both"/>
        <w:rPr>
          <w:rFonts w:ascii="宋体" w:hAnsi="宋体" w:eastAsia="宋体" w:cs="Times New Roman"/>
          <w:color w:val="auto"/>
          <w:kern w:val="2"/>
          <w:sz w:val="24"/>
          <w:szCs w:val="21"/>
          <w:highlight w:val="none"/>
          <w:lang w:val="en-US" w:eastAsia="zh-CN" w:bidi="ar-SA"/>
        </w:rPr>
      </w:pPr>
    </w:p>
    <w:p w14:paraId="68DADE67">
      <w:pPr>
        <w:widowControl w:val="0"/>
        <w:adjustRightInd w:val="0"/>
        <w:snapToGrid w:val="0"/>
        <w:spacing w:line="360" w:lineRule="auto"/>
        <w:jc w:val="both"/>
        <w:rPr>
          <w:rFonts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  <w:t>投标人名称（盖单位章）：</w:t>
      </w:r>
    </w:p>
    <w:p w14:paraId="142DDFB5">
      <w:pPr>
        <w:widowControl w:val="0"/>
        <w:adjustRightInd w:val="0"/>
        <w:snapToGrid w:val="0"/>
        <w:spacing w:line="360" w:lineRule="auto"/>
        <w:jc w:val="both"/>
        <w:rPr>
          <w:rFonts w:ascii="宋体" w:hAnsi="宋体" w:eastAsia="宋体" w:cs="Times New Roman"/>
          <w:color w:val="auto"/>
          <w:kern w:val="2"/>
          <w:sz w:val="24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  <w:t>日期： 年  月 日</w:t>
      </w:r>
    </w:p>
    <w:p w14:paraId="7C62383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52837"/>
    <w:rsid w:val="5965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2025-04-14T09:21:00Z</dcterms:created>
  <dc:creator>Administrator</dc:creator>
  <cp:lastModifiedBy>Administrator</cp:lastModifiedBy>
  <dcterms:modified xsi:type="dcterms:W3CDTF">2025-04-14T09:22:10Z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2089EF0F45714A71BFBD801003F0C3A2_11</vt:lpwstr>
  </property>
  <property fmtid="{D5CDD505-2E9C-101B-9397-08002B2CF9AE}" pid="4" name="KSOTemplateDocerSaveRecord">
    <vt:lpwstr>eyJoZGlkIjoiNzk4Y2Q5YmQ3MWYyZWRkNjdmMTAxNTAxNmIyMjdkYjciLCJ1c2VySWQiOiIyNTAwODA0NTYifQ==</vt:lpwstr>
  </property>
</Properties>
</file>