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E8424">
      <w:pPr>
        <w:pStyle w:val="3"/>
        <w:ind w:left="-178" w:leftChars="-85" w:right="-174" w:rightChars="-83"/>
        <w:jc w:val="center"/>
        <w:rPr>
          <w:rFonts w:hint="eastAsia" w:ascii="方正小标宋简体" w:hAnsi="方正小标宋简体" w:eastAsia="方正小标宋简体" w:cs="方正小标宋简体"/>
          <w:b w:val="0"/>
          <w:bCs/>
          <w:color w:val="auto"/>
          <w:sz w:val="44"/>
          <w:szCs w:val="44"/>
          <w:highlight w:val="none"/>
        </w:rPr>
      </w:pPr>
      <w:bookmarkStart w:id="36" w:name="_GoBack"/>
      <w:r>
        <w:rPr>
          <w:rFonts w:hint="eastAsia" w:ascii="方正小标宋简体" w:hAnsi="方正小标宋简体" w:eastAsia="方正小标宋简体" w:cs="方正小标宋简体"/>
          <w:b w:val="0"/>
          <w:bCs/>
          <w:color w:val="auto"/>
          <w:sz w:val="44"/>
          <w:szCs w:val="44"/>
          <w:highlight w:val="none"/>
          <w:lang w:eastAsia="zh-CN"/>
        </w:rPr>
        <w:t>2025年度市政维修所需石材栏杆等材料采购</w:t>
      </w:r>
      <w:r>
        <w:rPr>
          <w:rFonts w:hint="eastAsia" w:ascii="方正小标宋简体" w:hAnsi="方正小标宋简体" w:eastAsia="方正小标宋简体" w:cs="方正小标宋简体"/>
          <w:b w:val="0"/>
          <w:bCs/>
          <w:color w:val="auto"/>
          <w:sz w:val="44"/>
          <w:szCs w:val="44"/>
          <w:highlight w:val="none"/>
        </w:rPr>
        <w:t>合同</w:t>
      </w:r>
    </w:p>
    <w:p w14:paraId="1C5DE8C6">
      <w:pPr>
        <w:ind w:left="1"/>
        <w:jc w:val="right"/>
        <w:rPr>
          <w:rFonts w:hint="eastAsia" w:ascii="宋体" w:hAnsi="宋体" w:eastAsia="宋体" w:cs="宋体"/>
          <w:b/>
          <w:color w:val="auto"/>
          <w:sz w:val="52"/>
          <w:szCs w:val="20"/>
          <w:highlight w:val="none"/>
        </w:rPr>
      </w:pPr>
    </w:p>
    <w:p w14:paraId="7957DA79">
      <w:pPr>
        <w:rPr>
          <w:rFonts w:hint="eastAsia" w:ascii="宋体" w:hAnsi="宋体" w:eastAsia="宋体" w:cs="宋体"/>
          <w:color w:val="auto"/>
          <w:highlight w:val="none"/>
        </w:rPr>
      </w:pPr>
    </w:p>
    <w:p w14:paraId="3E265DA3">
      <w:pPr>
        <w:rPr>
          <w:rFonts w:hint="eastAsia" w:ascii="宋体" w:hAnsi="宋体" w:eastAsia="宋体" w:cs="宋体"/>
          <w:color w:val="auto"/>
          <w:highlight w:val="none"/>
        </w:rPr>
      </w:pPr>
    </w:p>
    <w:p w14:paraId="5D647FF5">
      <w:pPr>
        <w:rPr>
          <w:rFonts w:hint="eastAsia" w:ascii="宋体" w:hAnsi="宋体" w:eastAsia="宋体" w:cs="宋体"/>
          <w:color w:val="auto"/>
          <w:highlight w:val="none"/>
        </w:rPr>
      </w:pPr>
    </w:p>
    <w:p w14:paraId="4D1BBC65">
      <w:pPr>
        <w:rPr>
          <w:rFonts w:hint="eastAsia" w:ascii="宋体" w:hAnsi="宋体" w:eastAsia="宋体" w:cs="宋体"/>
          <w:color w:val="auto"/>
          <w:highlight w:val="none"/>
        </w:rPr>
      </w:pPr>
    </w:p>
    <w:p w14:paraId="6CBA1D69">
      <w:pPr>
        <w:rPr>
          <w:rFonts w:hint="eastAsia" w:ascii="宋体" w:hAnsi="宋体" w:eastAsia="宋体" w:cs="宋体"/>
          <w:color w:val="auto"/>
          <w:highlight w:val="none"/>
        </w:rPr>
      </w:pPr>
    </w:p>
    <w:p w14:paraId="2DB1EF69">
      <w:pPr>
        <w:rPr>
          <w:rFonts w:hint="eastAsia" w:ascii="宋体" w:hAnsi="宋体" w:eastAsia="宋体" w:cs="宋体"/>
          <w:color w:val="auto"/>
          <w:highlight w:val="none"/>
        </w:rPr>
      </w:pPr>
    </w:p>
    <w:p w14:paraId="2B9BDEE4">
      <w:pPr>
        <w:ind w:firstLine="1280" w:firstLineChars="400"/>
        <w:rPr>
          <w:rFonts w:hint="eastAsia" w:ascii="楷体_GB2312" w:hAnsi="楷体_GB2312" w:eastAsia="楷体_GB2312" w:cs="楷体_GB2312"/>
          <w:color w:val="auto"/>
          <w:spacing w:val="-20"/>
          <w:sz w:val="32"/>
          <w:szCs w:val="32"/>
          <w:highlight w:val="none"/>
          <w:u w:val="single"/>
          <w:lang w:eastAsia="zh-CN"/>
        </w:rPr>
      </w:pPr>
      <w:r>
        <w:rPr>
          <w:rFonts w:hint="eastAsia" w:ascii="楷体_GB2312" w:hAnsi="楷体_GB2312" w:eastAsia="楷体_GB2312" w:cs="楷体_GB2312"/>
          <w:color w:val="auto"/>
          <w:sz w:val="32"/>
          <w:szCs w:val="32"/>
          <w:highlight w:val="none"/>
        </w:rPr>
        <w:t>项目名称：</w:t>
      </w:r>
      <w:r>
        <w:rPr>
          <w:rFonts w:hint="eastAsia" w:ascii="楷体_GB2312" w:hAnsi="楷体_GB2312" w:eastAsia="楷体_GB2312" w:cs="楷体_GB2312"/>
          <w:color w:val="auto"/>
          <w:sz w:val="32"/>
          <w:szCs w:val="32"/>
          <w:highlight w:val="none"/>
          <w:u w:val="single"/>
          <w:lang w:eastAsia="zh-CN"/>
        </w:rPr>
        <w:t>2025年度市政维修所需石材栏杆等材料等采购</w:t>
      </w:r>
    </w:p>
    <w:p w14:paraId="72DB093A">
      <w:pPr>
        <w:ind w:left="2240" w:hanging="2240" w:hangingChars="7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 xml:space="preserve"> </w:t>
      </w:r>
    </w:p>
    <w:p w14:paraId="1E887757">
      <w:pPr>
        <w:ind w:firstLine="1280" w:firstLineChars="400"/>
        <w:rPr>
          <w:rFonts w:hint="eastAsia" w:ascii="楷体_GB2312" w:hAnsi="楷体_GB2312" w:eastAsia="楷体_GB2312" w:cs="楷体_GB2312"/>
          <w:color w:val="auto"/>
          <w:sz w:val="32"/>
          <w:szCs w:val="32"/>
          <w:highlight w:val="none"/>
          <w:u w:val="single"/>
        </w:rPr>
      </w:pPr>
      <w:r>
        <w:rPr>
          <w:rFonts w:hint="eastAsia" w:ascii="楷体_GB2312" w:hAnsi="楷体_GB2312" w:eastAsia="楷体_GB2312" w:cs="楷体_GB2312"/>
          <w:color w:val="auto"/>
          <w:sz w:val="32"/>
          <w:szCs w:val="32"/>
          <w:highlight w:val="none"/>
        </w:rPr>
        <w:t>采 购 人：</w:t>
      </w:r>
      <w:r>
        <w:rPr>
          <w:rFonts w:hint="eastAsia" w:ascii="楷体_GB2312" w:hAnsi="楷体_GB2312" w:eastAsia="楷体_GB2312" w:cs="楷体_GB2312"/>
          <w:color w:val="auto"/>
          <w:sz w:val="32"/>
          <w:szCs w:val="32"/>
          <w:highlight w:val="none"/>
          <w:u w:val="single"/>
        </w:rPr>
        <w:t xml:space="preserve">  眉山市市政设施管理处  </w:t>
      </w:r>
    </w:p>
    <w:p w14:paraId="7D44DAE6">
      <w:pPr>
        <w:rPr>
          <w:rFonts w:hint="eastAsia" w:ascii="楷体_GB2312" w:hAnsi="楷体_GB2312" w:eastAsia="楷体_GB2312" w:cs="楷体_GB2312"/>
          <w:color w:val="auto"/>
          <w:sz w:val="32"/>
          <w:szCs w:val="32"/>
          <w:highlight w:val="none"/>
        </w:rPr>
      </w:pPr>
    </w:p>
    <w:p w14:paraId="059DB0FE">
      <w:pPr>
        <w:ind w:firstLine="1280" w:firstLineChars="400"/>
        <w:rPr>
          <w:rFonts w:hint="eastAsia" w:ascii="楷体_GB2312" w:hAnsi="楷体_GB2312" w:eastAsia="楷体_GB2312" w:cs="楷体_GB2312"/>
          <w:color w:val="auto"/>
          <w:sz w:val="32"/>
          <w:szCs w:val="32"/>
          <w:highlight w:val="none"/>
          <w:u w:val="single"/>
          <w:lang w:val="en-US" w:eastAsia="zh-CN"/>
        </w:rPr>
      </w:pPr>
      <w:r>
        <w:rPr>
          <w:rFonts w:hint="eastAsia" w:ascii="楷体_GB2312" w:hAnsi="楷体_GB2312" w:eastAsia="楷体_GB2312" w:cs="楷体_GB2312"/>
          <w:color w:val="auto"/>
          <w:sz w:val="32"/>
          <w:szCs w:val="32"/>
          <w:highlight w:val="none"/>
        </w:rPr>
        <w:t>供 货 商：</w:t>
      </w:r>
      <w:r>
        <w:rPr>
          <w:rFonts w:hint="eastAsia" w:ascii="楷体_GB2312" w:hAnsi="楷体_GB2312" w:eastAsia="楷体_GB2312" w:cs="楷体_GB2312"/>
          <w:color w:val="auto"/>
          <w:sz w:val="32"/>
          <w:szCs w:val="32"/>
          <w:highlight w:val="none"/>
          <w:u w:val="single"/>
          <w:lang w:val="en-US" w:eastAsia="zh-CN"/>
        </w:rPr>
        <w:t xml:space="preserve">                        </w:t>
      </w:r>
    </w:p>
    <w:p w14:paraId="228DECB4">
      <w:pPr>
        <w:ind w:firstLine="1600" w:firstLineChars="500"/>
        <w:rPr>
          <w:rFonts w:hint="eastAsia" w:ascii="楷体_GB2312" w:hAnsi="楷体_GB2312" w:eastAsia="楷体_GB2312" w:cs="楷体_GB2312"/>
          <w:color w:val="auto"/>
          <w:sz w:val="32"/>
          <w:szCs w:val="32"/>
          <w:highlight w:val="none"/>
          <w:u w:val="single"/>
          <w:lang w:val="en-US" w:eastAsia="zh-CN"/>
        </w:rPr>
      </w:pPr>
    </w:p>
    <w:p w14:paraId="726056B2">
      <w:pPr>
        <w:rPr>
          <w:rFonts w:hint="eastAsia" w:ascii="楷体_GB2312" w:hAnsi="楷体_GB2312" w:eastAsia="楷体_GB2312" w:cs="楷体_GB2312"/>
          <w:color w:val="auto"/>
          <w:sz w:val="32"/>
          <w:szCs w:val="32"/>
          <w:highlight w:val="none"/>
        </w:rPr>
      </w:pPr>
    </w:p>
    <w:p w14:paraId="3833557A">
      <w:pPr>
        <w:rPr>
          <w:rFonts w:hint="eastAsia" w:ascii="楷体_GB2312" w:hAnsi="楷体_GB2312" w:eastAsia="楷体_GB2312" w:cs="楷体_GB2312"/>
          <w:color w:val="auto"/>
          <w:sz w:val="32"/>
          <w:szCs w:val="32"/>
          <w:highlight w:val="none"/>
        </w:rPr>
      </w:pPr>
    </w:p>
    <w:p w14:paraId="7D886F15">
      <w:pPr>
        <w:jc w:val="center"/>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二〇二</w:t>
      </w:r>
      <w:r>
        <w:rPr>
          <w:rFonts w:hint="eastAsia" w:ascii="楷体_GB2312" w:hAnsi="楷体_GB2312" w:eastAsia="楷体_GB2312" w:cs="楷体_GB2312"/>
          <w:color w:val="auto"/>
          <w:sz w:val="32"/>
          <w:szCs w:val="32"/>
          <w:highlight w:val="none"/>
          <w:lang w:eastAsia="zh-CN"/>
        </w:rPr>
        <w:t>五</w:t>
      </w:r>
      <w:r>
        <w:rPr>
          <w:rFonts w:hint="eastAsia" w:ascii="楷体_GB2312" w:hAnsi="楷体_GB2312" w:eastAsia="楷体_GB2312" w:cs="楷体_GB2312"/>
          <w:color w:val="auto"/>
          <w:sz w:val="32"/>
          <w:szCs w:val="32"/>
          <w:highlight w:val="none"/>
        </w:rPr>
        <w:t>年</w:t>
      </w:r>
      <w:r>
        <w:rPr>
          <w:rFonts w:hint="eastAsia" w:ascii="楷体_GB2312" w:hAnsi="楷体_GB2312" w:eastAsia="楷体_GB2312" w:cs="楷体_GB2312"/>
          <w:color w:val="auto"/>
          <w:sz w:val="32"/>
          <w:szCs w:val="32"/>
          <w:highlight w:val="none"/>
          <w:lang w:val="en-US" w:eastAsia="zh-CN"/>
        </w:rPr>
        <w:t xml:space="preserve">  </w:t>
      </w:r>
      <w:r>
        <w:rPr>
          <w:rFonts w:hint="eastAsia" w:ascii="楷体_GB2312" w:hAnsi="楷体_GB2312" w:eastAsia="楷体_GB2312" w:cs="楷体_GB2312"/>
          <w:color w:val="auto"/>
          <w:sz w:val="32"/>
          <w:szCs w:val="32"/>
          <w:highlight w:val="none"/>
        </w:rPr>
        <w:t>月</w:t>
      </w:r>
      <w:r>
        <w:rPr>
          <w:rFonts w:hint="eastAsia" w:ascii="楷体_GB2312" w:hAnsi="楷体_GB2312" w:eastAsia="楷体_GB2312" w:cs="楷体_GB2312"/>
          <w:color w:val="auto"/>
          <w:sz w:val="32"/>
          <w:szCs w:val="32"/>
          <w:highlight w:val="none"/>
          <w:lang w:val="en-US" w:eastAsia="zh-CN"/>
        </w:rPr>
        <w:t xml:space="preserve">  </w:t>
      </w:r>
      <w:r>
        <w:rPr>
          <w:rFonts w:hint="eastAsia" w:ascii="楷体_GB2312" w:hAnsi="楷体_GB2312" w:eastAsia="楷体_GB2312" w:cs="楷体_GB2312"/>
          <w:color w:val="auto"/>
          <w:sz w:val="32"/>
          <w:szCs w:val="32"/>
          <w:highlight w:val="none"/>
        </w:rPr>
        <w:t>日</w:t>
      </w:r>
    </w:p>
    <w:p w14:paraId="6EBC25B4">
      <w:pPr>
        <w:adjustRightInd w:val="0"/>
        <w:snapToGrid w:val="0"/>
        <w:spacing w:line="600" w:lineRule="exact"/>
        <w:ind w:firstLine="600" w:firstLineChars="250"/>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br w:type="page"/>
      </w:r>
    </w:p>
    <w:p w14:paraId="3F85F516">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项目编号：</w:t>
      </w:r>
      <w:r>
        <w:rPr>
          <w:rFonts w:hint="eastAsia" w:ascii="仿宋_GB2312" w:hAnsi="仿宋_GB2312" w:eastAsia="仿宋_GB2312" w:cs="仿宋_GB2312"/>
          <w:color w:val="auto"/>
          <w:sz w:val="28"/>
          <w:szCs w:val="28"/>
          <w:highlight w:val="none"/>
          <w:u w:val="single"/>
        </w:rPr>
        <w:t xml:space="preserve">                </w:t>
      </w:r>
    </w:p>
    <w:p w14:paraId="57634988">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合同编号：</w:t>
      </w:r>
      <w:r>
        <w:rPr>
          <w:rFonts w:hint="eastAsia" w:ascii="仿宋_GB2312" w:hAnsi="仿宋_GB2312" w:eastAsia="仿宋_GB2312" w:cs="仿宋_GB2312"/>
          <w:color w:val="auto"/>
          <w:sz w:val="28"/>
          <w:szCs w:val="28"/>
          <w:highlight w:val="none"/>
          <w:u w:val="single"/>
        </w:rPr>
        <w:t xml:space="preserve">                </w:t>
      </w:r>
    </w:p>
    <w:p w14:paraId="48CB0DDC">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签订地点：</w:t>
      </w:r>
      <w:r>
        <w:rPr>
          <w:rFonts w:hint="eastAsia" w:ascii="仿宋_GB2312" w:hAnsi="仿宋_GB2312" w:eastAsia="仿宋_GB2312" w:cs="仿宋_GB2312"/>
          <w:color w:val="auto"/>
          <w:sz w:val="28"/>
          <w:szCs w:val="28"/>
          <w:highlight w:val="none"/>
          <w:u w:val="single"/>
        </w:rPr>
        <w:t>眉山市市政设施管理处</w:t>
      </w:r>
    </w:p>
    <w:p w14:paraId="5232BF7A">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签订时间：202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年  月  日</w:t>
      </w:r>
    </w:p>
    <w:p w14:paraId="043F29EE">
      <w:pPr>
        <w:keepNext w:val="0"/>
        <w:keepLines w:val="0"/>
        <w:pageBreakBefore w:val="0"/>
        <w:kinsoku/>
        <w:wordWrap/>
        <w:overflowPunct/>
        <w:topLinePunct w:val="0"/>
        <w:autoSpaceDE/>
        <w:autoSpaceDN/>
        <w:bidi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采购人（甲方）：</w:t>
      </w:r>
      <w:r>
        <w:rPr>
          <w:rFonts w:hint="eastAsia" w:ascii="仿宋_GB2312" w:hAnsi="仿宋_GB2312" w:eastAsia="仿宋_GB2312" w:cs="仿宋_GB2312"/>
          <w:color w:val="auto"/>
          <w:sz w:val="28"/>
          <w:szCs w:val="28"/>
          <w:highlight w:val="none"/>
          <w:u w:val="single"/>
        </w:rPr>
        <w:t xml:space="preserve">  眉山市市政设施管理处  </w:t>
      </w:r>
    </w:p>
    <w:p w14:paraId="402F0D41">
      <w:pPr>
        <w:keepNext w:val="0"/>
        <w:keepLines w:val="0"/>
        <w:pageBreakBefore w:val="0"/>
        <w:kinsoku/>
        <w:wordWrap/>
        <w:overflowPunct/>
        <w:topLinePunct w:val="0"/>
        <w:autoSpaceDE/>
        <w:autoSpaceDN/>
        <w:bidi w:val="0"/>
        <w:snapToGrid w:val="0"/>
        <w:spacing w:line="280" w:lineRule="exact"/>
        <w:ind w:firstLine="560" w:firstLineChars="2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供应商（乙方）：</w:t>
      </w:r>
      <w:r>
        <w:rPr>
          <w:rFonts w:hint="eastAsia" w:ascii="仿宋_GB2312" w:hAnsi="仿宋_GB2312" w:eastAsia="仿宋_GB2312" w:cs="仿宋_GB2312"/>
          <w:color w:val="auto"/>
          <w:sz w:val="28"/>
          <w:szCs w:val="28"/>
          <w:highlight w:val="none"/>
          <w:u w:val="single"/>
        </w:rPr>
        <w:t xml:space="preserve">                        </w:t>
      </w:r>
    </w:p>
    <w:p w14:paraId="6C34FC9C">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依据《中华人民共和国民法典》、《中华人民共和国政府采购法》与项目行业有关的法律法规，以及</w:t>
      </w:r>
      <w:r>
        <w:rPr>
          <w:rFonts w:hint="eastAsia" w:ascii="仿宋_GB2312" w:hAnsi="仿宋_GB2312" w:eastAsia="仿宋_GB2312" w:cs="仿宋_GB2312"/>
          <w:color w:val="auto"/>
          <w:sz w:val="28"/>
          <w:szCs w:val="28"/>
          <w:highlight w:val="none"/>
          <w:u w:val="single"/>
          <w:lang w:eastAsia="zh-CN"/>
        </w:rPr>
        <w:t>2025年度市政维修所需石材栏杆等材料</w:t>
      </w:r>
      <w:r>
        <w:rPr>
          <w:rFonts w:hint="eastAsia" w:ascii="仿宋_GB2312" w:hAnsi="仿宋_GB2312" w:eastAsia="仿宋_GB2312" w:cs="仿宋_GB2312"/>
          <w:color w:val="auto"/>
          <w:sz w:val="28"/>
          <w:szCs w:val="28"/>
          <w:highlight w:val="none"/>
          <w:u w:val="none"/>
        </w:rPr>
        <w:t>采购项</w:t>
      </w:r>
      <w:r>
        <w:rPr>
          <w:rFonts w:hint="eastAsia" w:ascii="仿宋_GB2312" w:hAnsi="仿宋_GB2312" w:eastAsia="仿宋_GB2312" w:cs="仿宋_GB2312"/>
          <w:color w:val="auto"/>
          <w:sz w:val="28"/>
          <w:szCs w:val="28"/>
          <w:highlight w:val="none"/>
        </w:rPr>
        <w:t>目（项目编号：</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的《招标文件》，乙方的《投标文件》及《中标通知书》，甲、乙双方同意签订本合同。详细技术说明及其他有关合同项目的特定信息由合同附件予以说明，合同附件及本项目的《招标文件》、《投标文件》、《中标通知书》等均为本合同的组成部分。</w:t>
      </w:r>
    </w:p>
    <w:p w14:paraId="0CB70E8B">
      <w:pPr>
        <w:keepNext w:val="0"/>
        <w:keepLines w:val="0"/>
        <w:pageBreakBefore w:val="0"/>
        <w:numPr>
          <w:ilvl w:val="0"/>
          <w:numId w:val="1"/>
        </w:numPr>
        <w:kinsoku/>
        <w:wordWrap/>
        <w:overflowPunct/>
        <w:topLinePunct w:val="0"/>
        <w:autoSpaceDE/>
        <w:autoSpaceDN/>
        <w:bidi w:val="0"/>
        <w:adjustRightInd w:val="0"/>
        <w:snapToGrid w:val="0"/>
        <w:spacing w:line="280" w:lineRule="exac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项目基本情况</w:t>
      </w:r>
    </w:p>
    <w:p w14:paraId="6611190F">
      <w:pPr>
        <w:keepNext w:val="0"/>
        <w:keepLines w:val="0"/>
        <w:pageBreakBefore w:val="0"/>
        <w:kinsoku/>
        <w:wordWrap/>
        <w:overflowPunct/>
        <w:topLinePunct w:val="0"/>
        <w:autoSpaceDE/>
        <w:autoSpaceDN/>
        <w:bidi w:val="0"/>
        <w:adjustRightInd w:val="0"/>
        <w:snapToGrid w:val="0"/>
        <w:spacing w:line="28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甲方购买乙方</w:t>
      </w:r>
      <w:r>
        <w:rPr>
          <w:rFonts w:hint="eastAsia" w:ascii="仿宋_GB2312" w:hAnsi="仿宋_GB2312" w:eastAsia="仿宋_GB2312" w:cs="仿宋_GB2312"/>
          <w:color w:val="auto"/>
          <w:kern w:val="0"/>
          <w:sz w:val="28"/>
          <w:szCs w:val="28"/>
          <w:highlight w:val="none"/>
          <w:lang w:eastAsia="zh-CN"/>
        </w:rPr>
        <w:t>石材栏杆</w:t>
      </w:r>
      <w:r>
        <w:rPr>
          <w:rFonts w:hint="eastAsia" w:ascii="仿宋_GB2312" w:hAnsi="仿宋_GB2312" w:eastAsia="仿宋_GB2312" w:cs="仿宋_GB2312"/>
          <w:color w:val="auto"/>
          <w:kern w:val="0"/>
          <w:sz w:val="28"/>
          <w:szCs w:val="28"/>
          <w:highlight w:val="none"/>
        </w:rPr>
        <w:t>材料</w:t>
      </w:r>
      <w:r>
        <w:rPr>
          <w:rFonts w:hint="eastAsia" w:ascii="仿宋_GB2312" w:hAnsi="仿宋_GB2312" w:eastAsia="仿宋_GB2312" w:cs="仿宋_GB2312"/>
          <w:color w:val="auto"/>
          <w:kern w:val="0"/>
          <w:sz w:val="28"/>
          <w:szCs w:val="28"/>
          <w:highlight w:val="none"/>
          <w:lang w:eastAsia="zh-CN"/>
        </w:rPr>
        <w:t>（含拆除及安装）</w:t>
      </w:r>
      <w:r>
        <w:rPr>
          <w:rFonts w:hint="eastAsia" w:ascii="仿宋_GB2312" w:hAnsi="仿宋_GB2312" w:eastAsia="仿宋_GB2312" w:cs="仿宋_GB2312"/>
          <w:color w:val="auto"/>
          <w:kern w:val="0"/>
          <w:sz w:val="28"/>
          <w:szCs w:val="28"/>
          <w:highlight w:val="none"/>
        </w:rPr>
        <w:t>用于市政设施维修，乙方按甲方要求分批集中供货。</w:t>
      </w:r>
      <w:bookmarkStart w:id="0" w:name="_Toc217446107"/>
    </w:p>
    <w:p w14:paraId="4E3296E9">
      <w:pPr>
        <w:keepNext w:val="0"/>
        <w:keepLines w:val="0"/>
        <w:pageBreakBefore w:val="0"/>
        <w:numPr>
          <w:ilvl w:val="0"/>
          <w:numId w:val="1"/>
        </w:numPr>
        <w:kinsoku/>
        <w:wordWrap/>
        <w:overflowPunct/>
        <w:topLinePunct w:val="0"/>
        <w:autoSpaceDE/>
        <w:autoSpaceDN/>
        <w:bidi w:val="0"/>
        <w:adjustRightInd w:val="0"/>
        <w:snapToGrid w:val="0"/>
        <w:spacing w:line="280" w:lineRule="exac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采购项目费用及支付方式</w:t>
      </w:r>
    </w:p>
    <w:bookmarkEnd w:id="0"/>
    <w:p w14:paraId="50D06F8C">
      <w:pPr>
        <w:keepNext w:val="0"/>
        <w:keepLines w:val="0"/>
        <w:pageBreakBefore w:val="0"/>
        <w:kinsoku/>
        <w:wordWrap/>
        <w:overflowPunct/>
        <w:topLinePunct w:val="0"/>
        <w:autoSpaceDE/>
        <w:autoSpaceDN/>
        <w:bidi w:val="0"/>
        <w:spacing w:before="156" w:beforeLines="50" w:after="156" w:afterLines="50" w:line="320" w:lineRule="exact"/>
        <w:ind w:firstLine="560" w:firstLineChars="200"/>
        <w:outlineLvl w:val="1"/>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（一）本项目费用由以下组成：</w:t>
      </w:r>
      <w:bookmarkStart w:id="1" w:name="_Toc217446108"/>
      <w:r>
        <w:rPr>
          <w:rFonts w:hint="eastAsia" w:ascii="仿宋_GB2312" w:hAnsi="仿宋_GB2312" w:eastAsia="仿宋_GB2312" w:cs="仿宋_GB2312"/>
          <w:b/>
          <w:color w:val="auto"/>
          <w:sz w:val="28"/>
          <w:szCs w:val="28"/>
          <w:highlight w:val="none"/>
        </w:rPr>
        <w:t xml:space="preserve"> </w:t>
      </w:r>
    </w:p>
    <w:tbl>
      <w:tblPr>
        <w:tblStyle w:val="5"/>
        <w:tblW w:w="89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054"/>
        <w:gridCol w:w="3354"/>
        <w:gridCol w:w="546"/>
        <w:gridCol w:w="995"/>
        <w:gridCol w:w="846"/>
        <w:gridCol w:w="954"/>
        <w:gridCol w:w="1175"/>
      </w:tblGrid>
      <w:tr w14:paraId="69BDF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054" w:type="dxa"/>
            <w:tcBorders>
              <w:top w:val="single" w:color="000000" w:sz="6" w:space="0"/>
              <w:left w:val="single" w:color="auto" w:sz="4" w:space="0"/>
              <w:bottom w:val="single" w:color="000000" w:sz="6" w:space="0"/>
              <w:right w:val="single" w:color="000000" w:sz="6" w:space="0"/>
            </w:tcBorders>
            <w:shd w:val="clear" w:color="auto" w:fill="FFFFFF"/>
            <w:tcMar>
              <w:left w:w="105" w:type="dxa"/>
              <w:right w:w="105" w:type="dxa"/>
            </w:tcMar>
            <w:vAlign w:val="center"/>
          </w:tcPr>
          <w:p w14:paraId="22CFD0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项目名称</w:t>
            </w:r>
          </w:p>
        </w:tc>
        <w:tc>
          <w:tcPr>
            <w:tcW w:w="3354"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0BB4F7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技术指标</w:t>
            </w:r>
          </w:p>
        </w:tc>
        <w:tc>
          <w:tcPr>
            <w:tcW w:w="546"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3B366F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单位</w:t>
            </w:r>
          </w:p>
        </w:tc>
        <w:tc>
          <w:tcPr>
            <w:tcW w:w="99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02AC72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合同单价（元）</w:t>
            </w:r>
          </w:p>
        </w:tc>
        <w:tc>
          <w:tcPr>
            <w:tcW w:w="846"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440735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采购</w:t>
            </w:r>
          </w:p>
          <w:p w14:paraId="7D5548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数量</w:t>
            </w:r>
          </w:p>
        </w:tc>
        <w:tc>
          <w:tcPr>
            <w:tcW w:w="954"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1E64211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金额（元）</w:t>
            </w:r>
          </w:p>
        </w:tc>
        <w:tc>
          <w:tcPr>
            <w:tcW w:w="117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14:paraId="1FD84A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20" w:lineRule="exact"/>
              <w:ind w:left="0" w:right="0" w:firstLine="0"/>
              <w:jc w:val="center"/>
              <w:textAlignment w:val="auto"/>
              <w:rPr>
                <w:rFonts w:hint="eastAsia" w:ascii="黑体" w:hAnsi="黑体" w:eastAsia="黑体" w:cs="黑体"/>
                <w:color w:val="auto"/>
                <w:sz w:val="24"/>
                <w:szCs w:val="24"/>
                <w:highlight w:val="none"/>
              </w:rPr>
            </w:pPr>
            <w:r>
              <w:rPr>
                <w:rFonts w:hint="eastAsia" w:ascii="黑体" w:hAnsi="黑体" w:eastAsia="黑体" w:cs="黑体"/>
                <w:i w:val="0"/>
                <w:iCs w:val="0"/>
                <w:caps w:val="0"/>
                <w:color w:val="auto"/>
                <w:spacing w:val="0"/>
                <w:kern w:val="0"/>
                <w:sz w:val="24"/>
                <w:szCs w:val="24"/>
                <w:highlight w:val="none"/>
                <w:shd w:val="clear" w:fill="FFFFFF"/>
                <w:lang w:val="en-US" w:eastAsia="zh-CN" w:bidi="ar"/>
              </w:rPr>
              <w:t>备注</w:t>
            </w:r>
          </w:p>
        </w:tc>
      </w:tr>
      <w:tr w14:paraId="77791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83" w:hRule="atLeast"/>
        </w:trPr>
        <w:tc>
          <w:tcPr>
            <w:tcW w:w="1054" w:type="dxa"/>
            <w:tcBorders>
              <w:top w:val="nil"/>
              <w:left w:val="single" w:color="auto" w:sz="4" w:space="0"/>
              <w:bottom w:val="single" w:color="auto" w:sz="4" w:space="0"/>
              <w:right w:val="single" w:color="000000" w:sz="6" w:space="0"/>
            </w:tcBorders>
            <w:shd w:val="clear" w:color="auto" w:fill="FFFFFF"/>
            <w:tcMar>
              <w:left w:w="105" w:type="dxa"/>
              <w:right w:w="105" w:type="dxa"/>
            </w:tcMar>
            <w:vAlign w:val="center"/>
          </w:tcPr>
          <w:p w14:paraId="2F9A3ECE">
            <w:pPr>
              <w:keepNext w:val="0"/>
              <w:keepLines w:val="0"/>
              <w:pageBreakBefore w:val="0"/>
              <w:kinsoku/>
              <w:overflowPunct/>
              <w:topLinePunct w:val="0"/>
              <w:autoSpaceDE/>
              <w:autoSpaceDN/>
              <w:bidi w:val="0"/>
              <w:adjustRightInd/>
              <w:snapToGrid/>
              <w:spacing w:line="280" w:lineRule="exact"/>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18"/>
                <w:szCs w:val="18"/>
                <w:highlight w:val="none"/>
                <w:lang w:eastAsia="zh-CN"/>
              </w:rPr>
              <w:t>青石栏杆</w:t>
            </w:r>
          </w:p>
        </w:tc>
        <w:tc>
          <w:tcPr>
            <w:tcW w:w="3354" w:type="dxa"/>
            <w:tcBorders>
              <w:top w:val="nil"/>
              <w:left w:val="nil"/>
              <w:bottom w:val="single" w:color="auto" w:sz="4" w:space="0"/>
              <w:right w:val="single" w:color="000000" w:sz="6" w:space="0"/>
            </w:tcBorders>
            <w:shd w:val="clear" w:color="auto" w:fill="FFFFFF"/>
            <w:tcMar>
              <w:left w:w="105" w:type="dxa"/>
              <w:right w:w="105" w:type="dxa"/>
            </w:tcMar>
            <w:vAlign w:val="center"/>
          </w:tcPr>
          <w:p w14:paraId="53666ED1">
            <w:pPr>
              <w:keepNext w:val="0"/>
              <w:keepLines w:val="0"/>
              <w:pageBreakBefore w:val="0"/>
              <w:numPr>
                <w:ilvl w:val="0"/>
                <w:numId w:val="2"/>
              </w:numPr>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aps w:val="0"/>
                <w:color w:val="auto"/>
                <w:spacing w:val="0"/>
                <w:sz w:val="18"/>
                <w:szCs w:val="18"/>
                <w:highlight w:val="none"/>
              </w:rPr>
              <w:t>石料种类、构件规格 、构件式样 ：150X150整石扶手端头榫长60，榫截面100X100、立柱开110X110孔扶手插入石材胶填缝、200X200X1350高青石立柱、定制凹5mm云纹浮雕柱头</w:t>
            </w:r>
          </w:p>
          <w:p w14:paraId="16612FF4">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aps w:val="0"/>
                <w:color w:val="auto"/>
                <w:spacing w:val="0"/>
                <w:sz w:val="18"/>
                <w:szCs w:val="18"/>
                <w:highlight w:val="none"/>
              </w:rPr>
              <w:t>2.石表面加工要求及等级 ：</w:t>
            </w:r>
            <w:r>
              <w:rPr>
                <w:rFonts w:hint="eastAsia" w:ascii="宋体" w:hAnsi="宋体" w:eastAsia="宋体" w:cs="宋体"/>
                <w:i w:val="0"/>
                <w:iCs w:val="0"/>
                <w:caps w:val="0"/>
                <w:color w:val="auto"/>
                <w:spacing w:val="0"/>
                <w:sz w:val="18"/>
                <w:szCs w:val="18"/>
                <w:highlight w:val="none"/>
                <w:lang w:eastAsia="zh-CN"/>
              </w:rPr>
              <w:t>与东坡湖弘济中医院至水车段保持一致；</w:t>
            </w:r>
          </w:p>
          <w:p w14:paraId="3831CC72">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r>
              <w:rPr>
                <w:rFonts w:hint="eastAsia" w:ascii="宋体" w:hAnsi="宋体" w:eastAsia="宋体" w:cs="宋体"/>
                <w:i w:val="0"/>
                <w:iCs w:val="0"/>
                <w:caps w:val="0"/>
                <w:color w:val="auto"/>
                <w:spacing w:val="0"/>
                <w:sz w:val="18"/>
                <w:szCs w:val="18"/>
                <w:highlight w:val="none"/>
              </w:rPr>
              <w:t>3.雕刻种类、形式 ：</w:t>
            </w:r>
            <w:r>
              <w:rPr>
                <w:rFonts w:hint="eastAsia" w:ascii="宋体" w:hAnsi="宋体" w:eastAsia="宋体" w:cs="宋体"/>
                <w:i w:val="0"/>
                <w:iCs w:val="0"/>
                <w:caps w:val="0"/>
                <w:color w:val="auto"/>
                <w:spacing w:val="0"/>
                <w:sz w:val="18"/>
                <w:szCs w:val="18"/>
                <w:highlight w:val="none"/>
                <w:lang w:eastAsia="zh-CN"/>
              </w:rPr>
              <w:t>与东坡湖弘济中医院至水车段保持一致；</w:t>
            </w:r>
          </w:p>
          <w:p w14:paraId="4FEFFB33">
            <w:pPr>
              <w:keepNext w:val="0"/>
              <w:keepLines w:val="0"/>
              <w:pageBreakBefore w:val="0"/>
              <w:kinsoku/>
              <w:wordWrap/>
              <w:overflowPunct/>
              <w:topLinePunct w:val="0"/>
              <w:autoSpaceDE/>
              <w:autoSpaceDN/>
              <w:bidi w:val="0"/>
              <w:adjustRightInd/>
              <w:snapToGrid/>
              <w:spacing w:line="240" w:lineRule="exact"/>
              <w:jc w:val="left"/>
              <w:textAlignment w:val="auto"/>
              <w:rPr>
                <w:rFonts w:hint="default" w:ascii="宋体" w:hAnsi="宋体" w:eastAsia="宋体" w:cs="宋体"/>
                <w:i w:val="0"/>
                <w:iCs w:val="0"/>
                <w:caps w:val="0"/>
                <w:color w:val="auto"/>
                <w:spacing w:val="0"/>
                <w:sz w:val="18"/>
                <w:szCs w:val="18"/>
                <w:highlight w:val="none"/>
                <w:lang w:val="en-US" w:eastAsia="zh-CN"/>
              </w:rPr>
            </w:pPr>
            <w:r>
              <w:rPr>
                <w:rFonts w:hint="eastAsia" w:ascii="宋体" w:hAnsi="宋体" w:eastAsia="宋体" w:cs="宋体"/>
                <w:i w:val="0"/>
                <w:iCs w:val="0"/>
                <w:caps w:val="0"/>
                <w:color w:val="auto"/>
                <w:spacing w:val="0"/>
                <w:sz w:val="18"/>
                <w:szCs w:val="18"/>
                <w:highlight w:val="none"/>
                <w:lang w:val="en-US" w:eastAsia="zh-CN"/>
              </w:rPr>
              <w:t>4.立柱内钢筋L≥300,HPB300≤φ10钢筋插入@150，石材及原有混凝土地面钻φ12孔插入钢筋后石材胶填，确保固定牢固。</w:t>
            </w:r>
          </w:p>
          <w:p w14:paraId="60413F8E">
            <w:pPr>
              <w:keepNext w:val="0"/>
              <w:keepLines w:val="0"/>
              <w:pageBreakBefore w:val="0"/>
              <w:kinsoku/>
              <w:wordWrap/>
              <w:overflowPunct/>
              <w:topLinePunct w:val="0"/>
              <w:autoSpaceDE/>
              <w:autoSpaceDN/>
              <w:bidi w:val="0"/>
              <w:adjustRightInd/>
              <w:snapToGrid/>
              <w:spacing w:line="240" w:lineRule="exact"/>
              <w:jc w:val="left"/>
              <w:textAlignment w:val="auto"/>
              <w:rPr>
                <w:rFonts w:hint="default"/>
                <w:highlight w:val="none"/>
                <w:lang w:val="en-US"/>
              </w:rPr>
            </w:pPr>
            <w:r>
              <w:rPr>
                <w:rFonts w:hint="eastAsia" w:ascii="宋体" w:hAnsi="宋体" w:eastAsia="宋体" w:cs="宋体"/>
                <w:i w:val="0"/>
                <w:iCs w:val="0"/>
                <w:caps w:val="0"/>
                <w:color w:val="auto"/>
                <w:spacing w:val="0"/>
                <w:sz w:val="18"/>
                <w:szCs w:val="18"/>
                <w:highlight w:val="none"/>
                <w:lang w:val="en-US" w:eastAsia="zh-CN"/>
              </w:rPr>
              <w:t>5.为保障维修改造质量，拟采购石材栏杆所有规格参数及技术指标最终以眉山市东坡城区</w:t>
            </w:r>
            <w:r>
              <w:rPr>
                <w:rFonts w:hint="eastAsia" w:ascii="宋体" w:hAnsi="宋体" w:eastAsia="宋体" w:cs="宋体"/>
                <w:i w:val="0"/>
                <w:iCs w:val="0"/>
                <w:caps w:val="0"/>
                <w:color w:val="auto"/>
                <w:spacing w:val="0"/>
                <w:sz w:val="18"/>
                <w:szCs w:val="18"/>
                <w:highlight w:val="none"/>
                <w:lang w:eastAsia="zh-CN"/>
              </w:rPr>
              <w:t>东坡湖弘济中医院至东坡湖水车段现有青石栏杆参数为准（供应商应实地查勘），其中栏板长度根据拟维修改造段原有栏杆栏板长度调整确定。</w:t>
            </w:r>
          </w:p>
        </w:tc>
        <w:tc>
          <w:tcPr>
            <w:tcW w:w="546" w:type="dxa"/>
            <w:tcBorders>
              <w:top w:val="nil"/>
              <w:left w:val="nil"/>
              <w:bottom w:val="single" w:color="auto" w:sz="4" w:space="0"/>
              <w:right w:val="single" w:color="000000" w:sz="6" w:space="0"/>
            </w:tcBorders>
            <w:shd w:val="clear" w:color="auto" w:fill="FFFFFF"/>
            <w:tcMar>
              <w:left w:w="105" w:type="dxa"/>
              <w:right w:w="105" w:type="dxa"/>
            </w:tcMar>
            <w:vAlign w:val="center"/>
          </w:tcPr>
          <w:p w14:paraId="114FD61F">
            <w:pPr>
              <w:keepNext w:val="0"/>
              <w:keepLines w:val="0"/>
              <w:pageBreakBefore w:val="0"/>
              <w:kinsoku/>
              <w:overflowPunct/>
              <w:topLinePunct w:val="0"/>
              <w:autoSpaceDE/>
              <w:autoSpaceDN/>
              <w:bidi w:val="0"/>
              <w:adjustRightInd/>
              <w:snapToGrid/>
              <w:spacing w:line="280" w:lineRule="exact"/>
              <w:jc w:val="center"/>
              <w:textAlignment w:val="auto"/>
              <w:rPr>
                <w:rFonts w:hint="eastAsia" w:ascii="宋体" w:hAnsi="宋体" w:eastAsia="宋体" w:cs="宋体"/>
                <w:i w:val="0"/>
                <w:iCs w:val="0"/>
                <w:caps w:val="0"/>
                <w:color w:val="auto"/>
                <w:spacing w:val="0"/>
                <w:sz w:val="24"/>
                <w:szCs w:val="24"/>
                <w:highlight w:val="none"/>
                <w:lang w:eastAsia="zh-CN"/>
              </w:rPr>
            </w:pPr>
            <w:r>
              <w:rPr>
                <w:rFonts w:hint="eastAsia" w:ascii="宋体" w:hAnsi="宋体" w:eastAsia="宋体" w:cs="宋体"/>
                <w:i w:val="0"/>
                <w:iCs w:val="0"/>
                <w:caps w:val="0"/>
                <w:color w:val="auto"/>
                <w:spacing w:val="0"/>
                <w:sz w:val="24"/>
                <w:szCs w:val="24"/>
                <w:highlight w:val="none"/>
                <w:lang w:eastAsia="zh-CN"/>
              </w:rPr>
              <w:t>米</w:t>
            </w:r>
          </w:p>
        </w:tc>
        <w:tc>
          <w:tcPr>
            <w:tcW w:w="995" w:type="dxa"/>
            <w:tcBorders>
              <w:top w:val="nil"/>
              <w:left w:val="nil"/>
              <w:bottom w:val="single" w:color="auto" w:sz="4" w:space="0"/>
              <w:right w:val="single" w:color="000000" w:sz="6" w:space="0"/>
            </w:tcBorders>
            <w:shd w:val="clear" w:color="auto" w:fill="FFFFFF"/>
            <w:tcMar>
              <w:left w:w="105" w:type="dxa"/>
              <w:right w:w="105" w:type="dxa"/>
            </w:tcMar>
            <w:vAlign w:val="center"/>
          </w:tcPr>
          <w:p w14:paraId="1C5946E0">
            <w:pPr>
              <w:keepNext w:val="0"/>
              <w:keepLines w:val="0"/>
              <w:pageBreakBefore w:val="0"/>
              <w:kinsoku/>
              <w:overflowPunct/>
              <w:topLinePunct w:val="0"/>
              <w:autoSpaceDE/>
              <w:autoSpaceDN/>
              <w:bidi w:val="0"/>
              <w:adjustRightInd/>
              <w:snapToGrid/>
              <w:spacing w:line="280" w:lineRule="exact"/>
              <w:jc w:val="left"/>
              <w:textAlignment w:val="auto"/>
              <w:rPr>
                <w:rFonts w:hint="eastAsia" w:ascii="宋体" w:hAnsi="宋体" w:eastAsia="宋体" w:cs="宋体"/>
                <w:i w:val="0"/>
                <w:iCs w:val="0"/>
                <w:caps w:val="0"/>
                <w:color w:val="auto"/>
                <w:spacing w:val="0"/>
                <w:sz w:val="24"/>
                <w:szCs w:val="24"/>
                <w:highlight w:val="none"/>
              </w:rPr>
            </w:pPr>
          </w:p>
        </w:tc>
        <w:tc>
          <w:tcPr>
            <w:tcW w:w="846" w:type="dxa"/>
            <w:tcBorders>
              <w:top w:val="nil"/>
              <w:left w:val="nil"/>
              <w:bottom w:val="single" w:color="auto" w:sz="4" w:space="0"/>
              <w:right w:val="single" w:color="000000" w:sz="6" w:space="0"/>
            </w:tcBorders>
            <w:shd w:val="clear" w:color="auto" w:fill="FFFFFF"/>
            <w:tcMar>
              <w:left w:w="105" w:type="dxa"/>
              <w:right w:w="105" w:type="dxa"/>
            </w:tcMar>
            <w:vAlign w:val="center"/>
          </w:tcPr>
          <w:p w14:paraId="3B490F78">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752</w:t>
            </w:r>
          </w:p>
        </w:tc>
        <w:tc>
          <w:tcPr>
            <w:tcW w:w="954" w:type="dxa"/>
            <w:tcBorders>
              <w:top w:val="nil"/>
              <w:left w:val="nil"/>
              <w:bottom w:val="single" w:color="auto" w:sz="4" w:space="0"/>
              <w:right w:val="single" w:color="000000" w:sz="6" w:space="0"/>
            </w:tcBorders>
            <w:shd w:val="clear" w:color="auto" w:fill="FFFFFF"/>
            <w:tcMar>
              <w:left w:w="105" w:type="dxa"/>
              <w:right w:w="105" w:type="dxa"/>
            </w:tcMar>
            <w:vAlign w:val="center"/>
          </w:tcPr>
          <w:p w14:paraId="324D3D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280" w:lineRule="exact"/>
              <w:ind w:left="0" w:right="0" w:firstLine="0"/>
              <w:jc w:val="center"/>
              <w:textAlignment w:val="auto"/>
              <w:rPr>
                <w:rFonts w:hint="eastAsia" w:ascii="宋体" w:hAnsi="宋体" w:eastAsia="宋体" w:cs="宋体"/>
                <w:color w:val="auto"/>
                <w:sz w:val="24"/>
                <w:szCs w:val="24"/>
                <w:highlight w:val="none"/>
              </w:rPr>
            </w:pPr>
          </w:p>
        </w:tc>
        <w:tc>
          <w:tcPr>
            <w:tcW w:w="1175" w:type="dxa"/>
            <w:tcBorders>
              <w:top w:val="nil"/>
              <w:left w:val="nil"/>
              <w:bottom w:val="single" w:color="auto" w:sz="4" w:space="0"/>
              <w:right w:val="single" w:color="000000" w:sz="6" w:space="0"/>
            </w:tcBorders>
            <w:shd w:val="clear" w:color="auto" w:fill="FFFFFF"/>
            <w:tcMar>
              <w:left w:w="105" w:type="dxa"/>
              <w:right w:w="105" w:type="dxa"/>
            </w:tcMar>
            <w:vAlign w:val="center"/>
          </w:tcPr>
          <w:p w14:paraId="57B74762">
            <w:pPr>
              <w:keepNext w:val="0"/>
              <w:keepLines w:val="0"/>
              <w:pageBreakBefore w:val="0"/>
              <w:kinsoku/>
              <w:overflowPunct/>
              <w:topLinePunct w:val="0"/>
              <w:autoSpaceDE/>
              <w:autoSpaceDN/>
              <w:bidi w:val="0"/>
              <w:adjustRightInd/>
              <w:snapToGrid/>
              <w:spacing w:line="280" w:lineRule="exact"/>
              <w:jc w:val="left"/>
              <w:textAlignment w:val="auto"/>
              <w:rPr>
                <w:rFonts w:hint="eastAsia" w:ascii="宋体" w:hAnsi="宋体" w:eastAsia="宋体" w:cs="宋体"/>
                <w:i w:val="0"/>
                <w:iCs w:val="0"/>
                <w:caps w:val="0"/>
                <w:color w:val="auto"/>
                <w:spacing w:val="0"/>
                <w:sz w:val="24"/>
                <w:szCs w:val="24"/>
                <w:highlight w:val="none"/>
                <w:lang w:eastAsia="zh-CN"/>
              </w:rPr>
            </w:pPr>
            <w:r>
              <w:rPr>
                <w:rFonts w:hint="eastAsia" w:ascii="宋体" w:hAnsi="宋体" w:eastAsia="宋体" w:cs="宋体"/>
                <w:i w:val="0"/>
                <w:iCs w:val="0"/>
                <w:caps w:val="0"/>
                <w:color w:val="auto"/>
                <w:spacing w:val="0"/>
                <w:sz w:val="18"/>
                <w:szCs w:val="18"/>
                <w:highlight w:val="none"/>
                <w:lang w:eastAsia="zh-CN"/>
              </w:rPr>
              <w:t>该项目主要用于眉山市东坡城区东坡湖青石栏杆更换维修，维修工艺、材质要求应与东坡湖弘济中医院至水车段现有青石栏杆保持一致，供应商应现场勘验后报价。</w:t>
            </w:r>
          </w:p>
        </w:tc>
      </w:tr>
      <w:tr w14:paraId="279BC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1" w:hRule="atLeast"/>
        </w:trPr>
        <w:tc>
          <w:tcPr>
            <w:tcW w:w="1054" w:type="dxa"/>
            <w:tcBorders>
              <w:top w:val="single" w:color="auto" w:sz="4" w:space="0"/>
              <w:left w:val="single" w:color="auto" w:sz="4" w:space="0"/>
              <w:bottom w:val="single" w:color="auto" w:sz="4" w:space="0"/>
              <w:right w:val="single" w:color="000000" w:sz="6" w:space="0"/>
            </w:tcBorders>
            <w:shd w:val="clear" w:color="auto" w:fill="FFFFFF"/>
            <w:tcMar>
              <w:left w:w="105" w:type="dxa"/>
              <w:right w:w="105" w:type="dxa"/>
            </w:tcMar>
            <w:vAlign w:val="center"/>
          </w:tcPr>
          <w:p w14:paraId="54930FE6">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汉白玉栏杆</w:t>
            </w:r>
          </w:p>
        </w:tc>
        <w:tc>
          <w:tcPr>
            <w:tcW w:w="33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7A388F70">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立柱高度1.1m-1.3m，栏杆厚度15cm-20cm，浮雕图案（</w:t>
            </w:r>
            <w:r>
              <w:rPr>
                <w:rFonts w:hint="eastAsia" w:ascii="宋体" w:hAnsi="宋体" w:eastAsia="宋体" w:cs="宋体"/>
                <w:i w:val="0"/>
                <w:iCs w:val="0"/>
                <w:caps w:val="0"/>
                <w:color w:val="auto"/>
                <w:spacing w:val="0"/>
                <w:sz w:val="18"/>
                <w:szCs w:val="18"/>
                <w:highlight w:val="none"/>
                <w:lang w:val="en-US" w:eastAsia="zh-CN"/>
              </w:rPr>
              <w:t>采购人指定</w:t>
            </w:r>
            <w:r>
              <w:rPr>
                <w:rFonts w:hint="default" w:ascii="宋体" w:hAnsi="宋体" w:eastAsia="宋体" w:cs="宋体"/>
                <w:i w:val="0"/>
                <w:iCs w:val="0"/>
                <w:caps w:val="0"/>
                <w:color w:val="auto"/>
                <w:spacing w:val="0"/>
                <w:sz w:val="18"/>
                <w:szCs w:val="18"/>
                <w:highlight w:val="none"/>
                <w:lang w:val="en-US" w:eastAsia="zh-CN"/>
              </w:rPr>
              <w:t>）</w:t>
            </w:r>
          </w:p>
        </w:tc>
        <w:tc>
          <w:tcPr>
            <w:tcW w:w="5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64810FEC">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r>
              <w:rPr>
                <w:rFonts w:hint="eastAsia" w:ascii="宋体" w:hAnsi="宋体" w:eastAsia="宋体" w:cs="宋体"/>
                <w:i w:val="0"/>
                <w:iCs w:val="0"/>
                <w:caps w:val="0"/>
                <w:color w:val="auto"/>
                <w:spacing w:val="0"/>
                <w:sz w:val="18"/>
                <w:szCs w:val="18"/>
                <w:highlight w:val="none"/>
                <w:lang w:eastAsia="zh-CN"/>
              </w:rPr>
              <w:t>米</w:t>
            </w:r>
          </w:p>
        </w:tc>
        <w:tc>
          <w:tcPr>
            <w:tcW w:w="99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2E783F6D">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8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608D4277">
            <w:pPr>
              <w:keepNext w:val="0"/>
              <w:keepLines w:val="0"/>
              <w:widowControl/>
              <w:suppressLineNumbers w:val="0"/>
              <w:jc w:val="left"/>
              <w:textAlignment w:val="center"/>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4EC6D0DA">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117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26E76D68">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p>
        </w:tc>
      </w:tr>
      <w:tr w14:paraId="473AE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9" w:hRule="atLeast"/>
        </w:trPr>
        <w:tc>
          <w:tcPr>
            <w:tcW w:w="1054" w:type="dxa"/>
            <w:tcBorders>
              <w:top w:val="single" w:color="auto" w:sz="4" w:space="0"/>
              <w:left w:val="single" w:color="auto" w:sz="4" w:space="0"/>
              <w:bottom w:val="single" w:color="auto" w:sz="4" w:space="0"/>
              <w:right w:val="single" w:color="000000" w:sz="6" w:space="0"/>
            </w:tcBorders>
            <w:shd w:val="clear" w:color="auto" w:fill="FFFFFF"/>
            <w:tcMar>
              <w:left w:w="105" w:type="dxa"/>
              <w:right w:w="105" w:type="dxa"/>
            </w:tcMar>
            <w:vAlign w:val="center"/>
          </w:tcPr>
          <w:p w14:paraId="75814BE8">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花岗石栏杆</w:t>
            </w:r>
          </w:p>
        </w:tc>
        <w:tc>
          <w:tcPr>
            <w:tcW w:w="33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45DB2246">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立柱高度1.1m-1.3m，栏杆厚度15cm-20cm，浮雕图案（</w:t>
            </w:r>
            <w:r>
              <w:rPr>
                <w:rFonts w:hint="eastAsia" w:ascii="宋体" w:hAnsi="宋体" w:eastAsia="宋体" w:cs="宋体"/>
                <w:i w:val="0"/>
                <w:iCs w:val="0"/>
                <w:caps w:val="0"/>
                <w:color w:val="auto"/>
                <w:spacing w:val="0"/>
                <w:sz w:val="18"/>
                <w:szCs w:val="18"/>
                <w:highlight w:val="none"/>
                <w:lang w:val="en-US" w:eastAsia="zh-CN"/>
              </w:rPr>
              <w:t>采购人指定</w:t>
            </w:r>
            <w:r>
              <w:rPr>
                <w:rFonts w:hint="default" w:ascii="宋体" w:hAnsi="宋体" w:eastAsia="宋体" w:cs="宋体"/>
                <w:i w:val="0"/>
                <w:iCs w:val="0"/>
                <w:caps w:val="0"/>
                <w:color w:val="auto"/>
                <w:spacing w:val="0"/>
                <w:sz w:val="18"/>
                <w:szCs w:val="18"/>
                <w:highlight w:val="none"/>
                <w:lang w:val="en-US" w:eastAsia="zh-CN"/>
              </w:rPr>
              <w:t>）</w:t>
            </w:r>
          </w:p>
        </w:tc>
        <w:tc>
          <w:tcPr>
            <w:tcW w:w="5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62658567">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r>
              <w:rPr>
                <w:rFonts w:hint="eastAsia" w:ascii="宋体" w:hAnsi="宋体" w:eastAsia="宋体" w:cs="宋体"/>
                <w:i w:val="0"/>
                <w:iCs w:val="0"/>
                <w:caps w:val="0"/>
                <w:color w:val="auto"/>
                <w:spacing w:val="0"/>
                <w:sz w:val="18"/>
                <w:szCs w:val="18"/>
                <w:highlight w:val="none"/>
                <w:lang w:eastAsia="zh-CN"/>
              </w:rPr>
              <w:t>米</w:t>
            </w:r>
          </w:p>
        </w:tc>
        <w:tc>
          <w:tcPr>
            <w:tcW w:w="99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1CC82C45">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8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6E3CB8AE">
            <w:pPr>
              <w:keepNext w:val="0"/>
              <w:keepLines w:val="0"/>
              <w:widowControl/>
              <w:suppressLineNumbers w:val="0"/>
              <w:jc w:val="left"/>
              <w:textAlignment w:val="center"/>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2A8FBBDE">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117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48A61B64">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p>
        </w:tc>
      </w:tr>
      <w:tr w14:paraId="4970B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70" w:hRule="atLeast"/>
        </w:trPr>
        <w:tc>
          <w:tcPr>
            <w:tcW w:w="1054" w:type="dxa"/>
            <w:tcBorders>
              <w:top w:val="single" w:color="auto" w:sz="4" w:space="0"/>
              <w:left w:val="single" w:color="auto" w:sz="4" w:space="0"/>
              <w:bottom w:val="single" w:color="auto" w:sz="4" w:space="0"/>
              <w:right w:val="single" w:color="000000" w:sz="6" w:space="0"/>
            </w:tcBorders>
            <w:shd w:val="clear" w:color="auto" w:fill="FFFFFF"/>
            <w:tcMar>
              <w:left w:w="105" w:type="dxa"/>
              <w:right w:w="105" w:type="dxa"/>
            </w:tcMar>
            <w:vAlign w:val="center"/>
          </w:tcPr>
          <w:p w14:paraId="1C66CE7D">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r>
              <w:rPr>
                <w:rFonts w:hint="default" w:ascii="宋体" w:hAnsi="宋体" w:eastAsia="宋体" w:cs="宋体"/>
                <w:i w:val="0"/>
                <w:iCs w:val="0"/>
                <w:caps w:val="0"/>
                <w:color w:val="auto"/>
                <w:spacing w:val="0"/>
                <w:sz w:val="18"/>
                <w:szCs w:val="18"/>
                <w:highlight w:val="none"/>
                <w:lang w:val="en-US" w:eastAsia="zh-CN"/>
              </w:rPr>
              <w:t>钢混栏杆</w:t>
            </w:r>
          </w:p>
          <w:p w14:paraId="465ACA3B">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（仿石材）</w:t>
            </w:r>
          </w:p>
        </w:tc>
        <w:tc>
          <w:tcPr>
            <w:tcW w:w="33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354F32A9">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立柱高度1.1m-1.3m，栏杆厚度15cm-20cm，GRC油漆饰面浮雕图案（</w:t>
            </w:r>
            <w:r>
              <w:rPr>
                <w:rFonts w:hint="eastAsia" w:ascii="宋体" w:hAnsi="宋体" w:eastAsia="宋体" w:cs="宋体"/>
                <w:i w:val="0"/>
                <w:iCs w:val="0"/>
                <w:caps w:val="0"/>
                <w:color w:val="auto"/>
                <w:spacing w:val="0"/>
                <w:sz w:val="18"/>
                <w:szCs w:val="18"/>
                <w:highlight w:val="none"/>
                <w:lang w:val="en-US" w:eastAsia="zh-CN"/>
              </w:rPr>
              <w:t>采购人指定</w:t>
            </w:r>
            <w:r>
              <w:rPr>
                <w:rFonts w:hint="default" w:ascii="宋体" w:hAnsi="宋体" w:eastAsia="宋体" w:cs="宋体"/>
                <w:i w:val="0"/>
                <w:iCs w:val="0"/>
                <w:caps w:val="0"/>
                <w:color w:val="auto"/>
                <w:spacing w:val="0"/>
                <w:sz w:val="18"/>
                <w:szCs w:val="18"/>
                <w:highlight w:val="none"/>
                <w:lang w:val="en-US" w:eastAsia="zh-CN"/>
              </w:rPr>
              <w:t>）</w:t>
            </w:r>
          </w:p>
        </w:tc>
        <w:tc>
          <w:tcPr>
            <w:tcW w:w="5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20694B26">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r>
              <w:rPr>
                <w:rFonts w:hint="eastAsia" w:ascii="宋体" w:hAnsi="宋体" w:eastAsia="宋体" w:cs="宋体"/>
                <w:i w:val="0"/>
                <w:iCs w:val="0"/>
                <w:caps w:val="0"/>
                <w:color w:val="auto"/>
                <w:spacing w:val="0"/>
                <w:sz w:val="18"/>
                <w:szCs w:val="18"/>
                <w:highlight w:val="none"/>
                <w:lang w:eastAsia="zh-CN"/>
              </w:rPr>
              <w:t>米</w:t>
            </w:r>
          </w:p>
        </w:tc>
        <w:tc>
          <w:tcPr>
            <w:tcW w:w="99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5057BFC3">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846"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1E49F866">
            <w:pPr>
              <w:keepNext w:val="0"/>
              <w:keepLines w:val="0"/>
              <w:widowControl/>
              <w:suppressLineNumbers w:val="0"/>
              <w:jc w:val="left"/>
              <w:textAlignment w:val="center"/>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54"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69574ADB">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1175" w:type="dxa"/>
            <w:tcBorders>
              <w:top w:val="single" w:color="auto" w:sz="4" w:space="0"/>
              <w:left w:val="nil"/>
              <w:bottom w:val="single" w:color="auto" w:sz="4" w:space="0"/>
              <w:right w:val="single" w:color="000000" w:sz="6" w:space="0"/>
            </w:tcBorders>
            <w:shd w:val="clear" w:color="auto" w:fill="FFFFFF"/>
            <w:tcMar>
              <w:left w:w="105" w:type="dxa"/>
              <w:right w:w="105" w:type="dxa"/>
            </w:tcMar>
            <w:vAlign w:val="center"/>
          </w:tcPr>
          <w:p w14:paraId="70AB20A4">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p>
        </w:tc>
      </w:tr>
      <w:tr w14:paraId="22388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56" w:hRule="atLeast"/>
        </w:trPr>
        <w:tc>
          <w:tcPr>
            <w:tcW w:w="1054" w:type="dxa"/>
            <w:tcBorders>
              <w:top w:val="single" w:color="auto" w:sz="4" w:space="0"/>
              <w:left w:val="single" w:color="auto" w:sz="4" w:space="0"/>
              <w:bottom w:val="single" w:color="000000" w:sz="6" w:space="0"/>
              <w:right w:val="single" w:color="000000" w:sz="6" w:space="0"/>
            </w:tcBorders>
            <w:shd w:val="clear" w:color="auto" w:fill="FFFFFF"/>
            <w:tcMar>
              <w:left w:w="105" w:type="dxa"/>
              <w:right w:w="105" w:type="dxa"/>
            </w:tcMar>
            <w:vAlign w:val="center"/>
          </w:tcPr>
          <w:p w14:paraId="1CF93311">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仿木栏杆</w:t>
            </w:r>
          </w:p>
        </w:tc>
        <w:tc>
          <w:tcPr>
            <w:tcW w:w="3354"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05D28FE2">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val="en-US" w:eastAsia="zh-CN"/>
              </w:rPr>
            </w:pPr>
            <w:r>
              <w:rPr>
                <w:rFonts w:hint="default" w:ascii="宋体" w:hAnsi="宋体" w:eastAsia="宋体" w:cs="宋体"/>
                <w:i w:val="0"/>
                <w:iCs w:val="0"/>
                <w:caps w:val="0"/>
                <w:color w:val="auto"/>
                <w:spacing w:val="0"/>
                <w:sz w:val="18"/>
                <w:szCs w:val="18"/>
                <w:highlight w:val="none"/>
                <w:lang w:val="en-US" w:eastAsia="zh-CN"/>
              </w:rPr>
              <w:t>立柱高度1.1m-1.3m，栏杆厚度15cm-20cm，木纹油漆饰面浮雕图案（</w:t>
            </w:r>
            <w:r>
              <w:rPr>
                <w:rFonts w:hint="eastAsia" w:ascii="宋体" w:hAnsi="宋体" w:eastAsia="宋体" w:cs="宋体"/>
                <w:i w:val="0"/>
                <w:iCs w:val="0"/>
                <w:caps w:val="0"/>
                <w:color w:val="auto"/>
                <w:spacing w:val="0"/>
                <w:sz w:val="18"/>
                <w:szCs w:val="18"/>
                <w:highlight w:val="none"/>
                <w:lang w:val="en-US" w:eastAsia="zh-CN"/>
              </w:rPr>
              <w:t>采购人指定</w:t>
            </w:r>
            <w:r>
              <w:rPr>
                <w:rFonts w:hint="default" w:ascii="宋体" w:hAnsi="宋体" w:eastAsia="宋体" w:cs="宋体"/>
                <w:i w:val="0"/>
                <w:iCs w:val="0"/>
                <w:caps w:val="0"/>
                <w:color w:val="auto"/>
                <w:spacing w:val="0"/>
                <w:sz w:val="18"/>
                <w:szCs w:val="18"/>
                <w:highlight w:val="none"/>
                <w:lang w:val="en-US" w:eastAsia="zh-CN"/>
              </w:rPr>
              <w:t>）</w:t>
            </w:r>
            <w:r>
              <w:rPr>
                <w:rFonts w:hint="eastAsia" w:ascii="宋体" w:hAnsi="宋体" w:eastAsia="宋体" w:cs="宋体"/>
                <w:i w:val="0"/>
                <w:iCs w:val="0"/>
                <w:caps w:val="0"/>
                <w:color w:val="auto"/>
                <w:spacing w:val="0"/>
                <w:sz w:val="18"/>
                <w:szCs w:val="18"/>
                <w:highlight w:val="none"/>
                <w:lang w:val="en-US" w:eastAsia="zh-CN"/>
              </w:rPr>
              <w:t>。</w:t>
            </w:r>
          </w:p>
        </w:tc>
        <w:tc>
          <w:tcPr>
            <w:tcW w:w="546"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25521043">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r>
              <w:rPr>
                <w:rFonts w:hint="eastAsia" w:ascii="宋体" w:hAnsi="宋体" w:eastAsia="宋体" w:cs="宋体"/>
                <w:i w:val="0"/>
                <w:iCs w:val="0"/>
                <w:caps w:val="0"/>
                <w:color w:val="auto"/>
                <w:spacing w:val="0"/>
                <w:sz w:val="18"/>
                <w:szCs w:val="18"/>
                <w:highlight w:val="none"/>
                <w:lang w:eastAsia="zh-CN"/>
              </w:rPr>
              <w:t>米</w:t>
            </w:r>
          </w:p>
        </w:tc>
        <w:tc>
          <w:tcPr>
            <w:tcW w:w="995"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630BCC76">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846"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072B2729">
            <w:pPr>
              <w:keepNext w:val="0"/>
              <w:keepLines w:val="0"/>
              <w:widowControl/>
              <w:suppressLineNumbers w:val="0"/>
              <w:jc w:val="left"/>
              <w:textAlignment w:val="center"/>
              <w:rPr>
                <w:rFonts w:hint="eastAsia" w:ascii="宋体" w:hAnsi="宋体" w:eastAsia="宋体" w:cs="宋体"/>
                <w:i w:val="0"/>
                <w:iCs w:val="0"/>
                <w:caps w:val="0"/>
                <w:color w:val="auto"/>
                <w:spacing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54"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2053357D">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rPr>
            </w:pPr>
          </w:p>
        </w:tc>
        <w:tc>
          <w:tcPr>
            <w:tcW w:w="1175" w:type="dxa"/>
            <w:tcBorders>
              <w:top w:val="single" w:color="auto" w:sz="4" w:space="0"/>
              <w:left w:val="nil"/>
              <w:bottom w:val="single" w:color="000000" w:sz="6" w:space="0"/>
              <w:right w:val="single" w:color="000000" w:sz="6" w:space="0"/>
            </w:tcBorders>
            <w:shd w:val="clear" w:color="auto" w:fill="FFFFFF"/>
            <w:tcMar>
              <w:left w:w="105" w:type="dxa"/>
              <w:right w:w="105" w:type="dxa"/>
            </w:tcMar>
            <w:vAlign w:val="center"/>
          </w:tcPr>
          <w:p w14:paraId="60DF9E90">
            <w:pPr>
              <w:keepNext w:val="0"/>
              <w:keepLines w:val="0"/>
              <w:pageBreakBefore w:val="0"/>
              <w:kinsoku/>
              <w:wordWrap/>
              <w:overflowPunct/>
              <w:topLinePunct w:val="0"/>
              <w:autoSpaceDE/>
              <w:autoSpaceDN/>
              <w:bidi w:val="0"/>
              <w:adjustRightInd/>
              <w:snapToGrid/>
              <w:spacing w:line="240" w:lineRule="exact"/>
              <w:jc w:val="left"/>
              <w:textAlignment w:val="auto"/>
              <w:rPr>
                <w:rFonts w:hint="eastAsia" w:ascii="宋体" w:hAnsi="宋体" w:eastAsia="宋体" w:cs="宋体"/>
                <w:i w:val="0"/>
                <w:iCs w:val="0"/>
                <w:caps w:val="0"/>
                <w:color w:val="auto"/>
                <w:spacing w:val="0"/>
                <w:sz w:val="18"/>
                <w:szCs w:val="18"/>
                <w:highlight w:val="none"/>
                <w:lang w:eastAsia="zh-CN"/>
              </w:rPr>
            </w:pPr>
          </w:p>
        </w:tc>
      </w:tr>
    </w:tbl>
    <w:p w14:paraId="7AC1B7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60" w:firstLine="560"/>
        <w:jc w:val="both"/>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pP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备注：1、由于市政设施维修的不可预估性，不保证合同总价全额实施，如未全额实施，采购人不再另行支付款项。</w:t>
      </w:r>
    </w:p>
    <w:p w14:paraId="050A9CC4">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60" w:firstLine="560"/>
        <w:jc w:val="both"/>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pP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针对维修工作的特殊性，供货商应前往眉山市东坡城区东坡湖弘济中医院至水车段现有青石栏杆勘验后综合考虑报价。</w:t>
      </w: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拟采购青石石材栏杆所有规格参数及技术指标最终以眉山市东坡城区东坡湖弘济中医院至东坡湖水车段现有青石栏杆参数为准（供应商应实地查勘），其中栏板长度根据拟维修改造段原有栏杆栏板长度调整确定。</w:t>
      </w:r>
    </w:p>
    <w:p w14:paraId="51386798">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60" w:firstLine="560"/>
        <w:jc w:val="both"/>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pP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本项目采购材料（含安装）主要用于市政石材栏杆维修工作，含旧栏杆拆除、清基、建渣运输处理、新的石材栏杆材料（式样规格由采购人指定）、运输、安装、打围、保洁等所有青石栏杆维修更换所需工序、材料、人工、机械等所有含税费用。</w:t>
      </w:r>
    </w:p>
    <w:p w14:paraId="5E17EA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60" w:right="30" w:firstLine="560"/>
        <w:jc w:val="both"/>
        <w:rPr>
          <w:rFonts w:hint="eastAsia" w:ascii="仿宋_GB2312" w:hAnsi="仿宋_GB2312" w:eastAsia="仿宋_GB2312" w:cs="仿宋_GB2312"/>
          <w:i w:val="0"/>
          <w:iCs w:val="0"/>
          <w:caps w:val="0"/>
          <w:color w:val="auto"/>
          <w:spacing w:val="0"/>
          <w:sz w:val="28"/>
          <w:szCs w:val="28"/>
          <w:highlight w:val="none"/>
        </w:rPr>
      </w:pP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4、本项目供应商报价仅报总价，合同结算单价按照中标总价同比例计算确定即：结算单价=中标总价/399828×单价限价（结果四舍五入，小数点后取两位小数）；</w:t>
      </w:r>
    </w:p>
    <w:p w14:paraId="2EA2F4F2">
      <w:pPr>
        <w:keepNext w:val="0"/>
        <w:keepLines w:val="0"/>
        <w:pageBreakBefore w:val="0"/>
        <w:kinsoku/>
        <w:wordWrap/>
        <w:overflowPunct/>
        <w:topLinePunct w:val="0"/>
        <w:autoSpaceDE/>
        <w:autoSpaceDN/>
        <w:bidi w:val="0"/>
        <w:adjustRightInd w:val="0"/>
        <w:snapToGrid w:val="0"/>
        <w:spacing w:line="280" w:lineRule="exact"/>
        <w:ind w:firstLine="548" w:firstLineChars="196"/>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（二）合同总价</w:t>
      </w:r>
      <w:bookmarkEnd w:id="1"/>
    </w:p>
    <w:p w14:paraId="31967B6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1、合同总价为人民币大写：</w:t>
      </w:r>
      <w:r>
        <w:rPr>
          <w:rFonts w:hint="eastAsia" w:ascii="仿宋_GB2312" w:hAnsi="仿宋_GB2312" w:eastAsia="仿宋_GB2312" w:cs="仿宋_GB2312"/>
          <w:color w:val="auto"/>
          <w:kern w:val="0"/>
          <w:sz w:val="28"/>
          <w:szCs w:val="28"/>
          <w:highlight w:val="none"/>
          <w:u w:val="single"/>
        </w:rPr>
        <w:t xml:space="preserve">                </w:t>
      </w:r>
      <w:r>
        <w:rPr>
          <w:rFonts w:hint="eastAsia" w:ascii="仿宋_GB2312" w:hAnsi="仿宋_GB2312" w:eastAsia="仿宋_GB2312" w:cs="仿宋_GB2312"/>
          <w:color w:val="auto"/>
          <w:kern w:val="0"/>
          <w:sz w:val="28"/>
          <w:szCs w:val="28"/>
          <w:highlight w:val="none"/>
        </w:rPr>
        <w:t>，即RMB￥</w:t>
      </w:r>
      <w:r>
        <w:rPr>
          <w:rFonts w:hint="eastAsia" w:ascii="仿宋_GB2312" w:hAnsi="仿宋_GB2312" w:eastAsia="仿宋_GB2312" w:cs="仿宋_GB2312"/>
          <w:color w:val="auto"/>
          <w:kern w:val="0"/>
          <w:sz w:val="28"/>
          <w:szCs w:val="28"/>
          <w:highlight w:val="none"/>
          <w:u w:val="single"/>
        </w:rPr>
        <w:t xml:space="preserve">         </w:t>
      </w:r>
      <w:r>
        <w:rPr>
          <w:rFonts w:hint="eastAsia" w:ascii="仿宋_GB2312" w:hAnsi="仿宋_GB2312" w:eastAsia="仿宋_GB2312" w:cs="仿宋_GB2312"/>
          <w:color w:val="auto"/>
          <w:kern w:val="0"/>
          <w:sz w:val="28"/>
          <w:szCs w:val="28"/>
          <w:highlight w:val="none"/>
        </w:rPr>
        <w:t>元；</w:t>
      </w:r>
      <w:r>
        <w:rPr>
          <w:rFonts w:hint="eastAsia" w:ascii="仿宋_GB2312" w:hAnsi="仿宋_GB2312" w:eastAsia="仿宋_GB2312" w:cs="仿宋_GB2312"/>
          <w:color w:val="auto"/>
          <w:kern w:val="0"/>
          <w:sz w:val="28"/>
          <w:szCs w:val="28"/>
          <w:highlight w:val="none"/>
          <w:lang w:eastAsia="zh-CN"/>
        </w:rPr>
        <w:t>合同单价</w:t>
      </w: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包括青石栏杆维修更换所需拆除、清基、建渣运输处理、新安装栏杆材料、运输、安装、打围、保洁等所有工序、材料、人工、机械等所有含税费用。</w:t>
      </w:r>
    </w:p>
    <w:p w14:paraId="7AFAFB13">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2、由于市政设施维修的不可预估性，在商品清单总量内，数量按甲方需要可作调整，以合同单价在总价范围内按实结算。不保证合同总价全额实施。</w:t>
      </w:r>
    </w:p>
    <w:p w14:paraId="718A14F2">
      <w:pPr>
        <w:keepNext w:val="0"/>
        <w:keepLines w:val="0"/>
        <w:pageBreakBefore w:val="0"/>
        <w:tabs>
          <w:tab w:val="left" w:pos="780"/>
        </w:tabs>
        <w:kinsoku/>
        <w:wordWrap/>
        <w:overflowPunct/>
        <w:topLinePunct w:val="0"/>
        <w:autoSpaceDE/>
        <w:autoSpaceDN/>
        <w:bidi w:val="0"/>
        <w:adjustRightInd w:val="0"/>
        <w:snapToGrid w:val="0"/>
        <w:spacing w:line="280" w:lineRule="exact"/>
        <w:ind w:firstLine="420" w:firstLineChars="15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（三）支付方式：</w:t>
      </w:r>
    </w:p>
    <w:p w14:paraId="391D585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0" w:firstLine="49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rPr>
        <w:t>1、</w:t>
      </w:r>
      <w:r>
        <w:rPr>
          <w:rFonts w:hint="eastAsia" w:ascii="仿宋_GB2312" w:hAnsi="仿宋_GB2312" w:eastAsia="仿宋_GB2312" w:cs="仿宋_GB2312"/>
          <w:color w:val="auto"/>
          <w:sz w:val="28"/>
          <w:szCs w:val="28"/>
          <w:highlight w:val="none"/>
          <w:lang w:val="en-US" w:eastAsia="zh-CN"/>
        </w:rPr>
        <w:t>本项目支持预付款，采购人在合同签订并收到供货商有效发票后10个工作日内支付第一批次服务计划金额的40%，预付款作为结算资金的一部分，用于支付供应商费用，并在第一次结算时扣除。</w:t>
      </w:r>
      <w:r>
        <w:rPr>
          <w:rFonts w:hint="eastAsia" w:ascii="仿宋_GB2312" w:hAnsi="仿宋_GB2312" w:eastAsia="仿宋_GB2312" w:cs="仿宋_GB2312"/>
          <w:color w:val="auto"/>
          <w:sz w:val="28"/>
          <w:szCs w:val="28"/>
          <w:highlight w:val="none"/>
          <w:lang w:eastAsia="zh-CN"/>
        </w:rPr>
        <w:t>货物经采购人验收确认合格后按月支付，每批次验收合格后支付该批次货款的90%（须扣除预付款后再支付），剩余</w:t>
      </w:r>
      <w:r>
        <w:rPr>
          <w:rFonts w:hint="eastAsia" w:ascii="仿宋_GB2312" w:hAnsi="仿宋_GB2312" w:eastAsia="仿宋_GB2312" w:cs="仿宋_GB2312"/>
          <w:color w:val="auto"/>
          <w:sz w:val="28"/>
          <w:szCs w:val="28"/>
          <w:highlight w:val="none"/>
          <w:lang w:val="en-US" w:eastAsia="zh-CN"/>
        </w:rPr>
        <w:t>10%货款待最后一批供货质量缺陷责任期满经甲方验收合格后统一支付，</w:t>
      </w:r>
      <w:r>
        <w:rPr>
          <w:rFonts w:hint="eastAsia" w:ascii="仿宋_GB2312" w:hAnsi="仿宋_GB2312" w:eastAsia="仿宋_GB2312" w:cs="仿宋_GB2312"/>
          <w:color w:val="auto"/>
          <w:sz w:val="28"/>
          <w:szCs w:val="28"/>
          <w:highlight w:val="none"/>
          <w:lang w:eastAsia="zh-CN"/>
        </w:rPr>
        <w:t>甲方在收到乙方支付票据</w:t>
      </w:r>
      <w:r>
        <w:rPr>
          <w:rFonts w:hint="eastAsia" w:ascii="仿宋_GB2312" w:hAnsi="仿宋_GB2312" w:eastAsia="仿宋_GB2312" w:cs="仿宋_GB2312"/>
          <w:color w:val="auto"/>
          <w:sz w:val="28"/>
          <w:szCs w:val="28"/>
          <w:highlight w:val="none"/>
          <w:lang w:val="en-US" w:eastAsia="zh-CN"/>
        </w:rPr>
        <w:t>10个工作日</w:t>
      </w:r>
      <w:r>
        <w:rPr>
          <w:rFonts w:hint="eastAsia" w:ascii="仿宋_GB2312" w:hAnsi="仿宋_GB2312" w:eastAsia="仿宋_GB2312" w:cs="仿宋_GB2312"/>
          <w:color w:val="auto"/>
          <w:sz w:val="28"/>
          <w:szCs w:val="28"/>
          <w:highlight w:val="none"/>
          <w:lang w:eastAsia="zh-CN"/>
        </w:rPr>
        <w:t>内支付。</w:t>
      </w:r>
    </w:p>
    <w:p w14:paraId="0CB6AB70">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2、结算以合同单价为准</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乙方须向甲方出具合法有效完整的完税发票及凭证资料进行支付结算。</w:t>
      </w:r>
    </w:p>
    <w:p w14:paraId="5ACB7225">
      <w:pPr>
        <w:keepNext w:val="0"/>
        <w:keepLines w:val="0"/>
        <w:pageBreakBefore w:val="0"/>
        <w:numPr>
          <w:ilvl w:val="0"/>
          <w:numId w:val="1"/>
        </w:numPr>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合同期限</w:t>
      </w:r>
    </w:p>
    <w:p w14:paraId="24289D37">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1、合同签订生效之日起至202</w:t>
      </w:r>
      <w:r>
        <w:rPr>
          <w:rFonts w:hint="eastAsia" w:ascii="仿宋_GB2312" w:hAnsi="仿宋_GB2312" w:eastAsia="仿宋_GB2312" w:cs="仿宋_GB2312"/>
          <w:color w:val="auto"/>
          <w:kern w:val="0"/>
          <w:sz w:val="28"/>
          <w:szCs w:val="28"/>
          <w:highlight w:val="none"/>
          <w:lang w:val="en-US" w:eastAsia="zh-CN"/>
        </w:rPr>
        <w:t>6</w:t>
      </w:r>
      <w:r>
        <w:rPr>
          <w:rFonts w:hint="eastAsia" w:ascii="仿宋_GB2312" w:hAnsi="仿宋_GB2312" w:eastAsia="仿宋_GB2312" w:cs="仿宋_GB2312"/>
          <w:color w:val="auto"/>
          <w:kern w:val="0"/>
          <w:sz w:val="28"/>
          <w:szCs w:val="28"/>
          <w:highlight w:val="none"/>
        </w:rPr>
        <w:t>年4月30日止。</w:t>
      </w:r>
    </w:p>
    <w:p w14:paraId="7FBB7D8D">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rPr>
        <w:t>2、交货方式：根据甲方需要，分批集中供货。</w:t>
      </w:r>
      <w:r>
        <w:rPr>
          <w:rFonts w:hint="eastAsia" w:ascii="仿宋_GB2312" w:hAnsi="仿宋_GB2312" w:eastAsia="仿宋_GB2312" w:cs="仿宋_GB2312"/>
          <w:color w:val="auto"/>
          <w:sz w:val="28"/>
          <w:szCs w:val="28"/>
          <w:highlight w:val="none"/>
        </w:rPr>
        <w:t>甲方可根据实际需求对采购项目的各品目数量进行调整。</w:t>
      </w:r>
      <w:r>
        <w:rPr>
          <w:rFonts w:hint="eastAsia" w:ascii="仿宋_GB2312" w:hAnsi="仿宋_GB2312" w:eastAsia="仿宋_GB2312" w:cs="仿宋_GB2312"/>
          <w:color w:val="auto"/>
          <w:kern w:val="0"/>
          <w:sz w:val="28"/>
          <w:szCs w:val="28"/>
          <w:highlight w:val="none"/>
        </w:rPr>
        <w:t>供应商接到采购人供货需求后，须</w:t>
      </w:r>
      <w:r>
        <w:rPr>
          <w:rFonts w:hint="eastAsia" w:ascii="仿宋_GB2312" w:hAnsi="仿宋_GB2312" w:eastAsia="仿宋_GB2312" w:cs="仿宋_GB2312"/>
          <w:color w:val="auto"/>
          <w:kern w:val="0"/>
          <w:sz w:val="28"/>
          <w:szCs w:val="28"/>
          <w:highlight w:val="none"/>
          <w:lang w:val="en-US" w:eastAsia="zh-CN"/>
        </w:rPr>
        <w:t>5天内足量</w:t>
      </w:r>
      <w:r>
        <w:rPr>
          <w:rFonts w:hint="eastAsia" w:ascii="仿宋_GB2312" w:hAnsi="仿宋_GB2312" w:eastAsia="仿宋_GB2312" w:cs="仿宋_GB2312"/>
          <w:color w:val="auto"/>
          <w:kern w:val="0"/>
          <w:sz w:val="28"/>
          <w:szCs w:val="28"/>
          <w:highlight w:val="none"/>
        </w:rPr>
        <w:t>送货到采购人指定地点</w:t>
      </w:r>
      <w:r>
        <w:rPr>
          <w:rFonts w:hint="eastAsia" w:ascii="仿宋_GB2312" w:hAnsi="仿宋_GB2312" w:eastAsia="仿宋_GB2312" w:cs="仿宋_GB2312"/>
          <w:color w:val="auto"/>
          <w:kern w:val="0"/>
          <w:sz w:val="28"/>
          <w:szCs w:val="28"/>
          <w:highlight w:val="none"/>
          <w:lang w:eastAsia="zh-CN"/>
        </w:rPr>
        <w:t>并完成安装</w:t>
      </w:r>
      <w:r>
        <w:rPr>
          <w:rFonts w:hint="eastAsia" w:ascii="仿宋_GB2312" w:hAnsi="仿宋_GB2312" w:eastAsia="仿宋_GB2312" w:cs="仿宋_GB2312"/>
          <w:color w:val="auto"/>
          <w:kern w:val="0"/>
          <w:sz w:val="28"/>
          <w:szCs w:val="28"/>
          <w:highlight w:val="none"/>
        </w:rPr>
        <w:t>。供应商需随货提供该批次货物的</w:t>
      </w:r>
      <w:r>
        <w:rPr>
          <w:rFonts w:hint="eastAsia" w:ascii="仿宋_GB2312" w:hAnsi="仿宋_GB2312" w:eastAsia="仿宋_GB2312" w:cs="仿宋_GB2312"/>
          <w:color w:val="auto"/>
          <w:kern w:val="0"/>
          <w:sz w:val="28"/>
          <w:szCs w:val="28"/>
          <w:highlight w:val="none"/>
          <w:lang w:eastAsia="zh-CN"/>
        </w:rPr>
        <w:t>有关</w:t>
      </w:r>
      <w:r>
        <w:rPr>
          <w:rFonts w:hint="eastAsia" w:ascii="仿宋_GB2312" w:hAnsi="仿宋_GB2312" w:eastAsia="仿宋_GB2312" w:cs="仿宋_GB2312"/>
          <w:color w:val="auto"/>
          <w:kern w:val="0"/>
          <w:sz w:val="28"/>
          <w:szCs w:val="28"/>
          <w:highlight w:val="none"/>
        </w:rPr>
        <w:t>检测报告</w:t>
      </w:r>
      <w:r>
        <w:rPr>
          <w:rFonts w:hint="eastAsia" w:ascii="仿宋_GB2312" w:hAnsi="仿宋_GB2312" w:eastAsia="仿宋_GB2312" w:cs="仿宋_GB2312"/>
          <w:color w:val="auto"/>
          <w:kern w:val="0"/>
          <w:sz w:val="28"/>
          <w:szCs w:val="28"/>
          <w:highlight w:val="none"/>
          <w:lang w:eastAsia="zh-CN"/>
        </w:rPr>
        <w:t>供采购人检查</w:t>
      </w:r>
      <w:r>
        <w:rPr>
          <w:rFonts w:hint="eastAsia" w:ascii="仿宋_GB2312" w:hAnsi="仿宋_GB2312" w:eastAsia="仿宋_GB2312" w:cs="仿宋_GB2312"/>
          <w:color w:val="auto"/>
          <w:kern w:val="0"/>
          <w:sz w:val="28"/>
          <w:szCs w:val="28"/>
          <w:highlight w:val="none"/>
        </w:rPr>
        <w:t>。</w:t>
      </w:r>
    </w:p>
    <w:p w14:paraId="03A24A2E">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3、本合同履行期限内，不论甲方的实际需求量是否符合采购清单中所列货物的品种、数量、价款，202</w:t>
      </w:r>
      <w:r>
        <w:rPr>
          <w:rFonts w:hint="eastAsia" w:ascii="仿宋_GB2312" w:hAnsi="仿宋_GB2312" w:eastAsia="仿宋_GB2312" w:cs="仿宋_GB2312"/>
          <w:color w:val="auto"/>
          <w:kern w:val="0"/>
          <w:sz w:val="28"/>
          <w:szCs w:val="28"/>
          <w:highlight w:val="none"/>
          <w:lang w:val="en-US" w:eastAsia="zh-CN"/>
        </w:rPr>
        <w:t>6</w:t>
      </w:r>
      <w:r>
        <w:rPr>
          <w:rFonts w:hint="eastAsia" w:ascii="仿宋_GB2312" w:hAnsi="仿宋_GB2312" w:eastAsia="仿宋_GB2312" w:cs="仿宋_GB2312"/>
          <w:color w:val="auto"/>
          <w:kern w:val="0"/>
          <w:sz w:val="28"/>
          <w:szCs w:val="28"/>
          <w:highlight w:val="none"/>
        </w:rPr>
        <w:t>年4月30日24：00本合同自行终止。</w:t>
      </w:r>
    </w:p>
    <w:p w14:paraId="7C8F49B4">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4、本合同自行终止后，若采购人的实际需求量小于采购清单中所列货物的品种、数量和总价款，采购人不负责与此有关的任何责任。</w:t>
      </w:r>
    </w:p>
    <w:p w14:paraId="1248D727">
      <w:pPr>
        <w:keepNext w:val="0"/>
        <w:keepLines w:val="0"/>
        <w:pageBreakBefore w:val="0"/>
        <w:numPr>
          <w:ilvl w:val="0"/>
          <w:numId w:val="1"/>
        </w:numPr>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质量标准</w:t>
      </w:r>
    </w:p>
    <w:p w14:paraId="0D84340F">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rPr>
        <w:t>1、</w:t>
      </w:r>
      <w:r>
        <w:rPr>
          <w:rFonts w:hint="eastAsia" w:ascii="仿宋_GB2312" w:hAnsi="仿宋_GB2312" w:eastAsia="仿宋_GB2312" w:cs="仿宋_GB2312"/>
          <w:color w:val="auto"/>
          <w:sz w:val="28"/>
          <w:szCs w:val="28"/>
          <w:highlight w:val="none"/>
        </w:rPr>
        <w:t>本次采购货物要求按国家或行业相关</w:t>
      </w:r>
      <w:r>
        <w:rPr>
          <w:rFonts w:hint="eastAsia" w:ascii="仿宋_GB2312" w:hAnsi="仿宋_GB2312" w:eastAsia="仿宋_GB2312" w:cs="仿宋_GB2312"/>
          <w:color w:val="auto"/>
          <w:sz w:val="28"/>
          <w:szCs w:val="28"/>
          <w:highlight w:val="none"/>
          <w:lang w:eastAsia="zh-CN"/>
        </w:rPr>
        <w:t>最新</w:t>
      </w:r>
      <w:r>
        <w:rPr>
          <w:rFonts w:hint="eastAsia" w:ascii="仿宋_GB2312" w:hAnsi="仿宋_GB2312" w:eastAsia="仿宋_GB2312" w:cs="仿宋_GB2312"/>
          <w:color w:val="auto"/>
          <w:sz w:val="28"/>
          <w:szCs w:val="28"/>
          <w:highlight w:val="none"/>
        </w:rPr>
        <w:t>标准执行。</w:t>
      </w:r>
    </w:p>
    <w:p w14:paraId="637DE402">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2、甲方</w:t>
      </w:r>
      <w:r>
        <w:rPr>
          <w:rFonts w:hint="eastAsia" w:ascii="仿宋_GB2312" w:hAnsi="仿宋_GB2312" w:eastAsia="仿宋_GB2312" w:cs="仿宋_GB2312"/>
          <w:color w:val="auto"/>
          <w:sz w:val="28"/>
          <w:szCs w:val="28"/>
          <w:highlight w:val="none"/>
        </w:rPr>
        <w:t>有权对每批次货物抽样，送专业检测机构进行检测。若检测结果合格，检测费用及货物损耗由</w:t>
      </w:r>
      <w:r>
        <w:rPr>
          <w:rFonts w:hint="eastAsia" w:ascii="仿宋_GB2312" w:hAnsi="仿宋_GB2312" w:eastAsia="仿宋_GB2312" w:cs="仿宋_GB2312"/>
          <w:color w:val="auto"/>
          <w:kern w:val="0"/>
          <w:sz w:val="28"/>
          <w:szCs w:val="28"/>
          <w:highlight w:val="none"/>
        </w:rPr>
        <w:t>甲方</w:t>
      </w:r>
      <w:r>
        <w:rPr>
          <w:rFonts w:hint="eastAsia" w:ascii="仿宋_GB2312" w:hAnsi="仿宋_GB2312" w:eastAsia="仿宋_GB2312" w:cs="仿宋_GB2312"/>
          <w:color w:val="auto"/>
          <w:sz w:val="28"/>
          <w:szCs w:val="28"/>
          <w:highlight w:val="none"/>
        </w:rPr>
        <w:t>承担；若检测结果不合格，检测费用及货物损耗由乙方承担，甲方有权追究乙方违约责任。</w:t>
      </w:r>
    </w:p>
    <w:p w14:paraId="28CE609F">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安全责任</w:t>
      </w:r>
    </w:p>
    <w:p w14:paraId="7E41663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1、上下车、运输配送货物期间发生的一切安全、经济和社会责任由乙方自行负责。</w:t>
      </w:r>
    </w:p>
    <w:p w14:paraId="53263B23">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2、因乙方供应货物质量问题造成的一切安全、经济和社会责任由乙方负责。</w:t>
      </w:r>
    </w:p>
    <w:p w14:paraId="3953BE5D">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甲方的权利和义务</w:t>
      </w:r>
    </w:p>
    <w:p w14:paraId="3E3EE0AF">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1、甲方有权对合同规定范围内乙方的履约行为进行监督和检查。甲方认为不合理的部分有权下达整改通知书，并要求乙方限期整改。</w:t>
      </w:r>
    </w:p>
    <w:p w14:paraId="765B1DF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2、根据本合同规定，按时向乙方支付应付费用。</w:t>
      </w:r>
    </w:p>
    <w:p w14:paraId="09951CD0">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3、国家法律、法规所规定由甲方承担的其它责任。</w:t>
      </w:r>
    </w:p>
    <w:p w14:paraId="7CBA27F7">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4、甲方有权到乙方生产场地检查货物质量和生产进度。</w:t>
      </w:r>
    </w:p>
    <w:p w14:paraId="141145D8">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乙方的权利和义务</w:t>
      </w:r>
    </w:p>
    <w:p w14:paraId="1E584618">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1、对本合同规定范围内的项目享有管理权及供货义务。</w:t>
      </w:r>
    </w:p>
    <w:p w14:paraId="0CEE6EF9">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2、根据本合同的规定向甲方收取相关费用并使用。</w:t>
      </w:r>
    </w:p>
    <w:p w14:paraId="0F7E187C">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3、乙方自行负责履行本合同履行期间一切财产损失、安全事故的法律责任和赔偿责任等。</w:t>
      </w:r>
    </w:p>
    <w:p w14:paraId="72DEEA71">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4、及时向甲方通告本项目履行范围内有关事项，及时配合处理投诉。</w:t>
      </w:r>
    </w:p>
    <w:p w14:paraId="0E64CE77">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5、接受项目行业管理部门及政府有关部门的指导，接受甲方的监督。</w:t>
      </w:r>
    </w:p>
    <w:p w14:paraId="0DD7DEC8">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6、乙方应根据甲方的数量和时间要求按时供货。</w:t>
      </w:r>
    </w:p>
    <w:p w14:paraId="5658C97D">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7、国家法律、法规所规定由乙方承担的其它责任。</w:t>
      </w:r>
    </w:p>
    <w:p w14:paraId="5BF2F5D6">
      <w:pPr>
        <w:keepNext w:val="0"/>
        <w:keepLines w:val="0"/>
        <w:pageBreakBefore w:val="0"/>
        <w:numPr>
          <w:ilvl w:val="0"/>
          <w:numId w:val="1"/>
        </w:numPr>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售后服务承诺</w:t>
      </w:r>
    </w:p>
    <w:p w14:paraId="035C6DB9">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1、</w:t>
      </w:r>
      <w:r>
        <w:rPr>
          <w:rFonts w:hint="eastAsia" w:ascii="仿宋_GB2312" w:hAnsi="仿宋_GB2312" w:eastAsia="仿宋_GB2312" w:cs="仿宋_GB2312"/>
          <w:color w:val="auto"/>
          <w:kern w:val="0"/>
          <w:sz w:val="28"/>
          <w:szCs w:val="28"/>
          <w:highlight w:val="none"/>
          <w:lang w:eastAsia="zh-CN"/>
        </w:rPr>
        <w:t>供应商承诺货物自验收合格之日起提供为期</w:t>
      </w:r>
      <w:r>
        <w:rPr>
          <w:rFonts w:hint="eastAsia" w:ascii="仿宋_GB2312" w:hAnsi="仿宋_GB2312" w:eastAsia="仿宋_GB2312" w:cs="仿宋_GB2312"/>
          <w:color w:val="auto"/>
          <w:kern w:val="0"/>
          <w:sz w:val="28"/>
          <w:szCs w:val="28"/>
          <w:highlight w:val="none"/>
          <w:lang w:val="en-US" w:eastAsia="zh-CN"/>
        </w:rPr>
        <w:t>6个月的</w:t>
      </w:r>
      <w:r>
        <w:rPr>
          <w:rFonts w:hint="eastAsia" w:ascii="仿宋_GB2312" w:hAnsi="仿宋_GB2312" w:eastAsia="仿宋_GB2312" w:cs="仿宋_GB2312"/>
          <w:color w:val="auto"/>
          <w:kern w:val="0"/>
          <w:sz w:val="28"/>
          <w:szCs w:val="28"/>
          <w:highlight w:val="none"/>
          <w:lang w:val="en-US" w:eastAsia="zh-CN"/>
        </w:rPr>
        <w:t>质量缺陷责任期。质量缺陷责任期</w:t>
      </w:r>
      <w:r>
        <w:rPr>
          <w:rFonts w:hint="eastAsia" w:ascii="仿宋_GB2312" w:hAnsi="仿宋_GB2312" w:eastAsia="仿宋_GB2312" w:cs="仿宋_GB2312"/>
          <w:color w:val="auto"/>
          <w:kern w:val="0"/>
          <w:sz w:val="28"/>
          <w:szCs w:val="28"/>
          <w:highlight w:val="none"/>
          <w:lang w:val="en-US" w:eastAsia="zh-CN"/>
        </w:rPr>
        <w:t>内非人为因素、不可抗力等导致的货物损坏，供应商免费负责更换。</w:t>
      </w:r>
    </w:p>
    <w:p w14:paraId="68BD52E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0" w:firstLine="490"/>
        <w:jc w:val="both"/>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pP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乙方承诺本项目货物出现质量问题，乙方在接到通知后2小时内响应到场，4小时内完成更换直至通过甲方验收，并承担相关费用，并视为乙方违约；如货物经乙方2次更换仍不能达到本合同约定的质量标准，视作未能按时交货而违约，甲方有权终止合同，不支付货款并追究乙方的违约责任。</w:t>
      </w:r>
    </w:p>
    <w:p w14:paraId="6EB9D468">
      <w:pPr>
        <w:keepNext w:val="0"/>
        <w:keepLines w:val="0"/>
        <w:pageBreakBefore w:val="0"/>
        <w:widowControl w:val="0"/>
        <w:suppressLineNumbers w:val="0"/>
        <w:kinsoku/>
        <w:wordWrap/>
        <w:overflowPunct/>
        <w:topLinePunct w:val="0"/>
        <w:autoSpaceDE/>
        <w:autoSpaceDN/>
        <w:bidi w:val="0"/>
        <w:adjustRightInd/>
        <w:spacing w:beforeAutospacing="0" w:afterAutospacing="0" w:line="300" w:lineRule="exact"/>
        <w:ind w:left="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3、</w:t>
      </w:r>
      <w:r>
        <w:rPr>
          <w:rFonts w:hint="eastAsia" w:ascii="仿宋_GB2312" w:hAnsi="仿宋_GB2312" w:eastAsia="仿宋_GB2312" w:cs="仿宋_GB2312"/>
          <w:color w:val="auto"/>
          <w:sz w:val="28"/>
          <w:szCs w:val="28"/>
          <w:highlight w:val="none"/>
          <w:lang w:val="en-US" w:eastAsia="zh-CN"/>
        </w:rPr>
        <w:t>乙方承诺委托：         ，身份证号：        ，联系电话：     ，微信号：           ，为本项目负责人（须与响应文件一致），项目负责人全权负责项目联系、供货、验收、支付等有关事宜，乙方若更换项目负责人，需提前7个工作日向采购人提交说明书面并征得采购人同意。乙方承诺项目负责人如48小时内通过电话或微信方式无法联系，则视为乙方放弃履约，采购人有权单方面终止合同，并不予支付未付货款。</w:t>
      </w:r>
      <w:r>
        <w:rPr>
          <w:rFonts w:hint="eastAsia" w:ascii="仿宋_GB2312" w:hAnsi="仿宋_GB2312" w:eastAsia="仿宋_GB2312" w:cs="仿宋_GB2312"/>
          <w:color w:val="auto"/>
          <w:sz w:val="28"/>
          <w:szCs w:val="28"/>
          <w:highlight w:val="none"/>
        </w:rPr>
        <w:t>本项目货物出现质量问题，乙方在接到通知后2小时内响应到场，</w:t>
      </w: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rPr>
        <w:t>小时内完成更换，并承担相关费用；如货物经乙方2次更换仍不能达到本合同约定的质量标准，视作未能按时交货而违约，甲方有权追究乙方的违约责任。</w:t>
      </w:r>
    </w:p>
    <w:p w14:paraId="5E3CBD6A">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违约责任</w:t>
      </w:r>
    </w:p>
    <w:p w14:paraId="4D62837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1、本项目不要求乙方提交履约担保，但不免除乙方因违约应当承担的违约责任。</w:t>
      </w:r>
    </w:p>
    <w:p w14:paraId="21994D51">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2、甲乙双方必须遵守本合同并执行合同中的各项规定，保证本合同的正常履行。</w:t>
      </w:r>
    </w:p>
    <w:p w14:paraId="57F75A0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Autospacing="0" w:line="280" w:lineRule="exact"/>
        <w:ind w:left="0" w:right="0" w:firstLine="490"/>
        <w:jc w:val="both"/>
        <w:rPr>
          <w:rFonts w:hint="eastAsia" w:ascii="仿宋_GB2312" w:hAnsi="仿宋_GB2312" w:eastAsia="仿宋_GB2312" w:cs="仿宋_GB2312"/>
          <w:i w:val="0"/>
          <w:iCs w:val="0"/>
          <w:caps w:val="0"/>
          <w:color w:val="auto"/>
          <w:spacing w:val="0"/>
          <w:sz w:val="28"/>
          <w:szCs w:val="28"/>
          <w:highlight w:val="none"/>
        </w:rPr>
      </w:pPr>
      <w:r>
        <w:rPr>
          <w:rFonts w:hint="eastAsia" w:ascii="仿宋_GB2312" w:hAnsi="仿宋_GB2312" w:eastAsia="仿宋_GB2312" w:cs="仿宋_GB2312"/>
          <w:color w:val="auto"/>
          <w:kern w:val="0"/>
          <w:sz w:val="28"/>
          <w:szCs w:val="28"/>
          <w:highlight w:val="none"/>
        </w:rPr>
        <w:t>3、</w:t>
      </w:r>
      <w:r>
        <w:rPr>
          <w:rFonts w:hint="eastAsia" w:ascii="仿宋_GB2312" w:hAnsi="仿宋_GB2312" w:eastAsia="仿宋_GB2312" w:cs="仿宋_GB2312"/>
          <w:i w:val="0"/>
          <w:iCs w:val="0"/>
          <w:caps w:val="0"/>
          <w:color w:val="auto"/>
          <w:spacing w:val="0"/>
          <w:kern w:val="0"/>
          <w:sz w:val="28"/>
          <w:szCs w:val="28"/>
          <w:highlight w:val="none"/>
          <w:shd w:val="clear" w:fill="FFFFFF"/>
          <w:lang w:val="en-US" w:eastAsia="zh-CN" w:bidi="ar"/>
        </w:rPr>
        <w:t>乙方未能按时、按量供货而违约的，乙方须向甲方交纳合同总额0.3%/天的违约金（如支付违约金数额不足以弥补甲方损失时，甲方有权根据既有损失事实追加违约金数量），乙方累计违约达到5天及以上，甲方有权单方终止合同，不予支付相关合同款项，并追究乙方违约责任。</w:t>
      </w:r>
    </w:p>
    <w:p w14:paraId="243EB334">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4、如因乙方工作人员在履行职务过程中的疏忽、失职、过错等故意或者过失原因给甲方造成损失或侵害，包括但不限于甲方本身的财产损失、由此而导致的甲方对任何第三方的法律责任、甲方行使权利所产生的费用（包括但不限于诉讼费、执行费、律师费等）等，乙方对此均应承担全部的赔偿责任。</w:t>
      </w:r>
    </w:p>
    <w:p w14:paraId="69B00727">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5、乙方拒不履行合同义务或擅自变更、终止采购合同的，甲方将依法依规将乙方失信行为纳入诚信档案管理。</w:t>
      </w:r>
    </w:p>
    <w:p w14:paraId="5B79A51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80" w:lineRule="exact"/>
        <w:ind w:right="0" w:rightChars="0" w:firstLine="560" w:firstLineChars="200"/>
        <w:jc w:val="both"/>
        <w:textAlignment w:val="baseline"/>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6、</w:t>
      </w:r>
      <w:r>
        <w:rPr>
          <w:rFonts w:hint="eastAsia" w:ascii="仿宋_GB2312" w:hAnsi="仿宋_GB2312" w:eastAsia="仿宋_GB2312" w:cs="仿宋_GB2312"/>
          <w:color w:val="auto"/>
          <w:sz w:val="28"/>
          <w:szCs w:val="28"/>
          <w:highlight w:val="none"/>
          <w:lang w:val="en-US" w:eastAsia="zh-CN"/>
        </w:rPr>
        <w:t>乙方应足额向材料商、劳务人员等支付本合同履行过程中产生工资、费用，因乙方未足额支付影响甲方正常经营的，每发生一次，乙方应向甲方支付10000元违约金。</w:t>
      </w:r>
    </w:p>
    <w:p w14:paraId="1C026F75">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b/>
          <w:color w:val="auto"/>
          <w:sz w:val="28"/>
          <w:szCs w:val="28"/>
          <w:highlight w:val="none"/>
        </w:rPr>
        <w:t>第十条 不可抗力事件处理</w:t>
      </w:r>
    </w:p>
    <w:p w14:paraId="0C696BE8">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1、在合同有效期内，任何一方因不可抗力事件导致不能履行合同，则合同履行期可延长，其延长期与不可抗力影响期相同。</w:t>
      </w:r>
    </w:p>
    <w:p w14:paraId="5274C38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2、不可抗力事件发生后，应立即通知对方，并寄送有关权威机构出具的证明。</w:t>
      </w:r>
    </w:p>
    <w:p w14:paraId="0A1DFFAA">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3、不可抗力事件延续10天以上，双方应通过友好协商，确定是否继续履行合同。</w:t>
      </w:r>
    </w:p>
    <w:p w14:paraId="40C76010">
      <w:pPr>
        <w:keepNext w:val="0"/>
        <w:keepLines w:val="0"/>
        <w:pageBreakBefore w:val="0"/>
        <w:kinsoku/>
        <w:wordWrap/>
        <w:overflowPunct/>
        <w:topLinePunct w:val="0"/>
        <w:autoSpaceDE/>
        <w:autoSpaceDN/>
        <w:bidi w:val="0"/>
        <w:adjustRightInd w:val="0"/>
        <w:snapToGrid w:val="0"/>
        <w:spacing w:line="280" w:lineRule="exact"/>
        <w:ind w:left="640"/>
        <w:textAlignment w:val="auto"/>
        <w:rPr>
          <w:rFonts w:hint="eastAsia" w:ascii="仿宋_GB2312" w:hAnsi="仿宋_GB2312" w:eastAsia="仿宋_GB2312" w:cs="仿宋_GB2312"/>
          <w:b/>
          <w:color w:val="auto"/>
          <w:sz w:val="28"/>
          <w:szCs w:val="28"/>
          <w:highlight w:val="none"/>
        </w:rPr>
      </w:pPr>
      <w:bookmarkStart w:id="2" w:name="_Toc225244857"/>
      <w:bookmarkStart w:id="3" w:name="_Toc225654649"/>
      <w:bookmarkStart w:id="4" w:name="_Toc232492933"/>
      <w:bookmarkStart w:id="5" w:name="_Toc237145411"/>
      <w:bookmarkStart w:id="6" w:name="_Toc251768867"/>
      <w:bookmarkStart w:id="7" w:name="_Toc211911353"/>
      <w:bookmarkStart w:id="8" w:name="_Toc185395254"/>
      <w:bookmarkStart w:id="9" w:name="_Toc241833908"/>
      <w:bookmarkStart w:id="10" w:name="_Toc239233919"/>
      <w:bookmarkStart w:id="11" w:name="_Toc211854454"/>
      <w:bookmarkStart w:id="12" w:name="_Toc225670756"/>
      <w:bookmarkStart w:id="13" w:name="_Toc247334846"/>
      <w:bookmarkStart w:id="14" w:name="_Toc286993792"/>
      <w:bookmarkStart w:id="15" w:name="_Toc238984980"/>
      <w:bookmarkStart w:id="16" w:name="_Toc212019599"/>
      <w:bookmarkStart w:id="17" w:name="_Toc239568423"/>
      <w:r>
        <w:rPr>
          <w:rFonts w:hint="eastAsia" w:ascii="仿宋_GB2312" w:hAnsi="仿宋_GB2312" w:eastAsia="仿宋_GB2312" w:cs="仿宋_GB2312"/>
          <w:b/>
          <w:color w:val="auto"/>
          <w:sz w:val="28"/>
          <w:szCs w:val="28"/>
          <w:highlight w:val="none"/>
        </w:rPr>
        <w:t>第十一条 解决合同纠纷的方式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EBEBFF0">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bookmarkStart w:id="18" w:name="_Toc239233920"/>
      <w:bookmarkStart w:id="19" w:name="_Toc238984981"/>
      <w:bookmarkStart w:id="20" w:name="_Toc286993793"/>
      <w:bookmarkStart w:id="21" w:name="_Toc239568424"/>
      <w:bookmarkStart w:id="22" w:name="_Toc247334847"/>
      <w:bookmarkStart w:id="23" w:name="_Toc212019600"/>
      <w:bookmarkStart w:id="24" w:name="_Toc211911354"/>
      <w:bookmarkStart w:id="25" w:name="_Toc237145412"/>
      <w:bookmarkStart w:id="26" w:name="_Toc225670757"/>
      <w:bookmarkStart w:id="27" w:name="_Toc251768868"/>
      <w:bookmarkStart w:id="28" w:name="_Toc283019219"/>
      <w:bookmarkStart w:id="29" w:name="_Toc241833909"/>
      <w:bookmarkStart w:id="30" w:name="_Toc282696231"/>
      <w:bookmarkStart w:id="31" w:name="_Toc211854455"/>
      <w:bookmarkStart w:id="32" w:name="_Toc225244858"/>
      <w:bookmarkStart w:id="33" w:name="_Toc225654650"/>
      <w:bookmarkStart w:id="34" w:name="_Toc185395255"/>
      <w:bookmarkStart w:id="35" w:name="_Toc232492934"/>
      <w:r>
        <w:rPr>
          <w:rFonts w:hint="eastAsia" w:ascii="仿宋_GB2312" w:hAnsi="仿宋_GB2312" w:eastAsia="仿宋_GB2312" w:cs="仿宋_GB2312"/>
          <w:color w:val="auto"/>
          <w:kern w:val="0"/>
          <w:sz w:val="28"/>
          <w:szCs w:val="28"/>
          <w:highlight w:val="none"/>
        </w:rPr>
        <w:t>1、在执行本合同中发生的或与本合同有关的争端，双方应通过友好协商解决，经协商不能达成协议时，应提交</w:t>
      </w:r>
      <w:r>
        <w:rPr>
          <w:rFonts w:hint="eastAsia" w:ascii="仿宋_GB2312" w:hAnsi="仿宋_GB2312" w:eastAsia="仿宋_GB2312" w:cs="仿宋_GB2312"/>
          <w:color w:val="auto"/>
          <w:kern w:val="0"/>
          <w:sz w:val="28"/>
          <w:szCs w:val="28"/>
          <w:highlight w:val="none"/>
          <w:lang w:eastAsia="zh-CN"/>
        </w:rPr>
        <w:t>采购人所在地法院诉讼解决</w:t>
      </w:r>
      <w:r>
        <w:rPr>
          <w:rFonts w:hint="eastAsia" w:ascii="仿宋_GB2312" w:hAnsi="仿宋_GB2312" w:eastAsia="仿宋_GB2312" w:cs="仿宋_GB2312"/>
          <w:color w:val="auto"/>
          <w:kern w:val="0"/>
          <w:sz w:val="28"/>
          <w:szCs w:val="28"/>
          <w:highlight w:val="none"/>
        </w:rPr>
        <w:t>。</w:t>
      </w:r>
    </w:p>
    <w:p w14:paraId="5B38E607">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color w:val="auto"/>
          <w:kern w:val="0"/>
          <w:sz w:val="28"/>
          <w:szCs w:val="28"/>
          <w:highlight w:val="none"/>
        </w:rPr>
        <w:t>、在</w:t>
      </w:r>
      <w:r>
        <w:rPr>
          <w:rFonts w:hint="eastAsia" w:ascii="仿宋_GB2312" w:hAnsi="仿宋_GB2312" w:eastAsia="仿宋_GB2312" w:cs="仿宋_GB2312"/>
          <w:color w:val="auto"/>
          <w:kern w:val="0"/>
          <w:sz w:val="28"/>
          <w:szCs w:val="28"/>
          <w:highlight w:val="none"/>
          <w:lang w:eastAsia="zh-CN"/>
        </w:rPr>
        <w:t>诉讼</w:t>
      </w:r>
      <w:r>
        <w:rPr>
          <w:rFonts w:hint="eastAsia" w:ascii="仿宋_GB2312" w:hAnsi="仿宋_GB2312" w:eastAsia="仿宋_GB2312" w:cs="仿宋_GB2312"/>
          <w:color w:val="auto"/>
          <w:kern w:val="0"/>
          <w:sz w:val="28"/>
          <w:szCs w:val="28"/>
          <w:highlight w:val="none"/>
        </w:rPr>
        <w:t>期间，除正在进行</w:t>
      </w:r>
      <w:r>
        <w:rPr>
          <w:rFonts w:hint="eastAsia" w:ascii="仿宋_GB2312" w:hAnsi="仿宋_GB2312" w:eastAsia="仿宋_GB2312" w:cs="仿宋_GB2312"/>
          <w:color w:val="auto"/>
          <w:kern w:val="0"/>
          <w:sz w:val="28"/>
          <w:szCs w:val="28"/>
          <w:highlight w:val="none"/>
          <w:lang w:eastAsia="zh-CN"/>
        </w:rPr>
        <w:t>诉讼</w:t>
      </w:r>
      <w:r>
        <w:rPr>
          <w:rFonts w:hint="eastAsia" w:ascii="仿宋_GB2312" w:hAnsi="仿宋_GB2312" w:eastAsia="仿宋_GB2312" w:cs="仿宋_GB2312"/>
          <w:color w:val="auto"/>
          <w:kern w:val="0"/>
          <w:sz w:val="28"/>
          <w:szCs w:val="28"/>
          <w:highlight w:val="none"/>
        </w:rPr>
        <w:t>的部分外，合同其他部分继续执行。</w:t>
      </w:r>
    </w:p>
    <w:p w14:paraId="0B8CAEAB">
      <w:pPr>
        <w:keepNext w:val="0"/>
        <w:keepLines w:val="0"/>
        <w:pageBreakBefore w:val="0"/>
        <w:kinsoku/>
        <w:wordWrap/>
        <w:overflowPunct/>
        <w:topLinePunct w:val="0"/>
        <w:autoSpaceDE/>
        <w:autoSpaceDN/>
        <w:bidi w:val="0"/>
        <w:adjustRightInd w:val="0"/>
        <w:snapToGrid w:val="0"/>
        <w:spacing w:line="280" w:lineRule="exact"/>
        <w:ind w:left="64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第十二条 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仿宋_GB2312" w:hAnsi="仿宋_GB2312" w:eastAsia="仿宋_GB2312" w:cs="仿宋_GB2312"/>
          <w:b/>
          <w:color w:val="auto"/>
          <w:sz w:val="28"/>
          <w:szCs w:val="28"/>
          <w:highlight w:val="none"/>
        </w:rPr>
        <w:t>生效及其他</w:t>
      </w:r>
    </w:p>
    <w:p w14:paraId="1B5F58BD">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1、合同经双方法定代表人或授权委托代理人签字并加盖单位公章后生效。</w:t>
      </w:r>
    </w:p>
    <w:p w14:paraId="5B2F263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2、本合同一式肆份，甲方贰份，乙方贰份，具有同等法律效力。</w:t>
      </w:r>
    </w:p>
    <w:p w14:paraId="73B4A591">
      <w:pPr>
        <w:keepNext w:val="0"/>
        <w:keepLines w:val="0"/>
        <w:pageBreakBefore w:val="0"/>
        <w:kinsoku/>
        <w:wordWrap/>
        <w:overflowPunct/>
        <w:topLinePunct w:val="0"/>
        <w:autoSpaceDE/>
        <w:autoSpaceDN/>
        <w:bidi w:val="0"/>
        <w:adjustRightInd w:val="0"/>
        <w:snapToGrid w:val="0"/>
        <w:spacing w:line="280" w:lineRule="exact"/>
        <w:ind w:left="64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第十三条 附件</w:t>
      </w:r>
    </w:p>
    <w:p w14:paraId="1CB3902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1、项目《招标文件》；</w:t>
      </w:r>
    </w:p>
    <w:p w14:paraId="2A17C0E1">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2、项目修改澄清文件；</w:t>
      </w:r>
    </w:p>
    <w:p w14:paraId="7BBCC1C6">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3、项目《投标文件》；</w:t>
      </w:r>
    </w:p>
    <w:p w14:paraId="35F24F09">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4、中标通知书；</w:t>
      </w:r>
    </w:p>
    <w:p w14:paraId="002ECB2A">
      <w:pPr>
        <w:keepNext w:val="0"/>
        <w:keepLines w:val="0"/>
        <w:pageBreakBefore w:val="0"/>
        <w:kinsoku/>
        <w:wordWrap/>
        <w:overflowPunct/>
        <w:topLinePunct w:val="0"/>
        <w:autoSpaceDE/>
        <w:autoSpaceDN/>
        <w:bidi w:val="0"/>
        <w:adjustRightInd w:val="0"/>
        <w:snapToGrid w:val="0"/>
        <w:spacing w:line="280" w:lineRule="exact"/>
        <w:ind w:firstLine="490" w:firstLineChars="175"/>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5、其他。</w:t>
      </w:r>
    </w:p>
    <w:p w14:paraId="3266B110">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p>
    <w:p w14:paraId="36677303">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甲方：   （盖章）           乙方：   （盖章）</w:t>
      </w:r>
    </w:p>
    <w:p w14:paraId="14A00744">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法定代表人（被授权人）：    法定代表人（被授权人）：</w:t>
      </w:r>
    </w:p>
    <w:p w14:paraId="3EB0CAC7">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地    址：                  地    址：</w:t>
      </w:r>
    </w:p>
    <w:p w14:paraId="4691326B">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开户银行：                  开户银行：</w:t>
      </w:r>
    </w:p>
    <w:p w14:paraId="3397E43E">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账号：                      账号：</w:t>
      </w:r>
    </w:p>
    <w:p w14:paraId="37D25960">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电    话：                  电    话：</w:t>
      </w:r>
    </w:p>
    <w:p w14:paraId="326D7639">
      <w:pPr>
        <w:keepNext w:val="0"/>
        <w:keepLines w:val="0"/>
        <w:pageBreakBefore w:val="0"/>
        <w:tabs>
          <w:tab w:val="left" w:pos="6983"/>
        </w:tabs>
        <w:kinsoku/>
        <w:wordWrap/>
        <w:overflowPunct/>
        <w:topLinePunct w:val="0"/>
        <w:autoSpaceDE/>
        <w:autoSpaceDN/>
        <w:bidi w:val="0"/>
        <w:spacing w:line="280" w:lineRule="exact"/>
        <w:ind w:firstLine="490" w:firstLineChars="175"/>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传    真：                  传    真：</w:t>
      </w:r>
    </w:p>
    <w:p w14:paraId="5677EDC5">
      <w:pPr>
        <w:keepNext w:val="0"/>
        <w:keepLines w:val="0"/>
        <w:pageBreakBefore w:val="0"/>
        <w:kinsoku/>
        <w:wordWrap/>
        <w:overflowPunct/>
        <w:topLinePunct w:val="0"/>
        <w:autoSpaceDE/>
        <w:autoSpaceDN/>
        <w:bidi w:val="0"/>
        <w:spacing w:line="2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签约日期：   年  月  日     签约日期：   年  月  日</w:t>
      </w:r>
      <w:r>
        <w:rPr>
          <w:rFonts w:hint="eastAsia" w:ascii="仿宋_GB2312" w:hAnsi="仿宋_GB2312" w:eastAsia="仿宋_GB2312" w:cs="仿宋_GB2312"/>
          <w:color w:val="auto"/>
          <w:sz w:val="28"/>
          <w:szCs w:val="28"/>
          <w:highlight w:val="none"/>
        </w:rPr>
        <w:tab/>
      </w:r>
    </w:p>
    <w:p w14:paraId="4A92BDAF">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color w:val="auto"/>
          <w:sz w:val="28"/>
          <w:szCs w:val="28"/>
          <w:highlight w:val="none"/>
        </w:rPr>
        <w:t>注：以上合同范本仅供参考，所有条款均可在采购人与成交供应商协商后进行修</w:t>
      </w:r>
      <w:r>
        <w:rPr>
          <w:rFonts w:hint="eastAsia" w:ascii="仿宋_GB2312" w:hAnsi="仿宋_GB2312" w:eastAsia="仿宋_GB2312" w:cs="仿宋_GB2312"/>
          <w:b/>
          <w:color w:val="auto"/>
          <w:sz w:val="28"/>
          <w:szCs w:val="28"/>
          <w:highlight w:val="none"/>
          <w:lang w:eastAsia="zh-CN"/>
        </w:rPr>
        <w:t>改。</w:t>
      </w:r>
    </w:p>
    <w:p w14:paraId="17F5D522">
      <w:pPr>
        <w:rPr>
          <w:highlight w:val="none"/>
        </w:rPr>
      </w:pPr>
    </w:p>
    <w:bookmarkEnd w:id="36"/>
    <w:sectPr>
      <w:pgSz w:w="11906" w:h="16838"/>
      <w:pgMar w:top="1440" w:right="1077" w:bottom="1440" w:left="1077" w:header="851" w:footer="992" w:gutter="0"/>
      <w:cols w:space="0" w:num="1"/>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31320"/>
    <w:multiLevelType w:val="singleLevel"/>
    <w:tmpl w:val="F3D31320"/>
    <w:lvl w:ilvl="0" w:tentative="0">
      <w:start w:val="1"/>
      <w:numFmt w:val="decimal"/>
      <w:lvlText w:val="%1."/>
      <w:lvlJc w:val="left"/>
      <w:pPr>
        <w:tabs>
          <w:tab w:val="left" w:pos="312"/>
        </w:tabs>
      </w:pPr>
    </w:lvl>
  </w:abstractNum>
  <w:abstractNum w:abstractNumId="1">
    <w:nsid w:val="4250A672"/>
    <w:multiLevelType w:val="singleLevel"/>
    <w:tmpl w:val="4250A672"/>
    <w:lvl w:ilvl="0" w:tentative="0">
      <w:start w:val="2"/>
      <w:numFmt w:val="decimal"/>
      <w:suff w:val="nothing"/>
      <w:lvlText w:val="%1、"/>
      <w:lvlJc w:val="left"/>
    </w:lvl>
  </w:abstractNum>
  <w:abstractNum w:abstractNumId="2">
    <w:nsid w:val="597E01FD"/>
    <w:multiLevelType w:val="multilevel"/>
    <w:tmpl w:val="597E01FD"/>
    <w:lvl w:ilvl="0" w:tentative="0">
      <w:start w:val="1"/>
      <w:numFmt w:val="japaneseCounting"/>
      <w:lvlText w:val="第%1条"/>
      <w:lvlJc w:val="left"/>
      <w:pPr>
        <w:ind w:left="1720" w:hanging="108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B17DF"/>
    <w:rsid w:val="531B1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BodyText"/>
    <w:basedOn w:val="1"/>
    <w:next w:val="1"/>
    <w:autoRedefine/>
    <w:qFormat/>
    <w:uiPriority w:val="0"/>
    <w:pPr>
      <w:widowControl/>
      <w:spacing w:line="360" w:lineRule="auto"/>
      <w:textAlignment w:val="baseline"/>
    </w:pPr>
    <w:rPr>
      <w:color w:val="FF0000"/>
      <w:szCs w:val="24"/>
    </w:rPr>
  </w:style>
  <w:style w:type="paragraph" w:styleId="3">
    <w:name w:val="Plain Text"/>
    <w:basedOn w:val="1"/>
    <w:qFormat/>
    <w:uiPriority w:val="99"/>
    <w:rPr>
      <w:rFonts w:ascii="宋体" w:hAnsi="Courier New"/>
      <w:szCs w:val="20"/>
    </w:rPr>
  </w:style>
  <w:style w:type="paragraph" w:styleId="4">
    <w:name w:val="Normal (Web)"/>
    <w:basedOn w:val="1"/>
    <w:qFormat/>
    <w:uiPriority w:val="0"/>
    <w:pPr>
      <w:widowControl/>
      <w:jc w:val="left"/>
    </w:pPr>
    <w:rPr>
      <w:rFonts w:ascii="宋体" w:hAnsi="宋体" w:eastAsia="等线"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2025-03-19T00:26:00Z</dcterms:created>
  <dc:creator>张晨曦</dc:creator>
  <cp:lastModifiedBy>张晨曦</cp:lastModifiedBy>
  <dcterms:modified xsi:type="dcterms:W3CDTF">2025-03-19T00:26:13Z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946FB7CD6F7F4A0FB670FD5985DB8529_11</vt:lpwstr>
  </property>
  <property fmtid="{D5CDD505-2E9C-101B-9397-08002B2CF9AE}" pid="4" name="KSOTemplateDocerSaveRecord">
    <vt:lpwstr>eyJoZGlkIjoiYjI3NTc3OTUyNWM4ZTI0MTZlNmM0NDU3ZGQyOTZlZTEiLCJ1c2VySWQiOiIyOTQxNjg1NzMifQ==</vt:lpwstr>
  </property>
</Properties>
</file>