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版本号：N511401202500004520250317002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2025年度市政维修所需石材栏杆等材料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N5114012025000045</w:t>
      </w:r>
    </w:p>
    <w:p>
      <w:pPr>
        <w:pStyle w:val="null3"/>
        <w:jc w:val="left"/>
        <w:outlineLvl w:val="2"/>
      </w:pPr>
      <w:r>
        <w:rPr>
          <w:rFonts w:ascii="仿宋_GB2312" w:hAnsi="仿宋_GB2312" w:cs="仿宋_GB2312" w:eastAsia="仿宋_GB2312"/>
          <w:sz w:val="28"/>
          <w:b/>
        </w:rPr>
        <w:t>眉山市市政设施管理处</w:t>
      </w:r>
    </w:p>
    <w:p>
      <w:pPr>
        <w:pStyle w:val="null3"/>
        <w:jc w:val="center"/>
        <w:outlineLvl w:val="2"/>
      </w:pPr>
      <w:r>
        <w:rPr>
          <w:rFonts w:ascii="仿宋_GB2312" w:hAnsi="仿宋_GB2312" w:cs="仿宋_GB2312" w:eastAsia="仿宋_GB2312"/>
          <w:sz w:val="28"/>
          <w:b/>
        </w:rPr>
        <w:t>四川心诺工程项目管理有限公司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四川心诺工程项目管理有限公司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眉山市市政设施管理处</w:t>
      </w:r>
      <w:r>
        <w:rPr>
          <w:rFonts w:ascii="仿宋_GB2312" w:hAnsi="仿宋_GB2312" w:cs="仿宋_GB2312" w:eastAsia="仿宋_GB2312"/>
        </w:rPr>
        <w:t xml:space="preserve"> 委托，拟对 </w:t>
      </w:r>
      <w:r>
        <w:rPr>
          <w:rFonts w:ascii="仿宋_GB2312" w:hAnsi="仿宋_GB2312" w:cs="仿宋_GB2312" w:eastAsia="仿宋_GB2312"/>
        </w:rPr>
        <w:t>2025年度市政维修所需石材栏杆等材料</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眉山市市本级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N5114012025000045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2025年度市政维修所需石材栏杆等材料</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采购市政维修用石材栏杆等材料（含安装）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眉山市市政设施管理处</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四川省眉山市东坡区红星西路38号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028-37356236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四川心诺工程项目管理有限公司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四川省眉山市东坡区三苏大道168号华地恒通广场1单元903号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18980372682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代理服务费收费标准：代理服务费用收取对象：中标/成交供应商 代理服务费收费标准：本项目代理服务费按照《四川省政府采购营商环境指标提升专项行动工作方案》中“成本+合理利润”原则收费：10000.00元（大写：壹万元整）。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眉山市市政设施管理处</w:t>
      </w:r>
      <w:r>
        <w:rPr>
          <w:rFonts w:ascii="仿宋_GB2312" w:hAnsi="仿宋_GB2312" w:cs="仿宋_GB2312" w:eastAsia="仿宋_GB2312"/>
        </w:rPr>
        <w:t xml:space="preserve"> 和 </w:t>
      </w:r>
      <w:r>
        <w:rPr>
          <w:rFonts w:ascii="仿宋_GB2312" w:hAnsi="仿宋_GB2312" w:cs="仿宋_GB2312" w:eastAsia="仿宋_GB2312"/>
        </w:rPr>
        <w:t>四川心诺工程项目管理有限公司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眉山市市政设施管理处</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四川心诺工程项目管理有限公司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供应商提出验收申请之日起10日内组织验收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按正式签订的合同约定为准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按正式签订的合同约定为准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按照《关于进一步加强政府采购需求和履约验收管理的指导意见》（财库[2016]205号）和采购文件中的相关规定、合同条款要求其他相关法律法规或行业规定进行履约验收。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眉山市市政设施管理处</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四川心诺工程项目管理有限公司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四川心诺工程项目管理有限公司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 冯先生</w:t>
      </w:r>
    </w:p>
    <w:p>
      <w:pPr>
        <w:pStyle w:val="null3"/>
        <w:jc w:val="left"/>
      </w:pPr>
      <w:r>
        <w:rPr>
          <w:rFonts w:ascii="仿宋_GB2312" w:hAnsi="仿宋_GB2312" w:cs="仿宋_GB2312" w:eastAsia="仿宋_GB2312"/>
        </w:rPr>
        <w:t>联系电话：028-37356236</w:t>
      </w:r>
    </w:p>
    <w:p>
      <w:pPr>
        <w:pStyle w:val="null3"/>
        <w:jc w:val="left"/>
      </w:pPr>
      <w:r>
        <w:rPr>
          <w:rFonts w:ascii="仿宋_GB2312" w:hAnsi="仿宋_GB2312" w:cs="仿宋_GB2312" w:eastAsia="仿宋_GB2312"/>
        </w:rPr>
        <w:t>地址： 四川省眉山市东坡区红星西路38号</w:t>
      </w:r>
    </w:p>
    <w:p>
      <w:pPr>
        <w:pStyle w:val="null3"/>
        <w:jc w:val="left"/>
      </w:pPr>
      <w:r>
        <w:rPr>
          <w:rFonts w:ascii="仿宋_GB2312" w:hAnsi="仿宋_GB2312" w:cs="仿宋_GB2312" w:eastAsia="仿宋_GB2312"/>
        </w:rPr>
        <w:t>邮编：620010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  18980372682</w:t>
      </w:r>
    </w:p>
    <w:p>
      <w:pPr>
        <w:pStyle w:val="null3"/>
        <w:jc w:val="left"/>
      </w:pPr>
      <w:r>
        <w:rPr>
          <w:rFonts w:ascii="仿宋_GB2312" w:hAnsi="仿宋_GB2312" w:cs="仿宋_GB2312" w:eastAsia="仿宋_GB2312"/>
        </w:rPr>
        <w:t>地址：四川省眉山市东坡区三苏大道168号华地恒通广场1单元903号</w:t>
      </w:r>
    </w:p>
    <w:p>
      <w:pPr>
        <w:pStyle w:val="null3"/>
        <w:jc w:val="left"/>
      </w:pPr>
      <w:r>
        <w:rPr>
          <w:rFonts w:ascii="仿宋_GB2312" w:hAnsi="仿宋_GB2312" w:cs="仿宋_GB2312" w:eastAsia="仿宋_GB2312"/>
        </w:rPr>
        <w:t>邮编：620010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399,828.00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A07010199 其他天然石料</w:t>
            </w:r>
          </w:p>
        </w:tc>
        <w:tc>
          <w:tcPr>
            <w:tcW w:type="dxa" w:w="821"/>
          </w:tcPr>
          <w:p>
            <w:pPr>
              <w:pStyle w:val="null3"/>
              <w:jc w:val="left"/>
            </w:pPr>
            <w:r>
              <w:rPr>
                <w:rFonts w:ascii="仿宋_GB2312" w:hAnsi="仿宋_GB2312" w:cs="仿宋_GB2312" w:eastAsia="仿宋_GB2312"/>
              </w:rPr>
              <w:t>2025年度市政维修所需石材栏杆等材料</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399,828.00</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2025年度市政维修所需石材栏杆等材料</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399,828.00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A07010199 其他天然石料</w:t>
            </w:r>
          </w:p>
        </w:tc>
        <w:tc>
          <w:tcPr>
            <w:tcW w:type="dxa" w:w="2492"/>
          </w:tcPr>
          <w:p>
            <w:pPr>
              <w:pStyle w:val="null3"/>
              <w:jc w:val="left"/>
            </w:pPr>
            <w:r>
              <w:rPr>
                <w:rFonts w:ascii="仿宋_GB2312" w:hAnsi="仿宋_GB2312" w:cs="仿宋_GB2312" w:eastAsia="仿宋_GB2312"/>
              </w:rPr>
              <w:t>2025年度市政维修所需石材栏杆等材料</w:t>
            </w:r>
          </w:p>
        </w:tc>
        <w:tc>
          <w:tcPr>
            <w:tcW w:type="dxa" w:w="2492"/>
          </w:tcPr>
          <w:p>
            <w:pPr>
              <w:pStyle w:val="null3"/>
              <w:jc w:val="left"/>
            </w:pPr>
            <w:r>
              <w:rPr>
                <w:rFonts w:ascii="仿宋_GB2312" w:hAnsi="仿宋_GB2312" w:cs="仿宋_GB2312" w:eastAsia="仿宋_GB2312"/>
              </w:rPr>
              <w:t>青石栏杆</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标的名称：2025年度市政维修所需石材栏杆等材料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项目采购清单及技术参数</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77"/>
              <w:gridCol w:w="2079"/>
              <w:gridCol w:w="338"/>
              <w:gridCol w:w="620"/>
              <w:gridCol w:w="526"/>
              <w:gridCol w:w="592"/>
              <w:gridCol w:w="733"/>
            </w:tblGrid>
            <w:tr>
              <w:tc>
                <w:tcPr>
                  <w:tcW w:type="dxa" w:w="6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项目名称</w:t>
                  </w:r>
                </w:p>
              </w:tc>
              <w:tc>
                <w:tcPr>
                  <w:tcW w:type="dxa" w:w="20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技术指标</w:t>
                  </w:r>
                </w:p>
              </w:tc>
              <w:tc>
                <w:tcPr>
                  <w:tcW w:type="dxa" w:w="3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单位</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单价限价（元）</w:t>
                  </w:r>
                </w:p>
              </w:tc>
              <w:tc>
                <w:tcPr>
                  <w:tcW w:type="dxa" w:w="5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采购</w:t>
                  </w:r>
                </w:p>
                <w:p>
                  <w:pPr>
                    <w:pStyle w:val="null3"/>
                    <w:spacing w:before="105" w:after="105"/>
                    <w:jc w:val="center"/>
                  </w:pPr>
                  <w:r>
                    <w:rPr>
                      <w:rFonts w:ascii="仿宋_GB2312" w:hAnsi="仿宋_GB2312" w:cs="仿宋_GB2312" w:eastAsia="仿宋_GB2312"/>
                      <w:sz w:val="24"/>
                    </w:rPr>
                    <w:t>数量</w:t>
                  </w:r>
                </w:p>
              </w:tc>
              <w:tc>
                <w:tcPr>
                  <w:tcW w:type="dxa" w:w="5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金额（元）</w:t>
                  </w:r>
                </w:p>
              </w:tc>
              <w:tc>
                <w:tcPr>
                  <w:tcW w:type="dxa" w:w="7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备注</w:t>
                  </w:r>
                </w:p>
              </w:tc>
            </w:tr>
            <w:tr>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青石栏杆</w:t>
                  </w:r>
                </w:p>
              </w:tc>
              <w:tc>
                <w:tcPr>
                  <w:tcW w:type="dxa" w:w="2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spacing w:before="105" w:after="105"/>
                    <w:ind w:left="120"/>
                    <w:jc w:val="left"/>
                  </w:pPr>
                  <w:r>
                    <w:rPr>
                      <w:rFonts w:ascii="仿宋_GB2312" w:hAnsi="仿宋_GB2312" w:cs="仿宋_GB2312" w:eastAsia="仿宋_GB2312"/>
                      <w:sz w:val="18"/>
                    </w:rPr>
                    <w:t>石料种类、构件规格</w:t>
                  </w:r>
                  <w:r>
                    <w:rPr>
                      <w:rFonts w:ascii="仿宋_GB2312" w:hAnsi="仿宋_GB2312" w:cs="仿宋_GB2312" w:eastAsia="仿宋_GB2312"/>
                      <w:sz w:val="18"/>
                    </w:rPr>
                    <w:t>、构件式样</w:t>
                  </w:r>
                  <w:r>
                    <w:rPr>
                      <w:rFonts w:ascii="仿宋_GB2312" w:hAnsi="仿宋_GB2312" w:cs="仿宋_GB2312" w:eastAsia="仿宋_GB2312"/>
                      <w:sz w:val="18"/>
                    </w:rPr>
                    <w:t>：</w:t>
                  </w:r>
                  <w:r>
                    <w:rPr>
                      <w:rFonts w:ascii="仿宋_GB2312" w:hAnsi="仿宋_GB2312" w:cs="仿宋_GB2312" w:eastAsia="仿宋_GB2312"/>
                      <w:sz w:val="18"/>
                    </w:rPr>
                    <w:t>150X150整石扶手端头榫长60，榫截面100X100、立柱开110X110孔扶手插入石材胶填缝、200X200X1350高青石立柱、定制凹5mm云纹浮雕柱头</w:t>
                  </w:r>
                </w:p>
                <w:p>
                  <w:pPr>
                    <w:pStyle w:val="null3"/>
                    <w:spacing w:before="105" w:after="105"/>
                    <w:jc w:val="left"/>
                  </w:pPr>
                  <w:r>
                    <w:rPr>
                      <w:rFonts w:ascii="仿宋_GB2312" w:hAnsi="仿宋_GB2312" w:cs="仿宋_GB2312" w:eastAsia="仿宋_GB2312"/>
                      <w:sz w:val="18"/>
                    </w:rPr>
                    <w:t>2.石表面加工要求及等级 ：与东坡湖弘济中医院至水车段保持一致；</w:t>
                  </w:r>
                </w:p>
                <w:p>
                  <w:pPr>
                    <w:pStyle w:val="null3"/>
                    <w:spacing w:before="105" w:after="105"/>
                    <w:jc w:val="left"/>
                  </w:pPr>
                  <w:r>
                    <w:rPr>
                      <w:rFonts w:ascii="仿宋_GB2312" w:hAnsi="仿宋_GB2312" w:cs="仿宋_GB2312" w:eastAsia="仿宋_GB2312"/>
                      <w:sz w:val="18"/>
                    </w:rPr>
                    <w:t>3.雕刻种类、形式 ：与东坡湖弘济中医院至水车段保持一致；</w:t>
                  </w:r>
                </w:p>
                <w:p>
                  <w:pPr>
                    <w:pStyle w:val="null3"/>
                    <w:spacing w:before="105" w:after="105"/>
                    <w:jc w:val="left"/>
                  </w:pPr>
                  <w:r>
                    <w:rPr>
                      <w:rFonts w:ascii="仿宋_GB2312" w:hAnsi="仿宋_GB2312" w:cs="仿宋_GB2312" w:eastAsia="仿宋_GB2312"/>
                      <w:sz w:val="18"/>
                    </w:rPr>
                    <w:t>4.立柱内钢筋L≥300,HPB300≤φ10钢筋插入@150，石材及原有混凝土地面钻φ12孔插入钢筋后石材胶填，确保固定牢固。</w:t>
                  </w:r>
                </w:p>
                <w:p>
                  <w:pPr>
                    <w:pStyle w:val="null3"/>
                    <w:spacing w:before="105" w:after="105"/>
                    <w:jc w:val="left"/>
                  </w:pPr>
                  <w:r>
                    <w:rPr>
                      <w:rFonts w:ascii="仿宋_GB2312" w:hAnsi="仿宋_GB2312" w:cs="仿宋_GB2312" w:eastAsia="仿宋_GB2312"/>
                      <w:sz w:val="18"/>
                    </w:rPr>
                    <w:t>5.为保障维修改造质量，拟采购石材栏杆所有规格参数及技术指标最终以眉山市东坡城区东坡湖弘济中医院至东坡湖水车段现有青石栏杆参数为准（供应商应实地查勘），其中栏板长度根据拟维修改造段原有栏杆栏板长度调整确定。</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米</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525</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752</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394800</w:t>
                  </w:r>
                </w:p>
              </w:tc>
              <w:tc>
                <w:tcPr>
                  <w:tcW w:type="dxa" w:w="7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该项目主要用于眉山市东坡城区东坡湖青石栏杆更换维修，维修工艺、材质要求应与东坡湖弘济中医院至水车段现有青石栏杆保持一致，供应商应现场勘验后报价。</w:t>
                  </w:r>
                </w:p>
              </w:tc>
            </w:tr>
            <w:tr>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汉白玉栏杆</w:t>
                  </w:r>
                </w:p>
              </w:tc>
              <w:tc>
                <w:tcPr>
                  <w:tcW w:type="dxa" w:w="2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立柱高度</w:t>
                  </w:r>
                  <w:r>
                    <w:rPr>
                      <w:rFonts w:ascii="仿宋_GB2312" w:hAnsi="仿宋_GB2312" w:cs="仿宋_GB2312" w:eastAsia="仿宋_GB2312"/>
                      <w:sz w:val="18"/>
                    </w:rPr>
                    <w:t>1.1m-1.3m，栏杆厚度15cm-20cm，浮雕图案（采购人指定）</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米</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2689</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1</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2689</w:t>
                  </w:r>
                </w:p>
              </w:tc>
              <w:tc>
                <w:tcPr>
                  <w:tcW w:type="dxa" w:w="7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花岗石栏杆</w:t>
                  </w:r>
                </w:p>
              </w:tc>
              <w:tc>
                <w:tcPr>
                  <w:tcW w:type="dxa" w:w="2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立柱高度</w:t>
                  </w:r>
                  <w:r>
                    <w:rPr>
                      <w:rFonts w:ascii="仿宋_GB2312" w:hAnsi="仿宋_GB2312" w:cs="仿宋_GB2312" w:eastAsia="仿宋_GB2312"/>
                      <w:sz w:val="18"/>
                    </w:rPr>
                    <w:t>1.1m-1.3m，栏杆厚度15cm-20cm，浮雕图案（采购人指定）</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米</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1526</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1</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1526</w:t>
                  </w:r>
                </w:p>
              </w:tc>
              <w:tc>
                <w:tcPr>
                  <w:tcW w:type="dxa" w:w="7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钢混栏杆</w:t>
                  </w:r>
                </w:p>
                <w:p>
                  <w:pPr>
                    <w:pStyle w:val="null3"/>
                    <w:spacing w:before="105" w:after="105"/>
                    <w:jc w:val="left"/>
                  </w:pPr>
                  <w:r>
                    <w:rPr>
                      <w:rFonts w:ascii="仿宋_GB2312" w:hAnsi="仿宋_GB2312" w:cs="仿宋_GB2312" w:eastAsia="仿宋_GB2312"/>
                      <w:sz w:val="18"/>
                    </w:rPr>
                    <w:t>（仿石材）</w:t>
                  </w:r>
                </w:p>
              </w:tc>
              <w:tc>
                <w:tcPr>
                  <w:tcW w:type="dxa" w:w="2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立柱高度</w:t>
                  </w:r>
                  <w:r>
                    <w:rPr>
                      <w:rFonts w:ascii="仿宋_GB2312" w:hAnsi="仿宋_GB2312" w:cs="仿宋_GB2312" w:eastAsia="仿宋_GB2312"/>
                      <w:sz w:val="18"/>
                    </w:rPr>
                    <w:t>1.1m-1.3m，栏杆厚度15cm-20cm，GRC油漆饰面浮雕图案（采购人指定）</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米</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477</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1</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477</w:t>
                  </w:r>
                </w:p>
              </w:tc>
              <w:tc>
                <w:tcPr>
                  <w:tcW w:type="dxa" w:w="7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6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仿木栏杆</w:t>
                  </w:r>
                </w:p>
              </w:tc>
              <w:tc>
                <w:tcPr>
                  <w:tcW w:type="dxa" w:w="2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立柱高度</w:t>
                  </w:r>
                  <w:r>
                    <w:rPr>
                      <w:rFonts w:ascii="仿宋_GB2312" w:hAnsi="仿宋_GB2312" w:cs="仿宋_GB2312" w:eastAsia="仿宋_GB2312"/>
                      <w:sz w:val="18"/>
                    </w:rPr>
                    <w:t>1.1m-1.3m，栏杆厚度15cm-20cm，木纹油漆饰面浮雕图案（采购人指定）。</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米</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336</w:t>
                  </w:r>
                </w:p>
              </w:tc>
              <w:tc>
                <w:tcPr>
                  <w:tcW w:type="dxa" w:w="5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rPr>
                    <w:t>1</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336</w:t>
                  </w:r>
                </w:p>
              </w:tc>
              <w:tc>
                <w:tcPr>
                  <w:tcW w:type="dxa" w:w="7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rPr>
              <w:t>备注：</w:t>
            </w:r>
            <w:r>
              <w:rPr>
                <w:rFonts w:ascii="仿宋_GB2312" w:hAnsi="仿宋_GB2312" w:cs="仿宋_GB2312" w:eastAsia="仿宋_GB2312"/>
                <w:sz w:val="28"/>
              </w:rPr>
              <w:t>1、由于市政设施维修的不可预估性，不保证合同总价全额实施，如未全额实施，采购人不再另行支付款项。</w:t>
            </w:r>
          </w:p>
          <w:p>
            <w:pPr>
              <w:pStyle w:val="null3"/>
              <w:spacing w:before="105" w:after="105"/>
              <w:ind w:right="60" w:firstLine="560"/>
              <w:jc w:val="both"/>
            </w:pPr>
            <w:r>
              <w:rPr>
                <w:rFonts w:ascii="仿宋_GB2312" w:hAnsi="仿宋_GB2312" w:cs="仿宋_GB2312" w:eastAsia="仿宋_GB2312"/>
                <w:sz w:val="28"/>
              </w:rPr>
              <w:t>2、</w:t>
            </w:r>
            <w:r>
              <w:rPr>
                <w:rFonts w:ascii="仿宋_GB2312" w:hAnsi="仿宋_GB2312" w:cs="仿宋_GB2312" w:eastAsia="仿宋_GB2312"/>
                <w:sz w:val="28"/>
              </w:rPr>
              <w:t>针对维修工作的特殊性，供货商应前往眉山市东坡城区东坡湖弘济中医院至水车段现有青石栏杆勘验后综合考虑报价。拟采购青石栏杆所有规格参数及技术指标最终以眉山市东坡城区东坡湖弘济中医院至东坡湖水车段现有青石栏杆参数为准（供应商应实地查勘），其中栏板长度根据拟维修改造段原有栏杆栏板长度调整确定。</w:t>
            </w:r>
          </w:p>
          <w:p>
            <w:pPr>
              <w:pStyle w:val="null3"/>
              <w:spacing w:before="105" w:after="105"/>
              <w:ind w:right="60" w:firstLine="560"/>
              <w:jc w:val="both"/>
            </w:pPr>
            <w:r>
              <w:rPr>
                <w:rFonts w:ascii="仿宋_GB2312" w:hAnsi="仿宋_GB2312" w:cs="仿宋_GB2312" w:eastAsia="仿宋_GB2312"/>
                <w:sz w:val="28"/>
              </w:rPr>
              <w:t>3、</w:t>
            </w:r>
            <w:r>
              <w:rPr>
                <w:rFonts w:ascii="仿宋_GB2312" w:hAnsi="仿宋_GB2312" w:cs="仿宋_GB2312" w:eastAsia="仿宋_GB2312"/>
                <w:sz w:val="28"/>
              </w:rPr>
              <w:t>本项目采购材料（含安装）主要用于市政石材栏杆维修工作，含旧栏杆拆除、清基、建渣运输处理、新的石材栏杆材料（式样规格由采购人指定）、运输、安装、打围、保洁等所有栏杆维修更换所需工序、材料、人工、机械、措施等有关所有含税费用。</w:t>
            </w:r>
          </w:p>
          <w:p>
            <w:pPr>
              <w:pStyle w:val="null3"/>
              <w:spacing w:before="105" w:after="105"/>
              <w:ind w:right="30" w:firstLine="560"/>
              <w:jc w:val="both"/>
            </w:pPr>
            <w:r>
              <w:rPr>
                <w:rFonts w:ascii="仿宋_GB2312" w:hAnsi="仿宋_GB2312" w:cs="仿宋_GB2312" w:eastAsia="仿宋_GB2312"/>
                <w:sz w:val="28"/>
              </w:rPr>
              <w:t>4、</w:t>
            </w:r>
            <w:r>
              <w:rPr>
                <w:rFonts w:ascii="仿宋_GB2312" w:hAnsi="仿宋_GB2312" w:cs="仿宋_GB2312" w:eastAsia="仿宋_GB2312"/>
                <w:sz w:val="28"/>
              </w:rPr>
              <w:t>本项目供应商报价仅报总价，合同结算单价按照中标总价同比例计算确定即：结算单价</w:t>
            </w:r>
            <w:r>
              <w:rPr>
                <w:rFonts w:ascii="仿宋_GB2312" w:hAnsi="仿宋_GB2312" w:cs="仿宋_GB2312" w:eastAsia="仿宋_GB2312"/>
                <w:sz w:val="28"/>
              </w:rPr>
              <w:t>=中标总价/399828</w:t>
            </w:r>
            <w:r>
              <w:rPr>
                <w:rFonts w:ascii="仿宋_GB2312" w:hAnsi="仿宋_GB2312" w:cs="仿宋_GB2312" w:eastAsia="仿宋_GB2312"/>
                <w:sz w:val="28"/>
              </w:rPr>
              <w:t>×</w:t>
            </w:r>
            <w:r>
              <w:rPr>
                <w:rFonts w:ascii="仿宋_GB2312" w:hAnsi="仿宋_GB2312" w:cs="仿宋_GB2312" w:eastAsia="仿宋_GB2312"/>
                <w:sz w:val="28"/>
              </w:rPr>
              <w:t>单价限价（结果四舍五入，小数点后取两位小数）；该单价已包括货物材料、制造、运输到指定地点、上下车、人工、检测、安装、验收合格交付使用等所有其他有关各项的含税费用。本合同执行期间合同各项单价不变，</w:t>
            </w:r>
            <w:r>
              <w:rPr>
                <w:rFonts w:ascii="仿宋_GB2312" w:hAnsi="仿宋_GB2312" w:cs="仿宋_GB2312" w:eastAsia="仿宋_GB2312"/>
                <w:sz w:val="28"/>
              </w:rPr>
              <w:t>采购人</w:t>
            </w:r>
            <w:r>
              <w:rPr>
                <w:rFonts w:ascii="仿宋_GB2312" w:hAnsi="仿宋_GB2312" w:cs="仿宋_GB2312" w:eastAsia="仿宋_GB2312"/>
                <w:sz w:val="28"/>
              </w:rPr>
              <w:t>无须另向</w:t>
            </w:r>
            <w:r>
              <w:rPr>
                <w:rFonts w:ascii="仿宋_GB2312" w:hAnsi="仿宋_GB2312" w:cs="仿宋_GB2312" w:eastAsia="仿宋_GB2312"/>
                <w:sz w:val="28"/>
              </w:rPr>
              <w:t>供应商</w:t>
            </w:r>
            <w:r>
              <w:rPr>
                <w:rFonts w:ascii="仿宋_GB2312" w:hAnsi="仿宋_GB2312" w:cs="仿宋_GB2312" w:eastAsia="仿宋_GB2312"/>
                <w:sz w:val="28"/>
              </w:rPr>
              <w:t>支付本合同规定之外的其他任何费用。</w:t>
            </w:r>
          </w:p>
          <w:p>
            <w:pPr>
              <w:pStyle w:val="null3"/>
              <w:spacing w:before="105" w:after="105"/>
              <w:ind w:firstLine="548"/>
              <w:jc w:val="both"/>
            </w:pPr>
            <w:r>
              <w:rPr>
                <w:rFonts w:ascii="仿宋_GB2312" w:hAnsi="仿宋_GB2312" w:cs="仿宋_GB2312" w:eastAsia="仿宋_GB2312"/>
              </w:rPr>
              <w:t xml:space="preserve"> </w:t>
            </w:r>
          </w:p>
          <w:p>
            <w:pPr>
              <w:pStyle w:val="null3"/>
              <w:ind w:firstLine="490"/>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采购要求</w:t>
            </w:r>
          </w:p>
        </w:tc>
        <w:tc>
          <w:tcPr>
            <w:tcW w:type="dxa" w:w="5814"/>
          </w:tcPr>
          <w:p>
            <w:pPr>
              <w:pStyle w:val="null3"/>
              <w:spacing w:before="105" w:after="105"/>
              <w:ind w:firstLine="548"/>
              <w:jc w:val="both"/>
            </w:pPr>
            <w:r>
              <w:rPr>
                <w:rFonts w:ascii="仿宋_GB2312" w:hAnsi="仿宋_GB2312" w:cs="仿宋_GB2312" w:eastAsia="仿宋_GB2312"/>
                <w:sz w:val="28"/>
              </w:rPr>
              <w:t>一、采购要求</w:t>
            </w:r>
          </w:p>
          <w:p>
            <w:pPr>
              <w:pStyle w:val="null3"/>
              <w:spacing w:before="105" w:after="105"/>
              <w:ind w:firstLine="560"/>
              <w:jc w:val="both"/>
            </w:pPr>
            <w:r>
              <w:rPr>
                <w:rFonts w:ascii="仿宋_GB2312" w:hAnsi="仿宋_GB2312" w:cs="仿宋_GB2312" w:eastAsia="仿宋_GB2312"/>
                <w:sz w:val="28"/>
              </w:rPr>
              <w:t>1、根据采购人需求，供应商分批集中供货。采购人可根据实际需求对采购项目数量进行调整。供应商接到采购人供货需求后，须5天内足量送货到采购人指定地点完成安装并经采购人验收合格。供应商需随货提供该批次货物的有关检测报告供采购人检查。</w:t>
            </w:r>
          </w:p>
          <w:p>
            <w:pPr>
              <w:pStyle w:val="null3"/>
              <w:spacing w:before="105" w:after="105"/>
              <w:ind w:firstLine="548"/>
              <w:jc w:val="both"/>
            </w:pPr>
            <w:r>
              <w:rPr>
                <w:rFonts w:ascii="仿宋_GB2312" w:hAnsi="仿宋_GB2312" w:cs="仿宋_GB2312" w:eastAsia="仿宋_GB2312"/>
                <w:sz w:val="28"/>
              </w:rPr>
              <w:t>2、本次采购货物要求按国家或行业相关最新标准执行。采购人有权对每批次货物抽样，送专业检测机构进行检测。若检测结果合格，检测费用及货物损耗由采购人承担；若检测结果不合格，检测费用及货物损耗由供应商承担，采购人将不予验收本批次货物，不予支付本批次货款，并追究供应商违约责任。</w:t>
            </w:r>
          </w:p>
          <w:p>
            <w:pPr>
              <w:pStyle w:val="null3"/>
              <w:spacing w:before="105" w:after="105"/>
              <w:ind w:firstLine="548"/>
              <w:jc w:val="both"/>
            </w:pPr>
            <w:r>
              <w:rPr>
                <w:rFonts w:ascii="仿宋_GB2312" w:hAnsi="仿宋_GB2312" w:cs="仿宋_GB2312" w:eastAsia="仿宋_GB2312"/>
                <w:sz w:val="28"/>
              </w:rPr>
              <w:t>3、供应商承诺货物送达指定位置经验收合格后，自验收合格之日起提供为期6个月的质量缺陷责任期，质量缺陷责任期内在正常使用条件下，非人为因素、不可抗力等导致的货物损坏，供应商免费负责更换。</w:t>
            </w:r>
          </w:p>
          <w:p>
            <w:pPr>
              <w:pStyle w:val="null3"/>
              <w:spacing w:before="105" w:after="105"/>
              <w:ind w:firstLine="548"/>
              <w:jc w:val="both"/>
            </w:pPr>
            <w:r>
              <w:rPr>
                <w:rFonts w:ascii="仿宋_GB2312" w:hAnsi="仿宋_GB2312" w:cs="仿宋_GB2312" w:eastAsia="仿宋_GB2312"/>
                <w:sz w:val="28"/>
              </w:rPr>
              <w:t>4、上下车、运输配送货物期间发生的一切安全、经济和社会责任由供应商自行负责。因供应商供应货物质量问题造成的一切安全、经济和社会责任由供应商负责。</w:t>
            </w:r>
          </w:p>
          <w:p>
            <w:pPr>
              <w:pStyle w:val="null3"/>
              <w:spacing w:before="105" w:after="105"/>
              <w:ind w:firstLine="560"/>
              <w:jc w:val="left"/>
            </w:pPr>
            <w:r>
              <w:rPr>
                <w:rFonts w:ascii="仿宋_GB2312" w:hAnsi="仿宋_GB2312" w:cs="仿宋_GB2312" w:eastAsia="仿宋_GB2312"/>
                <w:sz w:val="28"/>
              </w:rPr>
              <w:t>5、货物经采购人验收确认合格后按月支付，每批次验收合格后支付该批次货款的90%（须扣除预付款后再支付），剩余10%货款待最后一批供货质量缺陷责任期满经</w:t>
            </w:r>
            <w:r>
              <w:rPr>
                <w:rFonts w:ascii="仿宋_GB2312" w:hAnsi="仿宋_GB2312" w:cs="仿宋_GB2312" w:eastAsia="仿宋_GB2312"/>
                <w:sz w:val="28"/>
              </w:rPr>
              <w:t>采购人</w:t>
            </w:r>
            <w:r>
              <w:rPr>
                <w:rFonts w:ascii="仿宋_GB2312" w:hAnsi="仿宋_GB2312" w:cs="仿宋_GB2312" w:eastAsia="仿宋_GB2312"/>
                <w:sz w:val="28"/>
              </w:rPr>
              <w:t>验收合格后统一支付，采购人在收到供应商有效支付票据等凭证资料后</w:t>
            </w:r>
            <w:r>
              <w:rPr>
                <w:rFonts w:ascii="仿宋_GB2312" w:hAnsi="仿宋_GB2312" w:cs="仿宋_GB2312" w:eastAsia="仿宋_GB2312"/>
                <w:sz w:val="28"/>
              </w:rPr>
              <w:t>10个工作日内支付。</w:t>
            </w:r>
          </w:p>
          <w:p>
            <w:pPr>
              <w:pStyle w:val="null3"/>
              <w:spacing w:before="105" w:after="105"/>
              <w:ind w:firstLine="548"/>
              <w:jc w:val="both"/>
            </w:pPr>
            <w:r>
              <w:rPr>
                <w:rFonts w:ascii="仿宋_GB2312" w:hAnsi="仿宋_GB2312" w:cs="仿宋_GB2312" w:eastAsia="仿宋_GB2312"/>
                <w:sz w:val="28"/>
              </w:rPr>
              <w:t>6、合同履行期限：从本项目采购合同约定之日起至</w:t>
            </w:r>
            <w:r>
              <w:rPr>
                <w:rFonts w:ascii="仿宋_GB2312" w:hAnsi="仿宋_GB2312" w:cs="仿宋_GB2312" w:eastAsia="仿宋_GB2312"/>
                <w:sz w:val="28"/>
                <w:u w:val="single"/>
              </w:rPr>
              <w:t>2026年4月30日</w:t>
            </w:r>
            <w:r>
              <w:rPr>
                <w:rFonts w:ascii="仿宋_GB2312" w:hAnsi="仿宋_GB2312" w:cs="仿宋_GB2312" w:eastAsia="仿宋_GB2312"/>
                <w:sz w:val="28"/>
              </w:rPr>
              <w:t>止。本合同履行期限内，不论采购人的实际需求量是否达到采购清单中所列货物的数量和合同总额，</w:t>
            </w:r>
            <w:r>
              <w:rPr>
                <w:rFonts w:ascii="仿宋_GB2312" w:hAnsi="仿宋_GB2312" w:cs="仿宋_GB2312" w:eastAsia="仿宋_GB2312"/>
                <w:sz w:val="28"/>
                <w:u w:val="single"/>
              </w:rPr>
              <w:t>2026年4月30日</w:t>
            </w:r>
            <w:r>
              <w:rPr>
                <w:rFonts w:ascii="仿宋_GB2312" w:hAnsi="仿宋_GB2312" w:cs="仿宋_GB2312" w:eastAsia="仿宋_GB2312"/>
                <w:sz w:val="28"/>
              </w:rPr>
              <w:t>24:00本合同自行终止，费用按单价据实结算。若采购人的实际需求量小于采购清单中所列货物的品种、数量和总价款，采购人不负责与此有关的任何责任。</w:t>
            </w:r>
          </w:p>
          <w:p>
            <w:pPr>
              <w:pStyle w:val="null3"/>
              <w:spacing w:before="105" w:after="105"/>
              <w:ind w:firstLine="512"/>
              <w:jc w:val="both"/>
            </w:pPr>
            <w:r>
              <w:rPr>
                <w:rFonts w:ascii="仿宋_GB2312" w:hAnsi="仿宋_GB2312" w:cs="仿宋_GB2312" w:eastAsia="仿宋_GB2312"/>
                <w:sz w:val="28"/>
              </w:rPr>
              <w:t>7、如采购文件中引用或涉及的相关国家标准、行业标准、相关规范等有过期作废或更新的情形，供应商按采购文件响应或按最新标准、规范响应均有效。履行采购合同时统一按最新标准、规范执行。</w:t>
            </w:r>
          </w:p>
          <w:p>
            <w:pPr>
              <w:pStyle w:val="null3"/>
              <w:spacing w:before="105" w:after="105"/>
              <w:ind w:firstLine="548"/>
              <w:jc w:val="both"/>
            </w:pPr>
            <w:r>
              <w:rPr>
                <w:rFonts w:ascii="仿宋_GB2312" w:hAnsi="仿宋_GB2312" w:cs="仿宋_GB2312" w:eastAsia="仿宋_GB2312"/>
                <w:sz w:val="28"/>
              </w:rPr>
              <w:t>二、合同签订</w:t>
            </w:r>
          </w:p>
          <w:p>
            <w:pPr>
              <w:pStyle w:val="null3"/>
              <w:spacing w:before="105" w:after="105"/>
              <w:ind w:firstLine="548"/>
              <w:jc w:val="both"/>
            </w:pPr>
            <w:r>
              <w:rPr>
                <w:rFonts w:ascii="仿宋_GB2312" w:hAnsi="仿宋_GB2312" w:cs="仿宋_GB2312" w:eastAsia="仿宋_GB2312"/>
                <w:sz w:val="28"/>
              </w:rPr>
              <w:t>本项目合同由眉山市市政设施管理处负责签订，并支付采购项目费用。</w:t>
            </w:r>
          </w:p>
          <w:p>
            <w:pPr>
              <w:pStyle w:val="null3"/>
              <w:spacing w:before="105" w:after="105"/>
              <w:ind w:firstLine="548"/>
              <w:jc w:val="both"/>
            </w:pPr>
            <w:r>
              <w:rPr>
                <w:rFonts w:ascii="仿宋_GB2312" w:hAnsi="仿宋_GB2312" w:cs="仿宋_GB2312" w:eastAsia="仿宋_GB2312"/>
                <w:sz w:val="28"/>
              </w:rPr>
              <w:t>三、售后服务要求</w:t>
            </w:r>
          </w:p>
          <w:p>
            <w:pPr>
              <w:pStyle w:val="null3"/>
              <w:spacing w:before="105" w:after="105"/>
              <w:ind w:firstLine="490"/>
              <w:jc w:val="both"/>
            </w:pPr>
            <w:r>
              <w:rPr>
                <w:rFonts w:ascii="仿宋_GB2312" w:hAnsi="仿宋_GB2312" w:cs="仿宋_GB2312" w:eastAsia="仿宋_GB2312"/>
                <w:sz w:val="28"/>
              </w:rPr>
              <w:t>1、供应商应</w:t>
            </w:r>
            <w:r>
              <w:rPr>
                <w:rFonts w:ascii="仿宋_GB2312" w:hAnsi="仿宋_GB2312" w:cs="仿宋_GB2312" w:eastAsia="仿宋_GB2312"/>
                <w:sz w:val="28"/>
              </w:rPr>
              <w:t>承诺本项目货物出现质量问题</w:t>
            </w:r>
            <w:r>
              <w:rPr>
                <w:rFonts w:ascii="仿宋_GB2312" w:hAnsi="仿宋_GB2312" w:cs="仿宋_GB2312" w:eastAsia="仿宋_GB2312"/>
                <w:sz w:val="28"/>
              </w:rPr>
              <w:t>时</w:t>
            </w:r>
            <w:r>
              <w:rPr>
                <w:rFonts w:ascii="仿宋_GB2312" w:hAnsi="仿宋_GB2312" w:cs="仿宋_GB2312" w:eastAsia="仿宋_GB2312"/>
                <w:sz w:val="28"/>
              </w:rPr>
              <w:t>，在接到</w:t>
            </w:r>
            <w:r>
              <w:rPr>
                <w:rFonts w:ascii="仿宋_GB2312" w:hAnsi="仿宋_GB2312" w:cs="仿宋_GB2312" w:eastAsia="仿宋_GB2312"/>
                <w:sz w:val="28"/>
              </w:rPr>
              <w:t>采购人</w:t>
            </w:r>
            <w:r>
              <w:rPr>
                <w:rFonts w:ascii="仿宋_GB2312" w:hAnsi="仿宋_GB2312" w:cs="仿宋_GB2312" w:eastAsia="仿宋_GB2312"/>
                <w:sz w:val="28"/>
              </w:rPr>
              <w:t>通知后</w:t>
            </w:r>
            <w:r>
              <w:rPr>
                <w:rFonts w:ascii="仿宋_GB2312" w:hAnsi="仿宋_GB2312" w:cs="仿宋_GB2312" w:eastAsia="仿宋_GB2312"/>
                <w:sz w:val="28"/>
              </w:rPr>
              <w:t>2小时内响应到场，4小时内完成更换直至通过</w:t>
            </w:r>
            <w:r>
              <w:rPr>
                <w:rFonts w:ascii="仿宋_GB2312" w:hAnsi="仿宋_GB2312" w:cs="仿宋_GB2312" w:eastAsia="仿宋_GB2312"/>
                <w:sz w:val="28"/>
              </w:rPr>
              <w:t>采购人</w:t>
            </w:r>
            <w:r>
              <w:rPr>
                <w:rFonts w:ascii="仿宋_GB2312" w:hAnsi="仿宋_GB2312" w:cs="仿宋_GB2312" w:eastAsia="仿宋_GB2312"/>
                <w:sz w:val="28"/>
              </w:rPr>
              <w:t>验收，并承担相关费用，并视为</w:t>
            </w:r>
            <w:r>
              <w:rPr>
                <w:rFonts w:ascii="仿宋_GB2312" w:hAnsi="仿宋_GB2312" w:cs="仿宋_GB2312" w:eastAsia="仿宋_GB2312"/>
                <w:sz w:val="28"/>
              </w:rPr>
              <w:t>供应商</w:t>
            </w:r>
            <w:r>
              <w:rPr>
                <w:rFonts w:ascii="仿宋_GB2312" w:hAnsi="仿宋_GB2312" w:cs="仿宋_GB2312" w:eastAsia="仿宋_GB2312"/>
                <w:sz w:val="28"/>
              </w:rPr>
              <w:t>违约；如货物经</w:t>
            </w:r>
            <w:r>
              <w:rPr>
                <w:rFonts w:ascii="仿宋_GB2312" w:hAnsi="仿宋_GB2312" w:cs="仿宋_GB2312" w:eastAsia="仿宋_GB2312"/>
                <w:sz w:val="28"/>
              </w:rPr>
              <w:t>供应商</w:t>
            </w:r>
            <w:r>
              <w:rPr>
                <w:rFonts w:ascii="仿宋_GB2312" w:hAnsi="仿宋_GB2312" w:cs="仿宋_GB2312" w:eastAsia="仿宋_GB2312"/>
                <w:sz w:val="28"/>
              </w:rPr>
              <w:t>2次更换仍不能达到本合同约定的质量标准，视作未能按时交货而违约，</w:t>
            </w:r>
            <w:r>
              <w:rPr>
                <w:rFonts w:ascii="仿宋_GB2312" w:hAnsi="仿宋_GB2312" w:cs="仿宋_GB2312" w:eastAsia="仿宋_GB2312"/>
                <w:sz w:val="28"/>
              </w:rPr>
              <w:t>采购人</w:t>
            </w:r>
            <w:r>
              <w:rPr>
                <w:rFonts w:ascii="仿宋_GB2312" w:hAnsi="仿宋_GB2312" w:cs="仿宋_GB2312" w:eastAsia="仿宋_GB2312"/>
                <w:sz w:val="28"/>
              </w:rPr>
              <w:t>有权终止合同，不支付货款并追究</w:t>
            </w:r>
            <w:r>
              <w:rPr>
                <w:rFonts w:ascii="仿宋_GB2312" w:hAnsi="仿宋_GB2312" w:cs="仿宋_GB2312" w:eastAsia="仿宋_GB2312"/>
                <w:sz w:val="28"/>
              </w:rPr>
              <w:t>供应商</w:t>
            </w:r>
            <w:r>
              <w:rPr>
                <w:rFonts w:ascii="仿宋_GB2312" w:hAnsi="仿宋_GB2312" w:cs="仿宋_GB2312" w:eastAsia="仿宋_GB2312"/>
                <w:sz w:val="28"/>
              </w:rPr>
              <w:t>的违约责任。</w:t>
            </w:r>
          </w:p>
          <w:p>
            <w:pPr>
              <w:pStyle w:val="null3"/>
              <w:spacing w:before="105" w:after="105"/>
              <w:ind w:firstLine="560"/>
              <w:jc w:val="left"/>
            </w:pPr>
            <w:r>
              <w:rPr>
                <w:rFonts w:ascii="仿宋_GB2312" w:hAnsi="仿宋_GB2312" w:cs="仿宋_GB2312" w:eastAsia="仿宋_GB2312"/>
                <w:sz w:val="28"/>
              </w:rPr>
              <w:t>2、</w:t>
            </w:r>
            <w:r>
              <w:rPr>
                <w:rFonts w:ascii="仿宋_GB2312" w:hAnsi="仿宋_GB2312" w:cs="仿宋_GB2312" w:eastAsia="仿宋_GB2312"/>
                <w:sz w:val="28"/>
              </w:rPr>
              <w:t>为保障服务质量和安全，供应商应为本项目安排项目负责人，全权负责项目联系、供货、验收等有关事宜（约定以微信或电话方式通知提供，所需费用由供应商自行承担）。供应商若需更换项目负责人，需提前</w:t>
            </w:r>
            <w:r>
              <w:rPr>
                <w:rFonts w:ascii="仿宋_GB2312" w:hAnsi="仿宋_GB2312" w:cs="仿宋_GB2312" w:eastAsia="仿宋_GB2312"/>
                <w:sz w:val="28"/>
              </w:rPr>
              <w:t>7个工作日向采购人提交说明书面并征得采购人同意；若采购人超过48小时无法通过电话或微信联系供应商项目负责人时，则视为供应商放弃履约，采购人有权单方面终止合同，并追究其违约责任及造成的损失。</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合同签订之日起至2026年4月30日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东坡城区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人在合同签订并收到供货商有效发票后10个工作日内支付第一批供货计划金额的30%（注：若成交供应商为中小企业则预付款为第一批供货计划金额的30%，若成交供应商为民营中小企业则预付第一批供货计划金额的40%）作为预付款，预付款作为结算资金的一部分，用于支付供应商货款，并于第一次结算时抵扣货款。后续货物经采购人确认合格后按月支付，每批验收合格后支付该批货款的90%（扣除预付款后支付），剩余10%货款待最后一次货物缺陷保证期满并经采购人验收合格后一并支付，采购人在收到供应商完整有效的票据后10个工作日内支付。，达到付款条件起10日内，据实情况说明为采购人在合同签订并收到供货商有效发票后10个工作日内支付第一批供货计划金额的30%（注：若成交供应商为中小企业则预付款为第一批供货计划金额的30%，若成交供应商为民营中小企业则预付第一批供货计划金额的40%）作为预付款，预付款作为结算资金的一部分，用于支付供应商货款，并于第一次结算时抵扣货款。后续货物经采购人确认合格后按月支付，每批验收合格后支付该批货款的90%（扣除预付款后支付），剩余10%货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针对维修工作的特殊性，供货商应前往眉山市东坡城区东坡湖弘济中医院至水车段现有青石栏杆勘验后综合考虑报价。拟采购青石栏杆所有规格参数及技术指标最终以眉山市东坡城区东坡湖弘济中医院至东坡湖水车段现有青石栏杆参数为准（供应商应实地查勘），其中栏板长度根据拟维修改造段原有栏杆栏板长度调整确定。 3、本项目采购材料（含安装）主要用于市政石材栏杆维修工作，含旧栏杆拆除、清基、建渣运输处理、新的石材栏杆材料（式样规格由采购人指定）、运输、安装、打围、保洁等所有栏杆维修更换所需工序、材料、人工、机械、措施等有关所有含税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供应商承诺货物自验收合格之日起提供为期6个月的质量缺陷责任期，质量缺陷责任期内非人为因素、不可抗力等导致的货物损坏，供应商免费负责更换。 乙方承诺本项目货物出现质量问题，乙方在接到通知后2小时内响应到场，4小时内完成更换直至通过甲方验收，并承担相关费用，并视为乙方违约；如货物经乙方2次更换仍不能达到本合同约定的质量标准，视作未能按时交货而违约，甲方有权终止合同，不支付货款并追究乙方的违约责任。</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1、本项目不要求乙方提交履约担保，但不免除乙方因违约应当承担的违约责任。 2、甲乙双方必须遵守本合同并执行合同中的各项规定，保证本合同的正常履行。 3、乙方未能按时、按量供货（含安装）而违约的，乙方须向甲方交纳合同总额0.3%/天的违约金（如支付违约金数额不足以弥补甲方损失时，甲方有权根据既有损失事实追加违约金数量），乙方累计违约达到5天及以上，甲方有权单方终止合同，不予支付相关合同款项，并追究乙方违约责任。 4、如因乙方工作人员在履行职务过程中的疏忽、失职、过错等故意或者过失原因给甲方造成损失或侵害，包括但不限于甲方本身的财产损失、由此而导致的甲方对任何第三方的法律责任、甲方行使权利所产生的费用（包括但不限于诉讼费、执行费、律师费等）等，乙方对此均应承担全部的赔偿责任。 5、乙方拒不履行合同义务或擅自变更、终止采购合同的，甲方将依法依规将乙方失信行为纳入诚信档案管理。 6、乙方应足额向材料商、劳务人员等支付本合同履行过程中产生工资、费用，因乙方未足额支付影响甲方正常经营的，每发生一次，乙方应向甲方支付10000元违约金。 1、在执行本合同中发生的或与本合同有关的争端，双方应通过友好协商解决，经协商在不能达成协议时，应提交采购人所在地法院诉讼解决。 2、在诉讼期间，除正在进行诉讼的部分外，合同其他部分经协商一致可继续执行。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项目采购清单及技术参数要求。</w:t>
            </w:r>
          </w:p>
        </w:tc>
        <w:tc>
          <w:tcPr>
            <w:tcW w:type="dxa" w:w="3322"/>
          </w:tcPr>
          <w:p>
            <w:pPr>
              <w:pStyle w:val="null3"/>
              <w:jc w:val="left"/>
            </w:pPr>
            <w:r>
              <w:rPr>
                <w:rFonts w:ascii="仿宋_GB2312" w:hAnsi="仿宋_GB2312" w:cs="仿宋_GB2312" w:eastAsia="仿宋_GB2312"/>
              </w:rPr>
              <w:t>提供产品技术参数响应表。</w:t>
            </w:r>
          </w:p>
        </w:tc>
        <w:tc>
          <w:tcPr>
            <w:tcW w:type="dxa" w:w="1910"/>
          </w:tcPr>
          <w:p>
            <w:pPr>
              <w:pStyle w:val="null3"/>
              <w:jc w:val="left"/>
            </w:pPr>
            <w:r>
              <w:rPr>
                <w:rFonts w:ascii="仿宋_GB2312" w:hAnsi="仿宋_GB2312" w:cs="仿宋_GB2312" w:eastAsia="仿宋_GB2312"/>
              </w:rPr>
              <w:t>产品技术参数响应表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采购文件3.3.1.服务内容要求</w:t>
            </w:r>
          </w:p>
        </w:tc>
        <w:tc>
          <w:tcPr>
            <w:tcW w:type="dxa" w:w="3322"/>
          </w:tcPr>
          <w:p>
            <w:pPr>
              <w:pStyle w:val="null3"/>
              <w:jc w:val="left"/>
            </w:pPr>
            <w:r>
              <w:rPr>
                <w:rFonts w:ascii="仿宋_GB2312" w:hAnsi="仿宋_GB2312" w:cs="仿宋_GB2312" w:eastAsia="仿宋_GB2312"/>
              </w:rPr>
              <w:t>对采购文件3.3.1.服务内容要求进行应答</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关联投标文件格式文本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2123"/>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详见附件：2025年度市政维修所需石材栏杆等材料采购合同.docx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