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440401-2025-01554</w:t>
      </w:r>
    </w:p>
    <w:p>
      <w:pPr>
        <w:pStyle w:val="null3"/>
        <w:jc w:val="center"/>
        <w:outlineLvl w:val="3"/>
      </w:pPr>
      <w:r>
        <w:rPr>
          <w:sz w:val="24"/>
          <w:b/>
        </w:rPr>
        <w:t>采购项目编号：</w:t>
      </w:r>
      <w:r>
        <w:rPr>
          <w:sz w:val="24"/>
          <w:b/>
        </w:rPr>
        <w:t>ZHZN2025-058</w:t>
      </w:r>
    </w:p>
    <w:p>
      <w:pPr>
        <w:pStyle w:val="null3"/>
        <w:jc w:val="center"/>
        <w:outlineLvl w:val="3"/>
      </w:pPr>
      <w:r>
        <w:rPr>
          <w:sz w:val="24"/>
          <w:b/>
        </w:rPr>
        <w:t>项目名称：</w:t>
      </w:r>
      <w:r>
        <w:rPr>
          <w:sz w:val="24"/>
          <w:b/>
        </w:rPr>
        <w:t>珠海市公安局交警支队2025-2026年度交通技术监控设备应急保障维修服务采购项目</w:t>
      </w:r>
    </w:p>
    <w:p>
      <w:pPr>
        <w:pStyle w:val="null3"/>
        <w:jc w:val="center"/>
        <w:outlineLvl w:val="3"/>
      </w:pPr>
      <w:r>
        <w:rPr>
          <w:sz w:val="24"/>
          <w:b/>
        </w:rPr>
        <w:t>采购人：</w:t>
      </w:r>
      <w:r>
        <w:rPr>
          <w:sz w:val="24"/>
          <w:b/>
        </w:rPr>
        <w:t>珠海市公安局交通警察支队</w:t>
      </w:r>
    </w:p>
    <w:p>
      <w:pPr>
        <w:pStyle w:val="null3"/>
        <w:jc w:val="center"/>
        <w:outlineLvl w:val="3"/>
      </w:pPr>
      <w:r>
        <w:rPr>
          <w:sz w:val="24"/>
          <w:b/>
        </w:rPr>
        <w:t>采购代理机构：</w:t>
      </w:r>
      <w:r>
        <w:rPr>
          <w:sz w:val="24"/>
          <w:b/>
        </w:rPr>
        <w:t>珠海正诺工程咨询有限公司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珠海正诺工程咨询有限公司</w:t>
      </w:r>
      <w:r>
        <w:rPr/>
        <w:t>受</w:t>
      </w:r>
      <w:r>
        <w:rPr/>
        <w:t>珠海市公安局交通警察支队</w:t>
      </w:r>
      <w:r>
        <w:rPr/>
        <w:t>的委托，采用</w:t>
      </w:r>
      <w:r>
        <w:rPr/>
        <w:t>公开招标</w:t>
      </w:r>
      <w:r>
        <w:rPr/>
        <w:t>方式组织采购</w:t>
      </w:r>
      <w:r>
        <w:rPr/>
        <w:t>珠海市公安局交警支队2025-2026年度交通技术监控设备应急保障维修服务采购项目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珠海市公安局交警支队2025-2026年度交通技术监控设备应急保障维修服务采购项目</w:t>
      </w:r>
    </w:p>
    <w:p>
      <w:pPr>
        <w:pStyle w:val="null3"/>
        <w:ind w:firstLine="480"/>
      </w:pPr>
      <w:r>
        <w:rPr/>
        <w:t>采购计划编号：</w:t>
      </w:r>
      <w:r>
        <w:rPr/>
        <w:t>440401-2025-01554</w:t>
      </w:r>
    </w:p>
    <w:p>
      <w:pPr>
        <w:pStyle w:val="null3"/>
        <w:ind w:firstLine="480"/>
      </w:pPr>
      <w:r>
        <w:rPr/>
        <w:t>采购项目编号：</w:t>
      </w:r>
      <w:r>
        <w:rPr/>
        <w:t>ZHZN2025-058</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采购包1(珠海市公安局交警支队2025-2026年度交通技术监控设备应急保障维修服务):</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珠海市公安局交警支队2025-2026年度交通技术监控设备应急保障维修服务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合同履行期限：合同签订之日起至2026年6月30日或预算使用完毕止。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2）有依法缴纳税收和社会保障资金的良好记录：投标文件提供《资格条件承诺函》</w:t>
      </w:r>
    </w:p>
    <w:p>
      <w:pPr>
        <w:pStyle w:val="null3"/>
      </w:pPr>
      <w:r>
        <w:rPr/>
        <w:t>3）具有良好的商业信誉和健全的财务会计制度：投标文件提供《资格条件承诺函》</w:t>
      </w:r>
    </w:p>
    <w:p>
      <w:pPr>
        <w:pStyle w:val="null3"/>
      </w:pPr>
      <w:r>
        <w:rPr/>
        <w:t>4）履行合同所必需的设备和专业技术能力：投标文件提供《资格条件承诺函》</w:t>
      </w:r>
    </w:p>
    <w:p>
      <w:pPr>
        <w:pStyle w:val="null3"/>
      </w:pPr>
      <w:r>
        <w:rPr/>
        <w:t>5）参加采购活动前3年内，在经营活动中没有重大违法记录：投标文件提供《资格条件承诺函》。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采购包1（珠海市公安局交警支队2025-2026年度交通技术监控设备应急保障维修服务）：</w:t>
      </w:r>
      <w:r>
        <w:rPr/>
        <w:t>采购包整体专门面向中小企业，参与的供应商服务全部由符合政策要求的中小企业承接。</w:t>
      </w:r>
    </w:p>
    <w:p>
      <w:pPr>
        <w:pStyle w:val="null3"/>
        <w:outlineLvl w:val="3"/>
      </w:pPr>
      <w:r>
        <w:rPr>
          <w:sz w:val="24"/>
          <w:b/>
        </w:rPr>
        <w:t>3.本项目特定的资格要求：</w:t>
      </w:r>
    </w:p>
    <w:p>
      <w:pPr>
        <w:pStyle w:val="null3"/>
      </w:pPr>
      <w:r>
        <w:rPr/>
        <w:t>采购包1（珠海市公安局交警支队2025-2026年度交通技术监控设备应急保障维修服务）：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3)投标人须具有有效的安全生产许可证。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珠海市公安局交通警察支队</w:t>
      </w:r>
    </w:p>
    <w:p>
      <w:pPr>
        <w:pStyle w:val="null3"/>
        <w:ind w:firstLine="480"/>
      </w:pPr>
      <w:r>
        <w:rPr/>
        <w:t xml:space="preserve"> 地址：</w:t>
      </w:r>
      <w:r>
        <w:rPr/>
        <w:t>珠海市香洲区梅华西路2330号</w:t>
      </w:r>
    </w:p>
    <w:p>
      <w:pPr>
        <w:pStyle w:val="null3"/>
        <w:ind w:firstLine="480"/>
      </w:pPr>
      <w:r>
        <w:rPr/>
        <w:t xml:space="preserve"> 联系方式：</w:t>
      </w:r>
      <w:r>
        <w:rPr/>
        <w:t>0756-8642199</w:t>
      </w:r>
    </w:p>
    <w:p>
      <w:pPr>
        <w:pStyle w:val="null3"/>
        <w:outlineLvl w:val="3"/>
      </w:pPr>
      <w:r>
        <w:rPr>
          <w:sz w:val="24"/>
          <w:b/>
        </w:rPr>
        <w:t xml:space="preserve"> 2.采购代理机构信息</w:t>
      </w:r>
    </w:p>
    <w:p>
      <w:pPr>
        <w:pStyle w:val="null3"/>
        <w:ind w:firstLine="480"/>
      </w:pPr>
      <w:r>
        <w:rPr/>
        <w:t xml:space="preserve"> 名称：</w:t>
      </w:r>
      <w:r>
        <w:rPr/>
        <w:t>珠海正诺工程咨询有限公司</w:t>
      </w:r>
    </w:p>
    <w:p>
      <w:pPr>
        <w:pStyle w:val="null3"/>
        <w:ind w:firstLine="480"/>
      </w:pPr>
      <w:r>
        <w:rPr/>
        <w:t xml:space="preserve"> 地址：</w:t>
      </w:r>
      <w:r>
        <w:rPr/>
        <w:t>广东省珠海市香洲区珠海市香洲区兴国街4号中立信大厦902</w:t>
      </w:r>
    </w:p>
    <w:p>
      <w:pPr>
        <w:pStyle w:val="null3"/>
        <w:ind w:firstLine="480"/>
      </w:pPr>
      <w:r>
        <w:rPr/>
        <w:t xml:space="preserve"> 联系方式：</w:t>
      </w:r>
      <w:r>
        <w:rPr/>
        <w:t>0756-2897761</w:t>
      </w:r>
    </w:p>
    <w:p>
      <w:pPr>
        <w:pStyle w:val="null3"/>
        <w:outlineLvl w:val="3"/>
      </w:pPr>
      <w:r>
        <w:rPr>
          <w:sz w:val="24"/>
          <w:b/>
        </w:rPr>
        <w:t xml:space="preserve"> 3.项目联系方式</w:t>
      </w:r>
    </w:p>
    <w:p>
      <w:pPr>
        <w:pStyle w:val="null3"/>
        <w:ind w:firstLine="480"/>
      </w:pPr>
      <w:r>
        <w:rPr/>
        <w:t xml:space="preserve"> 项目联系人：</w:t>
      </w:r>
      <w:r>
        <w:rPr/>
        <w:t>冯珊珊</w:t>
      </w:r>
    </w:p>
    <w:p>
      <w:pPr>
        <w:pStyle w:val="null3"/>
        <w:ind w:firstLine="480"/>
      </w:pPr>
      <w:r>
        <w:rPr/>
        <w:t xml:space="preserve"> 电话：</w:t>
      </w:r>
      <w:r>
        <w:rPr/>
        <w:t>0756-2897761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珠海正诺工程咨询有限公司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（一）项目名称：</w:t>
      </w:r>
      <w:r>
        <w:rPr>
          <w:sz w:val="21"/>
        </w:rPr>
        <w:t>珠海市公安局交警支队</w:t>
      </w:r>
      <w:r>
        <w:rPr>
          <w:sz w:val="21"/>
        </w:rPr>
        <w:t>2025-2026年度交通技术监控设备应急保障维修服务采购项目</w:t>
      </w:r>
    </w:p>
    <w:p>
      <w:pPr>
        <w:pStyle w:val="null3"/>
        <w:jc w:val="both"/>
      </w:pPr>
      <w:r>
        <w:rPr>
          <w:sz w:val="21"/>
        </w:rPr>
        <w:t>（二）项目属性：服务类</w:t>
      </w:r>
    </w:p>
    <w:p>
      <w:pPr>
        <w:pStyle w:val="null3"/>
        <w:jc w:val="both"/>
      </w:pPr>
      <w:r>
        <w:rPr>
          <w:sz w:val="21"/>
        </w:rPr>
        <w:t>（三）根据《关于印发中小企业划型标准规定的通知》（工信部联企业〔</w:t>
      </w:r>
      <w:r>
        <w:rPr>
          <w:sz w:val="21"/>
        </w:rPr>
        <w:t>2011〕300号）规定，本项目采购标的对应的中小企业划分标准所属行业为：</w:t>
      </w:r>
      <w:r>
        <w:rPr>
          <w:sz w:val="21"/>
        </w:rPr>
        <w:t>交通运输业</w:t>
      </w:r>
      <w:r>
        <w:rPr>
          <w:sz w:val="21"/>
        </w:rPr>
        <w:t>。</w:t>
      </w:r>
    </w:p>
    <w:p>
      <w:pPr>
        <w:pStyle w:val="null3"/>
        <w:jc w:val="both"/>
      </w:pPr>
      <w:r>
        <w:rPr>
          <w:sz w:val="21"/>
        </w:rPr>
        <w:t>投标人若需要提供《中小企业声明函》的，填写该声明函时请注意：</w:t>
      </w:r>
    </w:p>
    <w:p>
      <w:pPr>
        <w:pStyle w:val="null3"/>
        <w:jc w:val="both"/>
      </w:pPr>
      <w:r>
        <w:rPr>
          <w:sz w:val="21"/>
        </w:rPr>
        <w:t>1.必须按照本项目招标文件中的格式文件提供《中小企业声明函》，否则所提供的《中小企业声明函》无效；</w:t>
      </w:r>
    </w:p>
    <w:p>
      <w:pPr>
        <w:pStyle w:val="null3"/>
        <w:jc w:val="both"/>
      </w:pPr>
      <w:r>
        <w:rPr>
          <w:sz w:val="21"/>
        </w:rPr>
        <w:t>2.“单位名称”指本项目采购人单位名称全称；</w:t>
      </w:r>
    </w:p>
    <w:p>
      <w:pPr>
        <w:pStyle w:val="null3"/>
        <w:jc w:val="both"/>
      </w:pPr>
      <w:r>
        <w:rPr>
          <w:sz w:val="21"/>
        </w:rPr>
        <w:t>3.“项目名称”指本项目的项目名称全称；</w:t>
      </w:r>
    </w:p>
    <w:p>
      <w:pPr>
        <w:pStyle w:val="null3"/>
        <w:jc w:val="both"/>
      </w:pPr>
      <w:r>
        <w:rPr>
          <w:sz w:val="21"/>
        </w:rPr>
        <w:t>4.“标的名称”指本项目对应采购包的“采购标的”；</w:t>
      </w:r>
    </w:p>
    <w:p>
      <w:pPr>
        <w:pStyle w:val="null3"/>
        <w:jc w:val="both"/>
      </w:pPr>
      <w:r>
        <w:rPr>
          <w:sz w:val="21"/>
        </w:rPr>
        <w:t>5.“企业名称”指承接本项目的单位（服务类与工程类项目，指投标人；货物类项目，指所投产品制造商）。</w:t>
      </w:r>
    </w:p>
    <w:p>
      <w:pPr>
        <w:pStyle w:val="null3"/>
        <w:jc w:val="both"/>
      </w:pPr>
      <w:r>
        <w:rPr>
          <w:sz w:val="21"/>
        </w:rPr>
        <w:t>（四）投标人对任何一项应当考虑在投标报价中的内容有漏报的单价，或每项投标单价中有漏报、少报的费用，均视为此项费用已包含在投标报价中；如中标，则不得再向采购人收取任何费用。</w:t>
      </w:r>
    </w:p>
    <w:p>
      <w:pPr>
        <w:pStyle w:val="null3"/>
        <w:jc w:val="both"/>
      </w:pPr>
      <w:r>
        <w:rPr>
          <w:sz w:val="21"/>
        </w:rPr>
        <w:t>（五）投标人需对提交的资料真实性负责，如提供的产品规格、技术条款、检测报告、相关认证证书等方面的材料不真实，将认定为提供虚假材料谋取中标，由此给采购人造成损失的，投标人应承担相应后果，并负责赔偿。</w:t>
      </w:r>
    </w:p>
    <w:p>
      <w:pPr>
        <w:pStyle w:val="null3"/>
        <w:jc w:val="both"/>
      </w:pPr>
      <w:r>
        <w:rPr>
          <w:sz w:val="21"/>
        </w:rPr>
        <w:t>（六）标的情况：采购本国产品及服务。如投标人所投标的为进口产品或服务，将视为无效投标。</w:t>
      </w:r>
    </w:p>
    <w:p>
      <w:pPr>
        <w:pStyle w:val="null3"/>
        <w:jc w:val="both"/>
      </w:pPr>
      <w:r>
        <w:rPr>
          <w:sz w:val="21"/>
          <w:b/>
        </w:rPr>
        <w:t>二、</w:t>
      </w:r>
      <w:r>
        <w:rPr>
          <w:sz w:val="21"/>
          <w:b/>
        </w:rPr>
        <w:t>项目要求</w:t>
      </w:r>
    </w:p>
    <w:p>
      <w:pPr>
        <w:pStyle w:val="null3"/>
        <w:ind w:firstLine="422"/>
        <w:jc w:val="both"/>
      </w:pPr>
      <w:r>
        <w:rPr>
          <w:sz w:val="21"/>
          <w:b/>
        </w:rPr>
        <w:t>1.中标人不得将其中标项目转包、分包。</w:t>
      </w:r>
    </w:p>
    <w:p>
      <w:pPr>
        <w:pStyle w:val="null3"/>
        <w:jc w:val="both"/>
      </w:pPr>
      <w:r>
        <w:rPr>
          <w:sz w:val="21"/>
          <w:b/>
        </w:rPr>
        <w:t>三</w:t>
      </w:r>
      <w:r>
        <w:rPr>
          <w:sz w:val="21"/>
          <w:b/>
        </w:rPr>
        <w:t>、</w:t>
      </w:r>
      <w:r>
        <w:rPr>
          <w:sz w:val="21"/>
          <w:b/>
        </w:rPr>
        <w:t>《资格条件承诺函》</w:t>
      </w:r>
      <w:r>
        <w:rPr>
          <w:sz w:val="21"/>
          <w:b/>
        </w:rPr>
        <w:t>格式</w:t>
      </w:r>
    </w:p>
    <w:p>
      <w:pPr>
        <w:pStyle w:val="null3"/>
        <w:jc w:val="both"/>
      </w:pPr>
      <w:r>
        <w:rPr>
          <w:sz w:val="21"/>
          <w:b/>
        </w:rPr>
        <w:t>投标人</w:t>
      </w:r>
      <w:r>
        <w:rPr>
          <w:sz w:val="21"/>
          <w:b/>
        </w:rPr>
        <w:t>须在投标文件中按以下格式提供《资格条件承诺函》：</w:t>
      </w:r>
    </w:p>
    <w:p>
      <w:pPr>
        <w:pStyle w:val="null3"/>
        <w:jc w:val="center"/>
      </w:pPr>
      <w:r>
        <w:rPr>
          <w:sz w:val="21"/>
          <w:b/>
        </w:rPr>
        <w:t>资格条件承诺函</w:t>
      </w:r>
    </w:p>
    <w:p>
      <w:pPr>
        <w:pStyle w:val="null3"/>
        <w:jc w:val="both"/>
      </w:pPr>
      <w:r>
        <w:rPr>
          <w:sz w:val="21"/>
        </w:rPr>
        <w:t>我方</w:t>
      </w:r>
      <w:r>
        <w:rPr>
          <w:sz w:val="21"/>
          <w:u w:val="single"/>
        </w:rPr>
        <w:t>（供应商名称）</w:t>
      </w:r>
      <w:r>
        <w:rPr>
          <w:sz w:val="21"/>
        </w:rPr>
        <w:t>符合《中华人民共和国政府采购法》第二十二条第一款第（二）项、第（三）项、第（四）项、第（五）项规定条件，具体包括：</w:t>
      </w:r>
    </w:p>
    <w:p>
      <w:pPr>
        <w:pStyle w:val="null3"/>
        <w:ind w:firstLine="420"/>
        <w:jc w:val="both"/>
      </w:pPr>
      <w:r>
        <w:rPr>
          <w:sz w:val="21"/>
        </w:rPr>
        <w:t>1.具有良好的商业信誉和健全的财务会计制度；</w:t>
      </w:r>
    </w:p>
    <w:p>
      <w:pPr>
        <w:pStyle w:val="null3"/>
        <w:ind w:firstLine="420"/>
        <w:jc w:val="both"/>
      </w:pPr>
      <w:r>
        <w:rPr>
          <w:sz w:val="21"/>
        </w:rPr>
        <w:t>2.具有履行合同所必需的设备和专业技术能力；</w:t>
      </w:r>
    </w:p>
    <w:p>
      <w:pPr>
        <w:pStyle w:val="null3"/>
        <w:ind w:firstLine="420"/>
        <w:jc w:val="both"/>
      </w:pPr>
      <w:r>
        <w:rPr>
          <w:sz w:val="21"/>
        </w:rPr>
        <w:t>3.具有依法缴纳税收和社会保障资金的良好记录；</w:t>
      </w:r>
    </w:p>
    <w:p>
      <w:pPr>
        <w:pStyle w:val="null3"/>
        <w:ind w:firstLine="420"/>
        <w:jc w:val="both"/>
      </w:pPr>
      <w:r>
        <w:rPr>
          <w:sz w:val="21"/>
        </w:rPr>
        <w:t>4.参加政府采购活动前三年内，在经营活动中没有重大违法记录。</w:t>
      </w:r>
    </w:p>
    <w:p>
      <w:pPr>
        <w:pStyle w:val="null3"/>
        <w:ind w:firstLine="420"/>
        <w:jc w:val="both"/>
      </w:pPr>
      <w:r>
        <w:rPr>
          <w:sz w:val="21"/>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pPr>
        <w:pStyle w:val="null3"/>
        <w:ind w:firstLine="420"/>
        <w:jc w:val="both"/>
      </w:pPr>
      <w:r>
        <w:rPr>
          <w:sz w:val="21"/>
        </w:rPr>
        <w:t>特此承诺。</w:t>
      </w:r>
    </w:p>
    <w:p>
      <w:pPr>
        <w:pStyle w:val="null3"/>
        <w:jc w:val="right"/>
      </w:pPr>
      <w:r>
        <w:rPr/>
        <w:t xml:space="preserve"> </w:t>
      </w:r>
    </w:p>
    <w:p>
      <w:pPr>
        <w:pStyle w:val="null3"/>
        <w:jc w:val="right"/>
      </w:pPr>
      <w:r>
        <w:rPr>
          <w:sz w:val="21"/>
          <w:u w:val="single"/>
        </w:rPr>
        <w:t>供应商</w:t>
      </w:r>
      <w:r>
        <w:rPr>
          <w:sz w:val="21"/>
        </w:rPr>
        <w:t>名称（公章）：</w:t>
      </w:r>
    </w:p>
    <w:p>
      <w:pPr>
        <w:pStyle w:val="null3"/>
        <w:jc w:val="right"/>
      </w:pPr>
      <w:r>
        <w:rPr>
          <w:sz w:val="21"/>
        </w:rPr>
        <w:t>日期：</w:t>
      </w:r>
    </w:p>
    <w:p>
      <w:pPr>
        <w:pStyle w:val="null3"/>
      </w:pPr>
      <w:r>
        <w:rPr/>
        <w:t>采购包1（珠海市公安局交警支队2025-2026年度交通技术监控设备应急保障维修服务）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合同签订之日起至2026年6月30日或预算使用完毕止。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第1期为(预付款)：支付比例30%，采购人在合同签订后五个工作日内支付合同总金额的30%给中标人作为预付款，预付款作为项目后期服务费用进行抵扣；。</w:t>
            </w:r>
          </w:p>
          <w:p>
            <w:pPr>
              <w:pStyle w:val="null3"/>
            </w:pPr>
            <w:r>
              <w:rPr/>
              <w:t>第2期为(尾款)：支付比例70%，按实际服务工作量定期验收结算，每期所发生的工程完成并验收合格后，90天内支付该期工程款项，优先从预付款中进行扣除。项目整体验收并办理结算手续后15个工作日内支付最后一期工程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1期：按照项目采购文件、投标文件、合同及国家相关服务质量标准进行验收。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其他，其他内容:详见合同及采购需求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珠海市公安局交警支队2025-2026年度交通技术监控设备应急保障维修服务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100.0</w:t>
            </w:r>
          </w:p>
        </w:tc>
        <w:tc>
          <w:tcPr>
            <w:tcW w:type="dxa" w:w="831"/>
          </w:tcPr>
          <w:p>
            <w:pPr>
              <w:pStyle w:val="null3"/>
            </w:pPr>
            <w:r>
              <w:rPr/>
              <w:t>交通运输业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珠海市公安局交警支队2025-2026年度交通技术监控设备应急保障维修服务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50" w:after="150"/>
              <w:jc w:val="left"/>
            </w:pPr>
            <w:r>
              <w:rPr>
                <w:sz w:val="28"/>
                <w:b/>
              </w:rPr>
              <w:t>1 项目背景、意义及必要性</w:t>
            </w:r>
          </w:p>
          <w:p>
            <w:pPr>
              <w:pStyle w:val="null3"/>
              <w:jc w:val="left"/>
            </w:pPr>
            <w:r>
              <w:rPr>
                <w:sz w:val="21"/>
                <w:b/>
              </w:rPr>
              <w:t>1.1 项目背景</w:t>
            </w:r>
          </w:p>
          <w:p>
            <w:pPr>
              <w:pStyle w:val="null3"/>
              <w:ind w:firstLine="420"/>
              <w:jc w:val="left"/>
            </w:pPr>
            <w:r>
              <w:rPr>
                <w:sz w:val="21"/>
              </w:rPr>
              <w:t>交通技术监控设备（俗称电子警察）在规范行车秩序、净化交通环境、提升通行效率等方面作用已得到交通管理部门的高度认同。近年来，交警支队充分发挥电子警察不眠不休全时空管控、无正面执法冲突等特点，利用电子警察开展车辆闯红灯、超速、不按车道行驶、违停、逆行、不系安全带、不礼让行人、闯禁等多类交通违法抓拍管控，交通管理效果明显。目前，珠海</w:t>
            </w:r>
            <w:r>
              <w:rPr>
                <w:sz w:val="21"/>
              </w:rPr>
              <w:t>约</w:t>
            </w:r>
            <w:r>
              <w:rPr>
                <w:sz w:val="21"/>
              </w:rPr>
              <w:t>有</w:t>
            </w:r>
            <w:r>
              <w:rPr>
                <w:sz w:val="21"/>
              </w:rPr>
              <w:t>347</w:t>
            </w:r>
            <w:r>
              <w:rPr>
                <w:sz w:val="21"/>
              </w:rPr>
              <w:t>个路口（路段）计</w:t>
            </w:r>
            <w:r>
              <w:rPr>
                <w:sz w:val="21"/>
              </w:rPr>
              <w:t>908</w:t>
            </w:r>
            <w:r>
              <w:rPr>
                <w:sz w:val="21"/>
              </w:rPr>
              <w:t>个方向共</w:t>
            </w:r>
            <w:r>
              <w:rPr>
                <w:sz w:val="21"/>
              </w:rPr>
              <w:t>1181</w:t>
            </w:r>
            <w:r>
              <w:rPr>
                <w:sz w:val="21"/>
              </w:rPr>
              <w:t>套设备已过保修期。上年度委托第三方专业公司的运维服务将在</w:t>
            </w:r>
            <w:r>
              <w:rPr>
                <w:sz w:val="21"/>
              </w:rPr>
              <w:t>12</w:t>
            </w:r>
            <w:r>
              <w:rPr>
                <w:sz w:val="21"/>
              </w:rPr>
              <w:t>月</w:t>
            </w:r>
            <w:r>
              <w:rPr>
                <w:sz w:val="21"/>
              </w:rPr>
              <w:t>底</w:t>
            </w:r>
            <w:r>
              <w:rPr>
                <w:sz w:val="21"/>
              </w:rPr>
              <w:t>到期，大量过保的</w:t>
            </w:r>
            <w:r>
              <w:rPr>
                <w:sz w:val="21"/>
              </w:rPr>
              <w:t>交通技术监控</w:t>
            </w:r>
            <w:r>
              <w:rPr>
                <w:sz w:val="21"/>
              </w:rPr>
              <w:t>设备将处在故障无人检修状态，对珠海交通管控无疑是一个巨大的风险项，为保证已过保修期的电子警察能正常稳定运行，充分发挥道路交通管控效能，现拟对已过保的</w:t>
            </w:r>
            <w:r>
              <w:rPr>
                <w:sz w:val="21"/>
              </w:rPr>
              <w:t>1181</w:t>
            </w:r>
            <w:r>
              <w:rPr>
                <w:sz w:val="21"/>
              </w:rPr>
              <w:t>套电子警察</w:t>
            </w:r>
            <w:r>
              <w:rPr>
                <w:sz w:val="21"/>
              </w:rPr>
              <w:t>购买为期</w:t>
            </w:r>
            <w:r>
              <w:rPr>
                <w:sz w:val="21"/>
              </w:rPr>
              <w:t>1.5</w:t>
            </w:r>
            <w:r>
              <w:rPr>
                <w:sz w:val="21"/>
              </w:rPr>
              <w:t>年的运维服务</w:t>
            </w:r>
            <w:r>
              <w:rPr>
                <w:sz w:val="21"/>
              </w:rPr>
              <w:t>。</w:t>
            </w:r>
          </w:p>
          <w:p>
            <w:pPr>
              <w:pStyle w:val="null3"/>
              <w:jc w:val="left"/>
            </w:pPr>
            <w:r>
              <w:rPr>
                <w:sz w:val="21"/>
                <w:b/>
              </w:rPr>
              <w:t>1.2 项目</w:t>
            </w:r>
            <w:r>
              <w:rPr>
                <w:sz w:val="21"/>
                <w:b/>
              </w:rPr>
              <w:t>意义</w:t>
            </w:r>
          </w:p>
          <w:p>
            <w:pPr>
              <w:pStyle w:val="null3"/>
              <w:ind w:firstLine="420"/>
              <w:jc w:val="left"/>
            </w:pPr>
            <w:r>
              <w:rPr>
                <w:sz w:val="21"/>
              </w:rPr>
              <w:t>交通技术监控设备</w:t>
            </w:r>
            <w:r>
              <w:rPr>
                <w:sz w:val="21"/>
              </w:rPr>
              <w:t>涉及交通管理的方方面面，通过</w:t>
            </w:r>
            <w:r>
              <w:rPr>
                <w:sz w:val="21"/>
              </w:rPr>
              <w:t>交通技术监控</w:t>
            </w:r>
            <w:r>
              <w:rPr>
                <w:sz w:val="21"/>
              </w:rPr>
              <w:t>设备可直观呈现道路交通路况</w:t>
            </w:r>
            <w:r>
              <w:rPr>
                <w:sz w:val="21"/>
              </w:rPr>
              <w:t>，实现</w:t>
            </w:r>
            <w:r>
              <w:rPr>
                <w:sz w:val="21"/>
              </w:rPr>
              <w:t>交通违法行为抓拍等，是交通指挥、交通诱导、路况感知、交管业务、缉查布控等警务工作的重要支撑。在经费有限的情况下，本着以较低成本现实核心需求的原则，在充分保护原有投资的基础上，针对部分重要</w:t>
            </w:r>
            <w:r>
              <w:rPr>
                <w:sz w:val="21"/>
              </w:rPr>
              <w:t>设备</w:t>
            </w:r>
            <w:r>
              <w:rPr>
                <w:sz w:val="21"/>
              </w:rPr>
              <w:t>在其出现故障时，启用维修服务延续设备寿命，充分发挥设备效能</w:t>
            </w:r>
            <w:r>
              <w:rPr>
                <w:sz w:val="21"/>
              </w:rPr>
              <w:t>。</w:t>
            </w:r>
          </w:p>
          <w:p>
            <w:pPr>
              <w:pStyle w:val="null3"/>
              <w:jc w:val="left"/>
            </w:pPr>
            <w:r>
              <w:rPr>
                <w:sz w:val="21"/>
                <w:b/>
              </w:rPr>
              <w:t>1.3 项目</w:t>
            </w:r>
            <w:r>
              <w:rPr>
                <w:sz w:val="21"/>
                <w:b/>
              </w:rPr>
              <w:t>必要性</w:t>
            </w:r>
          </w:p>
          <w:p>
            <w:pPr>
              <w:pStyle w:val="null3"/>
              <w:ind w:firstLine="420"/>
              <w:jc w:val="left"/>
            </w:pPr>
            <w:r>
              <w:rPr>
                <w:sz w:val="21"/>
              </w:rPr>
              <w:t>交通技术监控设备</w:t>
            </w:r>
            <w:r>
              <w:rPr>
                <w:sz w:val="21"/>
              </w:rPr>
              <w:t>提高交通管理效率、增强交通安全以及促进交通规则的执行。</w:t>
            </w:r>
            <w:r>
              <w:rPr>
                <w:sz w:val="21"/>
              </w:rPr>
              <w:t>通过自动化记录交通违规行为，如闯红灯、不按车道行驶等，能够大大减少人工监控的成本和时间，提高了交通管理的效率。通过实时监控和数据分析，可以帮助及时发现并处理交通违规行为，从而减少交通事故的发生，提高道路安全。</w:t>
            </w:r>
            <w:r>
              <w:rPr>
                <w:sz w:val="21"/>
              </w:rPr>
              <w:t>交通技术监控设备</w:t>
            </w:r>
            <w:r>
              <w:rPr>
                <w:sz w:val="21"/>
              </w:rPr>
              <w:t>能够严格执行交通规则，对违规行为进行记录和处罚，这有助于形成良好的交通秩序，减少因人为因素导致的违规行为。在经费有限的情况下，本着以较低成本现实核心需求的原则，在充分保护原有投资的基础上，针对部分重要</w:t>
            </w:r>
            <w:r>
              <w:rPr>
                <w:sz w:val="21"/>
              </w:rPr>
              <w:t>设备</w:t>
            </w:r>
            <w:r>
              <w:rPr>
                <w:sz w:val="21"/>
              </w:rPr>
              <w:t>在其出现故障时，启用维修服务延续设备寿命，充分发挥设备效能</w:t>
            </w:r>
            <w:r>
              <w:rPr>
                <w:sz w:val="21"/>
              </w:rPr>
              <w:t>，对交通技术监控设备进行科学、合理的维护，是</w:t>
            </w:r>
            <w:r>
              <w:rPr>
                <w:sz w:val="21"/>
              </w:rPr>
              <w:t>对于提升交通管理的现代化水平、保障交通安全以及促进交通规则的执行具有不可替代的作用。</w:t>
            </w:r>
          </w:p>
          <w:p>
            <w:pPr>
              <w:pStyle w:val="null3"/>
              <w:spacing w:before="150" w:after="150"/>
              <w:jc w:val="left"/>
            </w:pPr>
            <w:r>
              <w:rPr>
                <w:sz w:val="28"/>
                <w:b/>
              </w:rPr>
              <w:t>2 项目建设现状分析</w:t>
            </w:r>
          </w:p>
          <w:p>
            <w:pPr>
              <w:pStyle w:val="null3"/>
              <w:ind w:firstLine="420"/>
              <w:jc w:val="left"/>
            </w:pPr>
            <w:r>
              <w:rPr>
                <w:sz w:val="21"/>
              </w:rPr>
              <w:t>目前，珠海交警管控的</w:t>
            </w:r>
            <w:r>
              <w:rPr>
                <w:sz w:val="21"/>
              </w:rPr>
              <w:t>交通技术</w:t>
            </w:r>
            <w:r>
              <w:rPr>
                <w:sz w:val="21"/>
              </w:rPr>
              <w:t>监控</w:t>
            </w:r>
            <w:r>
              <w:rPr>
                <w:sz w:val="21"/>
              </w:rPr>
              <w:t>设备</w:t>
            </w:r>
            <w:r>
              <w:rPr>
                <w:sz w:val="21"/>
              </w:rPr>
              <w:t>覆盖全市</w:t>
            </w:r>
            <w:r>
              <w:rPr>
                <w:sz w:val="21"/>
              </w:rPr>
              <w:t>重点路口路段</w:t>
            </w:r>
            <w:r>
              <w:rPr>
                <w:sz w:val="21"/>
              </w:rPr>
              <w:t>。在近年来不断推进交通</w:t>
            </w:r>
            <w:r>
              <w:rPr>
                <w:sz w:val="21"/>
              </w:rPr>
              <w:t>技术</w:t>
            </w:r>
            <w:r>
              <w:rPr>
                <w:sz w:val="21"/>
              </w:rPr>
              <w:t>监控</w:t>
            </w:r>
            <w:r>
              <w:rPr>
                <w:sz w:val="21"/>
              </w:rPr>
              <w:t>设备</w:t>
            </w:r>
            <w:r>
              <w:rPr>
                <w:sz w:val="21"/>
              </w:rPr>
              <w:t>建设，但随着时间的推移，部分早期安装的</w:t>
            </w:r>
            <w:r>
              <w:rPr>
                <w:sz w:val="21"/>
              </w:rPr>
              <w:t>交通技术</w:t>
            </w:r>
            <w:r>
              <w:rPr>
                <w:sz w:val="21"/>
              </w:rPr>
              <w:t>监控设备可能已接近或超出其设计寿命，出现老化现象。</w:t>
            </w:r>
          </w:p>
          <w:p>
            <w:pPr>
              <w:pStyle w:val="null3"/>
              <w:ind w:firstLine="420"/>
              <w:jc w:val="left"/>
            </w:pPr>
            <w:r>
              <w:rPr>
                <w:sz w:val="21"/>
              </w:rPr>
              <w:t>原厂已过保的</w:t>
            </w:r>
            <w:r>
              <w:rPr>
                <w:sz w:val="21"/>
              </w:rPr>
              <w:t>交通技术</w:t>
            </w:r>
            <w:r>
              <w:rPr>
                <w:sz w:val="21"/>
              </w:rPr>
              <w:t>监控</w:t>
            </w:r>
            <w:r>
              <w:rPr>
                <w:sz w:val="21"/>
              </w:rPr>
              <w:t>设备</w:t>
            </w:r>
            <w:r>
              <w:rPr>
                <w:sz w:val="21"/>
              </w:rPr>
              <w:t>数量已超过</w:t>
            </w:r>
            <w:r>
              <w:rPr>
                <w:sz w:val="21"/>
              </w:rPr>
              <w:t>90%</w:t>
            </w:r>
            <w:r>
              <w:rPr>
                <w:sz w:val="21"/>
              </w:rPr>
              <w:t>，据统计，</w:t>
            </w:r>
            <w:r>
              <w:rPr>
                <w:sz w:val="21"/>
              </w:rPr>
              <w:t>约有</w:t>
            </w:r>
            <w:r>
              <w:rPr>
                <w:sz w:val="21"/>
              </w:rPr>
              <w:t>347</w:t>
            </w:r>
            <w:r>
              <w:rPr>
                <w:sz w:val="21"/>
              </w:rPr>
              <w:t>个路口（路段）计</w:t>
            </w:r>
            <w:r>
              <w:rPr>
                <w:sz w:val="21"/>
              </w:rPr>
              <w:t>908</w:t>
            </w:r>
            <w:r>
              <w:rPr>
                <w:sz w:val="21"/>
              </w:rPr>
              <w:t>个方向共</w:t>
            </w:r>
            <w:r>
              <w:rPr>
                <w:sz w:val="21"/>
              </w:rPr>
              <w:t>1181</w:t>
            </w:r>
            <w:r>
              <w:rPr>
                <w:sz w:val="21"/>
              </w:rPr>
              <w:t>套</w:t>
            </w:r>
            <w:r>
              <w:rPr>
                <w:sz w:val="21"/>
              </w:rPr>
              <w:t>设备已过保</w:t>
            </w:r>
            <w:r>
              <w:rPr>
                <w:sz w:val="21"/>
              </w:rPr>
              <w:t>。</w:t>
            </w:r>
            <w:r>
              <w:rPr>
                <w:sz w:val="21"/>
              </w:rPr>
              <w:t>随着设备使用年限的增加，其性能和稳定性可能会逐渐下降，故障率上升，影响设备抓拍效果。若关键路的监控设备出现故障且无法及时修复，可能会给交通安全带来隐患。</w:t>
            </w:r>
          </w:p>
          <w:p>
            <w:pPr>
              <w:pStyle w:val="null3"/>
              <w:spacing w:before="150" w:after="150"/>
              <w:jc w:val="left"/>
            </w:pPr>
            <w:r>
              <w:rPr>
                <w:sz w:val="28"/>
                <w:b/>
              </w:rPr>
              <w:t>3 项目资源规范情况</w:t>
            </w:r>
          </w:p>
          <w:p>
            <w:pPr>
              <w:pStyle w:val="null3"/>
              <w:ind w:firstLine="420"/>
              <w:jc w:val="left"/>
            </w:pPr>
            <w:r>
              <w:rPr>
                <w:sz w:val="21"/>
              </w:rPr>
              <w:t>本项目为</w:t>
            </w:r>
            <w:r>
              <w:rPr>
                <w:sz w:val="21"/>
              </w:rPr>
              <w:t>交通技术</w:t>
            </w:r>
            <w:r>
              <w:rPr>
                <w:sz w:val="21"/>
              </w:rPr>
              <w:t>监控设备维修维护服务项目，不涉及数据资源的应用和共享需求。</w:t>
            </w:r>
          </w:p>
          <w:p>
            <w:pPr>
              <w:pStyle w:val="null3"/>
              <w:spacing w:before="150" w:after="150"/>
              <w:jc w:val="left"/>
            </w:pPr>
            <w:r>
              <w:rPr>
                <w:sz w:val="28"/>
                <w:b/>
              </w:rPr>
              <w:t>4 项目运维</w:t>
            </w:r>
            <w:r>
              <w:rPr>
                <w:sz w:val="28"/>
                <w:b/>
              </w:rPr>
              <w:t>目标</w:t>
            </w:r>
          </w:p>
          <w:p>
            <w:pPr>
              <w:pStyle w:val="null3"/>
              <w:jc w:val="left"/>
            </w:pPr>
            <w:r>
              <w:rPr>
                <w:sz w:val="21"/>
                <w:b/>
              </w:rPr>
              <w:t>4.1 交通技术监控设备应急维修提供基本保障</w:t>
            </w:r>
          </w:p>
          <w:p>
            <w:pPr>
              <w:pStyle w:val="null3"/>
              <w:ind w:firstLine="420"/>
              <w:jc w:val="both"/>
            </w:pPr>
            <w:r>
              <w:rPr>
                <w:sz w:val="21"/>
              </w:rPr>
              <w:t>对外采购运维服务，当交通技术监控设备出现故障时，运维单位须快速响应，并提供维修零配件供应、技术支持、故障处理等服务，协助交警支队及时解决问题。</w:t>
            </w:r>
          </w:p>
          <w:p>
            <w:pPr>
              <w:pStyle w:val="null3"/>
              <w:jc w:val="left"/>
            </w:pPr>
            <w:r>
              <w:rPr>
                <w:sz w:val="21"/>
                <w:b/>
              </w:rPr>
              <w:t>4.2 提高交通技术监控设备运维能力</w:t>
            </w:r>
          </w:p>
          <w:p>
            <w:pPr>
              <w:pStyle w:val="null3"/>
              <w:ind w:firstLine="420"/>
              <w:jc w:val="left"/>
            </w:pPr>
            <w:r>
              <w:rPr>
                <w:sz w:val="21"/>
              </w:rPr>
              <w:t>设立专职的</w:t>
            </w:r>
            <w:r>
              <w:rPr>
                <w:sz w:val="21"/>
              </w:rPr>
              <w:t>技术</w:t>
            </w:r>
            <w:r>
              <w:rPr>
                <w:sz w:val="21"/>
              </w:rPr>
              <w:t>运维人员负责整个</w:t>
            </w:r>
            <w:r>
              <w:rPr>
                <w:sz w:val="21"/>
              </w:rPr>
              <w:t>服务项目的对接</w:t>
            </w:r>
            <w:r>
              <w:rPr>
                <w:sz w:val="21"/>
              </w:rPr>
              <w:t>，支队管理人员可从日常需要完成专业性较强的维护保养工作中解放出来，重点做好管理及协调工作，更好的发挥其管理职能。</w:t>
            </w:r>
          </w:p>
          <w:p>
            <w:pPr>
              <w:pStyle w:val="null3"/>
              <w:spacing w:before="150" w:after="150"/>
              <w:jc w:val="left"/>
            </w:pPr>
            <w:r>
              <w:rPr>
                <w:sz w:val="28"/>
                <w:b/>
              </w:rPr>
              <w:t>5 项目运维服务内容</w:t>
            </w:r>
          </w:p>
          <w:p>
            <w:pPr>
              <w:pStyle w:val="null3"/>
              <w:jc w:val="left"/>
            </w:pPr>
            <w:r>
              <w:rPr>
                <w:sz w:val="21"/>
                <w:b/>
              </w:rPr>
              <w:t>5.1 使用对象</w:t>
            </w:r>
          </w:p>
          <w:p>
            <w:pPr>
              <w:pStyle w:val="null3"/>
              <w:ind w:firstLine="420"/>
              <w:jc w:val="left"/>
            </w:pPr>
            <w:r>
              <w:rPr>
                <w:sz w:val="21"/>
              </w:rPr>
              <w:t>珠海市公安局交通警察支队工作人员。</w:t>
            </w:r>
          </w:p>
          <w:p>
            <w:pPr>
              <w:pStyle w:val="null3"/>
              <w:jc w:val="left"/>
            </w:pPr>
            <w:r>
              <w:rPr>
                <w:sz w:val="21"/>
                <w:b/>
              </w:rPr>
              <w:t>5.2 运维服务期限</w:t>
            </w:r>
          </w:p>
          <w:p>
            <w:pPr>
              <w:pStyle w:val="null3"/>
              <w:ind w:firstLine="420"/>
              <w:jc w:val="left"/>
            </w:pPr>
            <w:r>
              <w:rPr>
                <w:sz w:val="21"/>
              </w:rPr>
              <w:t>自运维服务合同签订后，正式开展服务起</w:t>
            </w:r>
            <w:r>
              <w:rPr>
                <w:sz w:val="21"/>
              </w:rPr>
              <w:t>1.5年</w:t>
            </w:r>
            <w:r>
              <w:rPr>
                <w:sz w:val="21"/>
              </w:rPr>
              <w:t>时间。若项目维修经费提早使用完结，则</w:t>
            </w:r>
            <w:r>
              <w:rPr>
                <w:sz w:val="21"/>
              </w:rPr>
              <w:t>提前</w:t>
            </w:r>
            <w:r>
              <w:rPr>
                <w:sz w:val="21"/>
              </w:rPr>
              <w:t>结束该年度的项目合同，再通过招投标方式启动下一年度的运维服务采购。</w:t>
            </w:r>
          </w:p>
          <w:p>
            <w:pPr>
              <w:pStyle w:val="null3"/>
              <w:jc w:val="left"/>
            </w:pPr>
            <w:r>
              <w:rPr>
                <w:sz w:val="21"/>
                <w:b/>
              </w:rPr>
              <w:t>5.3 服务内容及运维场景</w:t>
            </w:r>
          </w:p>
          <w:p>
            <w:pPr>
              <w:pStyle w:val="null3"/>
              <w:jc w:val="left"/>
            </w:pPr>
            <w:r>
              <w:rPr>
                <w:sz w:val="21"/>
                <w:b/>
              </w:rPr>
              <w:t>5.3.1 运维服务</w:t>
            </w:r>
            <w:r>
              <w:rPr>
                <w:sz w:val="21"/>
                <w:b/>
              </w:rPr>
              <w:t>方式</w:t>
            </w:r>
          </w:p>
          <w:p>
            <w:pPr>
              <w:pStyle w:val="null3"/>
              <w:jc w:val="left"/>
            </w:pPr>
            <w:r>
              <w:rPr>
                <w:sz w:val="21"/>
                <w:b/>
              </w:rPr>
              <w:t>5.3.1.1 外场维修服务</w:t>
            </w:r>
          </w:p>
          <w:p>
            <w:pPr>
              <w:pStyle w:val="null3"/>
              <w:ind w:firstLine="420"/>
              <w:jc w:val="left"/>
            </w:pPr>
            <w:r>
              <w:rPr>
                <w:sz w:val="21"/>
              </w:rPr>
              <w:t>本项目为道路交通技术监控设备日常巡检、维护、应急及抢修服务，运维单位必须做到每周</w:t>
            </w:r>
            <w:r>
              <w:rPr>
                <w:sz w:val="21"/>
              </w:rPr>
              <w:t>7×24小时安排有人员在珠海待命，随时准备投入抢修。运维单位在接到维护抢修通知后须在规定时间内作出响应并在规定时间内提出解决方案，以便顺利及时完成抢修项目，不涉及设备维修更换和管线费用的，现场完成维修，确保设备正常运行；涉及设备维修更换和管线费用的，上报交警支队，待交警支队批复后按照批复意见进行维修。本项目服务范围为珠海市内已过保修期的交通技术监控设备，服务应不限于目前已过保的点位数量，具体以实施下达任务为准，维护任务以交警支队下达的任务通知书（任务通知书可以通过报障系统、电话、微信等形式下达）为准。</w:t>
            </w:r>
          </w:p>
          <w:p>
            <w:pPr>
              <w:pStyle w:val="null3"/>
              <w:ind w:firstLine="420"/>
              <w:jc w:val="left"/>
            </w:pPr>
            <w:r>
              <w:rPr>
                <w:sz w:val="21"/>
              </w:rPr>
              <w:t>交警支队有其它交通技术监控设备相关维护要求的，应当按照交警支队要求积极配合开展维护抢修工作。运维单位在维修过程中应确保交通安全。接到交警支队的指令后，运维单位需在规定的时间内赶赴各区域展开维护、应急及抢修设备的服务。</w:t>
            </w:r>
          </w:p>
          <w:p>
            <w:pPr>
              <w:pStyle w:val="null3"/>
              <w:ind w:firstLine="420"/>
              <w:jc w:val="left"/>
            </w:pPr>
            <w:r>
              <w:rPr>
                <w:sz w:val="21"/>
              </w:rPr>
              <w:t>交通技术</w:t>
            </w:r>
            <w:r>
              <w:rPr>
                <w:sz w:val="21"/>
              </w:rPr>
              <w:t>监控设备故障排查及维修应包含但不限于以下工作内容：</w:t>
            </w:r>
          </w:p>
          <w:tbl>
            <w:tblPr>
              <w:tblBorders>
                <w:top w:val="none" w:color="000000" w:sz="4"/>
                <w:left w:val="none" w:color="000000" w:sz="4"/>
                <w:bottom w:val="none" w:color="000000" w:sz="4"/>
                <w:right w:val="none" w:color="000000" w:sz="4"/>
                <w:insideH w:val="none"/>
                <w:insideV w:val="none"/>
              </w:tblBorders>
            </w:tblPr>
            <w:tblGrid>
              <w:gridCol w:w="2799"/>
              <w:gridCol w:w="2799"/>
            </w:tblGrid>
            <w:tr>
              <w:tc>
                <w:tcPr>
                  <w:tcW w:type="dxa" w:w="2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color w:val="000000"/>
                    </w:rPr>
                    <w:t>序号</w:t>
                  </w:r>
                </w:p>
              </w:tc>
              <w:tc>
                <w:tcPr>
                  <w:tcW w:type="dxa" w:w="2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color w:val="000000"/>
                    </w:rPr>
                    <w:t>项目</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故障初步排查，外观损害检查等</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2</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网络连通性检查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3</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供电情况检查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4</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线缆与端口安装可靠性检查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5</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设备拆除与替换安装</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6</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网线连接与光纤熔接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7</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设备调试接入平台</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8</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监控角度与画面质量检查</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9</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人员、材料及工具到达故障地点的交通运输</w:t>
                  </w:r>
                </w:p>
              </w:tc>
            </w:tr>
            <w:tr>
              <w:tc>
                <w:tcPr>
                  <w:tcW w:type="dxa" w:w="2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10</w:t>
                  </w:r>
                </w:p>
              </w:tc>
              <w:tc>
                <w:tcPr>
                  <w:tcW w:type="dxa" w:w="2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登高车、吊车等专用作业车辆</w:t>
                  </w:r>
                </w:p>
              </w:tc>
            </w:tr>
          </w:tbl>
          <w:p>
            <w:pPr>
              <w:pStyle w:val="null3"/>
              <w:ind w:firstLine="420"/>
              <w:jc w:val="left"/>
            </w:pPr>
            <w:r>
              <w:rPr>
                <w:sz w:val="21"/>
              </w:rPr>
              <w:t>运维单位每次外出对</w:t>
            </w:r>
            <w:r>
              <w:rPr>
                <w:sz w:val="21"/>
              </w:rPr>
              <w:t>交通技术</w:t>
            </w:r>
            <w:r>
              <w:rPr>
                <w:sz w:val="21"/>
              </w:rPr>
              <w:t>监控设备故障排查及维修所消耗物料应包含但不限于以下内容：</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color w:val="000000"/>
                    </w:rPr>
                    <w:t>项目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sz w:val="21"/>
                      <w:b/>
                      <w:color w:val="000000"/>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交换机</w:t>
                  </w:r>
                </w:p>
              </w:tc>
              <w:tc>
                <w:tcPr>
                  <w:tcW w:type="dxa" w:w="1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规格按实际场景选择</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光纤收发器</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3</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漏电开关</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空气开关</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5</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光纤跳线</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6</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六类网络跳线</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7</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非屏蔽六类网线</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8</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电源线</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9</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PVC线管</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10</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控制线</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11</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电源插排</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标签</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13</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扎带</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水晶头</w:t>
                  </w:r>
                </w:p>
              </w:tc>
              <w:tc>
                <w:tcPr>
                  <w:tcW w:type="dxa" w:w="1866"/>
                  <w:vMerge/>
                  <w:tcBorders>
                    <w:top w:val="none" w:color="000000" w:sz="4"/>
                    <w:left w:val="none" w:color="000000" w:sz="4"/>
                    <w:bottom w:val="single" w:color="000000" w:sz="4"/>
                    <w:right w:val="single" w:color="000000" w:sz="4"/>
                  </w:tcBorders>
                </w:tcP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15</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color w:val="000000"/>
                    </w:rPr>
                    <w:t>电工胶布</w:t>
                  </w:r>
                </w:p>
              </w:tc>
              <w:tc>
                <w:tcPr>
                  <w:tcW w:type="dxa" w:w="1866"/>
                  <w:vMerge/>
                  <w:tcBorders>
                    <w:top w:val="none" w:color="000000" w:sz="4"/>
                    <w:left w:val="none" w:color="000000" w:sz="4"/>
                    <w:bottom w:val="single" w:color="000000" w:sz="4"/>
                    <w:right w:val="single" w:color="000000" w:sz="4"/>
                  </w:tcBorders>
                </w:tcPr>
                <w:p/>
              </w:tc>
            </w:tr>
          </w:tbl>
          <w:p>
            <w:pPr>
              <w:pStyle w:val="null3"/>
              <w:jc w:val="left"/>
            </w:pPr>
            <w:r>
              <w:rPr>
                <w:sz w:val="21"/>
                <w:b/>
              </w:rPr>
              <w:t>5.3.2 运维服务要求</w:t>
            </w:r>
          </w:p>
          <w:p>
            <w:pPr>
              <w:pStyle w:val="null3"/>
              <w:jc w:val="left"/>
            </w:pPr>
            <w:r>
              <w:rPr>
                <w:sz w:val="21"/>
                <w:b/>
              </w:rPr>
              <w:t>5.3.2.1 维修流程</w:t>
            </w:r>
          </w:p>
          <w:p>
            <w:pPr>
              <w:pStyle w:val="null3"/>
              <w:ind w:firstLine="420"/>
              <w:jc w:val="left"/>
            </w:pPr>
            <w:r>
              <w:rPr>
                <w:sz w:val="21"/>
              </w:rPr>
              <w:t>1）</w:t>
            </w:r>
            <w:r>
              <w:rPr>
                <w:sz w:val="21"/>
              </w:rPr>
              <w:t>交警支队</w:t>
            </w:r>
            <w:r>
              <w:rPr>
                <w:sz w:val="21"/>
              </w:rPr>
              <w:t>通过微信、电话、口头或者报障系统</w:t>
            </w:r>
            <w:r>
              <w:rPr>
                <w:sz w:val="21"/>
              </w:rPr>
              <w:t>等方式</w:t>
            </w:r>
            <w:r>
              <w:rPr>
                <w:sz w:val="21"/>
              </w:rPr>
              <w:t>进行维修下单（无论通过什么方式下单最后都须在报障系统补录下单）。如果</w:t>
            </w:r>
            <w:r>
              <w:rPr>
                <w:sz w:val="21"/>
              </w:rPr>
              <w:t>运维单位</w:t>
            </w:r>
            <w:r>
              <w:rPr>
                <w:sz w:val="21"/>
              </w:rPr>
              <w:t>在巡检过程中发现故障的也可以通过报障系统下单（需</w:t>
            </w:r>
            <w:r>
              <w:rPr>
                <w:sz w:val="21"/>
              </w:rPr>
              <w:t>交警支队</w:t>
            </w:r>
            <w:r>
              <w:rPr>
                <w:sz w:val="21"/>
              </w:rPr>
              <w:t>确认）。</w:t>
            </w:r>
          </w:p>
          <w:p>
            <w:pPr>
              <w:pStyle w:val="null3"/>
              <w:ind w:firstLine="420"/>
              <w:jc w:val="left"/>
            </w:pPr>
            <w:r>
              <w:rPr>
                <w:sz w:val="21"/>
              </w:rPr>
              <w:t>2）故障排查：</w:t>
            </w:r>
            <w:r>
              <w:rPr>
                <w:sz w:val="21"/>
              </w:rPr>
              <w:t>运维单位</w:t>
            </w:r>
            <w:r>
              <w:rPr>
                <w:sz w:val="21"/>
              </w:rPr>
              <w:t>在规定时间内对所报故障进行现场排查，如果不产生涉及设备维修或者更换费用即可完成修复的，</w:t>
            </w:r>
            <w:r>
              <w:rPr>
                <w:sz w:val="21"/>
              </w:rPr>
              <w:t>运维单位</w:t>
            </w:r>
            <w:r>
              <w:rPr>
                <w:sz w:val="21"/>
              </w:rPr>
              <w:t>现场对故障进行修复并结单，经</w:t>
            </w:r>
            <w:r>
              <w:rPr>
                <w:sz w:val="21"/>
              </w:rPr>
              <w:t>交警支队</w:t>
            </w:r>
            <w:r>
              <w:rPr>
                <w:sz w:val="21"/>
              </w:rPr>
              <w:t>确认修复后，在报障系统录入维修记录，</w:t>
            </w:r>
            <w:r>
              <w:rPr>
                <w:sz w:val="21"/>
              </w:rPr>
              <w:t>如运维单位</w:t>
            </w:r>
            <w:r>
              <w:rPr>
                <w:sz w:val="21"/>
              </w:rPr>
              <w:t>按照报价清单申报该次维修所产生的人工费用及车辆机械使用费用，若</w:t>
            </w:r>
            <w:r>
              <w:rPr>
                <w:sz w:val="21"/>
              </w:rPr>
              <w:t>交警支队审查</w:t>
            </w:r>
            <w:r>
              <w:rPr>
                <w:sz w:val="21"/>
              </w:rPr>
              <w:t>未能完成修复的，本次维修涉及的人工费用及车辆机械使用费用不予支付。</w:t>
            </w:r>
          </w:p>
          <w:p>
            <w:pPr>
              <w:pStyle w:val="null3"/>
              <w:ind w:firstLine="420"/>
              <w:jc w:val="left"/>
            </w:pPr>
            <w:r>
              <w:rPr>
                <w:sz w:val="21"/>
              </w:rPr>
              <w:t>3）设备维修更换：如果在排查过程中发现有设备故障需要返厂维修或者设备更换、线路问题等一系列需要产生费用的故障，需要通过微信、电话或者系统申报</w:t>
            </w:r>
            <w:r>
              <w:rPr>
                <w:sz w:val="21"/>
              </w:rPr>
              <w:t>等</w:t>
            </w:r>
            <w:r>
              <w:rPr>
                <w:sz w:val="21"/>
              </w:rPr>
              <w:t>方式，待</w:t>
            </w:r>
            <w:r>
              <w:rPr>
                <w:sz w:val="21"/>
              </w:rPr>
              <w:t>交警支队</w:t>
            </w:r>
            <w:r>
              <w:rPr>
                <w:sz w:val="21"/>
              </w:rPr>
              <w:t>确认维修方案后方可进行维修，经</w:t>
            </w:r>
            <w:r>
              <w:rPr>
                <w:sz w:val="21"/>
              </w:rPr>
              <w:t>交警支队同意</w:t>
            </w:r>
            <w:r>
              <w:rPr>
                <w:sz w:val="21"/>
              </w:rPr>
              <w:t>后，在报障系统录入维修记录，</w:t>
            </w:r>
            <w:r>
              <w:rPr>
                <w:sz w:val="21"/>
              </w:rPr>
              <w:t>运维单位</w:t>
            </w:r>
            <w:r>
              <w:rPr>
                <w:sz w:val="21"/>
              </w:rPr>
              <w:t>按照中标价格申报该次维修所产生的人工费用、车辆机械使用费用以及所产生的设备更换、维修、线路等费用。（设备更换原则：所有需要更换的设备均需保持设备品牌、型号的一致性及售后服务的延续性；如原先的设备型号停产，则要求选择停产设备的替代产品，替代产品技术参数要求不低于原停产设备。）</w:t>
            </w:r>
          </w:p>
          <w:p>
            <w:pPr>
              <w:pStyle w:val="null3"/>
              <w:jc w:val="left"/>
            </w:pPr>
            <w:r>
              <w:rPr>
                <w:sz w:val="21"/>
                <w:b/>
              </w:rPr>
              <w:t>5.3.2.2 设备材料要求</w:t>
            </w:r>
          </w:p>
          <w:p>
            <w:pPr>
              <w:pStyle w:val="null3"/>
              <w:ind w:firstLine="420"/>
              <w:jc w:val="left"/>
            </w:pPr>
            <w:r>
              <w:rPr>
                <w:sz w:val="21"/>
              </w:rPr>
              <w:t>所有用于工程的备品备件和材料必须具有产品合格证，并符合设计图纸规定和</w:t>
            </w:r>
            <w:r>
              <w:rPr>
                <w:sz w:val="21"/>
              </w:rPr>
              <w:t>国家相关</w:t>
            </w:r>
            <w:r>
              <w:rPr>
                <w:sz w:val="21"/>
              </w:rPr>
              <w:t>要求</w:t>
            </w:r>
            <w:r>
              <w:rPr>
                <w:sz w:val="21"/>
              </w:rPr>
              <w:t>标准</w:t>
            </w:r>
            <w:r>
              <w:rPr>
                <w:sz w:val="21"/>
              </w:rPr>
              <w:t>。</w:t>
            </w:r>
            <w:r>
              <w:rPr>
                <w:sz w:val="21"/>
              </w:rPr>
              <w:t>设备材料</w:t>
            </w:r>
            <w:r>
              <w:rPr>
                <w:sz w:val="21"/>
              </w:rPr>
              <w:t>必须使用不低于招标</w:t>
            </w:r>
            <w:r>
              <w:rPr>
                <w:sz w:val="21"/>
              </w:rPr>
              <w:t>设备</w:t>
            </w:r>
            <w:r>
              <w:rPr>
                <w:sz w:val="21"/>
              </w:rPr>
              <w:t>清单中列明的材料型号及规格，如使用与招标</w:t>
            </w:r>
            <w:r>
              <w:rPr>
                <w:sz w:val="21"/>
              </w:rPr>
              <w:t>设备</w:t>
            </w:r>
            <w:r>
              <w:rPr>
                <w:sz w:val="21"/>
              </w:rPr>
              <w:t>清单中列明的材料型号及规格不符的，须有质检部门出具的产品检测报告，且检测结果能证明其质量性能不低于招标工程量清单中列明的材料型号及规格中体现的质量性能。</w:t>
            </w:r>
          </w:p>
          <w:p>
            <w:pPr>
              <w:pStyle w:val="null3"/>
              <w:ind w:firstLine="420"/>
              <w:jc w:val="left"/>
            </w:pPr>
            <w:r>
              <w:rPr>
                <w:sz w:val="21"/>
              </w:rPr>
              <w:t>运维单位应当按照招标设备清单的内容逐项注明品牌、规格型号，属于施工工程项目的，必须严格按照招标工程量清单要求执行。</w:t>
            </w:r>
          </w:p>
          <w:p>
            <w:pPr>
              <w:pStyle w:val="null3"/>
              <w:ind w:firstLine="420"/>
              <w:jc w:val="left"/>
            </w:pPr>
            <w:r>
              <w:rPr>
                <w:sz w:val="21"/>
              </w:rPr>
              <w:t>运维单位</w:t>
            </w:r>
            <w:r>
              <w:rPr>
                <w:sz w:val="21"/>
              </w:rPr>
              <w:t>在中标结果确认后</w:t>
            </w:r>
            <w:r>
              <w:rPr>
                <w:sz w:val="21"/>
              </w:rPr>
              <w:t>30天内须在珠海市香洲区行政区域范围内设立常驻机构即配备能足够保证本项目实施的经营场地，该场地须经</w:t>
            </w:r>
            <w:r>
              <w:rPr>
                <w:sz w:val="21"/>
              </w:rPr>
              <w:t>交警支队</w:t>
            </w:r>
            <w:r>
              <w:rPr>
                <w:sz w:val="21"/>
              </w:rPr>
              <w:t>检查认可；同时须提供相应设备专供本项目使用并将设备和相应文件（含自有设备的证明文件）供</w:t>
            </w:r>
            <w:r>
              <w:rPr>
                <w:sz w:val="21"/>
              </w:rPr>
              <w:t>交警支队</w:t>
            </w:r>
            <w:r>
              <w:rPr>
                <w:sz w:val="21"/>
              </w:rPr>
              <w:t>检查。如</w:t>
            </w:r>
            <w:r>
              <w:rPr>
                <w:sz w:val="21"/>
              </w:rPr>
              <w:t>运维单位</w:t>
            </w:r>
            <w:r>
              <w:rPr>
                <w:sz w:val="21"/>
              </w:rPr>
              <w:t>未按上述要求执行或执行不合格，则视为</w:t>
            </w:r>
            <w:r>
              <w:rPr>
                <w:sz w:val="21"/>
              </w:rPr>
              <w:t>运维单位</w:t>
            </w:r>
            <w:r>
              <w:rPr>
                <w:sz w:val="21"/>
              </w:rPr>
              <w:t>自动放弃中标资格，</w:t>
            </w:r>
            <w:r>
              <w:rPr>
                <w:sz w:val="21"/>
              </w:rPr>
              <w:t>交警支队</w:t>
            </w:r>
            <w:r>
              <w:rPr>
                <w:sz w:val="21"/>
              </w:rPr>
              <w:t>有权单方面中止合同，其产生的一切后果均由</w:t>
            </w:r>
            <w:r>
              <w:rPr>
                <w:sz w:val="21"/>
              </w:rPr>
              <w:t>运维单位</w:t>
            </w:r>
            <w:r>
              <w:rPr>
                <w:sz w:val="21"/>
              </w:rPr>
              <w:t>承担。</w:t>
            </w:r>
            <w:r>
              <w:rPr>
                <w:sz w:val="21"/>
              </w:rPr>
              <w:t>合同期间，运维单位有义务免费保管本项目的临时性材料，不得收取任何费用。</w:t>
            </w:r>
          </w:p>
          <w:p>
            <w:pPr>
              <w:pStyle w:val="null3"/>
              <w:ind w:firstLine="420"/>
              <w:jc w:val="left"/>
            </w:pPr>
            <w:r>
              <w:rPr>
                <w:sz w:val="21"/>
              </w:rPr>
              <w:t>中标结果确认后</w:t>
            </w:r>
            <w:r>
              <w:rPr>
                <w:sz w:val="21"/>
              </w:rPr>
              <w:t>1个月内，运维单位必须备有主要设备抓拍机10台、球机10台、交换机10台、光收发器20对、补光灯20台、终端服务器5台等备件，采购备件的费用由运维单位承担，在合同执行期间，运维单位的备品备件也必须满足上述要求。交警支队将对此进行检查。检查不合格者，运维单位必须无条件接受限制整改直至检查合格，否则，交警支队有权单方面中止合同，其产生的一切后果均由运维单位承担。</w:t>
            </w:r>
          </w:p>
          <w:p>
            <w:pPr>
              <w:pStyle w:val="null3"/>
              <w:jc w:val="left"/>
            </w:pPr>
            <w:r>
              <w:rPr>
                <w:sz w:val="21"/>
                <w:b/>
              </w:rPr>
              <w:t>5.3.2.3 运维及记录</w:t>
            </w:r>
          </w:p>
          <w:p>
            <w:pPr>
              <w:pStyle w:val="null3"/>
              <w:ind w:firstLine="420"/>
              <w:jc w:val="left"/>
            </w:pPr>
            <w:r>
              <w:rPr>
                <w:sz w:val="21"/>
              </w:rPr>
              <w:t>运维单位</w:t>
            </w:r>
            <w:r>
              <w:rPr>
                <w:sz w:val="21"/>
              </w:rPr>
              <w:t>在中标后，</w:t>
            </w:r>
            <w:r>
              <w:rPr>
                <w:sz w:val="21"/>
              </w:rPr>
              <w:t>完善</w:t>
            </w:r>
            <w:r>
              <w:rPr>
                <w:sz w:val="21"/>
              </w:rPr>
              <w:t>设备档案（含路口路段名称、设备类型与型号、配置、</w:t>
            </w:r>
            <w:r>
              <w:rPr>
                <w:sz w:val="21"/>
              </w:rPr>
              <w:t>IP等），</w:t>
            </w:r>
            <w:r>
              <w:rPr>
                <w:sz w:val="21"/>
              </w:rPr>
              <w:t>配合交警支队</w:t>
            </w:r>
            <w:r>
              <w:rPr>
                <w:sz w:val="21"/>
              </w:rPr>
              <w:t>更新电警卡口在珠海市视频云平台</w:t>
            </w:r>
            <w:r>
              <w:rPr>
                <w:sz w:val="21"/>
              </w:rPr>
              <w:t>“一卡一档”信息，确保卡口档案记录的及时性和准确性</w:t>
            </w:r>
            <w:r>
              <w:rPr>
                <w:sz w:val="21"/>
              </w:rPr>
              <w:t>。</w:t>
            </w:r>
          </w:p>
          <w:p>
            <w:pPr>
              <w:pStyle w:val="null3"/>
              <w:ind w:firstLine="420"/>
              <w:jc w:val="left"/>
            </w:pPr>
            <w:r>
              <w:rPr>
                <w:sz w:val="21"/>
              </w:rPr>
              <w:t>运维单位</w:t>
            </w:r>
            <w:r>
              <w:rPr>
                <w:sz w:val="21"/>
              </w:rPr>
              <w:t>每</w:t>
            </w:r>
            <w:r>
              <w:rPr>
                <w:sz w:val="21"/>
              </w:rPr>
              <w:t>日</w:t>
            </w:r>
            <w:r>
              <w:rPr>
                <w:sz w:val="21"/>
              </w:rPr>
              <w:t>须对</w:t>
            </w:r>
            <w:r>
              <w:rPr>
                <w:sz w:val="21"/>
              </w:rPr>
              <w:t>交警支队平台上的</w:t>
            </w:r>
            <w:r>
              <w:rPr>
                <w:sz w:val="21"/>
              </w:rPr>
              <w:t>交通技术监控</w:t>
            </w:r>
            <w:r>
              <w:rPr>
                <w:sz w:val="21"/>
              </w:rPr>
              <w:t>设备进行一次巡检工作，</w:t>
            </w:r>
            <w:r>
              <w:rPr>
                <w:sz w:val="21"/>
              </w:rPr>
              <w:t>及时发现故障设备，分析上报</w:t>
            </w:r>
            <w:r>
              <w:rPr>
                <w:sz w:val="21"/>
              </w:rPr>
              <w:t>故障原因</w:t>
            </w:r>
            <w:r>
              <w:rPr>
                <w:sz w:val="21"/>
              </w:rPr>
              <w:t>并记录</w:t>
            </w:r>
            <w:r>
              <w:rPr>
                <w:sz w:val="21"/>
              </w:rPr>
              <w:t>。</w:t>
            </w:r>
          </w:p>
          <w:p>
            <w:pPr>
              <w:pStyle w:val="null3"/>
              <w:ind w:firstLine="420"/>
              <w:jc w:val="left"/>
            </w:pPr>
            <w:r>
              <w:rPr>
                <w:sz w:val="21"/>
              </w:rPr>
              <w:t>运维单位每月通过主动巡检，掌握卡口状态及识别率，运维单位</w:t>
            </w:r>
            <w:r>
              <w:rPr>
                <w:sz w:val="21"/>
              </w:rPr>
              <w:t>对</w:t>
            </w:r>
            <w:r>
              <w:rPr>
                <w:sz w:val="21"/>
              </w:rPr>
              <w:t>卡口状态和识别率作</w:t>
            </w:r>
            <w:r>
              <w:rPr>
                <w:sz w:val="21"/>
              </w:rPr>
              <w:t>出专业分析，针对</w:t>
            </w:r>
            <w:r>
              <w:rPr>
                <w:sz w:val="21"/>
              </w:rPr>
              <w:t>识别率低的卡口</w:t>
            </w:r>
            <w:r>
              <w:rPr>
                <w:sz w:val="21"/>
              </w:rPr>
              <w:t>设备</w:t>
            </w:r>
            <w:r>
              <w:rPr>
                <w:sz w:val="21"/>
              </w:rPr>
              <w:t>提出专业意见</w:t>
            </w:r>
            <w:r>
              <w:rPr>
                <w:sz w:val="21"/>
              </w:rPr>
              <w:t>，需每月</w:t>
            </w:r>
            <w:r>
              <w:rPr>
                <w:sz w:val="21"/>
              </w:rPr>
              <w:t>汇报</w:t>
            </w:r>
            <w:r>
              <w:rPr>
                <w:sz w:val="21"/>
              </w:rPr>
              <w:t>分析结果</w:t>
            </w:r>
            <w:r>
              <w:rPr>
                <w:sz w:val="21"/>
              </w:rPr>
              <w:t>，并提出</w:t>
            </w:r>
            <w:r>
              <w:rPr>
                <w:sz w:val="21"/>
              </w:rPr>
              <w:t>整改</w:t>
            </w:r>
            <w:r>
              <w:rPr>
                <w:sz w:val="21"/>
              </w:rPr>
              <w:t>建议</w:t>
            </w:r>
            <w:r>
              <w:rPr>
                <w:sz w:val="21"/>
              </w:rPr>
              <w:t>，以便全面准确的了解维保服务实施情况。</w:t>
            </w:r>
          </w:p>
          <w:p>
            <w:pPr>
              <w:pStyle w:val="null3"/>
              <w:ind w:firstLine="420"/>
              <w:jc w:val="left"/>
            </w:pPr>
            <w:r>
              <w:rPr>
                <w:sz w:val="21"/>
              </w:rPr>
              <w:t>当交警支队发现交通技术监控设备出现数据异常时，运维单位应积极配合交警支队核查，分析原因，并提出整改建议，以便全面准确的了解维保服务实施情况。</w:t>
            </w:r>
          </w:p>
          <w:p>
            <w:pPr>
              <w:pStyle w:val="null3"/>
              <w:ind w:firstLine="420"/>
              <w:jc w:val="left"/>
            </w:pPr>
            <w:r>
              <w:rPr>
                <w:sz w:val="21"/>
              </w:rPr>
              <w:t>运维单位应配合交警对新建的交通技术监控设备项目进行验收工作，提出专业意见。运维单位应协助交警对交通技术监控设备进行标定工作。</w:t>
            </w:r>
          </w:p>
          <w:p>
            <w:pPr>
              <w:pStyle w:val="null3"/>
              <w:ind w:firstLine="420"/>
              <w:jc w:val="left"/>
            </w:pPr>
            <w:r>
              <w:rPr>
                <w:sz w:val="21"/>
              </w:rPr>
              <w:t>每月服务总结内容包括：</w:t>
            </w:r>
          </w:p>
          <w:p>
            <w:pPr>
              <w:pStyle w:val="null3"/>
              <w:ind w:firstLine="420"/>
              <w:jc w:val="left"/>
            </w:pPr>
            <w:r>
              <w:rPr>
                <w:sz w:val="21"/>
              </w:rPr>
              <w:t>1）</w:t>
            </w:r>
            <w:r>
              <w:rPr>
                <w:sz w:val="21"/>
              </w:rPr>
              <w:t>服务情况的总结</w:t>
            </w:r>
            <w:r>
              <w:rPr>
                <w:sz w:val="21"/>
              </w:rPr>
              <w:t>，</w:t>
            </w:r>
            <w:r>
              <w:rPr>
                <w:sz w:val="21"/>
              </w:rPr>
              <w:t>对每月的设备整体运行情况进行总结，分析遗留问题处理情况。</w:t>
            </w:r>
          </w:p>
          <w:p>
            <w:pPr>
              <w:pStyle w:val="null3"/>
              <w:ind w:firstLine="420"/>
              <w:jc w:val="left"/>
            </w:pPr>
            <w:r>
              <w:rPr>
                <w:sz w:val="21"/>
              </w:rPr>
              <w:t>2）</w:t>
            </w:r>
            <w:r>
              <w:rPr>
                <w:sz w:val="21"/>
              </w:rPr>
              <w:t>重大故障分析报告，对故障的发生原因、处理过程和处理结果进行详细说明，并给出预防该类故障再次发生的建议</w:t>
            </w:r>
            <w:r>
              <w:rPr>
                <w:sz w:val="21"/>
              </w:rPr>
              <w:t>。</w:t>
            </w:r>
          </w:p>
          <w:p>
            <w:pPr>
              <w:pStyle w:val="null3"/>
              <w:ind w:firstLine="420"/>
              <w:jc w:val="left"/>
            </w:pPr>
            <w:r>
              <w:rPr>
                <w:sz w:val="21"/>
              </w:rPr>
              <w:t>3）</w:t>
            </w:r>
            <w:r>
              <w:rPr>
                <w:sz w:val="21"/>
              </w:rPr>
              <w:t>故障记录，对当月发生的全部故障要进行故障说明，应急处理情况说明，根本原因分析说明。</w:t>
            </w:r>
          </w:p>
          <w:p>
            <w:pPr>
              <w:pStyle w:val="null3"/>
              <w:ind w:firstLine="420"/>
              <w:jc w:val="left"/>
            </w:pPr>
            <w:r>
              <w:rPr>
                <w:sz w:val="21"/>
              </w:rPr>
              <w:t>4）</w:t>
            </w:r>
            <w:r>
              <w:rPr>
                <w:sz w:val="21"/>
              </w:rPr>
              <w:t>设备件更换记录，对备件更换情况进行更换备件名称说明，更换原因说明，更换时长说明，故障影响说明等。</w:t>
            </w:r>
          </w:p>
          <w:p>
            <w:pPr>
              <w:pStyle w:val="null3"/>
              <w:ind w:firstLine="420"/>
              <w:jc w:val="left"/>
            </w:pPr>
            <w:r>
              <w:rPr>
                <w:sz w:val="21"/>
              </w:rPr>
              <w:t>5）</w:t>
            </w:r>
            <w:r>
              <w:rPr>
                <w:sz w:val="21"/>
              </w:rPr>
              <w:t>生成维护记录单，对设备进行了软件升级或补丁安装等操作，需要将升级内容，操作步骤，解决问题进行说明。</w:t>
            </w:r>
          </w:p>
          <w:p>
            <w:pPr>
              <w:pStyle w:val="null3"/>
              <w:ind w:firstLine="420"/>
              <w:jc w:val="left"/>
            </w:pPr>
            <w:r>
              <w:rPr>
                <w:sz w:val="21"/>
              </w:rPr>
              <w:t>6）</w:t>
            </w:r>
            <w:r>
              <w:rPr>
                <w:sz w:val="21"/>
              </w:rPr>
              <w:t>维保作业计划，分析维保计划执行情况，对计划未执行项或未按时执行项进行原因分析，分析隐含问题。当出现服务质量问题及不符合合同约定的情况，则需提出分析报告和整改措施。</w:t>
            </w:r>
          </w:p>
          <w:p>
            <w:pPr>
              <w:pStyle w:val="null3"/>
              <w:ind w:firstLine="420"/>
              <w:jc w:val="left"/>
            </w:pPr>
            <w:r>
              <w:rPr>
                <w:sz w:val="21"/>
              </w:rPr>
              <w:t>7）</w:t>
            </w:r>
            <w:r>
              <w:rPr>
                <w:sz w:val="21"/>
              </w:rPr>
              <w:t>问题跟踪列表，对发现的设备隐患或未曾遇见的问题，及时分析总结，描述问题影响，给出整改意见等。</w:t>
            </w:r>
          </w:p>
          <w:p>
            <w:pPr>
              <w:pStyle w:val="null3"/>
              <w:jc w:val="left"/>
            </w:pPr>
            <w:r>
              <w:rPr>
                <w:sz w:val="21"/>
                <w:b/>
              </w:rPr>
              <w:t>5.3.2.4 故障响应</w:t>
            </w:r>
          </w:p>
          <w:tbl>
            <w:tblPr>
              <w:tblBorders>
                <w:top w:val="none" w:color="000000" w:sz="4"/>
                <w:left w:val="none" w:color="000000" w:sz="4"/>
                <w:bottom w:val="none" w:color="000000" w:sz="4"/>
                <w:right w:val="none" w:color="000000" w:sz="4"/>
                <w:insideH w:val="none"/>
                <w:insideV w:val="none"/>
              </w:tblBorders>
            </w:tblPr>
            <w:tblGrid>
              <w:gridCol w:w="730"/>
              <w:gridCol w:w="3424"/>
              <w:gridCol w:w="720"/>
              <w:gridCol w:w="721"/>
            </w:tblGrid>
            <w:tr>
              <w:tc>
                <w:tcPr>
                  <w:tcW w:type="dxa" w:w="7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故障级别</w:t>
                  </w:r>
                </w:p>
              </w:tc>
              <w:tc>
                <w:tcPr>
                  <w:tcW w:type="dxa" w:w="34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故障现象</w:t>
                  </w:r>
                </w:p>
              </w:tc>
              <w:tc>
                <w:tcPr>
                  <w:tcW w:type="dxa" w:w="7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回复时限</w:t>
                  </w:r>
                </w:p>
              </w:tc>
              <w:tc>
                <w:tcPr>
                  <w:tcW w:type="dxa" w:w="7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处理时限</w:t>
                  </w:r>
                </w:p>
              </w:tc>
            </w:tr>
            <w:tr>
              <w:tc>
                <w:tcPr>
                  <w:tcW w:type="dxa" w:w="7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rPr>
                    <w:t>1级事件</w:t>
                  </w:r>
                </w:p>
              </w:tc>
              <w:tc>
                <w:tcPr>
                  <w:tcW w:type="dxa" w:w="3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设备故障影响当前业务，属紧急重要事件（如在大型安保活动重点视频），运维单位应第一时间排查问题并汇报支队管理人员，属交通技术监控设备故障则更换备品备件，恢复正常录像；属网络线路故障则主动排查，恢复通讯；属存储平台或管理平台故障则协调资源，恢复业务。</w:t>
                  </w:r>
                </w:p>
              </w:tc>
              <w:tc>
                <w:tcPr>
                  <w:tcW w:type="dxa" w:w="7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sz w:val="21"/>
                    </w:rPr>
                    <w:t>半小时</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center"/>
                  </w:pPr>
                  <w:r>
                    <w:rPr>
                      <w:sz w:val="21"/>
                    </w:rPr>
                    <w:t>8小时</w:t>
                  </w:r>
                </w:p>
              </w:tc>
            </w:tr>
            <w:tr>
              <w:tc>
                <w:tcPr>
                  <w:tcW w:type="dxa" w:w="7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rPr>
                    <w:t>2级事件</w:t>
                  </w:r>
                </w:p>
              </w:tc>
              <w:tc>
                <w:tcPr>
                  <w:tcW w:type="dxa" w:w="3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设备故障不影响当前业务，重要非紧急事件（如市区主干道路视频），须尽快恢复。运维单位排查问题后，评估工作量并提出故障处理报价方案，汇报支队管理人员经批准后尽快恢复设备。</w:t>
                  </w:r>
                </w:p>
              </w:tc>
              <w:tc>
                <w:tcPr>
                  <w:tcW w:type="dxa" w:w="7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center"/>
                  </w:pPr>
                  <w:r>
                    <w:rPr>
                      <w:sz w:val="21"/>
                    </w:rPr>
                    <w:t>4小时</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center"/>
                  </w:pPr>
                  <w:r>
                    <w:rPr>
                      <w:sz w:val="21"/>
                    </w:rPr>
                    <w:t>24小时</w:t>
                  </w:r>
                </w:p>
              </w:tc>
            </w:tr>
            <w:tr>
              <w:tc>
                <w:tcPr>
                  <w:tcW w:type="dxa" w:w="7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rPr>
                    <w:t>3级事件</w:t>
                  </w:r>
                </w:p>
              </w:tc>
              <w:tc>
                <w:tcPr>
                  <w:tcW w:type="dxa" w:w="3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设备故障非重要监控（如郊区和分支道路视频），运维单位排查问题后，评估工作量并提出故障处理报价方案，汇报支队管理人员经批准后进行修复、调优、重置。</w:t>
                  </w:r>
                </w:p>
              </w:tc>
              <w:tc>
                <w:tcPr>
                  <w:tcW w:type="dxa" w:w="7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center"/>
                  </w:pPr>
                  <w:r>
                    <w:rPr>
                      <w:sz w:val="21"/>
                    </w:rPr>
                    <w:t>8小时</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center"/>
                  </w:pPr>
                  <w:r>
                    <w:rPr>
                      <w:sz w:val="21"/>
                    </w:rPr>
                    <w:t>3天</w:t>
                  </w:r>
                </w:p>
              </w:tc>
            </w:tr>
            <w:tr>
              <w:tc>
                <w:tcPr>
                  <w:tcW w:type="dxa" w:w="7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sz w:val="21"/>
                    </w:rPr>
                    <w:t>4级事件</w:t>
                  </w:r>
                </w:p>
                <w:p>
                  <w:pPr>
                    <w:pStyle w:val="null3"/>
                    <w:ind w:left="105" w:right="90"/>
                    <w:jc w:val="center"/>
                  </w:pPr>
                  <w:r>
                    <w:rPr>
                      <w:sz w:val="21"/>
                    </w:rPr>
                    <w:t>(咨询协助类问题)</w:t>
                  </w:r>
                </w:p>
              </w:tc>
              <w:tc>
                <w:tcPr>
                  <w:tcW w:type="dxa" w:w="34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设备正常运行过程中的咨询类问题，或用户对功能、配置等方面的信息需要了解，对设备关联的系统网络需要额外技术人员配合。运维单位应提供协助服务。</w:t>
                  </w:r>
                </w:p>
              </w:tc>
              <w:tc>
                <w:tcPr>
                  <w:tcW w:type="dxa" w:w="7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center"/>
                  </w:pPr>
                  <w:r>
                    <w:rPr>
                      <w:sz w:val="21"/>
                    </w:rPr>
                    <w:t>12小时</w:t>
                  </w:r>
                </w:p>
              </w:tc>
              <w:tc>
                <w:tcPr>
                  <w:tcW w:type="dxa" w:w="7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jc w:val="center"/>
                  </w:pPr>
                  <w:r>
                    <w:rPr>
                      <w:sz w:val="21"/>
                    </w:rPr>
                    <w:t>5天</w:t>
                  </w:r>
                </w:p>
              </w:tc>
            </w:tr>
          </w:tbl>
          <w:p>
            <w:pPr>
              <w:pStyle w:val="null3"/>
              <w:jc w:val="left"/>
            </w:pPr>
            <w:r>
              <w:rPr>
                <w:sz w:val="21"/>
                <w:b/>
              </w:rPr>
              <w:t>5.3.3 服务考核标准</w:t>
            </w:r>
          </w:p>
          <w:p>
            <w:pPr>
              <w:pStyle w:val="null3"/>
              <w:ind w:firstLine="420"/>
              <w:jc w:val="left"/>
            </w:pPr>
            <w:r>
              <w:rPr>
                <w:sz w:val="21"/>
              </w:rPr>
              <w:t>服务考核采取每月评分制考核</w:t>
            </w:r>
            <w:r>
              <w:rPr>
                <w:sz w:val="21"/>
              </w:rPr>
              <w:t>，</w:t>
            </w:r>
            <w:r>
              <w:rPr>
                <w:sz w:val="21"/>
              </w:rPr>
              <w:t>月度考核总分</w:t>
            </w:r>
            <w:r>
              <w:rPr>
                <w:sz w:val="21"/>
              </w:rPr>
              <w:t>100分，月度考核不小于90分的，不扣费用；月度考核</w:t>
            </w:r>
            <w:r>
              <w:rPr>
                <w:sz w:val="21"/>
              </w:rPr>
              <w:t>80-89</w:t>
            </w:r>
            <w:r>
              <w:rPr>
                <w:sz w:val="21"/>
              </w:rPr>
              <w:t>分，扣除</w:t>
            </w:r>
            <w:r>
              <w:rPr>
                <w:sz w:val="21"/>
              </w:rPr>
              <w:t>当月结算费用的</w:t>
            </w:r>
            <w:r>
              <w:rPr>
                <w:sz w:val="21"/>
              </w:rPr>
              <w:t>5</w:t>
            </w:r>
            <w:r>
              <w:rPr>
                <w:sz w:val="21"/>
              </w:rPr>
              <w:t>%</w:t>
            </w:r>
            <w:r>
              <w:rPr>
                <w:sz w:val="21"/>
              </w:rPr>
              <w:t>；</w:t>
            </w:r>
            <w:r>
              <w:rPr>
                <w:sz w:val="21"/>
              </w:rPr>
              <w:t>月度考核</w:t>
            </w:r>
            <w:r>
              <w:rPr>
                <w:sz w:val="21"/>
              </w:rPr>
              <w:t>70-79</w:t>
            </w:r>
            <w:r>
              <w:rPr>
                <w:sz w:val="21"/>
              </w:rPr>
              <w:t>分，扣除</w:t>
            </w:r>
            <w:r>
              <w:rPr>
                <w:sz w:val="21"/>
              </w:rPr>
              <w:t>当月结算费用的</w:t>
            </w:r>
            <w:r>
              <w:rPr>
                <w:sz w:val="21"/>
              </w:rPr>
              <w:t>10</w:t>
            </w:r>
            <w:r>
              <w:rPr>
                <w:sz w:val="21"/>
              </w:rPr>
              <w:t>%</w:t>
            </w:r>
            <w:r>
              <w:rPr>
                <w:sz w:val="21"/>
              </w:rPr>
              <w:t>；</w:t>
            </w:r>
            <w:r>
              <w:rPr>
                <w:sz w:val="21"/>
              </w:rPr>
              <w:t>低于</w:t>
            </w:r>
            <w:r>
              <w:rPr>
                <w:sz w:val="21"/>
              </w:rPr>
              <w:t>70</w:t>
            </w:r>
            <w:r>
              <w:rPr>
                <w:sz w:val="21"/>
              </w:rPr>
              <w:t>分</w:t>
            </w:r>
            <w:r>
              <w:rPr>
                <w:sz w:val="21"/>
              </w:rPr>
              <w:t>，扣除当月全部结算费用并给于严重警告，严重警告两次交警支队</w:t>
            </w:r>
            <w:r>
              <w:rPr>
                <w:sz w:val="21"/>
              </w:rPr>
              <w:t>可直接终止合同</w:t>
            </w:r>
            <w:r>
              <w:rPr>
                <w:sz w:val="21"/>
              </w:rPr>
              <w:t>并禁止参与下一个运维周期投标</w:t>
            </w:r>
            <w:r>
              <w:rPr>
                <w:sz w:val="21"/>
              </w:rPr>
              <w:t>。</w:t>
            </w:r>
          </w:p>
          <w:tbl>
            <w:tblPr>
              <w:tblBorders>
                <w:top w:val="none" w:color="000000" w:sz="4"/>
                <w:left w:val="none" w:color="000000" w:sz="4"/>
                <w:bottom w:val="none" w:color="000000" w:sz="4"/>
                <w:right w:val="none" w:color="000000" w:sz="4"/>
                <w:insideH w:val="none"/>
                <w:insideV w:val="none"/>
              </w:tblBorders>
            </w:tblPr>
            <w:tblGrid>
              <w:gridCol w:w="610"/>
              <w:gridCol w:w="770"/>
              <w:gridCol w:w="4216"/>
            </w:tblGrid>
            <w:tr>
              <w:tc>
                <w:tcPr>
                  <w:tcW w:type="dxa" w:w="6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类别</w:t>
                  </w:r>
                </w:p>
              </w:tc>
              <w:tc>
                <w:tcPr>
                  <w:tcW w:type="dxa" w:w="7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名称</w:t>
                  </w:r>
                </w:p>
              </w:tc>
              <w:tc>
                <w:tcPr>
                  <w:tcW w:type="dxa" w:w="42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详细内容</w:t>
                  </w:r>
                </w:p>
              </w:tc>
            </w:tr>
            <w:tr>
              <w:tc>
                <w:tcPr>
                  <w:tcW w:type="dxa" w:w="6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响应式服务</w:t>
                  </w:r>
                </w:p>
              </w:tc>
              <w:tc>
                <w:tcPr>
                  <w:tcW w:type="dxa" w:w="77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故障响应时间</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三级故障：</w:t>
                  </w:r>
                  <w:r>
                    <w:rPr>
                      <w:sz w:val="21"/>
                    </w:rPr>
                    <w:t>8</w:t>
                  </w:r>
                  <w:r>
                    <w:rPr>
                      <w:sz w:val="21"/>
                    </w:rPr>
                    <w:t>小时以内未响应，一次扣</w:t>
                  </w:r>
                  <w:r>
                    <w:rPr>
                      <w:sz w:val="21"/>
                    </w:rPr>
                    <w:t>2分</w:t>
                  </w:r>
                </w:p>
              </w:tc>
            </w:tr>
            <w:tr>
              <w:tc>
                <w:tcPr>
                  <w:tcW w:type="dxa" w:w="610"/>
                  <w:vMerge/>
                  <w:tcBorders>
                    <w:top w:val="none" w:color="000000" w:sz="4"/>
                    <w:left w:val="single" w:color="000000" w:sz="4"/>
                    <w:bottom w:val="single" w:color="000000" w:sz="4"/>
                    <w:right w:val="single" w:color="000000" w:sz="4"/>
                  </w:tcBorders>
                </w:tcPr>
                <w:p/>
              </w:tc>
              <w:tc>
                <w:tcPr>
                  <w:tcW w:type="dxa" w:w="770"/>
                  <w:vMerge/>
                  <w:tcBorders>
                    <w:top w:val="none" w:color="000000" w:sz="4"/>
                    <w:left w:val="none" w:color="000000" w:sz="4"/>
                    <w:bottom w:val="single" w:color="000000" w:sz="4"/>
                    <w:right w:val="single" w:color="000000" w:sz="4"/>
                  </w:tcBorders>
                </w:tcP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二级故障：</w:t>
                  </w:r>
                  <w:r>
                    <w:rPr>
                      <w:sz w:val="21"/>
                    </w:rPr>
                    <w:t>4</w:t>
                  </w:r>
                  <w:r>
                    <w:rPr>
                      <w:sz w:val="21"/>
                    </w:rPr>
                    <w:t>小时以内未响应，一次扣</w:t>
                  </w:r>
                  <w:r>
                    <w:rPr>
                      <w:sz w:val="21"/>
                    </w:rPr>
                    <w:t>5分</w:t>
                  </w:r>
                </w:p>
              </w:tc>
            </w:tr>
            <w:tr>
              <w:tc>
                <w:tcPr>
                  <w:tcW w:type="dxa" w:w="610"/>
                  <w:vMerge/>
                  <w:tcBorders>
                    <w:top w:val="none" w:color="000000" w:sz="4"/>
                    <w:left w:val="single" w:color="000000" w:sz="4"/>
                    <w:bottom w:val="single" w:color="000000" w:sz="4"/>
                    <w:right w:val="single" w:color="000000" w:sz="4"/>
                  </w:tcBorders>
                </w:tcPr>
                <w:p/>
              </w:tc>
              <w:tc>
                <w:tcPr>
                  <w:tcW w:type="dxa" w:w="770"/>
                  <w:vMerge/>
                  <w:tcBorders>
                    <w:top w:val="none" w:color="000000" w:sz="4"/>
                    <w:left w:val="none" w:color="000000" w:sz="4"/>
                    <w:bottom w:val="single" w:color="000000" w:sz="4"/>
                    <w:right w:val="single" w:color="000000" w:sz="4"/>
                  </w:tcBorders>
                </w:tcP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一级故障：</w:t>
                  </w:r>
                  <w:r>
                    <w:rPr>
                      <w:sz w:val="21"/>
                    </w:rPr>
                    <w:t>2</w:t>
                  </w:r>
                  <w:r>
                    <w:rPr>
                      <w:sz w:val="21"/>
                    </w:rPr>
                    <w:t>小时以内未响应，一次扣</w:t>
                  </w:r>
                  <w:r>
                    <w:rPr>
                      <w:sz w:val="21"/>
                    </w:rPr>
                    <w:t>10分</w:t>
                  </w:r>
                </w:p>
              </w:tc>
            </w:tr>
            <w:tr>
              <w:tc>
                <w:tcPr>
                  <w:tcW w:type="dxa" w:w="610"/>
                  <w:vMerge/>
                  <w:tcBorders>
                    <w:top w:val="none" w:color="000000" w:sz="4"/>
                    <w:left w:val="single" w:color="000000" w:sz="4"/>
                    <w:bottom w:val="single" w:color="000000" w:sz="4"/>
                    <w:right w:val="single" w:color="000000" w:sz="4"/>
                  </w:tcBorders>
                </w:tcPr>
                <w:p/>
              </w:tc>
              <w:tc>
                <w:tcPr>
                  <w:tcW w:type="dxa" w:w="77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正常报障维护</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三级故障：</w:t>
                  </w:r>
                  <w:r>
                    <w:rPr>
                      <w:sz w:val="21"/>
                    </w:rPr>
                    <w:t>8</w:t>
                  </w:r>
                  <w:r>
                    <w:rPr>
                      <w:sz w:val="21"/>
                    </w:rPr>
                    <w:t>小时内发出临时解决方案。超过时间一次扣</w:t>
                  </w:r>
                  <w:r>
                    <w:rPr>
                      <w:sz w:val="21"/>
                    </w:rPr>
                    <w:t>1分，之后按1分/小时累加</w:t>
                  </w:r>
                </w:p>
              </w:tc>
            </w:tr>
            <w:tr>
              <w:tc>
                <w:tcPr>
                  <w:tcW w:type="dxa" w:w="610"/>
                  <w:vMerge/>
                  <w:tcBorders>
                    <w:top w:val="none" w:color="000000" w:sz="4"/>
                    <w:left w:val="single" w:color="000000" w:sz="4"/>
                    <w:bottom w:val="single" w:color="000000" w:sz="4"/>
                    <w:right w:val="single" w:color="000000" w:sz="4"/>
                  </w:tcBorders>
                </w:tcPr>
                <w:p/>
              </w:tc>
              <w:tc>
                <w:tcPr>
                  <w:tcW w:type="dxa" w:w="770"/>
                  <w:vMerge/>
                  <w:tcBorders>
                    <w:top w:val="none" w:color="000000" w:sz="4"/>
                    <w:left w:val="none" w:color="000000" w:sz="4"/>
                    <w:bottom w:val="single" w:color="000000" w:sz="4"/>
                    <w:right w:val="single" w:color="000000" w:sz="4"/>
                  </w:tcBorders>
                </w:tcP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二级故障：</w:t>
                  </w:r>
                  <w:r>
                    <w:rPr>
                      <w:sz w:val="21"/>
                    </w:rPr>
                    <w:t>4</w:t>
                  </w:r>
                  <w:r>
                    <w:rPr>
                      <w:sz w:val="21"/>
                    </w:rPr>
                    <w:t>小时内发出临时解决方案。超过时间一次扣</w:t>
                  </w:r>
                  <w:r>
                    <w:rPr>
                      <w:sz w:val="21"/>
                    </w:rPr>
                    <w:t>2分，之后按1分/小时累加</w:t>
                  </w:r>
                </w:p>
              </w:tc>
            </w:tr>
            <w:tr>
              <w:tc>
                <w:tcPr>
                  <w:tcW w:type="dxa" w:w="610"/>
                  <w:vMerge/>
                  <w:tcBorders>
                    <w:top w:val="none" w:color="000000" w:sz="4"/>
                    <w:left w:val="single" w:color="000000" w:sz="4"/>
                    <w:bottom w:val="single" w:color="000000" w:sz="4"/>
                    <w:right w:val="single" w:color="000000" w:sz="4"/>
                  </w:tcBorders>
                </w:tcPr>
                <w:p/>
              </w:tc>
              <w:tc>
                <w:tcPr>
                  <w:tcW w:type="dxa" w:w="770"/>
                  <w:vMerge/>
                  <w:tcBorders>
                    <w:top w:val="none" w:color="000000" w:sz="4"/>
                    <w:left w:val="none" w:color="000000" w:sz="4"/>
                    <w:bottom w:val="single" w:color="000000" w:sz="4"/>
                    <w:right w:val="single" w:color="000000" w:sz="4"/>
                  </w:tcBorders>
                </w:tcP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一级故障：</w:t>
                  </w:r>
                  <w:r>
                    <w:rPr>
                      <w:sz w:val="21"/>
                    </w:rPr>
                    <w:t>2</w:t>
                  </w:r>
                  <w:r>
                    <w:rPr>
                      <w:sz w:val="21"/>
                    </w:rPr>
                    <w:t>小时内发出临时解决方案。超过时间一次扣</w:t>
                  </w:r>
                  <w:r>
                    <w:rPr>
                      <w:sz w:val="21"/>
                    </w:rPr>
                    <w:t>3分，之后按1分/小时累加</w:t>
                  </w:r>
                </w:p>
              </w:tc>
            </w:tr>
            <w:tr>
              <w:tc>
                <w:tcPr>
                  <w:tcW w:type="dxa" w:w="610"/>
                  <w:vMerge/>
                  <w:tcBorders>
                    <w:top w:val="none" w:color="000000" w:sz="4"/>
                    <w:left w:val="single" w:color="000000" w:sz="4"/>
                    <w:bottom w:val="single" w:color="000000" w:sz="4"/>
                    <w:right w:val="single" w:color="000000" w:sz="4"/>
                  </w:tcBorders>
                </w:tcPr>
                <w:p/>
              </w:tc>
              <w:tc>
                <w:tcPr>
                  <w:tcW w:type="dxa" w:w="770"/>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ind w:firstLine="420"/>
                    <w:jc w:val="center"/>
                  </w:pPr>
                  <w:r>
                    <w:rPr>
                      <w:sz w:val="21"/>
                    </w:rPr>
                    <w:t>修复时间</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三级故障：</w:t>
                  </w:r>
                  <w:r>
                    <w:rPr>
                      <w:sz w:val="21"/>
                    </w:rPr>
                    <w:t>交警支队</w:t>
                  </w:r>
                  <w:r>
                    <w:rPr>
                      <w:sz w:val="21"/>
                    </w:rPr>
                    <w:t>同意维修方案后起</w:t>
                  </w:r>
                  <w:r>
                    <w:rPr>
                      <w:sz w:val="21"/>
                    </w:rPr>
                    <w:t>3天</w:t>
                  </w:r>
                  <w:r>
                    <w:rPr>
                      <w:sz w:val="21"/>
                    </w:rPr>
                    <w:t>内修复，超过时间一次扣</w:t>
                  </w:r>
                  <w:r>
                    <w:rPr>
                      <w:sz w:val="21"/>
                    </w:rPr>
                    <w:t>3分，之后按照1分/小时累加，特殊情况如需要协调其他单位的情况，可上报</w:t>
                  </w:r>
                  <w:r>
                    <w:rPr>
                      <w:sz w:val="21"/>
                    </w:rPr>
                    <w:t>交警支队</w:t>
                  </w:r>
                  <w:r>
                    <w:rPr>
                      <w:sz w:val="21"/>
                    </w:rPr>
                    <w:t>延长修复时间</w:t>
                  </w:r>
                </w:p>
              </w:tc>
            </w:tr>
            <w:tr>
              <w:tc>
                <w:tcPr>
                  <w:tcW w:type="dxa" w:w="610"/>
                  <w:vMerge/>
                  <w:tcBorders>
                    <w:top w:val="none" w:color="000000" w:sz="4"/>
                    <w:left w:val="single" w:color="000000" w:sz="4"/>
                    <w:bottom w:val="single" w:color="000000" w:sz="4"/>
                    <w:right w:val="single" w:color="000000" w:sz="4"/>
                  </w:tcBorders>
                </w:tcPr>
                <w:p/>
              </w:tc>
              <w:tc>
                <w:tcPr>
                  <w:tcW w:type="dxa" w:w="770"/>
                  <w:vMerge/>
                  <w:tcBorders>
                    <w:top w:val="none" w:color="000000" w:sz="4"/>
                    <w:left w:val="none" w:color="000000" w:sz="4"/>
                    <w:bottom w:val="none" w:color="000000" w:sz="4"/>
                    <w:right w:val="single" w:color="000000" w:sz="4"/>
                  </w:tcBorders>
                </w:tcP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二级故障：</w:t>
                  </w:r>
                  <w:r>
                    <w:rPr>
                      <w:sz w:val="21"/>
                    </w:rPr>
                    <w:t>交警支队</w:t>
                  </w:r>
                  <w:r>
                    <w:rPr>
                      <w:sz w:val="21"/>
                    </w:rPr>
                    <w:t>同意维修方案后起</w:t>
                  </w:r>
                  <w:r>
                    <w:rPr>
                      <w:sz w:val="21"/>
                    </w:rPr>
                    <w:t>24小时内修复，超过时间一次扣5分，之后按照2分/小时累加，特殊情况如需要协调其他单位的情况，可上报</w:t>
                  </w:r>
                  <w:r>
                    <w:rPr>
                      <w:sz w:val="21"/>
                    </w:rPr>
                    <w:t>交警支队</w:t>
                  </w:r>
                  <w:r>
                    <w:rPr>
                      <w:sz w:val="21"/>
                    </w:rPr>
                    <w:t>延长修复时间</w:t>
                  </w:r>
                </w:p>
              </w:tc>
            </w:tr>
            <w:tr>
              <w:tc>
                <w:tcPr>
                  <w:tcW w:type="dxa" w:w="610"/>
                  <w:vMerge/>
                  <w:tcBorders>
                    <w:top w:val="none" w:color="000000" w:sz="4"/>
                    <w:left w:val="single" w:color="000000" w:sz="4"/>
                    <w:bottom w:val="single" w:color="000000" w:sz="4"/>
                    <w:right w:val="single" w:color="000000" w:sz="4"/>
                  </w:tcBorders>
                </w:tcPr>
                <w:p/>
              </w:tc>
              <w:tc>
                <w:tcPr>
                  <w:tcW w:type="dxa" w:w="770"/>
                  <w:vMerge/>
                  <w:tcBorders>
                    <w:top w:val="none" w:color="000000" w:sz="4"/>
                    <w:left w:val="none" w:color="000000" w:sz="4"/>
                    <w:bottom w:val="none" w:color="000000" w:sz="4"/>
                    <w:right w:val="single" w:color="000000" w:sz="4"/>
                  </w:tcBorders>
                </w:tcP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一级故障：</w:t>
                  </w:r>
                  <w:r>
                    <w:rPr>
                      <w:sz w:val="21"/>
                    </w:rPr>
                    <w:t>交警支队</w:t>
                  </w:r>
                  <w:r>
                    <w:rPr>
                      <w:sz w:val="21"/>
                    </w:rPr>
                    <w:t>同意维修方案后起起</w:t>
                  </w:r>
                  <w:r>
                    <w:rPr>
                      <w:sz w:val="21"/>
                    </w:rPr>
                    <w:t>8</w:t>
                  </w:r>
                  <w:r>
                    <w:rPr>
                      <w:sz w:val="21"/>
                    </w:rPr>
                    <w:t>小时内修复，超过时间一次扣</w:t>
                  </w:r>
                  <w:r>
                    <w:rPr>
                      <w:sz w:val="21"/>
                    </w:rPr>
                    <w:t>10分，之后按照3分/小时累加，特殊情况如需要协调其他单位的情况，可上报</w:t>
                  </w:r>
                  <w:r>
                    <w:rPr>
                      <w:sz w:val="21"/>
                    </w:rPr>
                    <w:t>交警支队</w:t>
                  </w:r>
                  <w:r>
                    <w:rPr>
                      <w:sz w:val="21"/>
                    </w:rPr>
                    <w:t>延长修复时间</w:t>
                  </w:r>
                </w:p>
              </w:tc>
            </w:tr>
            <w:tr>
              <w:tc>
                <w:tcPr>
                  <w:tcW w:type="dxa" w:w="610"/>
                  <w:vMerge/>
                  <w:tcBorders>
                    <w:top w:val="non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公安机关重点考核的卡口</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运维单位</w:t>
                  </w:r>
                  <w:r>
                    <w:rPr>
                      <w:sz w:val="21"/>
                    </w:rPr>
                    <w:t>必须与</w:t>
                  </w:r>
                  <w:r>
                    <w:rPr>
                      <w:sz w:val="21"/>
                    </w:rPr>
                    <w:t>交警支队</w:t>
                  </w:r>
                  <w:r>
                    <w:rPr>
                      <w:sz w:val="21"/>
                    </w:rPr>
                    <w:t>确认上级公安机关重点考核的卡口，重点考核的卡口须达到上级公安机关具体考核指标要求。不达标的，每次扣</w:t>
                  </w:r>
                  <w:r>
                    <w:rPr>
                      <w:sz w:val="21"/>
                    </w:rPr>
                    <w:t>2分。</w:t>
                  </w:r>
                </w:p>
              </w:tc>
            </w:tr>
            <w:tr>
              <w:tc>
                <w:tcPr>
                  <w:tcW w:type="dxa" w:w="610"/>
                  <w:vMerge/>
                  <w:tcBorders>
                    <w:top w:val="non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备件备品提供</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未在规定时限提供替代硬件的，每次扣除</w:t>
                  </w:r>
                  <w:r>
                    <w:rPr>
                      <w:sz w:val="21"/>
                    </w:rPr>
                    <w:t>2分，之后按1分/小时累加；使用假冒伪劣品的，每次扣1分，并追加由此产生后果的责任。（应用系统除外）</w:t>
                  </w:r>
                </w:p>
              </w:tc>
            </w:tr>
            <w:tr>
              <w:tc>
                <w:tcPr>
                  <w:tcW w:type="dxa" w:w="6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主动支持服务考核</w:t>
                  </w: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日常考核</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依方案内容，需对维保范围内设备，每</w:t>
                  </w:r>
                  <w:r>
                    <w:rPr>
                      <w:sz w:val="21"/>
                    </w:rPr>
                    <w:t>月</w:t>
                  </w:r>
                  <w:r>
                    <w:rPr>
                      <w:sz w:val="21"/>
                    </w:rPr>
                    <w:t>提供一次巡检情况报告（或包含在阶段性服务总结内），如未进行巡检或者提供虚假报告，每次扣除</w:t>
                  </w:r>
                  <w:r>
                    <w:rPr>
                      <w:sz w:val="21"/>
                    </w:rPr>
                    <w:t>1分；经督促未及时整改或整改不力的每次扣3分。</w:t>
                  </w:r>
                </w:p>
              </w:tc>
            </w:tr>
            <w:tr>
              <w:tc>
                <w:tcPr>
                  <w:tcW w:type="dxa" w:w="610"/>
                  <w:vMerge/>
                  <w:tcBorders>
                    <w:top w:val="non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版本升级服务考核</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按方案内容，施工方需协调厂家提供系统版本管理及软，硬件补丁服务。造成软、硬件存在故障隐患的，每次扣除</w:t>
                  </w:r>
                  <w:r>
                    <w:rPr>
                      <w:sz w:val="21"/>
                    </w:rPr>
                    <w:t>1分。</w:t>
                  </w:r>
                </w:p>
              </w:tc>
            </w:tr>
            <w:tr>
              <w:tc>
                <w:tcPr>
                  <w:tcW w:type="dxa" w:w="610"/>
                  <w:vMerge/>
                  <w:tcBorders>
                    <w:top w:val="non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设备在线率保障</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项目启动后，按照项目设备清单划分设备使用情况，对应为在用、故障、长期故障等，</w:t>
                  </w:r>
                  <w:r>
                    <w:rPr>
                      <w:sz w:val="21"/>
                    </w:rPr>
                    <w:t>交警支队</w:t>
                  </w:r>
                  <w:r>
                    <w:rPr>
                      <w:sz w:val="21"/>
                    </w:rPr>
                    <w:t>提出不需要维修的设备划入长期故障，对正常在用设备的在线率保障不低于</w:t>
                  </w:r>
                  <w:r>
                    <w:rPr>
                      <w:sz w:val="21"/>
                    </w:rPr>
                    <w:t>9</w:t>
                  </w:r>
                  <w:r>
                    <w:rPr>
                      <w:sz w:val="21"/>
                    </w:rPr>
                    <w:t>5</w:t>
                  </w:r>
                  <w:r>
                    <w:rPr>
                      <w:sz w:val="21"/>
                    </w:rPr>
                    <w:t>%，每月报表低于要求5%以内扣1分、低于要求5%-10%以内扣2分、低于要求10%-20%扣4分、低于要求超过20%以上需与</w:t>
                  </w:r>
                  <w:r>
                    <w:rPr>
                      <w:sz w:val="21"/>
                    </w:rPr>
                    <w:t>交警支队</w:t>
                  </w:r>
                  <w:r>
                    <w:rPr>
                      <w:sz w:val="21"/>
                    </w:rPr>
                    <w:t>协商提出解决方案，整改不力的</w:t>
                  </w:r>
                  <w:r>
                    <w:rPr>
                      <w:sz w:val="21"/>
                    </w:rPr>
                    <w:t>交警支队</w:t>
                  </w:r>
                  <w:r>
                    <w:rPr>
                      <w:sz w:val="21"/>
                    </w:rPr>
                    <w:t>可提出终止项目。</w:t>
                  </w:r>
                  <w:r>
                    <w:rPr>
                      <w:sz w:val="21"/>
                    </w:rPr>
                    <w:t>非运维方责任可免除扣分。</w:t>
                  </w:r>
                </w:p>
              </w:tc>
            </w:tr>
            <w:tr>
              <w:tc>
                <w:tcPr>
                  <w:tcW w:type="dxa" w:w="610"/>
                  <w:vMerge/>
                  <w:tcBorders>
                    <w:top w:val="non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勤务期保障服务考核</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包括气象灾害预警、重大节假日、国家重大活动、政治活动、公安等级勤务期间、重大安保活动等勤务期要求技术支持工程师到现场完成保障服务，未按照现场要求服务的，每次扣除</w:t>
                  </w:r>
                  <w:r>
                    <w:rPr>
                      <w:sz w:val="21"/>
                    </w:rPr>
                    <w:t>2分，经督促未及时整改或整改不力的每次扣3分。</w:t>
                  </w:r>
                </w:p>
              </w:tc>
            </w:tr>
            <w:tr>
              <w:tc>
                <w:tcPr>
                  <w:tcW w:type="dxa" w:w="610"/>
                  <w:vMerge/>
                  <w:tcBorders>
                    <w:top w:val="non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阶段性维护服务总结</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按方案，每</w:t>
                  </w:r>
                  <w:r>
                    <w:rPr>
                      <w:sz w:val="21"/>
                    </w:rPr>
                    <w:t>季</w:t>
                  </w:r>
                  <w:r>
                    <w:rPr>
                      <w:sz w:val="21"/>
                    </w:rPr>
                    <w:t>结束后</w:t>
                  </w:r>
                  <w:r>
                    <w:rPr>
                      <w:sz w:val="21"/>
                    </w:rPr>
                    <w:t>1</w:t>
                  </w:r>
                  <w:r>
                    <w:rPr>
                      <w:sz w:val="21"/>
                    </w:rPr>
                    <w:t>5日，需要提供阶段性服务总结，如未在5日内完成或提供虚假报告的，每次扣1分；经督促未及时整改或整改不力的每次扣3分。</w:t>
                  </w:r>
                </w:p>
              </w:tc>
            </w:tr>
            <w:tr>
              <w:tc>
                <w:tcPr>
                  <w:tcW w:type="dxa" w:w="610"/>
                  <w:vMerge/>
                  <w:tcBorders>
                    <w:top w:val="none" w:color="000000" w:sz="4"/>
                    <w:left w:val="single" w:color="000000" w:sz="4"/>
                    <w:bottom w:val="single" w:color="000000" w:sz="4"/>
                    <w:right w:val="single" w:color="000000" w:sz="4"/>
                  </w:tcBorders>
                </w:tcPr>
                <w:p/>
              </w:tc>
              <w:tc>
                <w:tcPr>
                  <w:tcW w:type="dxa" w:w="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文档管理服务及培训</w:t>
                  </w:r>
                  <w:r>
                    <w:rPr>
                      <w:sz w:val="21"/>
                    </w:rPr>
                    <w:t>运维单位</w:t>
                  </w:r>
                  <w:r>
                    <w:rPr>
                      <w:sz w:val="21"/>
                    </w:rPr>
                    <w:t>面考核</w:t>
                  </w:r>
                </w:p>
              </w:tc>
              <w:tc>
                <w:tcPr>
                  <w:tcW w:type="dxa" w:w="42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文档服务依方案，在项目启动后，需要建立服务档案，技术文档管理，提供服务记录查询服务，如造成文档明显缺失、报告虚假，发现一次扣除</w:t>
                  </w:r>
                  <w:r>
                    <w:rPr>
                      <w:sz w:val="21"/>
                    </w:rPr>
                    <w:t>1分；经督促未及时整改或整改不力的每次扣3分。</w:t>
                  </w:r>
                </w:p>
              </w:tc>
            </w:tr>
          </w:tbl>
          <w:p>
            <w:pPr>
              <w:pStyle w:val="null3"/>
              <w:jc w:val="left"/>
            </w:pPr>
            <w:r>
              <w:rPr>
                <w:sz w:val="21"/>
                <w:b/>
              </w:rPr>
              <w:t>5.3.4 运维服务成果</w:t>
            </w:r>
          </w:p>
          <w:p>
            <w:pPr>
              <w:pStyle w:val="null3"/>
              <w:ind w:firstLine="420"/>
              <w:jc w:val="both"/>
            </w:pPr>
            <w:r>
              <w:rPr>
                <w:sz w:val="21"/>
              </w:rPr>
              <w:t>1）运维方提供整体运维工作方案，对运维工作进行总体安排，包括工作内容，人员配置和管理流程等。</w:t>
            </w:r>
          </w:p>
          <w:p>
            <w:pPr>
              <w:pStyle w:val="null3"/>
              <w:ind w:firstLine="420"/>
              <w:jc w:val="both"/>
            </w:pPr>
            <w:r>
              <w:rPr>
                <w:sz w:val="21"/>
              </w:rPr>
              <w:t>2）系统及设备巡检，定期提供运维报告和故障分析报告。其中月报应包含以下内容：运维工作日志，出现故障时，故障的详细描述及解决方案和最后处理情况。年度应体现全服务期内的总体工作总结，包括运维服务情况总结和改进建议，运维周期内的人员管理架构和服务体系，运维工作的不足及改进方法等，形成相关绩效报告。</w:t>
            </w:r>
          </w:p>
          <w:p>
            <w:pPr>
              <w:pStyle w:val="null3"/>
              <w:ind w:firstLine="420"/>
              <w:jc w:val="both"/>
            </w:pPr>
            <w:r>
              <w:rPr>
                <w:sz w:val="21"/>
              </w:rPr>
              <w:t>3）对日常维护工作进行录入整理，规范日常维护流程。</w:t>
            </w:r>
          </w:p>
          <w:p>
            <w:pPr>
              <w:pStyle w:val="null3"/>
              <w:ind w:firstLine="420"/>
              <w:jc w:val="both"/>
            </w:pPr>
            <w:r>
              <w:rPr>
                <w:sz w:val="21"/>
              </w:rPr>
              <w:t>4）对交通技术监控设备可能发生的紧急情况和安全事件，制定应急预案。</w:t>
            </w:r>
          </w:p>
          <w:p>
            <w:pPr>
              <w:pStyle w:val="null3"/>
              <w:ind w:firstLine="420"/>
              <w:jc w:val="both"/>
            </w:pPr>
            <w:r>
              <w:rPr>
                <w:sz w:val="21"/>
              </w:rPr>
              <w:t>5）建立常见故障处理知识库。</w:t>
            </w:r>
          </w:p>
          <w:p>
            <w:pPr>
              <w:pStyle w:val="null3"/>
              <w:ind w:firstLine="420"/>
              <w:jc w:val="both"/>
            </w:pPr>
            <w:r>
              <w:rPr>
                <w:sz w:val="21"/>
              </w:rPr>
              <w:t>6）公安勤务保障期内提供技术支持。</w:t>
            </w:r>
          </w:p>
          <w:p>
            <w:pPr>
              <w:pStyle w:val="null3"/>
              <w:jc w:val="left"/>
            </w:pPr>
            <w:r>
              <w:rPr>
                <w:sz w:val="21"/>
                <w:b/>
              </w:rPr>
              <w:t>5.3.5 安全措施及文明作业</w:t>
            </w:r>
          </w:p>
          <w:p>
            <w:pPr>
              <w:pStyle w:val="null3"/>
              <w:ind w:firstLine="420"/>
              <w:jc w:val="left"/>
            </w:pPr>
            <w:r>
              <w:rPr>
                <w:sz w:val="21"/>
              </w:rPr>
              <w:t>运维单位</w:t>
            </w:r>
            <w:r>
              <w:rPr>
                <w:sz w:val="21"/>
              </w:rPr>
              <w:t>的项目负责人应建立健全安全生产组织，监督项目实施中安全生产，承担全部安全生产责任。在严格遵守《中华人民共和国安全生产法》的同时，具体做到以下几点：</w:t>
            </w:r>
          </w:p>
          <w:p>
            <w:pPr>
              <w:pStyle w:val="null3"/>
              <w:ind w:firstLine="420"/>
              <w:jc w:val="left"/>
            </w:pPr>
            <w:r>
              <w:rPr>
                <w:sz w:val="21"/>
              </w:rPr>
              <w:t>1）工作现场的设备及材料堆放均应有明显的警示标志，所有工作人员须着反光衣，并在施工现场设置指示牌，交通锥等警示标志。工作完毕后，应及时将施工现场清理干净。</w:t>
            </w:r>
            <w:r>
              <w:rPr>
                <w:sz w:val="21"/>
              </w:rPr>
              <w:t>必须对原有的成品进行有效的保护，因</w:t>
            </w:r>
            <w:r>
              <w:rPr>
                <w:sz w:val="21"/>
              </w:rPr>
              <w:t>运维单位</w:t>
            </w:r>
            <w:r>
              <w:rPr>
                <w:sz w:val="21"/>
              </w:rPr>
              <w:t>造成对成品的损坏或污渍，</w:t>
            </w:r>
            <w:r>
              <w:rPr>
                <w:sz w:val="21"/>
              </w:rPr>
              <w:t>运维单位</w:t>
            </w:r>
            <w:r>
              <w:rPr>
                <w:sz w:val="21"/>
              </w:rPr>
              <w:t>必须承担责任并负责修复至原面貌。</w:t>
            </w:r>
          </w:p>
          <w:p>
            <w:pPr>
              <w:pStyle w:val="null3"/>
              <w:ind w:firstLine="420"/>
              <w:jc w:val="left"/>
            </w:pPr>
            <w:r>
              <w:rPr>
                <w:sz w:val="21"/>
              </w:rPr>
              <w:t>2）建立健全各种规章制度，主要规章制度包括：质量控制制度、施工安全制度、岗位职责、现场管理制度等。确保文明施工，施工现场管理有序。</w:t>
            </w:r>
          </w:p>
          <w:p>
            <w:pPr>
              <w:pStyle w:val="null3"/>
              <w:jc w:val="left"/>
            </w:pPr>
            <w:r>
              <w:rPr>
                <w:sz w:val="21"/>
                <w:b/>
              </w:rPr>
              <w:t>5.3.6 其他要求</w:t>
            </w:r>
          </w:p>
          <w:p>
            <w:pPr>
              <w:pStyle w:val="null3"/>
              <w:ind w:firstLine="420"/>
              <w:jc w:val="left"/>
            </w:pPr>
            <w:r>
              <w:rPr>
                <w:sz w:val="21"/>
              </w:rPr>
              <w:t>1）</w:t>
            </w:r>
            <w:r>
              <w:rPr>
                <w:sz w:val="21"/>
              </w:rPr>
              <w:t>如果在维修工作前或过程中，涉及以下单位（包括有线电视、中国移动、中国联通、中国电信、供水公司、供电局、公路局、林业局等）的布线等问题由运维单位负责与上述单位进行交涉施工。</w:t>
            </w:r>
          </w:p>
          <w:p>
            <w:pPr>
              <w:pStyle w:val="null3"/>
              <w:ind w:firstLine="420"/>
              <w:jc w:val="left"/>
            </w:pPr>
            <w:r>
              <w:rPr>
                <w:sz w:val="21"/>
              </w:rPr>
              <w:t>2）</w:t>
            </w:r>
            <w:r>
              <w:rPr>
                <w:sz w:val="21"/>
              </w:rPr>
              <w:t>运维单位</w:t>
            </w:r>
            <w:r>
              <w:rPr>
                <w:sz w:val="21"/>
              </w:rPr>
              <w:t>有义务协助</w:t>
            </w:r>
            <w:r>
              <w:rPr>
                <w:sz w:val="21"/>
              </w:rPr>
              <w:t>交警支队</w:t>
            </w:r>
            <w:r>
              <w:rPr>
                <w:sz w:val="21"/>
              </w:rPr>
              <w:t>，对其的电警项目新接入或移交路口设备进行专业全面的检测，并提供技术指导意见，确保新路口设备符合使用要求，技术指标达标，本项内容不得收取任何费用。</w:t>
            </w:r>
          </w:p>
          <w:p>
            <w:pPr>
              <w:pStyle w:val="null3"/>
              <w:ind w:firstLine="420"/>
              <w:jc w:val="left"/>
            </w:pPr>
            <w:r>
              <w:rPr>
                <w:sz w:val="21"/>
              </w:rPr>
              <w:t>3）</w:t>
            </w:r>
            <w:r>
              <w:rPr>
                <w:sz w:val="21"/>
              </w:rPr>
              <w:t>在项目实施过程中，若</w:t>
            </w:r>
            <w:r>
              <w:rPr>
                <w:sz w:val="21"/>
              </w:rPr>
              <w:t>交警支队</w:t>
            </w:r>
            <w:r>
              <w:rPr>
                <w:sz w:val="21"/>
              </w:rPr>
              <w:t>认为</w:t>
            </w:r>
            <w:r>
              <w:rPr>
                <w:sz w:val="21"/>
              </w:rPr>
              <w:t>运维单位</w:t>
            </w:r>
            <w:r>
              <w:rPr>
                <w:sz w:val="21"/>
              </w:rPr>
              <w:t>不能满足维修进度要求，</w:t>
            </w:r>
            <w:r>
              <w:rPr>
                <w:sz w:val="21"/>
              </w:rPr>
              <w:t>交警支队</w:t>
            </w:r>
            <w:r>
              <w:rPr>
                <w:sz w:val="21"/>
              </w:rPr>
              <w:t>有权根据实际情况要求</w:t>
            </w:r>
            <w:r>
              <w:rPr>
                <w:sz w:val="21"/>
              </w:rPr>
              <w:t>运维单位</w:t>
            </w:r>
            <w:r>
              <w:rPr>
                <w:sz w:val="21"/>
              </w:rPr>
              <w:t>采取赶工措施，因此造成的赶工费用由</w:t>
            </w:r>
            <w:r>
              <w:rPr>
                <w:sz w:val="21"/>
              </w:rPr>
              <w:t>运维单位</w:t>
            </w:r>
            <w:r>
              <w:rPr>
                <w:sz w:val="21"/>
              </w:rPr>
              <w:t>承担。</w:t>
            </w:r>
          </w:p>
          <w:p>
            <w:pPr>
              <w:pStyle w:val="null3"/>
              <w:jc w:val="left"/>
            </w:pPr>
            <w:r>
              <w:rPr>
                <w:sz w:val="21"/>
                <w:b/>
              </w:rPr>
              <w:t>5.4 标准规范</w:t>
            </w:r>
          </w:p>
          <w:p>
            <w:pPr>
              <w:pStyle w:val="null3"/>
              <w:ind w:firstLine="420"/>
              <w:jc w:val="left"/>
            </w:pPr>
            <w:r>
              <w:rPr>
                <w:sz w:val="21"/>
              </w:rPr>
              <w:t>交通安全相关法规</w:t>
            </w:r>
          </w:p>
          <w:p>
            <w:pPr>
              <w:pStyle w:val="null3"/>
              <w:ind w:firstLine="420"/>
              <w:jc w:val="left"/>
            </w:pPr>
            <w:r>
              <w:rPr>
                <w:sz w:val="21"/>
              </w:rPr>
              <w:t>1）</w:t>
            </w:r>
            <w:r>
              <w:rPr>
                <w:sz w:val="21"/>
              </w:rPr>
              <w:t>《中华人民共和国道路交通安全法》</w:t>
            </w:r>
          </w:p>
          <w:p>
            <w:pPr>
              <w:pStyle w:val="null3"/>
              <w:ind w:firstLine="420"/>
              <w:jc w:val="left"/>
            </w:pPr>
            <w:r>
              <w:rPr>
                <w:sz w:val="21"/>
              </w:rPr>
              <w:t>2）</w:t>
            </w:r>
            <w:r>
              <w:rPr>
                <w:sz w:val="21"/>
              </w:rPr>
              <w:t>《中华人民共和国道路交通安全法实施条例》</w:t>
            </w:r>
          </w:p>
          <w:p>
            <w:pPr>
              <w:pStyle w:val="null3"/>
              <w:ind w:firstLine="420"/>
              <w:jc w:val="left"/>
            </w:pPr>
            <w:r>
              <w:rPr>
                <w:sz w:val="21"/>
              </w:rPr>
              <w:t>交通相关标准规范：</w:t>
            </w:r>
          </w:p>
          <w:p>
            <w:pPr>
              <w:pStyle w:val="null3"/>
              <w:ind w:firstLine="420"/>
              <w:jc w:val="left"/>
            </w:pPr>
            <w:r>
              <w:rPr>
                <w:sz w:val="21"/>
              </w:rPr>
              <w:t>1）</w:t>
            </w:r>
            <w:r>
              <w:rPr>
                <w:sz w:val="21"/>
              </w:rPr>
              <w:t>《公安交通指挥系统工程建设通用程序和要求》（</w:t>
            </w:r>
            <w:r>
              <w:rPr>
                <w:sz w:val="21"/>
              </w:rPr>
              <w:t>GA/T651-2014）</w:t>
            </w:r>
          </w:p>
          <w:p>
            <w:pPr>
              <w:pStyle w:val="null3"/>
              <w:ind w:firstLine="420"/>
              <w:jc w:val="left"/>
            </w:pPr>
            <w:r>
              <w:rPr>
                <w:sz w:val="21"/>
              </w:rPr>
              <w:t>2）</w:t>
            </w:r>
            <w:r>
              <w:rPr>
                <w:sz w:val="21"/>
              </w:rPr>
              <w:t>《公安交通管理外场设备基础施工通用要求》（</w:t>
            </w:r>
            <w:r>
              <w:rPr>
                <w:sz w:val="21"/>
              </w:rPr>
              <w:t>GA/T652-2017）</w:t>
            </w:r>
          </w:p>
          <w:p>
            <w:pPr>
              <w:pStyle w:val="null3"/>
              <w:ind w:firstLine="420"/>
              <w:jc w:val="left"/>
            </w:pPr>
            <w:r>
              <w:rPr>
                <w:sz w:val="21"/>
              </w:rPr>
              <w:t>3）</w:t>
            </w:r>
            <w:r>
              <w:rPr>
                <w:sz w:val="21"/>
              </w:rPr>
              <w:t>《道路车辆智能监测记录系统通用技术条件》（</w:t>
            </w:r>
            <w:r>
              <w:rPr>
                <w:sz w:val="21"/>
              </w:rPr>
              <w:t>GA/T497-2016）</w:t>
            </w:r>
          </w:p>
          <w:p>
            <w:pPr>
              <w:pStyle w:val="null3"/>
              <w:ind w:firstLine="420"/>
              <w:jc w:val="left"/>
            </w:pPr>
            <w:r>
              <w:rPr>
                <w:sz w:val="21"/>
              </w:rPr>
              <w:t>4）</w:t>
            </w:r>
            <w:r>
              <w:rPr>
                <w:sz w:val="21"/>
              </w:rPr>
              <w:t>《道路交通安全违法行为图像取证技术规范》（</w:t>
            </w:r>
            <w:r>
              <w:rPr>
                <w:sz w:val="21"/>
              </w:rPr>
              <w:t>GA/T 832-2014）</w:t>
            </w:r>
          </w:p>
          <w:p>
            <w:pPr>
              <w:pStyle w:val="null3"/>
              <w:ind w:firstLine="420"/>
              <w:jc w:val="left"/>
            </w:pPr>
            <w:r>
              <w:rPr>
                <w:sz w:val="21"/>
              </w:rPr>
              <w:t>5）</w:t>
            </w:r>
            <w:r>
              <w:rPr>
                <w:sz w:val="21"/>
              </w:rPr>
              <w:t>《机动车号牌图像自动识别技术规范》（</w:t>
            </w:r>
            <w:r>
              <w:rPr>
                <w:sz w:val="21"/>
              </w:rPr>
              <w:t>GA/833-2016）</w:t>
            </w:r>
          </w:p>
          <w:p>
            <w:pPr>
              <w:pStyle w:val="null3"/>
              <w:ind w:firstLine="420"/>
              <w:jc w:val="left"/>
            </w:pPr>
            <w:r>
              <w:rPr>
                <w:sz w:val="21"/>
              </w:rPr>
              <w:t>6）</w:t>
            </w:r>
            <w:r>
              <w:rPr>
                <w:sz w:val="21"/>
              </w:rPr>
              <w:t>《中华人民共和国机动车号牌》（</w:t>
            </w:r>
            <w:r>
              <w:rPr>
                <w:sz w:val="21"/>
              </w:rPr>
              <w:t>GA36-2018）</w:t>
            </w:r>
          </w:p>
          <w:p>
            <w:pPr>
              <w:pStyle w:val="null3"/>
              <w:ind w:firstLine="420"/>
              <w:jc w:val="left"/>
            </w:pPr>
            <w:r>
              <w:rPr>
                <w:sz w:val="21"/>
              </w:rPr>
              <w:t>7）</w:t>
            </w:r>
            <w:r>
              <w:rPr>
                <w:sz w:val="21"/>
              </w:rPr>
              <w:t>《交通电视监视系统工程验收规范》（</w:t>
            </w:r>
            <w:r>
              <w:rPr>
                <w:sz w:val="21"/>
              </w:rPr>
              <w:t>GA/T 514-2004）</w:t>
            </w:r>
          </w:p>
          <w:p>
            <w:pPr>
              <w:pStyle w:val="null3"/>
              <w:ind w:firstLine="420"/>
              <w:jc w:val="left"/>
            </w:pPr>
            <w:r>
              <w:rPr>
                <w:sz w:val="21"/>
              </w:rPr>
              <w:t>8）</w:t>
            </w:r>
            <w:r>
              <w:rPr>
                <w:sz w:val="21"/>
              </w:rPr>
              <w:t>《公路交通安全设施设计技术规范》（</w:t>
            </w:r>
            <w:r>
              <w:rPr>
                <w:sz w:val="21"/>
              </w:rPr>
              <w:t>JTJ 074-2003）</w:t>
            </w:r>
          </w:p>
          <w:p>
            <w:pPr>
              <w:pStyle w:val="null3"/>
              <w:ind w:firstLine="420"/>
              <w:jc w:val="left"/>
            </w:pPr>
            <w:r>
              <w:rPr>
                <w:sz w:val="21"/>
              </w:rPr>
              <w:t>9）</w:t>
            </w:r>
            <w:r>
              <w:rPr>
                <w:sz w:val="21"/>
              </w:rPr>
              <w:t>《中华人民共和国公共安全行业标准》</w:t>
            </w:r>
            <w:r>
              <w:rPr>
                <w:sz w:val="21"/>
              </w:rPr>
              <w:t>GA38-92</w:t>
            </w:r>
          </w:p>
          <w:p>
            <w:pPr>
              <w:pStyle w:val="null3"/>
              <w:ind w:firstLine="420"/>
              <w:jc w:val="left"/>
            </w:pPr>
            <w:r>
              <w:rPr>
                <w:sz w:val="21"/>
              </w:rPr>
              <w:t>10）</w:t>
            </w:r>
            <w:r>
              <w:rPr>
                <w:sz w:val="21"/>
              </w:rPr>
              <w:t>《全国道路交通管理信息数据库规范》（</w:t>
            </w:r>
            <w:r>
              <w:rPr>
                <w:sz w:val="21"/>
              </w:rPr>
              <w:t>GA329.3第3部分）</w:t>
            </w:r>
          </w:p>
          <w:p>
            <w:pPr>
              <w:pStyle w:val="null3"/>
              <w:ind w:firstLine="420"/>
              <w:jc w:val="left"/>
            </w:pPr>
            <w:r>
              <w:rPr>
                <w:sz w:val="21"/>
              </w:rPr>
              <w:t>城市联网监控报警系统设计方面：</w:t>
            </w:r>
          </w:p>
          <w:p>
            <w:pPr>
              <w:pStyle w:val="null3"/>
              <w:ind w:firstLine="420"/>
              <w:jc w:val="left"/>
            </w:pPr>
            <w:r>
              <w:rPr>
                <w:sz w:val="21"/>
              </w:rPr>
              <w:t>1）</w:t>
            </w:r>
            <w:r>
              <w:rPr>
                <w:sz w:val="21"/>
              </w:rPr>
              <w:t>公安部《交通管理信息系统建设框架》</w:t>
            </w:r>
          </w:p>
          <w:p>
            <w:pPr>
              <w:pStyle w:val="null3"/>
              <w:ind w:firstLine="420"/>
              <w:jc w:val="left"/>
            </w:pPr>
            <w:r>
              <w:rPr>
                <w:sz w:val="21"/>
              </w:rPr>
              <w:t>2）</w:t>
            </w:r>
            <w:r>
              <w:rPr>
                <w:sz w:val="21"/>
              </w:rPr>
              <w:t>公安部《公安部报警监控方案设计要素》</w:t>
            </w:r>
          </w:p>
          <w:p>
            <w:pPr>
              <w:pStyle w:val="null3"/>
              <w:ind w:firstLine="420"/>
              <w:jc w:val="left"/>
            </w:pPr>
            <w:r>
              <w:rPr>
                <w:sz w:val="21"/>
              </w:rPr>
              <w:t>3）</w:t>
            </w:r>
            <w:r>
              <w:rPr>
                <w:sz w:val="21"/>
              </w:rPr>
              <w:t>公安部《城市报警与监控系统建设指导性文件》</w:t>
            </w:r>
          </w:p>
          <w:p>
            <w:pPr>
              <w:pStyle w:val="null3"/>
              <w:ind w:firstLine="420"/>
              <w:jc w:val="left"/>
            </w:pPr>
            <w:r>
              <w:rPr>
                <w:sz w:val="21"/>
              </w:rPr>
              <w:t>4）</w:t>
            </w:r>
            <w:r>
              <w:rPr>
                <w:sz w:val="21"/>
              </w:rPr>
              <w:t>公安部《城市报警与监控系统建设</w:t>
            </w:r>
            <w:r>
              <w:rPr>
                <w:sz w:val="21"/>
              </w:rPr>
              <w:t>“3111”试点工程实施方案》</w:t>
            </w:r>
          </w:p>
          <w:p>
            <w:pPr>
              <w:pStyle w:val="null3"/>
              <w:ind w:firstLine="420"/>
              <w:jc w:val="left"/>
            </w:pPr>
            <w:r>
              <w:rPr>
                <w:sz w:val="21"/>
              </w:rPr>
              <w:t>5）</w:t>
            </w:r>
            <w:r>
              <w:rPr>
                <w:sz w:val="21"/>
              </w:rPr>
              <w:t>《城市监控报警联网系统技术标准》（</w:t>
            </w:r>
            <w:r>
              <w:rPr>
                <w:sz w:val="21"/>
              </w:rPr>
              <w:t>GA/T669-2008）</w:t>
            </w:r>
          </w:p>
          <w:p>
            <w:pPr>
              <w:pStyle w:val="null3"/>
              <w:ind w:firstLine="420"/>
              <w:jc w:val="left"/>
            </w:pPr>
            <w:r>
              <w:rPr>
                <w:sz w:val="21"/>
              </w:rPr>
              <w:t>6）</w:t>
            </w:r>
            <w:r>
              <w:rPr>
                <w:sz w:val="21"/>
              </w:rPr>
              <w:t>《跨区域视频监控联网共享技术规范》</w:t>
            </w:r>
            <w:r>
              <w:rPr>
                <w:sz w:val="21"/>
              </w:rPr>
              <w:t>DB33/T 629-2007</w:t>
            </w:r>
          </w:p>
          <w:p>
            <w:pPr>
              <w:pStyle w:val="null3"/>
              <w:ind w:firstLine="420"/>
              <w:jc w:val="left"/>
            </w:pPr>
            <w:r>
              <w:rPr>
                <w:sz w:val="21"/>
              </w:rPr>
              <w:t>7）</w:t>
            </w:r>
            <w:r>
              <w:rPr>
                <w:sz w:val="21"/>
              </w:rPr>
              <w:t>《工业电视系统工程设计标准》（</w:t>
            </w:r>
            <w:r>
              <w:rPr>
                <w:sz w:val="21"/>
              </w:rPr>
              <w:t>GB/T 50115-2019）</w:t>
            </w:r>
          </w:p>
          <w:p>
            <w:pPr>
              <w:pStyle w:val="null3"/>
              <w:ind w:firstLine="420"/>
              <w:jc w:val="left"/>
            </w:pPr>
            <w:r>
              <w:rPr>
                <w:sz w:val="21"/>
              </w:rPr>
              <w:t>安防视频监控系统设计方面：</w:t>
            </w:r>
          </w:p>
          <w:p>
            <w:pPr>
              <w:pStyle w:val="null3"/>
              <w:ind w:firstLine="420"/>
              <w:jc w:val="left"/>
            </w:pPr>
            <w:r>
              <w:rPr>
                <w:sz w:val="21"/>
              </w:rPr>
              <w:t>1）</w:t>
            </w:r>
            <w:r>
              <w:rPr>
                <w:sz w:val="21"/>
              </w:rPr>
              <w:t>《安全防范工程程序与要求》（</w:t>
            </w:r>
            <w:r>
              <w:rPr>
                <w:sz w:val="21"/>
              </w:rPr>
              <w:t>GA/T75-1994）</w:t>
            </w:r>
          </w:p>
          <w:p>
            <w:pPr>
              <w:pStyle w:val="null3"/>
              <w:ind w:firstLine="420"/>
              <w:jc w:val="left"/>
            </w:pPr>
            <w:r>
              <w:rPr>
                <w:sz w:val="21"/>
              </w:rPr>
              <w:t>2）</w:t>
            </w:r>
            <w:r>
              <w:rPr>
                <w:sz w:val="21"/>
              </w:rPr>
              <w:t>《安全防范工程技术规范》（</w:t>
            </w:r>
            <w:r>
              <w:rPr>
                <w:sz w:val="21"/>
              </w:rPr>
              <w:t>GB50348-2004）</w:t>
            </w:r>
          </w:p>
          <w:p>
            <w:pPr>
              <w:pStyle w:val="null3"/>
              <w:ind w:firstLine="420"/>
              <w:jc w:val="left"/>
            </w:pPr>
            <w:r>
              <w:rPr>
                <w:sz w:val="21"/>
              </w:rPr>
              <w:t>3）</w:t>
            </w:r>
            <w:r>
              <w:rPr>
                <w:sz w:val="21"/>
              </w:rPr>
              <w:t>《中华人民共和国公安部行业标准》（</w:t>
            </w:r>
            <w:r>
              <w:rPr>
                <w:sz w:val="21"/>
              </w:rPr>
              <w:t>GA70-94）</w:t>
            </w:r>
          </w:p>
          <w:p>
            <w:pPr>
              <w:pStyle w:val="null3"/>
              <w:ind w:firstLine="420"/>
              <w:jc w:val="left"/>
            </w:pPr>
            <w:r>
              <w:rPr>
                <w:sz w:val="21"/>
              </w:rPr>
              <w:t>4）</w:t>
            </w:r>
            <w:r>
              <w:rPr>
                <w:sz w:val="21"/>
              </w:rPr>
              <w:t>《视频安防监控系统技术要求》（</w:t>
            </w:r>
            <w:r>
              <w:rPr>
                <w:sz w:val="21"/>
              </w:rPr>
              <w:t>GA/T367-2001）</w:t>
            </w:r>
          </w:p>
          <w:p>
            <w:pPr>
              <w:pStyle w:val="null3"/>
              <w:ind w:firstLine="420"/>
              <w:jc w:val="left"/>
            </w:pPr>
            <w:r>
              <w:rPr>
                <w:sz w:val="21"/>
              </w:rPr>
              <w:t>5）</w:t>
            </w:r>
            <w:r>
              <w:rPr>
                <w:sz w:val="21"/>
              </w:rPr>
              <w:t>《民用闭路监视电视系统工程技术规范》</w:t>
            </w:r>
            <w:r>
              <w:rPr>
                <w:sz w:val="21"/>
              </w:rPr>
              <w:t>(GB50198-2011)</w:t>
            </w:r>
          </w:p>
          <w:p>
            <w:pPr>
              <w:pStyle w:val="null3"/>
              <w:ind w:firstLine="420"/>
              <w:jc w:val="left"/>
            </w:pPr>
            <w:r>
              <w:rPr>
                <w:sz w:val="21"/>
              </w:rPr>
              <w:t>6）</w:t>
            </w:r>
            <w:r>
              <w:rPr>
                <w:sz w:val="21"/>
              </w:rPr>
              <w:t>《工业电视系统工程设计规范》（</w:t>
            </w:r>
            <w:r>
              <w:rPr>
                <w:sz w:val="21"/>
              </w:rPr>
              <w:t>GB/T 50115-2019）</w:t>
            </w:r>
          </w:p>
          <w:p>
            <w:pPr>
              <w:pStyle w:val="null3"/>
              <w:ind w:firstLine="420"/>
              <w:jc w:val="left"/>
            </w:pPr>
            <w:r>
              <w:rPr>
                <w:sz w:val="21"/>
              </w:rPr>
              <w:t>7）</w:t>
            </w:r>
            <w:r>
              <w:rPr>
                <w:sz w:val="21"/>
              </w:rPr>
              <w:t>公安部《警用地理信息系统系列标准规范》</w:t>
            </w:r>
          </w:p>
          <w:p>
            <w:pPr>
              <w:pStyle w:val="null3"/>
              <w:ind w:firstLine="420"/>
              <w:jc w:val="left"/>
            </w:pPr>
            <w:r>
              <w:rPr>
                <w:sz w:val="21"/>
              </w:rPr>
              <w:t>8）</w:t>
            </w:r>
            <w:r>
              <w:rPr>
                <w:sz w:val="21"/>
              </w:rPr>
              <w:t>《安全防范系统验收规则》（</w:t>
            </w:r>
            <w:r>
              <w:rPr>
                <w:sz w:val="21"/>
              </w:rPr>
              <w:t>GA308-2001）</w:t>
            </w:r>
          </w:p>
          <w:p>
            <w:pPr>
              <w:pStyle w:val="null3"/>
              <w:ind w:firstLine="420"/>
              <w:jc w:val="left"/>
            </w:pPr>
            <w:r>
              <w:rPr>
                <w:sz w:val="21"/>
              </w:rPr>
              <w:t>9）</w:t>
            </w:r>
            <w:r>
              <w:rPr>
                <w:sz w:val="21"/>
              </w:rPr>
              <w:t>《安全防范系统通用图形符号》（</w:t>
            </w:r>
            <w:r>
              <w:rPr>
                <w:sz w:val="21"/>
              </w:rPr>
              <w:t>GA/T74-2017）</w:t>
            </w:r>
          </w:p>
          <w:p>
            <w:pPr>
              <w:pStyle w:val="null3"/>
              <w:ind w:firstLine="420"/>
              <w:jc w:val="left"/>
            </w:pPr>
            <w:r>
              <w:rPr>
                <w:sz w:val="21"/>
              </w:rPr>
              <w:t>10）</w:t>
            </w:r>
            <w:r>
              <w:rPr>
                <w:sz w:val="21"/>
              </w:rPr>
              <w:t>《安全防范系统雷电浪涌防护技术要求》（</w:t>
            </w:r>
            <w:r>
              <w:rPr>
                <w:sz w:val="21"/>
              </w:rPr>
              <w:t>GA/T 670-2006）</w:t>
            </w:r>
          </w:p>
          <w:p>
            <w:pPr>
              <w:pStyle w:val="null3"/>
              <w:ind w:firstLine="420"/>
              <w:jc w:val="left"/>
            </w:pPr>
            <w:r>
              <w:rPr>
                <w:sz w:val="21"/>
              </w:rPr>
              <w:t>11）</w:t>
            </w:r>
            <w:r>
              <w:rPr>
                <w:sz w:val="21"/>
              </w:rPr>
              <w:t>《计算机信息系统安全保护等级划分准则》（</w:t>
            </w:r>
            <w:r>
              <w:rPr>
                <w:sz w:val="21"/>
              </w:rPr>
              <w:t>GB17859-1999）</w:t>
            </w:r>
          </w:p>
          <w:p>
            <w:pPr>
              <w:pStyle w:val="null3"/>
              <w:ind w:firstLine="420"/>
              <w:jc w:val="left"/>
            </w:pPr>
            <w:r>
              <w:rPr>
                <w:sz w:val="21"/>
              </w:rPr>
              <w:t>12）</w:t>
            </w:r>
            <w:r>
              <w:rPr>
                <w:sz w:val="21"/>
              </w:rPr>
              <w:t>《安全防范工程技术规范》</w:t>
            </w:r>
            <w:r>
              <w:rPr>
                <w:sz w:val="21"/>
              </w:rPr>
              <w:t>(GB 50348-2018)</w:t>
            </w:r>
          </w:p>
          <w:p>
            <w:pPr>
              <w:pStyle w:val="null3"/>
              <w:ind w:firstLine="420"/>
              <w:jc w:val="left"/>
            </w:pPr>
            <w:r>
              <w:rPr>
                <w:sz w:val="21"/>
              </w:rPr>
              <w:t>13）</w:t>
            </w:r>
            <w:r>
              <w:rPr>
                <w:sz w:val="21"/>
              </w:rPr>
              <w:t>《安全防范系统验收规则》（</w:t>
            </w:r>
            <w:r>
              <w:rPr>
                <w:sz w:val="21"/>
              </w:rPr>
              <w:t>GA308-2001）</w:t>
            </w:r>
          </w:p>
          <w:p>
            <w:pPr>
              <w:pStyle w:val="null3"/>
              <w:ind w:firstLine="420"/>
              <w:jc w:val="left"/>
            </w:pPr>
            <w:r>
              <w:rPr>
                <w:sz w:val="21"/>
              </w:rPr>
              <w:t>14）</w:t>
            </w:r>
            <w:r>
              <w:rPr>
                <w:sz w:val="21"/>
              </w:rPr>
              <w:t>《数据中心设计规范》</w:t>
            </w:r>
            <w:r>
              <w:rPr>
                <w:sz w:val="21"/>
              </w:rPr>
              <w:t>(GB50174-2017）</w:t>
            </w:r>
          </w:p>
          <w:p>
            <w:pPr>
              <w:pStyle w:val="null3"/>
              <w:ind w:firstLine="420"/>
              <w:jc w:val="left"/>
            </w:pPr>
            <w:r>
              <w:rPr>
                <w:sz w:val="21"/>
              </w:rPr>
              <w:t>视频监控图像质量方面：</w:t>
            </w:r>
          </w:p>
          <w:p>
            <w:pPr>
              <w:pStyle w:val="null3"/>
              <w:ind w:firstLine="420"/>
              <w:jc w:val="left"/>
            </w:pPr>
            <w:r>
              <w:rPr>
                <w:sz w:val="21"/>
              </w:rPr>
              <w:t>1）</w:t>
            </w:r>
            <w:r>
              <w:rPr>
                <w:sz w:val="21"/>
              </w:rPr>
              <w:t>《电视视频通道测试方法》（</w:t>
            </w:r>
            <w:r>
              <w:rPr>
                <w:sz w:val="21"/>
              </w:rPr>
              <w:t>GB3659-83）</w:t>
            </w:r>
          </w:p>
          <w:p>
            <w:pPr>
              <w:pStyle w:val="null3"/>
              <w:ind w:firstLine="420"/>
              <w:jc w:val="left"/>
            </w:pPr>
            <w:r>
              <w:rPr>
                <w:sz w:val="21"/>
              </w:rPr>
              <w:t>2）</w:t>
            </w:r>
            <w:r>
              <w:rPr>
                <w:sz w:val="21"/>
              </w:rPr>
              <w:t>《彩色电视图像质量主观评价方法》（</w:t>
            </w:r>
            <w:r>
              <w:rPr>
                <w:sz w:val="21"/>
              </w:rPr>
              <w:t>GB7401-1987）</w:t>
            </w:r>
          </w:p>
          <w:p>
            <w:pPr>
              <w:pStyle w:val="null3"/>
              <w:ind w:firstLine="420"/>
              <w:jc w:val="left"/>
            </w:pPr>
            <w:r>
              <w:rPr>
                <w:sz w:val="21"/>
              </w:rPr>
              <w:t>视频系统网络设计方面：</w:t>
            </w:r>
          </w:p>
          <w:p>
            <w:pPr>
              <w:pStyle w:val="null3"/>
              <w:ind w:firstLine="420"/>
              <w:jc w:val="left"/>
            </w:pPr>
            <w:r>
              <w:rPr>
                <w:sz w:val="21"/>
              </w:rPr>
              <w:t>1）</w:t>
            </w:r>
            <w:r>
              <w:rPr>
                <w:sz w:val="21"/>
              </w:rPr>
              <w:t>《信息技术开放系统互连网络层安全协议》（</w:t>
            </w:r>
            <w:r>
              <w:rPr>
                <w:sz w:val="21"/>
              </w:rPr>
              <w:t>GB/T 17963-2000）</w:t>
            </w:r>
          </w:p>
          <w:p>
            <w:pPr>
              <w:pStyle w:val="null3"/>
              <w:ind w:firstLine="420"/>
              <w:jc w:val="left"/>
            </w:pPr>
            <w:r>
              <w:rPr>
                <w:sz w:val="21"/>
              </w:rPr>
              <w:t>2）</w:t>
            </w:r>
            <w:r>
              <w:rPr>
                <w:sz w:val="21"/>
              </w:rPr>
              <w:t>《计算机信息系统安全保护等级划分准则》（</w:t>
            </w:r>
            <w:r>
              <w:rPr>
                <w:sz w:val="21"/>
              </w:rPr>
              <w:t>GB17859-1999）</w:t>
            </w:r>
          </w:p>
          <w:p>
            <w:pPr>
              <w:pStyle w:val="null3"/>
              <w:ind w:firstLine="420"/>
              <w:jc w:val="left"/>
            </w:pPr>
            <w:r>
              <w:rPr>
                <w:sz w:val="21"/>
              </w:rPr>
              <w:t>3）</w:t>
            </w:r>
            <w:r>
              <w:rPr>
                <w:sz w:val="21"/>
              </w:rPr>
              <w:t>《计算机信息系统安全》（</w:t>
            </w:r>
            <w:r>
              <w:rPr>
                <w:sz w:val="21"/>
              </w:rPr>
              <w:t>GA 216.1－1999）</w:t>
            </w:r>
          </w:p>
          <w:p>
            <w:pPr>
              <w:pStyle w:val="null3"/>
              <w:ind w:firstLine="420"/>
              <w:jc w:val="left"/>
            </w:pPr>
            <w:r>
              <w:rPr>
                <w:sz w:val="21"/>
              </w:rPr>
              <w:t>4）</w:t>
            </w:r>
            <w:r>
              <w:rPr>
                <w:sz w:val="21"/>
              </w:rPr>
              <w:t>《计算机软件开发规范》（</w:t>
            </w:r>
            <w:r>
              <w:rPr>
                <w:sz w:val="21"/>
              </w:rPr>
              <w:t>GB8566-2007）</w:t>
            </w:r>
          </w:p>
          <w:p>
            <w:pPr>
              <w:pStyle w:val="null3"/>
              <w:ind w:firstLine="420"/>
              <w:jc w:val="left"/>
            </w:pPr>
            <w:r>
              <w:rPr>
                <w:sz w:val="21"/>
              </w:rPr>
              <w:t>视频系统工程建设方面：</w:t>
            </w:r>
          </w:p>
          <w:p>
            <w:pPr>
              <w:pStyle w:val="null3"/>
              <w:ind w:firstLine="420"/>
              <w:jc w:val="left"/>
            </w:pPr>
            <w:r>
              <w:rPr>
                <w:sz w:val="21"/>
              </w:rPr>
              <w:t>1）</w:t>
            </w:r>
            <w:r>
              <w:rPr>
                <w:sz w:val="21"/>
              </w:rPr>
              <w:t>《建筑物防雷设计规范》</w:t>
            </w:r>
            <w:r>
              <w:rPr>
                <w:sz w:val="21"/>
              </w:rPr>
              <w:t>(GB50057-94)</w:t>
            </w:r>
          </w:p>
          <w:p>
            <w:pPr>
              <w:pStyle w:val="null3"/>
              <w:ind w:firstLine="420"/>
              <w:jc w:val="left"/>
            </w:pPr>
            <w:r>
              <w:rPr>
                <w:sz w:val="21"/>
              </w:rPr>
              <w:t>2）</w:t>
            </w:r>
            <w:r>
              <w:rPr>
                <w:sz w:val="21"/>
              </w:rPr>
              <w:t>《建筑物电子信息系统防雷技术规范》</w:t>
            </w:r>
            <w:r>
              <w:rPr>
                <w:sz w:val="21"/>
              </w:rPr>
              <w:t>(GB50343-2004)</w:t>
            </w:r>
          </w:p>
          <w:p>
            <w:pPr>
              <w:pStyle w:val="null3"/>
              <w:ind w:firstLine="420"/>
              <w:jc w:val="left"/>
            </w:pPr>
            <w:r>
              <w:rPr>
                <w:sz w:val="21"/>
              </w:rPr>
              <w:t>3）</w:t>
            </w:r>
            <w:r>
              <w:rPr>
                <w:sz w:val="21"/>
              </w:rPr>
              <w:t>《安全防范系统雷电浪涌防护技术要求》</w:t>
            </w:r>
            <w:r>
              <w:rPr>
                <w:sz w:val="21"/>
              </w:rPr>
              <w:t>(GA/T670-2006)</w:t>
            </w:r>
          </w:p>
          <w:p>
            <w:pPr>
              <w:pStyle w:val="null3"/>
              <w:ind w:firstLine="420"/>
              <w:jc w:val="left"/>
            </w:pPr>
            <w:r>
              <w:rPr>
                <w:sz w:val="21"/>
              </w:rPr>
              <w:t>4）</w:t>
            </w:r>
            <w:r>
              <w:rPr>
                <w:sz w:val="21"/>
              </w:rPr>
              <w:t>《民用建筑电气设计规范》</w:t>
            </w:r>
            <w:r>
              <w:rPr>
                <w:sz w:val="21"/>
              </w:rPr>
              <w:t>(JGJ/T16-2008)</w:t>
            </w:r>
          </w:p>
          <w:p>
            <w:pPr>
              <w:pStyle w:val="null3"/>
              <w:ind w:firstLine="420"/>
              <w:jc w:val="left"/>
            </w:pPr>
            <w:r>
              <w:rPr>
                <w:sz w:val="21"/>
              </w:rPr>
              <w:t>5）</w:t>
            </w:r>
            <w:r>
              <w:rPr>
                <w:sz w:val="21"/>
              </w:rPr>
              <w:t>《电气装置安装工程电缆线路施工及验收规范》（</w:t>
            </w:r>
            <w:r>
              <w:rPr>
                <w:sz w:val="21"/>
              </w:rPr>
              <w:t>GB 50168-2016）</w:t>
            </w:r>
          </w:p>
          <w:p>
            <w:pPr>
              <w:pStyle w:val="null3"/>
              <w:ind w:firstLine="420"/>
              <w:jc w:val="left"/>
            </w:pPr>
            <w:r>
              <w:rPr>
                <w:sz w:val="21"/>
              </w:rPr>
              <w:t>6）</w:t>
            </w:r>
            <w:r>
              <w:rPr>
                <w:sz w:val="21"/>
              </w:rPr>
              <w:t>《工业企业通讯接地设计规范》</w:t>
            </w:r>
          </w:p>
          <w:p>
            <w:pPr>
              <w:pStyle w:val="null3"/>
              <w:ind w:firstLine="420"/>
              <w:jc w:val="left"/>
            </w:pPr>
            <w:r>
              <w:rPr>
                <w:sz w:val="21"/>
              </w:rPr>
              <w:t>7）</w:t>
            </w:r>
            <w:r>
              <w:rPr>
                <w:sz w:val="21"/>
              </w:rPr>
              <w:t>《公安交通管理外场设备基础施工通用要求》（</w:t>
            </w:r>
            <w:r>
              <w:rPr>
                <w:sz w:val="21"/>
              </w:rPr>
              <w:t>GA/T652-2017）</w:t>
            </w:r>
          </w:p>
          <w:p>
            <w:pPr>
              <w:pStyle w:val="null3"/>
              <w:ind w:firstLine="420"/>
              <w:jc w:val="left"/>
            </w:pPr>
            <w:r>
              <w:rPr>
                <w:sz w:val="21"/>
              </w:rPr>
              <w:t>其他：</w:t>
            </w:r>
          </w:p>
          <w:p>
            <w:pPr>
              <w:pStyle w:val="null3"/>
              <w:ind w:firstLine="420"/>
              <w:jc w:val="left"/>
            </w:pPr>
            <w:r>
              <w:rPr>
                <w:sz w:val="21"/>
              </w:rPr>
              <w:t>1）</w:t>
            </w:r>
            <w:r>
              <w:rPr>
                <w:sz w:val="21"/>
              </w:rPr>
              <w:t>《邮电通信网光纤数据传输系统工程施工及验收暂行技术规范》</w:t>
            </w:r>
          </w:p>
          <w:p>
            <w:pPr>
              <w:pStyle w:val="null3"/>
              <w:ind w:firstLine="420"/>
              <w:jc w:val="left"/>
            </w:pPr>
            <w:r>
              <w:rPr>
                <w:sz w:val="21"/>
              </w:rPr>
              <w:t>除上述规范以外的遵循平安城市建设相关地方规范与标准以及国家、省市、相关行业的技术要求及规范。</w:t>
            </w:r>
          </w:p>
          <w:p>
            <w:pPr>
              <w:pStyle w:val="null3"/>
              <w:spacing w:before="150" w:after="150"/>
              <w:jc w:val="left"/>
            </w:pPr>
            <w:r>
              <w:rPr>
                <w:sz w:val="28"/>
                <w:b/>
              </w:rPr>
              <w:t>6</w:t>
            </w:r>
            <w:r>
              <w:rPr>
                <w:sz w:val="28"/>
                <w:b/>
              </w:rPr>
              <w:t xml:space="preserve"> </w:t>
            </w:r>
            <w:r>
              <w:rPr>
                <w:sz w:val="28"/>
                <w:b/>
              </w:rPr>
              <w:t>本项目自主可控和网格与数据安全防护能力建设情况</w:t>
            </w:r>
          </w:p>
          <w:p>
            <w:pPr>
              <w:pStyle w:val="null3"/>
              <w:ind w:firstLine="420"/>
              <w:jc w:val="left"/>
            </w:pPr>
            <w:r>
              <w:rPr>
                <w:sz w:val="21"/>
              </w:rPr>
              <w:t>本项目</w:t>
            </w:r>
            <w:r>
              <w:rPr>
                <w:sz w:val="21"/>
              </w:rPr>
              <w:t>主要为设备维修维护服务，</w:t>
            </w:r>
            <w:r>
              <w:rPr>
                <w:sz w:val="21"/>
              </w:rPr>
              <w:t>均采购国产化产品进行</w:t>
            </w:r>
            <w:r>
              <w:rPr>
                <w:sz w:val="21"/>
              </w:rPr>
              <w:t>维修、维护</w:t>
            </w:r>
            <w:r>
              <w:rPr>
                <w:sz w:val="21"/>
              </w:rPr>
              <w:t>，项目</w:t>
            </w:r>
            <w:r>
              <w:rPr>
                <w:sz w:val="21"/>
              </w:rPr>
              <w:t>维修、维护范围</w:t>
            </w:r>
            <w:r>
              <w:rPr>
                <w:sz w:val="21"/>
              </w:rPr>
              <w:t>主要为</w:t>
            </w:r>
            <w:r>
              <w:rPr>
                <w:sz w:val="21"/>
              </w:rPr>
              <w:t>前端设备</w:t>
            </w:r>
            <w:r>
              <w:rPr>
                <w:sz w:val="21"/>
              </w:rPr>
              <w:t>，前端设备不涉及网络安全防护、等级保护、密码应用等。</w:t>
            </w:r>
          </w:p>
          <w:p>
            <w:pPr>
              <w:pStyle w:val="null3"/>
              <w:spacing w:before="150" w:after="150"/>
              <w:jc w:val="left"/>
            </w:pPr>
            <w:r>
              <w:rPr>
                <w:sz w:val="28"/>
                <w:b/>
              </w:rPr>
              <w:t>7 验收要求及标准</w:t>
            </w:r>
          </w:p>
          <w:p>
            <w:pPr>
              <w:pStyle w:val="null3"/>
              <w:ind w:firstLine="420"/>
              <w:jc w:val="both"/>
            </w:pPr>
            <w:r>
              <w:rPr>
                <w:sz w:val="21"/>
              </w:rPr>
              <w:t>1）符合</w:t>
            </w:r>
            <w:r>
              <w:rPr>
                <w:sz w:val="21"/>
              </w:rPr>
              <w:t>本项目立项方案；</w:t>
            </w:r>
          </w:p>
          <w:p>
            <w:pPr>
              <w:pStyle w:val="null3"/>
              <w:ind w:firstLine="420"/>
              <w:jc w:val="left"/>
            </w:pPr>
            <w:r>
              <w:rPr>
                <w:sz w:val="21"/>
              </w:rPr>
              <w:t>2）如涉及设备配件，质量应符合国家相关规定的要求；</w:t>
            </w:r>
          </w:p>
          <w:p>
            <w:pPr>
              <w:pStyle w:val="null3"/>
              <w:ind w:firstLine="420"/>
              <w:jc w:val="both"/>
            </w:pPr>
            <w:r>
              <w:rPr>
                <w:sz w:val="21"/>
              </w:rPr>
              <w:t>3）符合采购人安全和保密规定，以及招标文件明确的各项服务质量及具体技术指标要求、中标供应商投标文件及承诺；</w:t>
            </w:r>
          </w:p>
          <w:p>
            <w:pPr>
              <w:pStyle w:val="null3"/>
              <w:ind w:firstLine="420"/>
              <w:jc w:val="both"/>
            </w:pPr>
            <w:r>
              <w:rPr>
                <w:sz w:val="21"/>
              </w:rPr>
              <w:t>4）每三个月为一期，每期运维结束时由交警部门、运维单位、监理单位（如有）依据合同条款及项目要求共同签字验收，运维单位须为验收提供必需的设备、工具及其他便利条件。</w:t>
            </w:r>
          </w:p>
          <w:p>
            <w:pPr>
              <w:pStyle w:val="null3"/>
              <w:spacing w:before="150" w:after="150"/>
              <w:jc w:val="left"/>
            </w:pPr>
            <w:r>
              <w:rPr>
                <w:sz w:val="28"/>
                <w:b/>
              </w:rPr>
              <w:t>8 项目风险评</w:t>
            </w:r>
            <w:r>
              <w:rPr>
                <w:sz w:val="28"/>
                <w:b/>
              </w:rPr>
              <w:t>估</w:t>
            </w:r>
          </w:p>
          <w:p>
            <w:pPr>
              <w:pStyle w:val="null3"/>
              <w:ind w:firstLine="420"/>
              <w:jc w:val="left"/>
            </w:pPr>
            <w:r>
              <w:rPr>
                <w:sz w:val="21"/>
              </w:rPr>
              <w:t>1）人员服务及维修物料不足之风险管理</w:t>
            </w:r>
          </w:p>
          <w:p>
            <w:pPr>
              <w:pStyle w:val="null3"/>
              <w:ind w:firstLine="420"/>
              <w:jc w:val="left"/>
            </w:pPr>
            <w:r>
              <w:rPr>
                <w:sz w:val="21"/>
              </w:rPr>
              <w:t>受经济下行等环境因素影响，财政预算经费削减，本项目采购的维修服务十分有限，支队仓库目前的备品备件数量有限，辅材及工具还需全面依靠运维单位提供。目前存在过保</w:t>
            </w:r>
            <w:r>
              <w:rPr>
                <w:sz w:val="21"/>
              </w:rPr>
              <w:t>设备</w:t>
            </w:r>
            <w:r>
              <w:rPr>
                <w:sz w:val="21"/>
              </w:rPr>
              <w:t>，分布在全市各个</w:t>
            </w:r>
            <w:r>
              <w:rPr>
                <w:sz w:val="21"/>
              </w:rPr>
              <w:t>路口</w:t>
            </w:r>
            <w:r>
              <w:rPr>
                <w:sz w:val="21"/>
              </w:rPr>
              <w:t>，本项目很可能面临采购的服务人数不足、维修物料的经费不足等问题。维修</w:t>
            </w:r>
            <w:r>
              <w:rPr>
                <w:sz w:val="21"/>
              </w:rPr>
              <w:t>体量大，</w:t>
            </w:r>
            <w:r>
              <w:rPr>
                <w:sz w:val="21"/>
              </w:rPr>
              <w:t>物料的采购可</w:t>
            </w:r>
            <w:r>
              <w:rPr>
                <w:sz w:val="21"/>
              </w:rPr>
              <w:t>能超出经费预算</w:t>
            </w:r>
            <w:r>
              <w:rPr>
                <w:sz w:val="21"/>
              </w:rPr>
              <w:t>，</w:t>
            </w:r>
            <w:r>
              <w:rPr>
                <w:sz w:val="21"/>
              </w:rPr>
              <w:t>维修安排需</w:t>
            </w:r>
            <w:r>
              <w:rPr>
                <w:sz w:val="21"/>
              </w:rPr>
              <w:t>灵活设计，按需增加、动态调整，尽可能应对</w:t>
            </w:r>
            <w:r>
              <w:rPr>
                <w:sz w:val="21"/>
              </w:rPr>
              <w:t>服务</w:t>
            </w:r>
            <w:r>
              <w:rPr>
                <w:sz w:val="21"/>
              </w:rPr>
              <w:t>期</w:t>
            </w:r>
            <w:r>
              <w:rPr>
                <w:sz w:val="21"/>
              </w:rPr>
              <w:t>内</w:t>
            </w:r>
            <w:r>
              <w:rPr>
                <w:sz w:val="21"/>
              </w:rPr>
              <w:t>的</w:t>
            </w:r>
            <w:r>
              <w:rPr>
                <w:sz w:val="21"/>
              </w:rPr>
              <w:t>交通技术</w:t>
            </w:r>
            <w:r>
              <w:rPr>
                <w:sz w:val="21"/>
              </w:rPr>
              <w:t>监控设备运维需求。或者考虑在运维项目经费即将使用完毕之前，尽快启动下一期的运维服务项目采购，以保证</w:t>
            </w:r>
            <w:r>
              <w:rPr>
                <w:sz w:val="21"/>
              </w:rPr>
              <w:t>交通技术监控设备的延续性、</w:t>
            </w:r>
            <w:r>
              <w:rPr>
                <w:sz w:val="21"/>
              </w:rPr>
              <w:t>稳定性。</w:t>
            </w:r>
          </w:p>
          <w:p>
            <w:pPr>
              <w:pStyle w:val="null3"/>
              <w:ind w:firstLine="420"/>
              <w:jc w:val="left"/>
            </w:pPr>
            <w:r>
              <w:rPr>
                <w:sz w:val="21"/>
              </w:rPr>
              <w:t>2）运维单位之风险管理</w:t>
            </w:r>
          </w:p>
          <w:p>
            <w:pPr>
              <w:pStyle w:val="null3"/>
              <w:ind w:firstLine="420"/>
              <w:jc w:val="left"/>
            </w:pPr>
            <w:r>
              <w:rPr>
                <w:sz w:val="21"/>
              </w:rPr>
              <w:t>服务需要以外包或委托建设的形式进行。因此，运维单位在项目中将扮演重要的角色。运维单位必须具备良好的商业信誉、较强的责任心，具有较高的技术水准、服务能力和丰富的行业经验以降低来自运维单位方面的风险：</w:t>
            </w:r>
          </w:p>
          <w:p>
            <w:pPr>
              <w:pStyle w:val="null3"/>
              <w:numPr>
                <w:ilvl w:val="0"/>
                <w:numId w:val="1"/>
              </w:numPr>
              <w:jc w:val="left"/>
            </w:pPr>
            <w:r>
              <w:rPr>
                <w:sz w:val="21"/>
              </w:rPr>
              <w:t>要按照国家有关文件规定，采取政府采购方式和招标方式确定运维单位；</w:t>
            </w:r>
          </w:p>
          <w:p>
            <w:pPr>
              <w:pStyle w:val="null3"/>
              <w:numPr>
                <w:ilvl w:val="0"/>
                <w:numId w:val="1"/>
              </w:numPr>
              <w:jc w:val="left"/>
            </w:pPr>
            <w:r>
              <w:rPr>
                <w:sz w:val="21"/>
              </w:rPr>
              <w:t>在评标过程中拟采用综合评定的方法，全面考核投标商的业绩，特别是为</w:t>
            </w:r>
            <w:r>
              <w:rPr>
                <w:sz w:val="21"/>
              </w:rPr>
              <w:t>交通技术监控设备</w:t>
            </w:r>
            <w:r>
              <w:rPr>
                <w:sz w:val="21"/>
              </w:rPr>
              <w:t>运维业绩，资质，商业信誉、设计方案、技术队伍的水准和后期服务的支持能力，以及报价等因素，综合确定最佳运维单位。</w:t>
            </w:r>
          </w:p>
          <w:p>
            <w:pPr>
              <w:pStyle w:val="null3"/>
              <w:spacing w:before="255" w:after="255"/>
              <w:jc w:val="both"/>
            </w:pPr>
            <w:r>
              <w:rPr>
                <w:sz w:val="21"/>
                <w:b/>
              </w:rPr>
              <w:t>详细费用清单</w:t>
            </w:r>
          </w:p>
          <w:tbl>
            <w:tblPr>
              <w:tblInd w:type="dxa" w:w="90"/>
              <w:tblBorders>
                <w:top w:val="none" w:color="000000" w:sz="4"/>
                <w:left w:val="none" w:color="000000" w:sz="4"/>
                <w:bottom w:val="none" w:color="000000" w:sz="4"/>
                <w:right w:val="none" w:color="000000" w:sz="4"/>
                <w:insideH w:val="none"/>
                <w:insideV w:val="none"/>
              </w:tblBorders>
            </w:tblPr>
            <w:tblGrid>
              <w:gridCol w:w="268"/>
              <w:gridCol w:w="966"/>
              <w:gridCol w:w="1683"/>
              <w:gridCol w:w="1623"/>
              <w:gridCol w:w="388"/>
              <w:gridCol w:w="657"/>
            </w:tblGrid>
            <w:tr>
              <w:tc>
                <w:tcPr>
                  <w:tcW w:type="dxa" w:w="268"/>
                  <w:tcBorders>
                    <w:top w:val="single" w:color="000000" w:sz="4"/>
                    <w:left w:val="singl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sz w:val="20"/>
                      <w:b/>
                      <w:color w:val="000000"/>
                    </w:rPr>
                    <w:t>序号</w:t>
                  </w:r>
                </w:p>
              </w:tc>
              <w:tc>
                <w:tcPr>
                  <w:tcW w:type="dxa" w:w="966"/>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sz w:val="20"/>
                      <w:b/>
                      <w:color w:val="000000"/>
                    </w:rPr>
                    <w:t>设备名称</w:t>
                  </w:r>
                </w:p>
              </w:tc>
              <w:tc>
                <w:tcPr>
                  <w:tcW w:type="dxa" w:w="1683"/>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sz w:val="20"/>
                      <w:b/>
                      <w:color w:val="000000"/>
                    </w:rPr>
                    <w:t>规格</w:t>
                  </w:r>
                  <w:r>
                    <w:rPr>
                      <w:sz w:val="20"/>
                      <w:b/>
                      <w:color w:val="000000"/>
                    </w:rPr>
                    <w:t>/型号</w:t>
                  </w:r>
                </w:p>
              </w:tc>
              <w:tc>
                <w:tcPr>
                  <w:tcW w:type="dxa" w:w="1623"/>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sz w:val="20"/>
                      <w:b/>
                      <w:color w:val="000000"/>
                    </w:rPr>
                    <w:t>工艺描述</w:t>
                  </w:r>
                </w:p>
              </w:tc>
              <w:tc>
                <w:tcPr>
                  <w:tcW w:type="dxa" w:w="388"/>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sz w:val="20"/>
                      <w:b/>
                      <w:color w:val="000000"/>
                    </w:rPr>
                    <w:t>单位</w:t>
                  </w:r>
                </w:p>
              </w:tc>
              <w:tc>
                <w:tcPr>
                  <w:tcW w:type="dxa" w:w="657"/>
                  <w:tcBorders>
                    <w:top w:val="single" w:color="000000" w:sz="4"/>
                    <w:left w:val="none" w:color="000000" w:sz="4"/>
                    <w:bottom w:val="single" w:color="000000" w:sz="4"/>
                    <w:right w:val="single" w:color="000000" w:sz="4"/>
                  </w:tcBorders>
                  <w:shd w:fill="E2EFDA"/>
                  <w:tcMar>
                    <w:top w:type="dxa" w:w="0"/>
                    <w:left w:type="dxa" w:w="105"/>
                    <w:bottom w:type="dxa" w:w="0"/>
                    <w:right w:type="dxa" w:w="105"/>
                  </w:tcMar>
                  <w:vAlign w:val="top"/>
                </w:tcPr>
                <w:p>
                  <w:pPr>
                    <w:pStyle w:val="null3"/>
                    <w:jc w:val="center"/>
                  </w:pPr>
                  <w:r>
                    <w:rPr>
                      <w:sz w:val="20"/>
                      <w:b/>
                      <w:color w:val="000000"/>
                    </w:rPr>
                    <w:t>预算单价</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电警补光灯</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GREE16灯珠电警频闪补光灯</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1183.00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卡口闪光灯</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SL-1211-1/C</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1769.00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卡口三合一补光灯</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CXBG-2-MC-DS-TL3000B-I</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2500.00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信号灯检测器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TLD-2016-N</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1635.00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终端处理服务器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DS-TP50-12R(8T)</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7800.00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终端处理服务器硬盘</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企业级</w:t>
                  </w:r>
                  <w:r>
                    <w:rPr>
                      <w:sz w:val="20"/>
                      <w:color w:val="000000"/>
                    </w:rPr>
                    <w:t>4TB数据存储硬盘</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终端处理服务器电源</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终端处理服务器专用</w:t>
                  </w:r>
                  <w:r>
                    <w:rPr>
                      <w:sz w:val="20"/>
                      <w:color w:val="000000"/>
                    </w:rPr>
                    <w:t>12V电源</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244.00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高速球机</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DS-2DE7223IW-A</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2195.00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高速球机</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iDS-2DF8425IXR</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4239.00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违停球</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iDS-2VS435-F832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6685.00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球机电源</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交流</w:t>
                  </w:r>
                  <w:r>
                    <w:rPr>
                      <w:sz w:val="20"/>
                      <w:color w:val="000000"/>
                    </w:rPr>
                    <w:t>24V 球机电源</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114.00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挂箱</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定制</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尺寸</w:t>
                  </w:r>
                  <w:r>
                    <w:rPr>
                      <w:sz w:val="20"/>
                      <w:color w:val="000000"/>
                    </w:rPr>
                    <w:t>480mm（宽）×579mm（高）×215mm（深）</w:t>
                  </w:r>
                  <w:r>
                    <w:br/>
                  </w:r>
                  <w:r>
                    <w:rPr>
                      <w:sz w:val="20"/>
                      <w:color w:val="000000"/>
                    </w:rPr>
                    <w:t>含双路</w:t>
                  </w:r>
                  <w:r>
                    <w:rPr>
                      <w:sz w:val="20"/>
                      <w:color w:val="000000"/>
                    </w:rPr>
                    <w:t>220V防雷，双路空气开关1个，单路空气开关1个，三芯、二芯插座1个</w:t>
                  </w:r>
                  <w:r>
                    <w:br/>
                  </w:r>
                  <w:r>
                    <w:rPr>
                      <w:sz w:val="20"/>
                      <w:color w:val="000000"/>
                    </w:rPr>
                    <w:t>结构：整体结构采用拼焊结构，防护等级</w:t>
                  </w:r>
                  <w:r>
                    <w:rPr>
                      <w:sz w:val="20"/>
                      <w:color w:val="000000"/>
                    </w:rPr>
                    <w:t>IP55</w:t>
                  </w:r>
                  <w:r>
                    <w:br/>
                  </w:r>
                  <w:r>
                    <w:rPr>
                      <w:sz w:val="20"/>
                      <w:color w:val="000000"/>
                    </w:rPr>
                    <w:t>含安装费用及抱杆安装钢扎带等配件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1200.00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落地箱</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定制</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尺寸：</w:t>
                  </w:r>
                  <w:r>
                    <w:rPr>
                      <w:sz w:val="20"/>
                      <w:color w:val="000000"/>
                    </w:rPr>
                    <w:t>600mm（宽）× 800mm（高）× 450mm（深）（不含帽檐和基座）</w:t>
                  </w:r>
                  <w:r>
                    <w:br/>
                  </w:r>
                  <w:r>
                    <w:rPr>
                      <w:sz w:val="20"/>
                      <w:color w:val="000000"/>
                    </w:rPr>
                    <w:t>含双路</w:t>
                  </w:r>
                  <w:r>
                    <w:rPr>
                      <w:sz w:val="20"/>
                      <w:color w:val="000000"/>
                    </w:rPr>
                    <w:t>220V防雷，双路空气开关1个，单路空气开关8个，三芯维护插座1个防护等级IP55</w:t>
                  </w:r>
                  <w:r>
                    <w:br/>
                  </w:r>
                  <w:r>
                    <w:rPr>
                      <w:sz w:val="20"/>
                      <w:color w:val="000000"/>
                    </w:rPr>
                    <w:t>机柜为单层机构，外侧钣金厚度为</w:t>
                  </w:r>
                  <w:r>
                    <w:rPr>
                      <w:sz w:val="20"/>
                      <w:color w:val="000000"/>
                    </w:rPr>
                    <w:t>1.3mm，风扇安装在柜体的顶部居中位置，</w:t>
                  </w:r>
                  <w:r>
                    <w:br/>
                  </w:r>
                  <w:r>
                    <w:rPr>
                      <w:sz w:val="20"/>
                      <w:color w:val="000000"/>
                    </w:rPr>
                    <w:t>机柜内含照明模块，机柜采用主体焊接、部分拼装的结构，门锁采用户外机柜防水锁，使用三复合的三元乙丙优质密封条，机柜底部设有进出线缆仓</w:t>
                  </w:r>
                  <w:r>
                    <w:br/>
                  </w:r>
                  <w:r>
                    <w:rPr>
                      <w:sz w:val="20"/>
                      <w:color w:val="000000"/>
                    </w:rPr>
                    <w:t>含安装费用及安装时工具配件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光纤收发器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千兆单模单芯</w:t>
                  </w:r>
                  <w:r>
                    <w:rPr>
                      <w:sz w:val="20"/>
                      <w:color w:val="000000"/>
                    </w:rPr>
                    <w:t>SC口光纤收发器</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574.00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工业光纤收发器（带</w:t>
                  </w:r>
                  <w:r>
                    <w:rPr>
                      <w:sz w:val="20"/>
                      <w:color w:val="000000"/>
                    </w:rPr>
                    <w:t>485）</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导轨式工业级</w:t>
                  </w:r>
                  <w:r>
                    <w:rPr>
                      <w:sz w:val="20"/>
                      <w:color w:val="000000"/>
                    </w:rPr>
                    <w:t>1光4电千兆收发器（带485接口）</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对</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1446.00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路口数据汇聚转发设备</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16口全千兆交换机 存储转发交换方式</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2119.00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工业级</w:t>
                  </w:r>
                  <w:r>
                    <w:rPr>
                      <w:sz w:val="20"/>
                      <w:color w:val="000000"/>
                    </w:rPr>
                    <w:t>5口接入设备</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5口千兆工业级</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769.00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收发器专用电源</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工业级光收发器供电电源</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119.00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高清抓拍机电源</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KPB-060F2 12V5A 5V方波专用电源</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149.00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防护罩</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CHU-1100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22寸摄像机防护罩（含接线排及温控风扇）</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高清镜头</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12-20毫米定焦镜头（电警专用）</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电子警察抓拍机（环保带港澳单牌车识别）</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iDS-TCE900-HM(B)/MPR/12</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环保摄像机带三地车牌识别，含安装的钢轧带等配件（含一年质保期）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11800.00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电子警察人脸抓拍机（环保带港澳单牌车识别）</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iDS-TCE900-HEM(B)/MPR/50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环保摄像机带三地车牌识别，含安装的钢轧带等配件（含一年质保期）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11800.00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国标防漏电</w:t>
                  </w:r>
                  <w:r>
                    <w:rPr>
                      <w:sz w:val="20"/>
                      <w:color w:val="000000"/>
                    </w:rPr>
                    <w:t>5口插排</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5口供电插排</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38.50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空气开关</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2P32A</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27.00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空气开关</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1P10A</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24.00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自动重合漏电开关</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64A</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（含一年质保期）</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320.00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终端处理服务器维修</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更换主板</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项</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高清摄像机维修</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更换主板</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项</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2500.00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抓拍机安装支架</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安装支架</w:t>
                  </w:r>
                  <w:r>
                    <w:rPr>
                      <w:sz w:val="20"/>
                      <w:color w:val="000000"/>
                    </w:rPr>
                    <w:t>(含安装钢扎带)</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45.00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球机安装支架</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安装支架</w:t>
                  </w:r>
                  <w:r>
                    <w:rPr>
                      <w:sz w:val="20"/>
                      <w:color w:val="000000"/>
                    </w:rPr>
                    <w:t>(含安装钢扎带)</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45.00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补光灯安装支架</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安装支架</w:t>
                  </w:r>
                  <w:r>
                    <w:rPr>
                      <w:sz w:val="20"/>
                      <w:color w:val="000000"/>
                    </w:rPr>
                    <w:t>(含安装钢扎带)</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45.00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沙井</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水泥井盖、挖井坑及外运余泥</w:t>
                  </w:r>
                  <w:r>
                    <w:rPr>
                      <w:sz w:val="20"/>
                      <w:color w:val="000000"/>
                    </w:rPr>
                    <w:t>5km</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633.00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顶管</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双管</w:t>
                  </w:r>
                  <w:r>
                    <w:rPr>
                      <w:sz w:val="20"/>
                      <w:color w:val="000000"/>
                    </w:rPr>
                    <w:t>PE直径110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含施工费</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230.00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开挖绿化带</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开挖截面</w:t>
                  </w:r>
                  <w:r>
                    <w:rPr>
                      <w:sz w:val="20"/>
                      <w:color w:val="000000"/>
                    </w:rPr>
                    <w:t>600×400、回填土与恢复绿化、外运余泥</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34.00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人行路面开挖</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开挖截面</w:t>
                  </w:r>
                  <w:r>
                    <w:rPr>
                      <w:sz w:val="20"/>
                      <w:color w:val="000000"/>
                    </w:rPr>
                    <w:t>600×400、回填土与恢复人行道砖、外运余泥</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59.00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大理石路面开挖</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开挖截面</w:t>
                  </w:r>
                  <w:r>
                    <w:rPr>
                      <w:sz w:val="20"/>
                      <w:color w:val="000000"/>
                    </w:rPr>
                    <w:t>600×400、回填土与恢复大理石砖、外运余泥</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施工，大理石路面切割破开，打掉混凝土层，铺设管道后混凝土浇灌，需要找回同颜色同类型大理石恢复</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220.00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铺设</w:t>
                  </w:r>
                  <w:r>
                    <w:rPr>
                      <w:sz w:val="20"/>
                      <w:color w:val="000000"/>
                    </w:rPr>
                    <w:t>φ50pvc管</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人工铺设双排</w:t>
                  </w:r>
                  <w:r>
                    <w:rPr>
                      <w:sz w:val="20"/>
                      <w:color w:val="000000"/>
                    </w:rPr>
                    <w:t>φ50pvc管、管内穿电缆线及埋管</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23.00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混凝土沙井盖</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600*600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291.00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铸铁沙井盖</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600*600</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397.00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网线</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户外专用六类网线</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3.70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RVV 3*1.5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8.08</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电源线</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RVV 3*2.5</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11.49</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控制线</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RVSP 2*1</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4.96</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光缆</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4芯光缆</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米</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1.97</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光纤熔接及配件</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熔纤盘</w:t>
                  </w:r>
                  <w:r>
                    <w:rPr>
                      <w:sz w:val="20"/>
                      <w:color w:val="000000"/>
                    </w:rPr>
                    <w:t>/尾纤/光缆熔接等配件</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一条光缆</w:t>
                  </w:r>
                  <w:r>
                    <w:rPr>
                      <w:sz w:val="20"/>
                      <w:color w:val="000000"/>
                    </w:rPr>
                    <w:t>4芯，含相应的配件</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方向</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430.00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光纤跳线</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电信级</w:t>
                  </w:r>
                  <w:r>
                    <w:rPr>
                      <w:sz w:val="20"/>
                      <w:color w:val="000000"/>
                    </w:rPr>
                    <w:t>3米光纤跳线</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28.00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网络跳线</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电信级</w:t>
                  </w:r>
                  <w:r>
                    <w:rPr>
                      <w:sz w:val="20"/>
                      <w:color w:val="000000"/>
                    </w:rPr>
                    <w:t>3米六类户外专用</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条</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18.00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电子警察杆件</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6米,横臂6米，含杆件运维及安装</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6900.00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50</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电子警察杆件</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6米,横臂8米，含杆件运维及安装</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电子警察杆件</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高</w:t>
                  </w:r>
                  <w:r>
                    <w:rPr>
                      <w:sz w:val="20"/>
                      <w:color w:val="000000"/>
                    </w:rPr>
                    <w:t>6米,横臂10米，含杆件运维及安装</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9800.00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布线人工费用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3人布线穿管费用(含穿线器等工具租用)</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项</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700.00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人工费用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2人一组检查设备/拆装设备/维修设备</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项</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设备调试费用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新设备安装重新调试费用（抓拍设施每套计算，补光设备按每个方向计算）</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登高车租用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8小时为一台班（含司机及油费等）</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台班</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运维车辆租用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8小时为一台班（含司机及油费等）</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台班</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500.00</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57</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吊车租用</w:t>
                  </w:r>
                </w:p>
              </w:tc>
              <w:tc>
                <w:tcPr>
                  <w:tcW w:type="dxa" w:w="1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8小时为一台班（含司机及油费等）</w:t>
                  </w:r>
                </w:p>
              </w:tc>
              <w:tc>
                <w:tcPr>
                  <w:tcW w:type="dxa" w:w="1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台班</w:t>
                  </w:r>
                </w:p>
              </w:tc>
              <w:tc>
                <w:tcPr>
                  <w:tcW w:type="dxa" w:w="6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1450.00</w:t>
                  </w:r>
                </w:p>
              </w:tc>
            </w:tr>
          </w:tbl>
          <w:p>
            <w:pPr>
              <w:pStyle w:val="null3"/>
              <w:ind w:firstLine="420"/>
              <w:jc w:val="both"/>
            </w:pPr>
            <w:r>
              <w:rPr>
                <w:sz w:val="21"/>
              </w:rPr>
              <w:t>注：上述价格为最高预算单价，</w:t>
            </w:r>
            <w:r>
              <w:rPr>
                <w:sz w:val="21"/>
              </w:rPr>
              <w:t>本项目的投标报价采用折扣率（</w:t>
            </w:r>
            <w:r>
              <w:rPr>
                <w:sz w:val="21"/>
              </w:rPr>
              <w:t>%）报价，报价范围：0% - 100%，且该投标折扣必须为固定数值，不接受区间报价。</w:t>
            </w:r>
            <w:r>
              <w:rPr>
                <w:sz w:val="21"/>
              </w:rPr>
              <w:t>本项目需根据实际需求实施，不保证工程总量，最终结算价按实际发生的工程量结算。</w:t>
            </w:r>
          </w:p>
          <w:p>
            <w:pPr>
              <w:pStyle w:val="null3"/>
              <w:ind w:firstLine="420"/>
              <w:jc w:val="both"/>
            </w:pPr>
            <w:r>
              <w:rPr>
                <w:sz w:val="21"/>
              </w:rPr>
              <w:t>工程量增减</w:t>
            </w:r>
            <w:r>
              <w:rPr>
                <w:sz w:val="21"/>
              </w:rPr>
              <w:t>:超出工程量清单范围的新增项目，须经采购人同意后按实际情况进行的方式结算。增减工程量的项目在报价文件中有的，就按中标人中标折扣率进行计算；工程量清单中未列的项目，按照项目设计原则及中标折扣率计算，但不得超过珠海市造价站公布的同期信息单价。</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p>
            <w:pPr>
              <w:pStyle w:val="null3"/>
              <w:ind w:firstLine="420"/>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1.采购代理机构：本项目是指珠海正诺工程咨询有限公司，负责整个采购活动的组织，依法负责编制和发布招标文件，对招标文件拥有最终的解释权，不以任何身份出任评标委员会成员。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珠海市公安局交通警察支队</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作为采购代理服务费的计算基数。采购代理服务费收费采用差额定率累进法计算方式。采购代理服务费低于5000元的按照5000元计算。中标金额的各部分费率如下：金额人民币100万元以下部分的收费费率为1.8%；金额人民币100-500万元部分的收费费率为1.32%；金额人民币500-1000万元部分的收费费率为0.96%；金额人民币1000-5000万元部分的收费费率为0.60%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珠海正诺工程咨询有限公司</w:t>
      </w:r>
      <w:r>
        <w:rPr/>
        <w:t>代收。具体操作要求详见</w:t>
      </w:r>
      <w:r>
        <w:rPr/>
        <w:t>珠海正诺工程咨询有限公司</w:t>
      </w:r>
      <w:r>
        <w:rPr/>
        <w:t>有关指引，递交事宜请自行咨询</w:t>
      </w:r>
      <w:r>
        <w:rPr/>
        <w:t>珠海正诺工程咨询有限公司</w:t>
      </w:r>
      <w:r>
        <w:rPr/>
        <w:t>；请各投标人在投标文件递交截止时间前按须知前附表规定的金额递交至</w:t>
      </w:r>
      <w:r>
        <w:rPr/>
        <w:t>珠海正诺工程咨询有限公司</w:t>
      </w:r>
      <w:r>
        <w:rPr/>
        <w:t>，到账情况以开标时</w:t>
      </w:r>
      <w:r>
        <w:rPr/>
        <w:t>珠海正诺工程咨询有限公司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冯珊珊</w:t>
      </w:r>
    </w:p>
    <w:p>
      <w:pPr>
        <w:pStyle w:val="null3"/>
        <w:ind w:firstLine="480"/>
      </w:pPr>
      <w:r>
        <w:rPr/>
        <w:t>电话：</w:t>
      </w:r>
      <w:r>
        <w:rPr/>
        <w:t>0756-2897761</w:t>
      </w:r>
    </w:p>
    <w:p>
      <w:pPr>
        <w:pStyle w:val="null3"/>
        <w:ind w:firstLine="480"/>
      </w:pPr>
      <w:r>
        <w:rPr/>
        <w:t>传真：</w:t>
      </w:r>
      <w:r>
        <w:rPr/>
        <w:t>/</w:t>
      </w:r>
    </w:p>
    <w:p>
      <w:pPr>
        <w:pStyle w:val="null3"/>
        <w:ind w:firstLine="480"/>
      </w:pPr>
      <w:r>
        <w:rPr/>
        <w:t>邮箱：</w:t>
      </w:r>
      <w:r>
        <w:rPr/>
        <w:t>zhzn2020@163.com</w:t>
      </w:r>
    </w:p>
    <w:p>
      <w:pPr>
        <w:pStyle w:val="null3"/>
        <w:ind w:firstLine="480"/>
      </w:pPr>
      <w:r>
        <w:rPr/>
        <w:t>地址：</w:t>
      </w:r>
      <w:r>
        <w:rPr/>
        <w:t>珠海市香洲区兴国街4号中立信大厦902</w:t>
      </w:r>
    </w:p>
    <w:p>
      <w:pPr>
        <w:pStyle w:val="null3"/>
        <w:ind w:firstLine="480"/>
      </w:pPr>
      <w:r>
        <w:rPr/>
        <w:t>邮编：</w:t>
      </w:r>
      <w:r>
        <w:rPr/>
        <w:t>519000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政府采购监督管理机构名称：珠海市财政局</w:t>
      </w:r>
    </w:p>
    <w:p>
      <w:pPr>
        <w:pStyle w:val="null3"/>
      </w:pPr>
      <w:r>
        <w:rPr/>
        <w:t>地 址：珠海市香洲区银桦路102号珠海优特科技大厦B座702室</w:t>
      </w:r>
    </w:p>
    <w:p>
      <w:pPr>
        <w:pStyle w:val="null3"/>
      </w:pPr>
      <w:r>
        <w:rPr/>
        <w:t>电 话：0756-2602078、2653852</w:t>
      </w:r>
    </w:p>
    <w:p>
      <w:pPr>
        <w:pStyle w:val="null3"/>
      </w:pPr>
      <w:r>
        <w:rPr/>
        <w:t>邮 编：519000</w:t>
      </w:r>
    </w:p>
    <w:p>
      <w:pPr>
        <w:pStyle w:val="null3"/>
      </w:pPr>
      <w:r>
        <w:rPr/>
        <w:t>传 真：0756-2602075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珠海市公安局交警支队2025-2026年度交通技术监控设备应急保障维修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珠海正诺工程咨询有限公司</w:t>
      </w:r>
      <w:r>
        <w:rPr/>
        <w:t>统一对外发布。</w:t>
      </w:r>
    </w:p>
    <w:p>
      <w:pPr>
        <w:pStyle w:val="null3"/>
        <w:ind w:firstLine="480"/>
      </w:pPr>
      <w:r>
        <w:rPr/>
        <w:t>（2）对</w:t>
      </w:r>
      <w:r>
        <w:rPr/>
        <w:t>珠海正诺工程咨询有限公司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采购包1（珠海市公安局交警支队2025-2026年度交通技术监控设备应急保障维修服务）：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采购包1（珠海市公安局交警支队2025-2026年度交通技术监控设备应急保障维修服务）：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投标文件提供《资格条件承诺函》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投标文件提供《资格条件承诺函》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投标文件提供《资格条件承诺函》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投标文件提供《资格条件承诺函》。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许可证</w:t>
            </w:r>
          </w:p>
        </w:tc>
        <w:tc>
          <w:tcPr>
            <w:tcW w:type="dxa" w:w="4238"/>
          </w:tcPr>
          <w:p>
            <w:pPr>
              <w:pStyle w:val="null3"/>
            </w:pPr>
            <w:r>
              <w:rPr/>
              <w:t>投标人须具有有效的安全生产许可证。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采购包整体专门面向中小企业，参与的供应商服务全部由符合政策要求的中小企业承接。</w:t>
            </w:r>
          </w:p>
        </w:tc>
      </w:tr>
    </w:tbl>
    <w:p>
      <w:pPr>
        <w:pStyle w:val="null3"/>
        <w:ind w:firstLine="480"/>
      </w:pPr>
      <w:r>
        <w:rPr/>
        <w:t>表二符合性审查表：</w:t>
      </w:r>
    </w:p>
    <w:p>
      <w:pPr>
        <w:pStyle w:val="null3"/>
      </w:pPr>
      <w:r>
        <w:rPr/>
        <w:t>采购包1（珠海市公安局交警支队2025-2026年度交通技术监控设备应急保障维修服务）：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投标报价审查是否合格</w:t>
            </w:r>
          </w:p>
        </w:tc>
      </w:tr>
      <w:tr>
        <w:tc>
          <w:tcPr>
            <w:tcW w:type="dxa" w:w="890"/>
          </w:tcPr>
          <w:p>
            <w:pPr>
              <w:pStyle w:val="null3"/>
            </w:pPr>
            <w:r>
              <w:rPr/>
              <w:t>2</w:t>
            </w:r>
          </w:p>
        </w:tc>
        <w:tc>
          <w:tcPr>
            <w:tcW w:type="dxa" w:w="3178"/>
          </w:tcPr>
          <w:p>
            <w:pPr>
              <w:pStyle w:val="null3"/>
            </w:pPr>
            <w:r>
              <w:rPr/>
              <w:t>按照招标文件规定加盖公章和签署</w:t>
            </w:r>
          </w:p>
        </w:tc>
        <w:tc>
          <w:tcPr>
            <w:tcW w:type="dxa" w:w="4238"/>
          </w:tcPr>
          <w:p>
            <w:pPr>
              <w:pStyle w:val="null3"/>
            </w:pPr>
            <w:r>
              <w:rPr/>
              <w:t>是否按照招标文件规定加盖公章和签署</w:t>
            </w:r>
          </w:p>
        </w:tc>
      </w:tr>
      <w:tr>
        <w:tc>
          <w:tcPr>
            <w:tcW w:type="dxa" w:w="890"/>
          </w:tcPr>
          <w:p>
            <w:pPr>
              <w:pStyle w:val="null3"/>
            </w:pPr>
            <w:r>
              <w:rPr/>
              <w:t>3</w:t>
            </w:r>
          </w:p>
        </w:tc>
        <w:tc>
          <w:tcPr>
            <w:tcW w:type="dxa" w:w="3178"/>
          </w:tcPr>
          <w:p>
            <w:pPr>
              <w:pStyle w:val="null3"/>
            </w:pPr>
            <w:r>
              <w:rPr/>
              <w:t>按照招标文件规定提供法定代表人/负责人/自然人资格证明书及授权委托书</w:t>
            </w:r>
          </w:p>
        </w:tc>
        <w:tc>
          <w:tcPr>
            <w:tcW w:type="dxa" w:w="4238"/>
          </w:tcPr>
          <w:p>
            <w:pPr>
              <w:pStyle w:val="null3"/>
            </w:pPr>
            <w:r>
              <w:rPr/>
              <w:t>是否按照招标文件规定提供法定代表人/负责人/自然人资格证明书及授权委托书</w:t>
            </w:r>
          </w:p>
        </w:tc>
      </w:tr>
      <w:tr>
        <w:tc>
          <w:tcPr>
            <w:tcW w:type="dxa" w:w="890"/>
          </w:tcPr>
          <w:p>
            <w:pPr>
              <w:pStyle w:val="null3"/>
            </w:pPr>
            <w:r>
              <w:rPr/>
              <w:t>4</w:t>
            </w:r>
          </w:p>
        </w:tc>
        <w:tc>
          <w:tcPr>
            <w:tcW w:type="dxa" w:w="3178"/>
          </w:tcPr>
          <w:p>
            <w:pPr>
              <w:pStyle w:val="null3"/>
            </w:pPr>
            <w:r>
              <w:rPr/>
              <w:t>投标文件没有招标文件中规定的其它无效投标条款的</w:t>
            </w:r>
          </w:p>
        </w:tc>
        <w:tc>
          <w:tcPr>
            <w:tcW w:type="dxa" w:w="4238"/>
          </w:tcPr>
          <w:p>
            <w:pPr>
              <w:pStyle w:val="null3"/>
            </w:pPr>
            <w:r>
              <w:rPr/>
              <w:t>投标文件是否有招标文件中规定的其它无效投标条款的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采购包1(珠海市公安局交警支队2025-2026年度交通技术监控设备应急保障维修服务):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人员配备 (20.0分)</w:t>
            </w:r>
          </w:p>
        </w:tc>
        <w:tc>
          <w:tcPr>
            <w:tcW w:type="dxa" w:w="5076"/>
          </w:tcPr>
          <w:p>
            <w:pPr>
              <w:pStyle w:val="null3"/>
              <w:jc w:val="left"/>
            </w:pPr>
            <w:r>
              <w:rPr/>
              <w:t>根据各投标人拟派常驻技术人员情况进行评分： 1.供应商拟派项目经理的资质具有机电专业一级注册建造师证书且具有中级或以上工程师职称得3分； 2.供应商拟派技术负责人具有信息系统项目高级管理工程师得2分； 3.供应商拟派技术人员具有有效的公共安防从业人员资格证或参加安全技术防范行业协会继续教育培训合格证或公共安全类中级工程师以上(含中级)职称的每人得1分，最高得3分； 4.供应商拟派设备维护人员具有有效电工证的,每人得1.5分，最多得6分； 5.供应商拟派高空作业人员具有有效高空作业许可证（或高处作业证或高空作业证）的，每人得2分，最高得6分； 注：1、同一人员如有多个证书不可重复计分。2、须分别提供上述人员相关证书复印件并加盖供应商公章作为证明材料，否则不得分。3、须提供上述人员在本单位（或总公司/分公司）为其购买的近6个月社会保险证明的复印件并加盖供应商公章作为证明材料，否则不得分。</w:t>
            </w:r>
          </w:p>
        </w:tc>
      </w:tr>
      <w:tr>
        <w:tc>
          <w:tcPr>
            <w:tcW w:type="dxa" w:w="922"/>
            <w:gridSpan w:val="2"/>
            <w:vMerge/>
          </w:tcPr>
          <w:p/>
        </w:tc>
        <w:tc>
          <w:tcPr>
            <w:tcW w:type="dxa" w:w="2307"/>
          </w:tcPr>
          <w:p>
            <w:pPr>
              <w:pStyle w:val="null3"/>
              <w:jc w:val="left"/>
            </w:pPr>
            <w:r>
              <w:rPr/>
              <w:t>主要材料及备品备件 (10.0分)</w:t>
            </w:r>
          </w:p>
        </w:tc>
        <w:tc>
          <w:tcPr>
            <w:tcW w:type="dxa" w:w="5076"/>
          </w:tcPr>
          <w:p>
            <w:pPr>
              <w:pStyle w:val="null3"/>
              <w:jc w:val="left"/>
            </w:pPr>
            <w:r>
              <w:rPr/>
              <w:t>根据各投标人拟承诺投入本项目的主要材料及备品备件的数量、质量管控方案，存储方式等情况进行评分： 优（10）分：拟投入本项目的主要材料及备品备件的数量完全满足项目需求、质量管控方案科学性强，存储方式合理性强。 良（6）分：拟投入本项目的主要材料及备品备件的数量满足项目需求、质量管控方案科学性较强，存储方式合理性较强。 一般（3）分：拟投入本项目的主要材料及备品备件的数量基本满足项目需求、质量管控方案科学性一般，存储方式合理性一般。 差（0）分：拟投入本项目的主要材料及备品备件的数量不满足项目需求、质量管控方案不科学，存储方式不合理。或未提供相关资料不得分。</w:t>
            </w:r>
          </w:p>
        </w:tc>
      </w:tr>
      <w:tr>
        <w:tc>
          <w:tcPr>
            <w:tcW w:type="dxa" w:w="922"/>
            <w:gridSpan w:val="2"/>
            <w:vMerge/>
          </w:tcPr>
          <w:p/>
        </w:tc>
        <w:tc>
          <w:tcPr>
            <w:tcW w:type="dxa" w:w="2307"/>
          </w:tcPr>
          <w:p>
            <w:pPr>
              <w:pStyle w:val="null3"/>
              <w:jc w:val="left"/>
            </w:pPr>
            <w:r>
              <w:rPr/>
              <w:t>车辆工具配备 (20.0分)</w:t>
            </w:r>
          </w:p>
        </w:tc>
        <w:tc>
          <w:tcPr>
            <w:tcW w:type="dxa" w:w="5076"/>
          </w:tcPr>
          <w:p>
            <w:pPr>
              <w:pStyle w:val="null3"/>
              <w:jc w:val="left"/>
            </w:pPr>
            <w:r>
              <w:rPr/>
              <w:t>根据投标人拟投入本项目并专供本项目使用的自有或租赁设备逐项评分： 1.投标人具有高空作业车的得4分，满分4分； 2.投标人具有发电机的得2分，满分4分。 3.投标人具有串行数据分析仪的得2分，满分4分。 4.投标人具有光纤熔接机的得2分，满分2分。 5.投标人具有RCL测试仪的得2分，满分2分。 6.投标人具有线缆测试仪的得2分，满分2分。 7.投标人具有视频信号发生器的得2分，满分2分。 以上7项合计满分为20分。 注：投标文件中提供以上设备为自有或租赁设备的证明文件（车辆须提供行驶证及购置发票或租赁合同复印件加盖公章，设备须提供购置发票或租赁合同复印件加盖公章）。</w:t>
            </w:r>
          </w:p>
        </w:tc>
      </w:tr>
      <w:tr>
        <w:tc>
          <w:tcPr>
            <w:tcW w:type="dxa" w:w="922"/>
            <w:gridSpan w:val="2"/>
            <w:vMerge/>
          </w:tcPr>
          <w:p/>
        </w:tc>
        <w:tc>
          <w:tcPr>
            <w:tcW w:type="dxa" w:w="2307"/>
          </w:tcPr>
          <w:p>
            <w:pPr>
              <w:pStyle w:val="null3"/>
              <w:jc w:val="left"/>
            </w:pPr>
            <w:r>
              <w:rPr/>
              <w:t>服务组织计划 (10.0分)</w:t>
            </w:r>
          </w:p>
        </w:tc>
        <w:tc>
          <w:tcPr>
            <w:tcW w:type="dxa" w:w="5076"/>
          </w:tcPr>
          <w:p>
            <w:pPr>
              <w:pStyle w:val="null3"/>
              <w:jc w:val="left"/>
            </w:pPr>
            <w:r>
              <w:rPr/>
              <w:t>根据各供应商承接本项目的服务组织计划进行评审: 优（10）分：维护服务方案的制定清晰、准确、完整，计划编制合理、可行；安全风险控制措施有力、合理、可行； 良（6）分：维护服务方案的制定较清晰、准确、完整，计划编制较可行；安全风险控制措施较合理、可行； 一般（4）分：维护服务方案的制定一般完整，计划编制一般可行； 差（1）分：维护服务方案的制定不够准确，计划编制不够合理；安全风险控制措施不够可行；</w:t>
            </w:r>
          </w:p>
        </w:tc>
      </w:tr>
      <w:tr>
        <w:tc>
          <w:tcPr>
            <w:tcW w:type="dxa" w:w="922"/>
            <w:gridSpan w:val="2"/>
            <w:vMerge w:val="restart"/>
          </w:tcPr>
          <w:p>
            <w:pPr>
              <w:pStyle w:val="null3"/>
              <w:jc w:val="center"/>
            </w:pPr>
            <w:r>
              <w:rPr/>
              <w:t>商务部分</w:t>
            </w:r>
          </w:p>
        </w:tc>
        <w:tc>
          <w:tcPr>
            <w:tcW w:type="dxa" w:w="2307"/>
          </w:tcPr>
          <w:p>
            <w:pPr>
              <w:pStyle w:val="null3"/>
              <w:jc w:val="left"/>
            </w:pPr>
            <w:r>
              <w:rPr/>
              <w:t>相关业绩 (18.0分)</w:t>
            </w:r>
          </w:p>
        </w:tc>
        <w:tc>
          <w:tcPr>
            <w:tcW w:type="dxa" w:w="5076"/>
          </w:tcPr>
          <w:p>
            <w:pPr>
              <w:pStyle w:val="null3"/>
              <w:jc w:val="left"/>
            </w:pPr>
            <w:r>
              <w:rPr/>
              <w:t>投标人自2020年1月1日以来（以合同签订时间为准）签订的交通监控维护合同业绩每个得2分，最多计9项，满分18分。 注：投标文件中提供中标通知书、合同关键页复印件加盖公章。</w:t>
            </w:r>
          </w:p>
        </w:tc>
      </w:tr>
      <w:tr>
        <w:tc>
          <w:tcPr>
            <w:tcW w:type="dxa" w:w="922"/>
            <w:gridSpan w:val="2"/>
            <w:vMerge/>
          </w:tcPr>
          <w:p/>
        </w:tc>
        <w:tc>
          <w:tcPr>
            <w:tcW w:type="dxa" w:w="2307"/>
          </w:tcPr>
          <w:p>
            <w:pPr>
              <w:pStyle w:val="null3"/>
              <w:jc w:val="left"/>
            </w:pPr>
            <w:r>
              <w:rPr/>
              <w:t>维护服务承诺 (7.0分)</w:t>
            </w:r>
          </w:p>
        </w:tc>
        <w:tc>
          <w:tcPr>
            <w:tcW w:type="dxa" w:w="5076"/>
          </w:tcPr>
          <w:p>
            <w:pPr>
              <w:pStyle w:val="null3"/>
              <w:jc w:val="left"/>
            </w:pPr>
            <w:r>
              <w:rPr/>
              <w:t>根据投标人机构设置承诺、维护服务承诺、问题响应及处理速度等服务方案进行评审。 优（7分）：机构设置承诺合理性强，提供的维护服务承诺可行性强，问题响应及处理速度快； 良（5分）：机构设置承诺较合理性一般，提供的维护服务承诺可行性一般，问题响应及处理速度一般； 中（3分）：机构设置承诺相对合理，提供的维护服务承诺可行性较差，问题响应及处理速度较差； 差（1分）：机构设置承诺不合理，提供的维护服务承诺可行性差，问题响应及处理速度差。</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依据《关于加强珠海市政府采购供应商诚信管理有关事项的通知》珠财采通〔2022〕20 号文规定，采购代理机构在评审活动开始前（评审当天），通过广东政府采购网“其他监管检查公告”栏和珠海市财政局网站“信用财政”栏查询投标（响应）供应商诚信状况，提供给评审委员会，由评审委员会根据以下公式进行评审：投标（响应）供应商得分=诚信记录得分×5%。 注：首次参加珠海市政府采购活动的供应商诚信管理基础得分为100 分，在广东政府采购网“其他监管检查公告”栏和珠海市财政局网站“信用财政”栏查询不到相关供应商扣分记录的，视为该供应商年度诚信记录得分为 100 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440401-2025-01554</w:t>
      </w:r>
    </w:p>
    <w:p>
      <w:pPr>
        <w:pStyle w:val="null3"/>
        <w:jc w:val="center"/>
        <w:outlineLvl w:val="3"/>
      </w:pPr>
      <w:r>
        <w:rPr>
          <w:sz w:val="24"/>
          <w:b/>
        </w:rPr>
        <w:t>采购项目编号：</w:t>
      </w:r>
      <w:r>
        <w:rPr>
          <w:sz w:val="24"/>
          <w:b/>
        </w:rPr>
        <w:t>ZHZN2025-058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珠海正诺工程咨询有限公司</w:t>
      </w:r>
    </w:p>
    <w:p>
      <w:pPr>
        <w:pStyle w:val="null3"/>
        <w:ind w:firstLine="480"/>
      </w:pPr>
      <w:r>
        <w:rPr/>
        <w:t xml:space="preserve"> 你方组织的</w:t>
      </w:r>
      <w:r>
        <w:rPr>
          <w:u w:val="single"/>
        </w:rPr>
        <w:t>“</w:t>
      </w:r>
      <w:r>
        <w:rPr>
          <w:u w:val="single"/>
        </w:rPr>
        <w:t>珠海市公安局交警支队2025-2026年度交通技术监控设备应急保障维修服务采购项目</w:t>
      </w:r>
      <w:r>
        <w:rPr>
          <w:u w:val="single"/>
        </w:rPr>
        <w:t>”</w:t>
      </w:r>
      <w:r>
        <w:rPr/>
        <w:t>项目的招标[采购项目编号为：</w:t>
      </w:r>
      <w:r>
        <w:rPr>
          <w:u w:val="single"/>
        </w:rPr>
        <w:t>ZHZN2025-058</w:t>
      </w:r>
      <w:r>
        <w:rPr/>
        <w:t>]，我方愿参与投标。</w:t>
      </w:r>
    </w:p>
    <w:p>
      <w:pPr>
        <w:pStyle w:val="null3"/>
        <w:ind w:firstLine="480"/>
      </w:pPr>
      <w:r>
        <w:rPr/>
        <w:t>我方确认收到贵方提供的</w:t>
      </w:r>
      <w:r>
        <w:rPr>
          <w:u w:val="single"/>
        </w:rPr>
        <w:t>“</w:t>
      </w:r>
      <w:r>
        <w:rPr>
          <w:u w:val="single"/>
        </w:rPr>
        <w:t>珠海市公安局交警支队2025-2026年度交通技术监控设备应急保障维修服务采购项目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珠海正诺工程咨询有限公司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珠海市公安局交警支队2025-2026年度交通技术监控设备应急保障维修服务采购项目</w:t>
      </w:r>
      <w:r>
        <w:rPr/>
        <w:t>”项目采购[采购项目编号为</w:t>
      </w:r>
      <w:r>
        <w:rPr/>
        <w:t>ZHZN2025-058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珠海市公安局交通警察支队</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珠海正诺工程咨询有限公司</w:t>
      </w:r>
    </w:p>
    <w:p>
      <w:pPr>
        <w:pStyle w:val="null3"/>
        <w:ind w:firstLine="480"/>
      </w:pPr>
      <w:r>
        <w:rPr/>
        <w:t xml:space="preserve"> 如果我方在贵采购代理机构组织的</w:t>
      </w:r>
      <w:r>
        <w:rPr/>
        <w:t>珠海市公安局交警支队2025-2026年度交通技术监控设备应急保障维修服务采购项目</w:t>
      </w:r>
      <w:r>
        <w:rPr/>
        <w:t>招标中获中标（采购项目编号：</w:t>
      </w:r>
      <w:r>
        <w:rPr/>
        <w:t>ZHZN2025-058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珠海正诺工程咨询有限公司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珠海正诺工程咨询有限公司</w:t>
      </w:r>
    </w:p>
    <w:p>
      <w:pPr>
        <w:pStyle w:val="null3"/>
        <w:ind w:firstLine="480"/>
      </w:pPr>
      <w:r>
        <w:rPr/>
        <w:t>我单位已登记并准备参与“</w:t>
      </w:r>
      <w:r>
        <w:rPr/>
        <w:t>珠海市公安局交警支队2025-2026年度交通技术监控设备应急保障维修服务采购项目</w:t>
      </w:r>
      <w:r>
        <w:rPr/>
        <w:t>”项目（采购项目编号：</w:t>
      </w:r>
      <w:r>
        <w:rPr/>
        <w:t>ZHZN2025-058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