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A0506">
      <w:pPr>
        <w:pStyle w:val="2"/>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政府采购合同</w:t>
      </w:r>
    </w:p>
    <w:p w14:paraId="2E124F1C">
      <w:pPr>
        <w:keepNext w:val="0"/>
        <w:keepLines w:val="0"/>
        <w:pageBreakBefore w:val="0"/>
        <w:widowControl w:val="0"/>
        <w:kinsoku/>
        <w:wordWrap w:val="0"/>
        <w:overflowPunct/>
        <w:topLinePunct/>
        <w:autoSpaceDE/>
        <w:autoSpaceDN/>
        <w:bidi w:val="0"/>
        <w:adjustRightInd w:val="0"/>
        <w:snapToGrid w:val="0"/>
        <w:spacing w:line="440" w:lineRule="exact"/>
        <w:jc w:val="left"/>
        <w:textAlignment w:val="auto"/>
        <w:rPr>
          <w:rFonts w:hint="eastAsia" w:ascii="宋体" w:hAnsi="宋体" w:eastAsia="宋体" w:cs="Times New Roman"/>
          <w:i w:val="0"/>
          <w:iCs w:val="0"/>
          <w:snapToGrid w:val="0"/>
          <w:color w:val="auto"/>
          <w:kern w:val="2"/>
          <w:sz w:val="24"/>
          <w:szCs w:val="24"/>
          <w:highlight w:val="none"/>
          <w:lang w:val="en-US" w:eastAsia="zh-CN" w:bidi="ar-SA"/>
        </w:rPr>
      </w:pPr>
    </w:p>
    <w:p w14:paraId="41136B46">
      <w:pPr>
        <w:wordWrap w:val="0"/>
        <w:topLinePunct/>
        <w:adjustRightInd w:val="0"/>
        <w:snapToGrid w:val="0"/>
        <w:spacing w:line="440" w:lineRule="exact"/>
        <w:ind w:firstLine="480" w:firstLineChars="200"/>
        <w:jc w:val="left"/>
        <w:rPr>
          <w:rFonts w:ascii="宋体" w:hAnsi="宋体" w:eastAsia="宋体" w:cs="Times New Roman"/>
          <w:snapToGrid w:val="0"/>
          <w:sz w:val="24"/>
          <w:szCs w:val="24"/>
        </w:rPr>
      </w:pPr>
      <w:r>
        <w:rPr>
          <w:rFonts w:hint="eastAsia" w:ascii="宋体" w:hAnsi="宋体" w:eastAsia="宋体" w:cs="Times New Roman"/>
          <w:snapToGrid w:val="0"/>
          <w:sz w:val="24"/>
          <w:szCs w:val="24"/>
        </w:rPr>
        <w:t>合同编号：</w:t>
      </w:r>
      <w:r>
        <w:rPr>
          <w:rFonts w:hint="eastAsia" w:ascii="宋体" w:hAnsi="宋体" w:eastAsia="宋体" w:cs="Times New Roman"/>
          <w:snapToGrid w:val="0"/>
          <w:sz w:val="24"/>
          <w:szCs w:val="24"/>
          <w:u w:val="single"/>
        </w:rPr>
        <w:t xml:space="preserve">          </w:t>
      </w:r>
      <w:r>
        <w:rPr>
          <w:rFonts w:hint="eastAsia" w:ascii="宋体" w:hAnsi="宋体" w:eastAsia="宋体" w:cs="Times New Roman"/>
          <w:snapToGrid w:val="0"/>
          <w:sz w:val="24"/>
          <w:szCs w:val="24"/>
        </w:rPr>
        <w:t>(与项目编号一致)</w:t>
      </w:r>
    </w:p>
    <w:p w14:paraId="529BFAC3">
      <w:pPr>
        <w:wordWrap w:val="0"/>
        <w:topLinePunct/>
        <w:adjustRightInd w:val="0"/>
        <w:snapToGrid w:val="0"/>
        <w:spacing w:line="440" w:lineRule="exact"/>
        <w:ind w:firstLine="480" w:firstLineChars="200"/>
        <w:jc w:val="left"/>
        <w:rPr>
          <w:rFonts w:ascii="宋体" w:hAnsi="宋体" w:eastAsia="宋体" w:cs="Times New Roman"/>
          <w:snapToGrid w:val="0"/>
          <w:sz w:val="24"/>
          <w:szCs w:val="24"/>
          <w:u w:val="single"/>
        </w:rPr>
      </w:pPr>
      <w:r>
        <w:rPr>
          <w:rFonts w:hint="eastAsia" w:ascii="宋体" w:hAnsi="宋体" w:eastAsia="宋体" w:cs="Times New Roman"/>
          <w:snapToGrid w:val="0"/>
          <w:sz w:val="24"/>
          <w:szCs w:val="24"/>
        </w:rPr>
        <w:t>签订地点：</w:t>
      </w:r>
      <w:r>
        <w:rPr>
          <w:rFonts w:hint="eastAsia" w:ascii="宋体" w:hAnsi="宋体" w:eastAsia="宋体" w:cs="Times New Roman"/>
          <w:snapToGrid w:val="0"/>
          <w:sz w:val="24"/>
          <w:szCs w:val="24"/>
          <w:u w:val="single"/>
        </w:rPr>
        <w:t xml:space="preserve">                     </w:t>
      </w:r>
    </w:p>
    <w:p w14:paraId="3A52E84F">
      <w:pPr>
        <w:wordWrap w:val="0"/>
        <w:topLinePunct/>
        <w:adjustRightInd w:val="0"/>
        <w:snapToGrid w:val="0"/>
        <w:spacing w:line="440" w:lineRule="exact"/>
        <w:ind w:firstLine="480" w:firstLineChars="200"/>
        <w:jc w:val="left"/>
        <w:rPr>
          <w:rFonts w:ascii="宋体" w:hAnsi="宋体" w:eastAsia="宋体" w:cs="Times New Roman"/>
          <w:snapToGrid w:val="0"/>
          <w:sz w:val="24"/>
          <w:szCs w:val="24"/>
          <w:u w:val="single"/>
        </w:rPr>
      </w:pPr>
      <w:r>
        <w:rPr>
          <w:rFonts w:hint="eastAsia" w:ascii="宋体" w:hAnsi="宋体" w:eastAsia="宋体" w:cs="Times New Roman"/>
          <w:snapToGrid w:val="0"/>
          <w:sz w:val="24"/>
          <w:szCs w:val="24"/>
        </w:rPr>
        <w:t>签订时间：</w:t>
      </w:r>
      <w:r>
        <w:rPr>
          <w:rFonts w:hint="eastAsia" w:ascii="宋体" w:hAnsi="宋体" w:eastAsia="宋体" w:cs="Times New Roman"/>
          <w:snapToGrid w:val="0"/>
          <w:sz w:val="24"/>
          <w:szCs w:val="24"/>
          <w:u w:val="single"/>
        </w:rPr>
        <w:t xml:space="preserve">                     </w:t>
      </w:r>
    </w:p>
    <w:p w14:paraId="3643F56D">
      <w:pPr>
        <w:wordWrap w:val="0"/>
        <w:topLinePunct/>
        <w:adjustRightInd w:val="0"/>
        <w:snapToGrid w:val="0"/>
        <w:spacing w:line="440" w:lineRule="exact"/>
        <w:ind w:firstLine="480" w:firstLineChars="200"/>
        <w:jc w:val="left"/>
        <w:rPr>
          <w:rFonts w:ascii="宋体" w:hAnsi="宋体" w:eastAsia="宋体" w:cs="Times New Roman"/>
          <w:snapToGrid w:val="0"/>
          <w:sz w:val="24"/>
          <w:szCs w:val="24"/>
          <w:u w:val="single"/>
        </w:rPr>
      </w:pPr>
      <w:r>
        <w:rPr>
          <w:rFonts w:hint="eastAsia" w:ascii="宋体" w:hAnsi="宋体" w:eastAsia="宋体" w:cs="Times New Roman"/>
          <w:snapToGrid w:val="0"/>
          <w:sz w:val="24"/>
          <w:szCs w:val="24"/>
        </w:rPr>
        <w:t>甲方(采购人)：</w:t>
      </w:r>
      <w:r>
        <w:rPr>
          <w:rFonts w:hint="eastAsia" w:ascii="宋体" w:hAnsi="宋体" w:eastAsia="宋体" w:cs="Times New Roman"/>
          <w:snapToGrid w:val="0"/>
          <w:sz w:val="24"/>
          <w:szCs w:val="24"/>
          <w:u w:val="single"/>
        </w:rPr>
        <w:t xml:space="preserve">                          </w:t>
      </w:r>
    </w:p>
    <w:p w14:paraId="6C21021E">
      <w:pPr>
        <w:wordWrap w:val="0"/>
        <w:topLinePunct/>
        <w:adjustRightInd w:val="0"/>
        <w:snapToGrid w:val="0"/>
        <w:spacing w:line="440" w:lineRule="exact"/>
        <w:ind w:firstLine="480" w:firstLineChars="200"/>
        <w:jc w:val="left"/>
        <w:rPr>
          <w:rFonts w:ascii="宋体" w:hAnsi="宋体" w:eastAsia="宋体" w:cs="Times New Roman"/>
          <w:snapToGrid w:val="0"/>
          <w:sz w:val="24"/>
          <w:szCs w:val="24"/>
          <w:u w:val="single"/>
        </w:rPr>
      </w:pPr>
      <w:r>
        <w:rPr>
          <w:rFonts w:hint="eastAsia" w:ascii="宋体" w:hAnsi="宋体" w:eastAsia="宋体" w:cs="Times New Roman"/>
          <w:snapToGrid w:val="0"/>
          <w:sz w:val="24"/>
          <w:szCs w:val="24"/>
        </w:rPr>
        <w:t>乙方(成交供应商)：</w:t>
      </w:r>
      <w:r>
        <w:rPr>
          <w:rFonts w:hint="eastAsia" w:ascii="宋体" w:hAnsi="宋体" w:eastAsia="宋体" w:cs="Times New Roman"/>
          <w:snapToGrid w:val="0"/>
          <w:sz w:val="24"/>
          <w:szCs w:val="24"/>
          <w:u w:val="single"/>
        </w:rPr>
        <w:t xml:space="preserve">                          </w:t>
      </w:r>
    </w:p>
    <w:p w14:paraId="2E76F1B1">
      <w:pPr>
        <w:wordWrap w:val="0"/>
        <w:topLinePunct/>
        <w:adjustRightInd w:val="0"/>
        <w:snapToGrid w:val="0"/>
        <w:spacing w:line="440" w:lineRule="exact"/>
        <w:ind w:firstLine="482" w:firstLineChars="200"/>
        <w:jc w:val="left"/>
        <w:rPr>
          <w:rFonts w:ascii="宋体" w:hAnsi="宋体" w:eastAsia="宋体" w:cs="Times New Roman"/>
          <w:b/>
          <w:bCs/>
          <w:snapToGrid w:val="0"/>
          <w:sz w:val="24"/>
          <w:szCs w:val="24"/>
          <w:highlight w:val="none"/>
        </w:rPr>
      </w:pPr>
      <w:r>
        <w:rPr>
          <w:rFonts w:hint="eastAsia" w:ascii="宋体" w:hAnsi="宋体" w:eastAsia="宋体" w:cs="Times New Roman"/>
          <w:b/>
          <w:bCs/>
          <w:snapToGrid w:val="0"/>
          <w:sz w:val="24"/>
          <w:szCs w:val="24"/>
        </w:rPr>
        <w:t>合同类型</w:t>
      </w:r>
      <w:r>
        <w:rPr>
          <w:rFonts w:hint="eastAsia" w:ascii="宋体" w:hAnsi="宋体" w:eastAsia="宋体" w:cs="Times New Roman"/>
          <w:b/>
          <w:bCs/>
          <w:snapToGrid w:val="0"/>
          <w:sz w:val="24"/>
          <w:szCs w:val="24"/>
          <w:highlight w:val="none"/>
        </w:rPr>
        <w:t>：</w:t>
      </w:r>
      <w:r>
        <w:rPr>
          <w:rFonts w:hint="eastAsia" w:ascii="宋体" w:hAnsi="宋体" w:eastAsia="宋体" w:cs="Times New Roman"/>
          <w:b/>
          <w:bCs/>
          <w:snapToGrid w:val="0"/>
          <w:sz w:val="24"/>
          <w:szCs w:val="24"/>
          <w:highlight w:val="none"/>
          <w:u w:val="single"/>
        </w:rPr>
        <w:t>承揽合同(本合同为中小企业预留合同)</w:t>
      </w:r>
    </w:p>
    <w:p w14:paraId="57191477">
      <w:pPr>
        <w:wordWrap w:val="0"/>
        <w:topLinePunct/>
        <w:adjustRightInd w:val="0"/>
        <w:snapToGrid w:val="0"/>
        <w:spacing w:line="440" w:lineRule="exact"/>
        <w:ind w:firstLine="480" w:firstLineChars="200"/>
        <w:jc w:val="left"/>
        <w:rPr>
          <w:rFonts w:ascii="宋体" w:hAnsi="宋体" w:eastAsia="宋体" w:cs="Times New Roman"/>
          <w:snapToGrid w:val="0"/>
          <w:sz w:val="24"/>
          <w:szCs w:val="24"/>
        </w:rPr>
      </w:pPr>
    </w:p>
    <w:p w14:paraId="562021F6">
      <w:pPr>
        <w:wordWrap w:val="0"/>
        <w:topLinePunct/>
        <w:adjustRightInd w:val="0"/>
        <w:snapToGrid w:val="0"/>
        <w:spacing w:line="440" w:lineRule="exact"/>
        <w:ind w:firstLine="480" w:firstLineChars="200"/>
        <w:jc w:val="left"/>
        <w:rPr>
          <w:rFonts w:ascii="宋体" w:hAnsi="宋体" w:eastAsia="宋体" w:cs="宋体"/>
          <w:snapToGrid w:val="0"/>
          <w:sz w:val="24"/>
          <w:szCs w:val="24"/>
        </w:rPr>
      </w:pPr>
      <w:r>
        <w:rPr>
          <w:rFonts w:hint="eastAsia" w:ascii="宋体" w:hAnsi="宋体" w:eastAsia="宋体" w:cs="宋体"/>
          <w:snapToGrid w:val="0"/>
          <w:sz w:val="24"/>
          <w:szCs w:val="24"/>
        </w:rPr>
        <w:t>根据《中华人民共和国民法典》《中华人民共和国政府采购法》《中华人民共和国政府采购法实施条例》(国务院令第658号)、《政府采购竞争性磋商采购方式管理暂行办法》及</w:t>
      </w:r>
      <w:r>
        <w:rPr>
          <w:rFonts w:hint="eastAsia" w:ascii="宋体" w:hAnsi="宋体" w:eastAsia="宋体" w:cs="宋体"/>
          <w:sz w:val="24"/>
          <w:szCs w:val="24"/>
          <w:lang w:eastAsia="zh-CN"/>
        </w:rPr>
        <w:t>食材供应采购</w:t>
      </w:r>
      <w:r>
        <w:rPr>
          <w:rFonts w:hint="eastAsia" w:ascii="宋体" w:hAnsi="宋体" w:eastAsia="宋体" w:cs="宋体"/>
          <w:snapToGrid w:val="0"/>
          <w:sz w:val="24"/>
          <w:szCs w:val="24"/>
        </w:rPr>
        <w:t>(项目编号：采购项目的编号)的《竞争性磋商文件》、乙方的《响应文件》及《成交通知书》，甲、乙双方同意签订本合同。详细技术说明及其他有关合同项目的特定信息由合同附件予以说明，合同附件及本项目的《竞争性磋商文件》《响应文件》《成交通知书》等均为本合同不可分割的部分。双方同意共同遵守如下条款：</w:t>
      </w:r>
    </w:p>
    <w:p w14:paraId="632DA4B6">
      <w:pPr>
        <w:numPr>
          <w:ilvl w:val="0"/>
          <w:numId w:val="5"/>
        </w:numPr>
        <w:wordWrap w:val="0"/>
        <w:topLinePunct/>
        <w:adjustRightInd w:val="0"/>
        <w:snapToGrid w:val="0"/>
        <w:spacing w:line="440" w:lineRule="exact"/>
        <w:ind w:firstLine="482" w:firstLineChars="200"/>
        <w:jc w:val="left"/>
        <w:outlineLvl w:val="1"/>
        <w:rPr>
          <w:rFonts w:ascii="宋体" w:hAnsi="宋体" w:eastAsia="宋体" w:cstheme="minorBidi"/>
          <w:b/>
          <w:snapToGrid w:val="0"/>
          <w:sz w:val="24"/>
          <w:szCs w:val="24"/>
        </w:rPr>
      </w:pPr>
      <w:bookmarkStart w:id="0" w:name="_Toc21628"/>
      <w:bookmarkStart w:id="1" w:name="_Toc3049"/>
      <w:bookmarkStart w:id="2" w:name="_Toc23466"/>
      <w:bookmarkStart w:id="3" w:name="_Toc17831"/>
      <w:r>
        <w:rPr>
          <w:rFonts w:hint="eastAsia" w:ascii="宋体" w:hAnsi="宋体" w:eastAsia="宋体" w:cstheme="minorBidi"/>
          <w:b/>
          <w:snapToGrid w:val="0"/>
          <w:sz w:val="24"/>
          <w:szCs w:val="24"/>
        </w:rPr>
        <w:t>项目基本情况</w:t>
      </w:r>
      <w:bookmarkEnd w:id="0"/>
      <w:bookmarkEnd w:id="1"/>
      <w:bookmarkEnd w:id="2"/>
      <w:bookmarkEnd w:id="3"/>
    </w:p>
    <w:p w14:paraId="6E9F359C">
      <w:pPr>
        <w:ind w:firstLine="480" w:firstLineChars="200"/>
        <w:rPr>
          <w:rFonts w:ascii="宋体" w:hAnsi="宋体" w:eastAsia="宋体"/>
        </w:rPr>
      </w:pPr>
    </w:p>
    <w:p w14:paraId="559E2425">
      <w:pPr>
        <w:numPr>
          <w:ilvl w:val="0"/>
          <w:numId w:val="5"/>
        </w:numPr>
        <w:wordWrap w:val="0"/>
        <w:topLinePunct/>
        <w:adjustRightInd w:val="0"/>
        <w:snapToGrid w:val="0"/>
        <w:spacing w:line="440" w:lineRule="exact"/>
        <w:ind w:firstLine="482" w:firstLineChars="200"/>
        <w:jc w:val="left"/>
        <w:outlineLvl w:val="1"/>
        <w:rPr>
          <w:rFonts w:ascii="宋体" w:hAnsi="宋体" w:eastAsia="宋体" w:cstheme="minorBidi"/>
          <w:b/>
          <w:snapToGrid w:val="0"/>
          <w:sz w:val="24"/>
          <w:szCs w:val="24"/>
        </w:rPr>
      </w:pPr>
      <w:bookmarkStart w:id="4" w:name="_Toc12306"/>
      <w:bookmarkStart w:id="5" w:name="_Toc12327"/>
      <w:bookmarkStart w:id="6" w:name="_Toc15161"/>
      <w:bookmarkStart w:id="7" w:name="_Toc29111"/>
      <w:r>
        <w:rPr>
          <w:rFonts w:hint="eastAsia" w:ascii="宋体" w:hAnsi="宋体" w:eastAsia="宋体" w:cstheme="minorBidi"/>
          <w:b/>
          <w:snapToGrid w:val="0"/>
          <w:sz w:val="24"/>
          <w:szCs w:val="24"/>
        </w:rPr>
        <w:t>合同履行</w:t>
      </w:r>
      <w:bookmarkEnd w:id="4"/>
      <w:bookmarkEnd w:id="5"/>
      <w:bookmarkEnd w:id="6"/>
      <w:bookmarkEnd w:id="7"/>
    </w:p>
    <w:p w14:paraId="57F3DA0A">
      <w:pPr>
        <w:numPr>
          <w:ilvl w:val="1"/>
          <w:numId w:val="0"/>
        </w:numPr>
        <w:wordWrap w:val="0"/>
        <w:topLinePunct/>
        <w:adjustRightInd w:val="0"/>
        <w:snapToGrid w:val="0"/>
        <w:spacing w:line="44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theme="minorBidi"/>
          <w:sz w:val="24"/>
          <w:szCs w:val="24"/>
        </w:rPr>
        <w:t>履</w:t>
      </w:r>
      <w:r>
        <w:rPr>
          <w:rFonts w:hint="eastAsia" w:ascii="宋体" w:hAnsi="宋体" w:eastAsia="宋体" w:cs="宋体"/>
          <w:sz w:val="24"/>
          <w:szCs w:val="24"/>
        </w:rPr>
        <w:t>约期限：</w:t>
      </w:r>
      <w:r>
        <w:rPr>
          <w:rFonts w:hint="eastAsia" w:ascii="宋体" w:hAnsi="宋体" w:eastAsia="宋体" w:cs="宋体"/>
          <w:snapToGrid w:val="0"/>
          <w:color w:val="auto"/>
          <w:kern w:val="2"/>
          <w:sz w:val="24"/>
          <w:szCs w:val="24"/>
          <w:highlight w:val="none"/>
          <w:lang w:val="en-US" w:eastAsia="zh-CN" w:bidi="ar-SA"/>
        </w:rPr>
        <w:t>政府采购合同签订生效后2年10个月</w:t>
      </w:r>
      <w:bookmarkStart w:id="103" w:name="_GoBack"/>
      <w:bookmarkEnd w:id="103"/>
      <w:r>
        <w:rPr>
          <w:rFonts w:hint="eastAsia" w:ascii="宋体" w:hAnsi="宋体" w:eastAsia="宋体" w:cs="宋体"/>
          <w:snapToGrid w:val="0"/>
          <w:color w:val="auto"/>
          <w:kern w:val="2"/>
          <w:sz w:val="24"/>
          <w:szCs w:val="24"/>
          <w:highlight w:val="none"/>
          <w:lang w:val="en-US" w:eastAsia="zh-CN" w:bidi="ar-SA"/>
        </w:rPr>
        <w:t>，合同一年一签(经年度履约考核合格后签订下一年度采购合同，第三年合同期限为10个月)。</w:t>
      </w:r>
    </w:p>
    <w:p w14:paraId="758F496D">
      <w:pPr>
        <w:numPr>
          <w:ilvl w:val="1"/>
          <w:numId w:val="0"/>
        </w:numPr>
        <w:wordWrap w:val="0"/>
        <w:topLinePunct/>
        <w:adjustRightInd w:val="0"/>
        <w:snapToGrid w:val="0"/>
        <w:spacing w:line="44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(二)履行地点：</w:t>
      </w:r>
      <w:r>
        <w:rPr>
          <w:rFonts w:hint="eastAsia" w:ascii="宋体" w:hAnsi="宋体" w:eastAsia="宋体" w:cs="宋体"/>
          <w:sz w:val="24"/>
          <w:szCs w:val="24"/>
          <w:lang w:eastAsia="zh-CN"/>
        </w:rPr>
        <w:t>四川省民族宗教事务委员会机关服务中心</w:t>
      </w:r>
      <w:r>
        <w:rPr>
          <w:rFonts w:hint="eastAsia" w:ascii="宋体" w:hAnsi="宋体" w:eastAsia="宋体" w:cs="宋体"/>
          <w:sz w:val="24"/>
          <w:szCs w:val="24"/>
        </w:rPr>
        <w:t>。</w:t>
      </w:r>
    </w:p>
    <w:p w14:paraId="0078A9BF">
      <w:pPr>
        <w:numPr>
          <w:ilvl w:val="1"/>
          <w:numId w:val="0"/>
        </w:numPr>
        <w:wordWrap w:val="0"/>
        <w:topLinePunct/>
        <w:adjustRightInd w:val="0"/>
        <w:snapToGrid w:val="0"/>
        <w:spacing w:line="44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(三)履约方式：政府采购合同签订生效后按甲方计划要求提供相应服务。</w:t>
      </w:r>
    </w:p>
    <w:p w14:paraId="776BE496">
      <w:pPr>
        <w:numPr>
          <w:ilvl w:val="0"/>
          <w:numId w:val="5"/>
        </w:numPr>
        <w:wordWrap w:val="0"/>
        <w:topLinePunct/>
        <w:adjustRightInd w:val="0"/>
        <w:snapToGrid w:val="0"/>
        <w:spacing w:line="440" w:lineRule="exact"/>
        <w:ind w:firstLine="482" w:firstLineChars="200"/>
        <w:jc w:val="left"/>
        <w:outlineLvl w:val="1"/>
        <w:rPr>
          <w:rFonts w:ascii="宋体" w:hAnsi="宋体" w:eastAsia="宋体" w:cs="宋体"/>
          <w:b/>
          <w:snapToGrid w:val="0"/>
          <w:sz w:val="24"/>
          <w:szCs w:val="24"/>
        </w:rPr>
      </w:pPr>
      <w:bookmarkStart w:id="8" w:name="_Toc26943"/>
      <w:bookmarkStart w:id="9" w:name="_Toc27061"/>
      <w:bookmarkStart w:id="10" w:name="_Toc24551"/>
      <w:bookmarkStart w:id="11" w:name="_Toc636"/>
      <w:bookmarkStart w:id="12" w:name="_Toc211911348"/>
      <w:bookmarkStart w:id="13" w:name="_Toc282696226"/>
      <w:bookmarkStart w:id="14" w:name="_Toc225670751"/>
      <w:bookmarkStart w:id="15" w:name="_Toc225244852"/>
      <w:bookmarkStart w:id="16" w:name="_Toc283019214"/>
      <w:bookmarkStart w:id="17" w:name="_Toc185395249"/>
      <w:bookmarkStart w:id="18" w:name="_Toc238984975"/>
      <w:bookmarkStart w:id="19" w:name="_Toc225654644"/>
      <w:bookmarkStart w:id="20" w:name="_Toc239568418"/>
      <w:bookmarkStart w:id="21" w:name="_Toc247334841"/>
      <w:bookmarkStart w:id="22" w:name="_Toc241833903"/>
      <w:bookmarkStart w:id="23" w:name="_Toc239233914"/>
      <w:bookmarkStart w:id="24" w:name="_Toc286993786"/>
      <w:bookmarkStart w:id="25" w:name="_Toc212019594"/>
      <w:bookmarkStart w:id="26" w:name="_Toc251768862"/>
      <w:bookmarkStart w:id="27" w:name="_Toc232492928"/>
      <w:bookmarkStart w:id="28" w:name="_Toc211854449"/>
      <w:bookmarkStart w:id="29" w:name="_Toc237145406"/>
      <w:r>
        <w:rPr>
          <w:rFonts w:hint="eastAsia" w:ascii="宋体" w:hAnsi="宋体" w:eastAsia="宋体" w:cs="宋体"/>
          <w:b/>
          <w:snapToGrid w:val="0"/>
          <w:sz w:val="24"/>
          <w:szCs w:val="24"/>
        </w:rPr>
        <w:t>合同标的</w:t>
      </w:r>
      <w:bookmarkEnd w:id="8"/>
      <w:bookmarkEnd w:id="9"/>
      <w:bookmarkEnd w:id="10"/>
      <w:bookmarkEnd w:id="11"/>
    </w:p>
    <w:p w14:paraId="5C2D23E6">
      <w:pPr>
        <w:wordWrap w:val="0"/>
        <w:topLinePunct/>
        <w:adjustRightInd w:val="0"/>
        <w:snapToGrid w:val="0"/>
        <w:spacing w:line="440" w:lineRule="exact"/>
        <w:ind w:firstLine="480" w:firstLineChars="200"/>
        <w:jc w:val="left"/>
        <w:rPr>
          <w:rFonts w:ascii="宋体" w:hAnsi="宋体" w:eastAsia="宋体" w:cs="宋体"/>
          <w:sz w:val="24"/>
          <w:szCs w:val="24"/>
        </w:rPr>
      </w:pPr>
      <w:r>
        <w:rPr>
          <w:rFonts w:hint="eastAsia" w:ascii="宋体" w:hAnsi="宋体" w:eastAsia="宋体" w:cs="Times New Roman"/>
          <w:sz w:val="24"/>
          <w:szCs w:val="24"/>
        </w:rPr>
        <w:t>与“服务内容及要求”</w:t>
      </w:r>
      <w:r>
        <w:rPr>
          <w:rFonts w:hint="eastAsia" w:ascii="宋体" w:hAnsi="宋体" w:eastAsia="宋体" w:cs="宋体"/>
          <w:sz w:val="24"/>
          <w:szCs w:val="24"/>
        </w:rPr>
        <w:t>的实质性要求内容</w:t>
      </w:r>
      <w:r>
        <w:rPr>
          <w:rFonts w:hint="eastAsia" w:ascii="宋体" w:hAnsi="宋体" w:eastAsia="宋体" w:cs="Times New Roman"/>
          <w:sz w:val="24"/>
          <w:szCs w:val="24"/>
        </w:rPr>
        <w:t>一致</w:t>
      </w:r>
      <w:r>
        <w:rPr>
          <w:rFonts w:hint="eastAsia" w:ascii="宋体" w:hAnsi="宋体" w:eastAsia="宋体" w:cs="宋体"/>
          <w:sz w:val="24"/>
          <w:szCs w:val="24"/>
        </w:rPr>
        <w:t>；其他非实质性要求条款以乙方《响应文件》响应情况为准。</w:t>
      </w:r>
    </w:p>
    <w:p w14:paraId="6D240E89">
      <w:pPr>
        <w:numPr>
          <w:ilvl w:val="0"/>
          <w:numId w:val="5"/>
        </w:numPr>
        <w:wordWrap w:val="0"/>
        <w:topLinePunct/>
        <w:adjustRightInd w:val="0"/>
        <w:snapToGrid w:val="0"/>
        <w:spacing w:line="440" w:lineRule="exact"/>
        <w:ind w:firstLine="482" w:firstLineChars="200"/>
        <w:jc w:val="left"/>
        <w:outlineLvl w:val="1"/>
        <w:rPr>
          <w:rFonts w:ascii="宋体" w:hAnsi="宋体" w:eastAsia="宋体" w:cstheme="minorBidi"/>
          <w:b/>
          <w:snapToGrid w:val="0"/>
          <w:sz w:val="24"/>
          <w:szCs w:val="24"/>
        </w:rPr>
      </w:pPr>
      <w:bookmarkStart w:id="30" w:name="_Toc31958"/>
      <w:bookmarkStart w:id="31" w:name="_Toc30972"/>
      <w:bookmarkStart w:id="32" w:name="_Toc9748"/>
      <w:bookmarkStart w:id="33" w:name="_Toc13575"/>
      <w:r>
        <w:rPr>
          <w:rFonts w:hint="eastAsia" w:ascii="宋体" w:hAnsi="宋体" w:eastAsia="宋体" w:cstheme="minorBidi"/>
          <w:b/>
          <w:snapToGrid w:val="0"/>
          <w:sz w:val="24"/>
          <w:szCs w:val="24"/>
          <w:lang w:val="en-US" w:eastAsia="zh-CN"/>
        </w:rPr>
        <w:t>履约</w:t>
      </w:r>
      <w:r>
        <w:rPr>
          <w:rFonts w:hint="eastAsia" w:ascii="宋体" w:hAnsi="宋体" w:eastAsia="宋体" w:cstheme="minorBidi"/>
          <w:b/>
          <w:snapToGrid w:val="0"/>
          <w:sz w:val="24"/>
          <w:szCs w:val="24"/>
        </w:rPr>
        <w:t>验收</w:t>
      </w:r>
      <w:bookmarkEnd w:id="30"/>
      <w:bookmarkEnd w:id="31"/>
      <w:bookmarkEnd w:id="32"/>
      <w:bookmarkEnd w:id="33"/>
    </w:p>
    <w:p w14:paraId="5307B64A">
      <w:pPr>
        <w:spacing w:line="440" w:lineRule="exact"/>
        <w:ind w:firstLine="480" w:firstLineChars="200"/>
        <w:rPr>
          <w:rFonts w:hint="eastAsia" w:ascii="宋体" w:hAnsi="宋体" w:eastAsia="宋体" w:cs="宋体"/>
          <w:sz w:val="24"/>
          <w:szCs w:val="24"/>
          <w:lang w:eastAsia="zh-CN"/>
        </w:rPr>
      </w:pPr>
      <w:bookmarkStart w:id="34" w:name="_Toc3802"/>
      <w:r>
        <w:rPr>
          <w:rFonts w:hint="eastAsia" w:ascii="宋体" w:hAnsi="宋体" w:eastAsia="宋体" w:cs="宋体"/>
          <w:sz w:val="24"/>
          <w:szCs w:val="24"/>
        </w:rPr>
        <w:t>1.验收主体：</w:t>
      </w:r>
      <w:r>
        <w:rPr>
          <w:rFonts w:hint="eastAsia" w:ascii="宋体" w:hAnsi="宋体" w:eastAsia="宋体" w:cs="宋体"/>
          <w:sz w:val="24"/>
          <w:szCs w:val="24"/>
          <w:lang w:eastAsia="zh-CN"/>
        </w:rPr>
        <w:t>四川省民族宗教事务委员会机关服务中心</w:t>
      </w:r>
    </w:p>
    <w:p w14:paraId="1791ECB2">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2.验收组织方式：自行验收</w:t>
      </w:r>
    </w:p>
    <w:p w14:paraId="13FC8B98">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3.是否邀请本项目的其他供应商：否</w:t>
      </w:r>
    </w:p>
    <w:p w14:paraId="4B8F80C2">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4.是否邀请专家：否</w:t>
      </w:r>
    </w:p>
    <w:p w14:paraId="2CD58BA3">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5.是否邀请服务对象：否</w:t>
      </w:r>
    </w:p>
    <w:p w14:paraId="3C78768B">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6.是否邀请第三方检测机构：否</w:t>
      </w:r>
    </w:p>
    <w:p w14:paraId="7237AEF2">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7.履约验收程序：</w:t>
      </w:r>
      <w:r>
        <w:rPr>
          <w:rFonts w:hint="eastAsia" w:ascii="宋体" w:hAnsi="宋体" w:eastAsia="宋体" w:cs="宋体"/>
          <w:sz w:val="24"/>
          <w:szCs w:val="24"/>
          <w:lang w:val="en-US" w:eastAsia="zh-CN"/>
        </w:rPr>
        <w:t>分期</w:t>
      </w:r>
      <w:r>
        <w:rPr>
          <w:rFonts w:hint="eastAsia" w:ascii="宋体" w:hAnsi="宋体" w:eastAsia="宋体" w:cs="宋体"/>
          <w:sz w:val="24"/>
          <w:szCs w:val="24"/>
        </w:rPr>
        <w:t>验收</w:t>
      </w:r>
    </w:p>
    <w:p w14:paraId="5725F48D">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8.履约验收时间：配送食材到货后由</w:t>
      </w:r>
      <w:r>
        <w:rPr>
          <w:rFonts w:hint="eastAsia" w:ascii="宋体" w:hAnsi="宋体" w:eastAsia="宋体" w:cs="宋体"/>
          <w:sz w:val="24"/>
          <w:szCs w:val="24"/>
          <w:lang w:val="en-US" w:eastAsia="zh-CN"/>
        </w:rPr>
        <w:t>甲方</w:t>
      </w:r>
      <w:r>
        <w:rPr>
          <w:rFonts w:hint="eastAsia" w:ascii="宋体" w:hAnsi="宋体" w:eastAsia="宋体" w:cs="宋体"/>
          <w:sz w:val="24"/>
          <w:szCs w:val="24"/>
        </w:rPr>
        <w:t>指定人员进行验收，餐饮服务按月进行验收。</w:t>
      </w:r>
    </w:p>
    <w:p w14:paraId="0693D190">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9.验收组织的其他事项：</w:t>
      </w:r>
      <w:r>
        <w:rPr>
          <w:rFonts w:hint="eastAsia" w:ascii="宋体" w:hAnsi="宋体" w:eastAsia="宋体" w:cs="宋体"/>
          <w:snapToGrid w:val="0"/>
          <w:sz w:val="24"/>
          <w:szCs w:val="24"/>
        </w:rPr>
        <w:t>由甲方组织履约验收小组，开展项目验收工作，根据双方约定的“考核办法”，逐项对乙方提供的服务内容、服务质量等进行验收，审查项目资料完备性、规范性情况，审查项目履行合同、《竞争性磋商文件》和《响应文件》的情况，审查各项技术指标完成情况，验收结果合格的出具《验收报告》</w:t>
      </w:r>
      <w:r>
        <w:rPr>
          <w:rFonts w:hint="eastAsia" w:ascii="宋体" w:hAnsi="宋体" w:eastAsia="宋体" w:cs="宋体"/>
          <w:sz w:val="24"/>
          <w:szCs w:val="24"/>
        </w:rPr>
        <w:t>。</w:t>
      </w:r>
    </w:p>
    <w:p w14:paraId="5C0B0ECA">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10.技术履约验收内容：按照项目服务内容及要求验收，逐项核对乙方交付的成果质量、数量</w:t>
      </w:r>
      <w:r>
        <w:rPr>
          <w:rFonts w:hint="eastAsia" w:ascii="宋体" w:hAnsi="宋体" w:eastAsia="宋体" w:cs="宋体"/>
          <w:snapToGrid w:val="0"/>
          <w:sz w:val="24"/>
          <w:szCs w:val="24"/>
        </w:rPr>
        <w:t>等</w:t>
      </w:r>
      <w:r>
        <w:rPr>
          <w:rFonts w:hint="eastAsia" w:ascii="宋体" w:hAnsi="宋体" w:eastAsia="宋体" w:cs="宋体"/>
          <w:sz w:val="24"/>
          <w:szCs w:val="24"/>
        </w:rPr>
        <w:t>。</w:t>
      </w:r>
    </w:p>
    <w:p w14:paraId="22B959B3">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11.商务履约验收内容：按本项目商务要求完成履约。</w:t>
      </w:r>
    </w:p>
    <w:p w14:paraId="6B326E80">
      <w:pPr>
        <w:spacing w:line="440" w:lineRule="exact"/>
        <w:ind w:firstLine="480" w:firstLineChars="200"/>
        <w:rPr>
          <w:rFonts w:ascii="宋体" w:hAnsi="宋体" w:eastAsia="宋体" w:cs="宋体"/>
        </w:rPr>
      </w:pPr>
      <w:r>
        <w:rPr>
          <w:rFonts w:hint="eastAsia" w:ascii="宋体" w:hAnsi="宋体" w:eastAsia="宋体" w:cs="宋体"/>
          <w:sz w:val="24"/>
          <w:szCs w:val="24"/>
        </w:rPr>
        <w:t>12.履约验收标准：按国家有关规定以及采购文件的质量要求和服务内容、乙方的响应文件与本合同约定标准进行验收；甲乙双方如对质量要求和服务内容的约定标准有相互抵触或异议的事项，由甲方在采购文件及响应文件中按质量要求和服务内容比较优胜的原则确定该项的验收标准。</w:t>
      </w:r>
    </w:p>
    <w:p w14:paraId="4BF01FFB">
      <w:pPr>
        <w:numPr>
          <w:ilvl w:val="3"/>
          <w:numId w:val="0"/>
        </w:numPr>
        <w:wordWrap w:val="0"/>
        <w:topLinePunct/>
        <w:adjustRightInd w:val="0"/>
        <w:snapToGrid w:val="0"/>
        <w:spacing w:line="440" w:lineRule="exact"/>
        <w:ind w:firstLine="480" w:firstLineChars="200"/>
        <w:jc w:val="left"/>
        <w:rPr>
          <w:rFonts w:ascii="宋体" w:hAnsi="宋体" w:eastAsia="宋体" w:cs="宋体"/>
          <w:snapToGrid w:val="0"/>
          <w:sz w:val="24"/>
          <w:szCs w:val="24"/>
        </w:rPr>
      </w:pPr>
      <w:r>
        <w:rPr>
          <w:rFonts w:hint="eastAsia" w:ascii="宋体" w:hAnsi="宋体" w:eastAsia="宋体" w:cs="宋体"/>
          <w:sz w:val="24"/>
          <w:szCs w:val="24"/>
        </w:rPr>
        <w:t>13.履约验收其他事项：其他未尽事宜严格按照《财政部关于进一步加强政府采购需求和履约验收管理的指导意见》(财库〔2016〕205号)、《政府采购需求管理办法》(财库〔2021〕22号)以及采购文件、乙方的响应文件以及合同约定标准进行验收</w:t>
      </w:r>
      <w:r>
        <w:rPr>
          <w:rFonts w:hint="eastAsia" w:ascii="宋体" w:hAnsi="宋体" w:eastAsia="宋体" w:cs="宋体"/>
          <w:snapToGrid w:val="0"/>
          <w:sz w:val="24"/>
          <w:szCs w:val="24"/>
        </w:rPr>
        <w:t>。</w:t>
      </w:r>
    </w:p>
    <w:p w14:paraId="2C42972E">
      <w:pPr>
        <w:numPr>
          <w:ilvl w:val="0"/>
          <w:numId w:val="5"/>
        </w:numPr>
        <w:wordWrap w:val="0"/>
        <w:topLinePunct/>
        <w:adjustRightInd w:val="0"/>
        <w:snapToGrid w:val="0"/>
        <w:spacing w:line="440" w:lineRule="exact"/>
        <w:ind w:firstLine="482" w:firstLineChars="200"/>
        <w:jc w:val="left"/>
        <w:outlineLvl w:val="1"/>
        <w:rPr>
          <w:rFonts w:ascii="宋体" w:hAnsi="宋体" w:eastAsia="宋体" w:cstheme="minorBidi"/>
          <w:b/>
          <w:snapToGrid w:val="0"/>
          <w:sz w:val="24"/>
          <w:szCs w:val="24"/>
        </w:rPr>
      </w:pPr>
      <w:bookmarkStart w:id="35" w:name="_Toc12369"/>
      <w:bookmarkStart w:id="36" w:name="_Toc9219"/>
      <w:r>
        <w:rPr>
          <w:rFonts w:hint="eastAsia" w:ascii="宋体" w:hAnsi="宋体" w:eastAsia="宋体" w:cstheme="minorBidi"/>
          <w:b/>
          <w:snapToGrid w:val="0"/>
          <w:sz w:val="24"/>
          <w:szCs w:val="24"/>
        </w:rPr>
        <w:t>合同价款及支付方式</w:t>
      </w:r>
      <w:bookmarkEnd w:id="34"/>
      <w:bookmarkEnd w:id="35"/>
      <w:bookmarkEnd w:id="36"/>
    </w:p>
    <w:p w14:paraId="073BA55C">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(一)</w:t>
      </w:r>
      <w:r>
        <w:rPr>
          <w:rFonts w:hint="eastAsia" w:ascii="宋体" w:hAnsi="宋体" w:eastAsia="宋体" w:cstheme="minorBidi"/>
          <w:sz w:val="24"/>
          <w:szCs w:val="24"/>
        </w:rPr>
        <w:t>本项目合同价款由以下组成：</w:t>
      </w:r>
    </w:p>
    <w:p w14:paraId="46323B75">
      <w:pPr>
        <w:numPr>
          <w:ilvl w:val="3"/>
          <w:numId w:val="0"/>
        </w:numPr>
        <w:wordWrap w:val="0"/>
        <w:topLinePunct/>
        <w:adjustRightInd w:val="0"/>
        <w:snapToGrid w:val="0"/>
        <w:spacing w:line="440" w:lineRule="exact"/>
        <w:ind w:firstLine="480" w:firstLineChars="200"/>
        <w:rPr>
          <w:rFonts w:ascii="宋体" w:hAnsi="宋体" w:eastAsia="宋体" w:cstheme="minorBidi"/>
          <w:sz w:val="24"/>
          <w:szCs w:val="24"/>
        </w:rPr>
      </w:pPr>
      <w:r>
        <w:rPr>
          <w:rFonts w:hint="eastAsia" w:ascii="宋体" w:hAnsi="宋体" w:eastAsia="宋体" w:cs="宋体"/>
          <w:sz w:val="24"/>
          <w:szCs w:val="24"/>
        </w:rPr>
        <w:t>1.</w:t>
      </w:r>
      <w:r>
        <w:rPr>
          <w:rFonts w:hint="eastAsia" w:ascii="宋体" w:hAnsi="宋体" w:eastAsia="宋体" w:cstheme="minorBidi"/>
          <w:sz w:val="24"/>
          <w:szCs w:val="24"/>
        </w:rPr>
        <w:t>XX万元；</w:t>
      </w:r>
    </w:p>
    <w:p w14:paraId="56097939">
      <w:pPr>
        <w:numPr>
          <w:ilvl w:val="3"/>
          <w:numId w:val="0"/>
        </w:numPr>
        <w:wordWrap w:val="0"/>
        <w:topLinePunct/>
        <w:adjustRightInd w:val="0"/>
        <w:snapToGrid w:val="0"/>
        <w:spacing w:line="440" w:lineRule="exact"/>
        <w:ind w:firstLine="480" w:firstLineChars="200"/>
        <w:rPr>
          <w:rFonts w:ascii="宋体" w:hAnsi="宋体" w:eastAsia="宋体" w:cstheme="minorBidi"/>
          <w:sz w:val="24"/>
          <w:szCs w:val="24"/>
        </w:rPr>
      </w:pPr>
      <w:r>
        <w:rPr>
          <w:rFonts w:hint="eastAsia" w:ascii="宋体" w:hAnsi="宋体" w:eastAsia="宋体" w:cs="宋体"/>
          <w:sz w:val="24"/>
          <w:szCs w:val="24"/>
        </w:rPr>
        <w:t>2.</w:t>
      </w:r>
      <w:r>
        <w:rPr>
          <w:rFonts w:hint="eastAsia" w:ascii="宋体" w:hAnsi="宋体" w:eastAsia="宋体" w:cstheme="minorBidi"/>
          <w:sz w:val="24"/>
          <w:szCs w:val="24"/>
        </w:rPr>
        <w:t>XX万元；</w:t>
      </w:r>
    </w:p>
    <w:p w14:paraId="4FAED445">
      <w:pPr>
        <w:numPr>
          <w:ilvl w:val="3"/>
          <w:numId w:val="0"/>
        </w:numPr>
        <w:wordWrap w:val="0"/>
        <w:topLinePunct/>
        <w:adjustRightInd w:val="0"/>
        <w:snapToGrid w:val="0"/>
        <w:spacing w:line="440" w:lineRule="exact"/>
        <w:ind w:firstLine="480" w:firstLineChars="200"/>
        <w:rPr>
          <w:rFonts w:ascii="宋体" w:hAnsi="宋体" w:eastAsia="宋体" w:cstheme="minorBidi"/>
          <w:sz w:val="24"/>
          <w:szCs w:val="24"/>
        </w:rPr>
      </w:pPr>
      <w:r>
        <w:rPr>
          <w:rFonts w:hint="eastAsia" w:ascii="宋体" w:hAnsi="宋体" w:eastAsia="宋体" w:cs="宋体"/>
          <w:sz w:val="24"/>
          <w:szCs w:val="24"/>
        </w:rPr>
        <w:t>3.</w:t>
      </w:r>
      <w:r>
        <w:rPr>
          <w:rFonts w:hint="eastAsia" w:ascii="宋体" w:hAnsi="宋体" w:eastAsia="宋体" w:cstheme="minorBidi"/>
          <w:sz w:val="24"/>
          <w:szCs w:val="24"/>
        </w:rPr>
        <w:t>XX万元。</w:t>
      </w:r>
    </w:p>
    <w:p w14:paraId="34C3DBBC">
      <w:pPr>
        <w:numPr>
          <w:ilvl w:val="3"/>
          <w:numId w:val="0"/>
        </w:numPr>
        <w:wordWrap w:val="0"/>
        <w:topLinePunct/>
        <w:adjustRightInd w:val="0"/>
        <w:snapToGrid w:val="0"/>
        <w:spacing w:line="440" w:lineRule="exact"/>
        <w:ind w:firstLine="480" w:firstLineChars="200"/>
        <w:rPr>
          <w:rFonts w:ascii="宋体" w:hAnsi="宋体" w:eastAsia="宋体" w:cstheme="minorBidi"/>
          <w:sz w:val="24"/>
          <w:szCs w:val="24"/>
        </w:rPr>
      </w:pPr>
      <w:r>
        <w:rPr>
          <w:rFonts w:hint="eastAsia" w:ascii="宋体" w:hAnsi="宋体" w:eastAsia="宋体" w:cs="宋体"/>
          <w:sz w:val="24"/>
          <w:szCs w:val="24"/>
        </w:rPr>
        <w:t>4.</w:t>
      </w:r>
      <w:r>
        <w:rPr>
          <w:rFonts w:hint="eastAsia" w:ascii="宋体" w:hAnsi="宋体" w:eastAsia="宋体" w:cstheme="minorBidi"/>
          <w:sz w:val="24"/>
          <w:szCs w:val="24"/>
        </w:rPr>
        <w:t>……</w:t>
      </w:r>
    </w:p>
    <w:p w14:paraId="19F51D0C">
      <w:pPr>
        <w:numPr>
          <w:ilvl w:val="1"/>
          <w:numId w:val="0"/>
        </w:numPr>
        <w:wordWrap w:val="0"/>
        <w:topLinePunct/>
        <w:adjustRightInd w:val="0"/>
        <w:snapToGrid w:val="0"/>
        <w:spacing w:line="440" w:lineRule="exact"/>
        <w:ind w:firstLine="480" w:firstLineChars="200"/>
        <w:jc w:val="left"/>
        <w:rPr>
          <w:rFonts w:ascii="宋体" w:hAnsi="宋体" w:eastAsia="宋体"/>
        </w:rPr>
      </w:pPr>
      <w:r>
        <w:rPr>
          <w:rFonts w:hint="eastAsia" w:ascii="宋体" w:hAnsi="宋体" w:eastAsia="宋体" w:cs="宋体"/>
          <w:sz w:val="24"/>
          <w:szCs w:val="24"/>
        </w:rPr>
        <w:t>(二)</w:t>
      </w:r>
      <w:r>
        <w:rPr>
          <w:rFonts w:hint="eastAsia" w:ascii="宋体" w:hAnsi="宋体" w:eastAsia="宋体" w:cstheme="minorBidi"/>
          <w:sz w:val="24"/>
          <w:szCs w:val="24"/>
        </w:rPr>
        <w:t>支付方式：</w:t>
      </w:r>
    </w:p>
    <w:p w14:paraId="0AA98738">
      <w:pPr>
        <w:numPr>
          <w:ilvl w:val="3"/>
          <w:numId w:val="0"/>
        </w:numPr>
        <w:wordWrap w:val="0"/>
        <w:topLinePunct/>
        <w:adjustRightInd w:val="0"/>
        <w:snapToGrid w:val="0"/>
        <w:spacing w:line="440" w:lineRule="exact"/>
        <w:ind w:firstLine="480" w:firstLineChars="200"/>
        <w:rPr>
          <w:rFonts w:ascii="宋体" w:hAnsi="宋体" w:eastAsia="宋体" w:cs="宋体"/>
          <w:sz w:val="24"/>
          <w:szCs w:val="24"/>
        </w:rPr>
      </w:pPr>
    </w:p>
    <w:p w14:paraId="30B8F226">
      <w:pPr>
        <w:numPr>
          <w:ilvl w:val="3"/>
          <w:numId w:val="0"/>
        </w:numPr>
        <w:wordWrap w:val="0"/>
        <w:topLinePunct/>
        <w:adjustRightInd w:val="0"/>
        <w:snapToGrid w:val="0"/>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w:t>
      </w:r>
    </w:p>
    <w:p w14:paraId="2B1D4779">
      <w:pPr>
        <w:wordWrap w:val="0"/>
        <w:topLinePunct/>
        <w:adjustRightInd w:val="0"/>
        <w:snapToGrid w:val="0"/>
        <w:spacing w:line="440" w:lineRule="exact"/>
        <w:ind w:firstLine="480" w:firstLineChars="200"/>
        <w:rPr>
          <w:rFonts w:ascii="宋体" w:hAnsi="宋体" w:eastAsia="宋体" w:cs="宋体"/>
          <w:sz w:val="24"/>
        </w:rPr>
      </w:pPr>
      <w:r>
        <w:rPr>
          <w:rFonts w:hint="eastAsia" w:asciiTheme="minorEastAsia" w:hAnsiTheme="minorEastAsia" w:eastAsiaTheme="minorEastAsia" w:cstheme="minorEastAsia"/>
          <w:sz w:val="24"/>
          <w:szCs w:val="24"/>
        </w:rPr>
        <w:t>注：</w:t>
      </w:r>
      <w:r>
        <w:rPr>
          <w:rFonts w:hint="eastAsia" w:ascii="宋体" w:hAnsi="宋体" w:eastAsia="宋体" w:cs="宋体"/>
          <w:sz w:val="24"/>
        </w:rPr>
        <w:t>资金预算未下达不能影响合同的执行进度。如因上级财政部门原因资金尚未拨付到位，以上级财政部门资金拨付到位时间和金额起算(上级资金拨付或结转到位15个工作日内支付)；</w:t>
      </w:r>
    </w:p>
    <w:p w14:paraId="0DFF75DD">
      <w:pPr>
        <w:wordWrap w:val="0"/>
        <w:topLinePunct/>
        <w:adjustRightInd w:val="0"/>
        <w:snapToGrid w:val="0"/>
        <w:spacing w:line="440" w:lineRule="exact"/>
        <w:ind w:firstLine="480" w:firstLineChars="200"/>
        <w:rPr>
          <w:rFonts w:ascii="宋体" w:hAnsi="宋体" w:eastAsia="宋体"/>
        </w:rPr>
      </w:pPr>
      <w:r>
        <w:rPr>
          <w:rFonts w:hint="eastAsia" w:asciiTheme="minorEastAsia" w:hAnsiTheme="minorEastAsia" w:eastAsiaTheme="minorEastAsia" w:cstheme="minorEastAsia"/>
          <w:sz w:val="24"/>
          <w:szCs w:val="24"/>
        </w:rPr>
        <w:t>付款前乙方须向甲方出具合法有效完整的增值税发票及凭证资料后进行支付结算，付款方式均采用公对公的银行转账，接受转账的开户信息以合同载明的为准。</w:t>
      </w:r>
      <w:r>
        <w:rPr>
          <w:rFonts w:hint="eastAsia" w:ascii="宋体" w:hAnsi="宋体" w:eastAsia="宋体" w:cstheme="minorBidi"/>
          <w:sz w:val="24"/>
          <w:szCs w:val="24"/>
        </w:rPr>
        <w:t>如因乙方未按照要求提供合法有效的发票导致逾期付款的，不视为甲方违约，甲方不承担任何责任</w:t>
      </w:r>
      <w:r>
        <w:rPr>
          <w:rFonts w:hint="eastAsia" w:asciiTheme="minorEastAsia" w:hAnsiTheme="minorEastAsia" w:eastAsiaTheme="minorEastAsia" w:cstheme="minorEastAsia"/>
          <w:sz w:val="24"/>
          <w:szCs w:val="24"/>
        </w:rPr>
        <w:t>。</w:t>
      </w:r>
      <w:r>
        <w:rPr>
          <w:rFonts w:hint="eastAsia" w:ascii="宋体" w:hAnsi="宋体" w:eastAsia="宋体"/>
        </w:rPr>
        <w:t xml:space="preserve"> </w:t>
      </w:r>
    </w:p>
    <w:p w14:paraId="12105395">
      <w:pPr>
        <w:numPr>
          <w:ilvl w:val="0"/>
          <w:numId w:val="5"/>
        </w:numPr>
        <w:wordWrap w:val="0"/>
        <w:topLinePunct/>
        <w:adjustRightInd w:val="0"/>
        <w:snapToGrid w:val="0"/>
        <w:spacing w:line="440" w:lineRule="exact"/>
        <w:ind w:firstLine="482" w:firstLineChars="200"/>
        <w:jc w:val="left"/>
        <w:outlineLvl w:val="1"/>
        <w:rPr>
          <w:rFonts w:ascii="宋体" w:hAnsi="宋体" w:eastAsia="宋体" w:cstheme="minorBidi"/>
          <w:b/>
          <w:snapToGrid w:val="0"/>
          <w:sz w:val="24"/>
          <w:szCs w:val="24"/>
        </w:rPr>
      </w:pPr>
      <w:bookmarkStart w:id="37" w:name="_Toc10293"/>
      <w:bookmarkStart w:id="38" w:name="_Toc7302"/>
      <w:bookmarkStart w:id="39" w:name="_Toc16895"/>
      <w:bookmarkStart w:id="40" w:name="_Toc13454"/>
      <w:r>
        <w:rPr>
          <w:rFonts w:hint="eastAsia" w:ascii="宋体" w:hAnsi="宋体" w:eastAsia="宋体" w:cstheme="minorBidi"/>
          <w:b/>
          <w:snapToGrid w:val="0"/>
          <w:sz w:val="24"/>
          <w:szCs w:val="24"/>
        </w:rPr>
        <w:t>无产权瑕疵条款</w:t>
      </w:r>
      <w:bookmarkEnd w:id="37"/>
      <w:bookmarkEnd w:id="38"/>
      <w:bookmarkEnd w:id="39"/>
      <w:bookmarkEnd w:id="40"/>
    </w:p>
    <w:p w14:paraId="5679646A">
      <w:pPr>
        <w:numPr>
          <w:ilvl w:val="3"/>
          <w:numId w:val="0"/>
        </w:numPr>
        <w:wordWrap w:val="0"/>
        <w:topLinePunct/>
        <w:spacing w:line="44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lang w:bidi="ar"/>
        </w:rPr>
        <w:t>乙方</w:t>
      </w:r>
      <w:r>
        <w:rPr>
          <w:rFonts w:hint="eastAsia" w:ascii="宋体" w:hAnsi="宋体" w:eastAsia="宋体" w:cs="宋体"/>
          <w:sz w:val="24"/>
          <w:szCs w:val="24"/>
        </w:rPr>
        <w:t>在本项目使用任何服务(包括部分使用)时，不会产生因第三方提出侵犯其专利权、商标权、</w:t>
      </w:r>
      <w:r>
        <w:rPr>
          <w:rFonts w:hint="eastAsia" w:ascii="宋体" w:hAnsi="宋体" w:eastAsia="宋体" w:cs="宋体"/>
          <w:sz w:val="24"/>
          <w:szCs w:val="24"/>
          <w:lang w:bidi="ar"/>
        </w:rPr>
        <w:t>著作权</w:t>
      </w:r>
      <w:r>
        <w:rPr>
          <w:rFonts w:hint="eastAsia" w:ascii="宋体" w:hAnsi="宋体" w:eastAsia="宋体" w:cs="宋体"/>
          <w:sz w:val="24"/>
          <w:szCs w:val="24"/>
        </w:rPr>
        <w:t>或其它知识产权而引起的法律和经济纠纷，如因专利权、商标权或其它知识产权而引起法律和经济纠纷，由</w:t>
      </w:r>
      <w:r>
        <w:rPr>
          <w:rFonts w:hint="eastAsia" w:ascii="宋体" w:hAnsi="宋体" w:eastAsia="宋体" w:cs="宋体"/>
          <w:sz w:val="24"/>
          <w:szCs w:val="24"/>
          <w:lang w:bidi="ar"/>
        </w:rPr>
        <w:t>乙方</w:t>
      </w:r>
      <w:r>
        <w:rPr>
          <w:rFonts w:hint="eastAsia" w:ascii="宋体" w:hAnsi="宋体" w:eastAsia="宋体" w:cs="宋体"/>
          <w:sz w:val="24"/>
          <w:szCs w:val="24"/>
        </w:rPr>
        <w:t>承担所有相关责任。</w:t>
      </w:r>
    </w:p>
    <w:p w14:paraId="30213E7C">
      <w:pPr>
        <w:numPr>
          <w:ilvl w:val="3"/>
          <w:numId w:val="0"/>
        </w:numPr>
        <w:wordWrap w:val="0"/>
        <w:topLinePunct/>
        <w:spacing w:line="44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(二)甲方享有本项目实施过程中产生的知识成果及知识产权，并依据实际情况对采购标的涉及的知识产权的进行处理。</w:t>
      </w:r>
    </w:p>
    <w:p w14:paraId="140C01CD">
      <w:pPr>
        <w:numPr>
          <w:ilvl w:val="3"/>
          <w:numId w:val="0"/>
        </w:numPr>
        <w:wordWrap w:val="0"/>
        <w:topLinePunct/>
        <w:spacing w:line="44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(三)</w:t>
      </w:r>
      <w:r>
        <w:rPr>
          <w:rFonts w:hint="eastAsia" w:ascii="宋体" w:hAnsi="宋体" w:eastAsia="宋体" w:cs="宋体"/>
          <w:sz w:val="24"/>
          <w:szCs w:val="24"/>
          <w:lang w:bidi="ar"/>
        </w:rPr>
        <w:t>乙方</w:t>
      </w:r>
      <w:r>
        <w:rPr>
          <w:rFonts w:hint="eastAsia" w:ascii="宋体" w:hAnsi="宋体" w:eastAsia="宋体" w:cs="宋体"/>
          <w:sz w:val="24"/>
          <w:szCs w:val="24"/>
        </w:rPr>
        <w:t>如欲在项目实施过程中采用自有知识成果，需提供相关技术文档，并承诺提供无限期技术支持，甲方享有永久使用权。</w:t>
      </w:r>
    </w:p>
    <w:p w14:paraId="4BE5A597">
      <w:pPr>
        <w:numPr>
          <w:ilvl w:val="3"/>
          <w:numId w:val="0"/>
        </w:numPr>
        <w:wordWrap w:val="0"/>
        <w:topLinePunct/>
        <w:spacing w:line="44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(四)如采用乙方所不拥有的知识产权，任需提供相关技术文档，并承诺提供无限期技术支持，甲方享有永久合法使用使用权，且不承担该知识产权的相关费用。 </w:t>
      </w:r>
    </w:p>
    <w:p w14:paraId="5F285FF8">
      <w:pPr>
        <w:numPr>
          <w:ilvl w:val="0"/>
          <w:numId w:val="5"/>
        </w:numPr>
        <w:wordWrap w:val="0"/>
        <w:topLinePunct/>
        <w:adjustRightInd w:val="0"/>
        <w:snapToGrid w:val="0"/>
        <w:spacing w:line="440" w:lineRule="exact"/>
        <w:ind w:firstLine="482" w:firstLineChars="200"/>
        <w:jc w:val="left"/>
        <w:outlineLvl w:val="1"/>
        <w:rPr>
          <w:rFonts w:ascii="宋体" w:hAnsi="宋体" w:eastAsia="宋体" w:cstheme="minorBidi"/>
          <w:b/>
          <w:snapToGrid w:val="0"/>
          <w:sz w:val="24"/>
          <w:szCs w:val="24"/>
        </w:rPr>
      </w:pPr>
      <w:bookmarkStart w:id="41" w:name="_Toc221"/>
      <w:bookmarkStart w:id="42" w:name="_Toc6366"/>
      <w:bookmarkStart w:id="43" w:name="_Toc25600"/>
      <w:bookmarkStart w:id="44" w:name="_Toc5794"/>
      <w:r>
        <w:rPr>
          <w:rFonts w:hint="eastAsia" w:ascii="宋体" w:hAnsi="宋体" w:eastAsia="宋体" w:cstheme="minorBidi"/>
          <w:b/>
          <w:snapToGrid w:val="0"/>
          <w:sz w:val="24"/>
          <w:szCs w:val="24"/>
        </w:rPr>
        <w:t>甲方的权利和义务</w:t>
      </w:r>
      <w:bookmarkEnd w:id="41"/>
      <w:bookmarkEnd w:id="42"/>
      <w:bookmarkEnd w:id="43"/>
      <w:bookmarkEnd w:id="44"/>
    </w:p>
    <w:p w14:paraId="55BBD602">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(一)</w:t>
      </w:r>
      <w:r>
        <w:rPr>
          <w:rFonts w:hint="eastAsia" w:ascii="宋体" w:hAnsi="宋体" w:eastAsia="宋体" w:cstheme="minorBidi"/>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3361AF0F">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(二)</w:t>
      </w:r>
      <w:r>
        <w:rPr>
          <w:rFonts w:hint="eastAsia" w:ascii="宋体" w:hAnsi="宋体" w:eastAsia="宋体" w:cstheme="minorBidi"/>
          <w:sz w:val="24"/>
          <w:szCs w:val="24"/>
        </w:rPr>
        <w:t>甲方有权依据双方签订的考评办法对乙方提供的服务进行考评。当考评结果未达到标准时，有权依据考评办法约定的数额扣除相应合同价款。</w:t>
      </w:r>
    </w:p>
    <w:p w14:paraId="0DB442A7">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(三)</w:t>
      </w:r>
      <w:r>
        <w:rPr>
          <w:rFonts w:hint="eastAsia" w:ascii="宋体" w:hAnsi="宋体" w:eastAsia="宋体" w:cstheme="minorBidi"/>
          <w:sz w:val="24"/>
          <w:szCs w:val="24"/>
        </w:rPr>
        <w:t>负责检查监督乙方管理工作的实施及制度的执行情况。</w:t>
      </w:r>
    </w:p>
    <w:p w14:paraId="07131234">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(四)</w:t>
      </w:r>
      <w:r>
        <w:rPr>
          <w:rFonts w:hint="eastAsia" w:ascii="宋体" w:hAnsi="宋体" w:eastAsia="宋体" w:cstheme="minorBidi"/>
          <w:sz w:val="24"/>
          <w:szCs w:val="24"/>
        </w:rPr>
        <w:t>根据本合同规定，按时向乙方支付应付服务费用。</w:t>
      </w:r>
    </w:p>
    <w:p w14:paraId="63C25C6F">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(五)</w:t>
      </w:r>
      <w:r>
        <w:rPr>
          <w:rFonts w:hint="eastAsia" w:ascii="宋体" w:hAnsi="宋体" w:eastAsia="宋体" w:cstheme="minorBidi"/>
          <w:sz w:val="24"/>
          <w:szCs w:val="24"/>
        </w:rPr>
        <w:t>国家法律、法规所规定由甲方承担的其它责任。</w:t>
      </w:r>
    </w:p>
    <w:p w14:paraId="1E8697A6">
      <w:pPr>
        <w:numPr>
          <w:ilvl w:val="0"/>
          <w:numId w:val="5"/>
        </w:numPr>
        <w:wordWrap w:val="0"/>
        <w:topLinePunct/>
        <w:adjustRightInd w:val="0"/>
        <w:snapToGrid w:val="0"/>
        <w:spacing w:line="440" w:lineRule="exact"/>
        <w:ind w:firstLine="482" w:firstLineChars="200"/>
        <w:jc w:val="left"/>
        <w:outlineLvl w:val="1"/>
        <w:rPr>
          <w:rFonts w:ascii="宋体" w:hAnsi="宋体" w:eastAsia="宋体" w:cstheme="minorBidi"/>
          <w:b/>
          <w:snapToGrid w:val="0"/>
          <w:sz w:val="24"/>
          <w:szCs w:val="24"/>
        </w:rPr>
      </w:pPr>
      <w:bookmarkStart w:id="45" w:name="_Toc5073"/>
      <w:bookmarkStart w:id="46" w:name="_Toc4078"/>
      <w:bookmarkStart w:id="47" w:name="_Toc19253"/>
      <w:bookmarkStart w:id="48" w:name="_Toc19476"/>
      <w:r>
        <w:rPr>
          <w:rFonts w:hint="eastAsia" w:ascii="宋体" w:hAnsi="宋体" w:eastAsia="宋体" w:cstheme="minorBidi"/>
          <w:b/>
          <w:snapToGrid w:val="0"/>
          <w:sz w:val="24"/>
          <w:szCs w:val="24"/>
        </w:rPr>
        <w:t>乙方的权利和义务</w:t>
      </w:r>
      <w:bookmarkEnd w:id="45"/>
      <w:bookmarkEnd w:id="46"/>
      <w:bookmarkEnd w:id="47"/>
      <w:bookmarkEnd w:id="48"/>
    </w:p>
    <w:p w14:paraId="2AC1C837">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(一)</w:t>
      </w:r>
      <w:r>
        <w:rPr>
          <w:rFonts w:hint="eastAsia" w:ascii="宋体" w:hAnsi="宋体" w:eastAsia="宋体" w:cstheme="minorBidi"/>
          <w:sz w:val="24"/>
          <w:szCs w:val="24"/>
        </w:rPr>
        <w:t>对本合同规定的委托服务范围内的项目享有管理权及服务义务。</w:t>
      </w:r>
    </w:p>
    <w:p w14:paraId="67CD2411">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(二)</w:t>
      </w:r>
      <w:r>
        <w:rPr>
          <w:rFonts w:hint="eastAsia" w:ascii="宋体" w:hAnsi="宋体" w:eastAsia="宋体" w:cstheme="minorBidi"/>
          <w:sz w:val="24"/>
          <w:szCs w:val="24"/>
        </w:rPr>
        <w:t>根据本合同的规定向甲方收取相关服务费用，并有权在本项目管理范围内管理及合理使用。</w:t>
      </w:r>
    </w:p>
    <w:p w14:paraId="3F3B3256">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(三)</w:t>
      </w:r>
      <w:r>
        <w:rPr>
          <w:rFonts w:hint="eastAsia" w:ascii="宋体" w:hAnsi="宋体" w:eastAsia="宋体" w:cstheme="minorBidi"/>
          <w:sz w:val="24"/>
          <w:szCs w:val="24"/>
        </w:rPr>
        <w:t>及时向甲方通告本项目服务范围内有关服务的重大事项，及时配合处理投诉。</w:t>
      </w:r>
    </w:p>
    <w:p w14:paraId="4FF3D366">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(四)</w:t>
      </w:r>
      <w:r>
        <w:rPr>
          <w:rFonts w:hint="eastAsia" w:ascii="宋体" w:hAnsi="宋体" w:eastAsia="宋体" w:cstheme="minorBidi"/>
          <w:sz w:val="24"/>
          <w:szCs w:val="24"/>
        </w:rPr>
        <w:t>接受项目行业管理部门及政府有关部门的指导，接受甲方的监督。</w:t>
      </w:r>
    </w:p>
    <w:p w14:paraId="7E3EEEA3">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(五)</w:t>
      </w:r>
      <w:r>
        <w:rPr>
          <w:rFonts w:hint="eastAsia" w:ascii="宋体" w:hAnsi="宋体" w:eastAsia="宋体" w:cstheme="minorBidi"/>
          <w:sz w:val="24"/>
          <w:szCs w:val="24"/>
        </w:rPr>
        <w:t>国家法律、法规所规定由乙方承担的其它责任。</w:t>
      </w:r>
    </w:p>
    <w:p w14:paraId="30B0B2E8">
      <w:pPr>
        <w:numPr>
          <w:ilvl w:val="0"/>
          <w:numId w:val="5"/>
        </w:numPr>
        <w:wordWrap w:val="0"/>
        <w:topLinePunct/>
        <w:adjustRightInd w:val="0"/>
        <w:snapToGrid w:val="0"/>
        <w:spacing w:line="440" w:lineRule="exact"/>
        <w:ind w:firstLine="482" w:firstLineChars="200"/>
        <w:jc w:val="left"/>
        <w:outlineLvl w:val="1"/>
        <w:rPr>
          <w:rFonts w:ascii="宋体" w:hAnsi="宋体" w:eastAsia="宋体" w:cstheme="minorBidi"/>
          <w:b/>
          <w:snapToGrid w:val="0"/>
          <w:sz w:val="24"/>
          <w:szCs w:val="24"/>
        </w:rPr>
      </w:pPr>
      <w:bookmarkStart w:id="49" w:name="_Toc16915"/>
      <w:bookmarkStart w:id="50" w:name="_Toc5895"/>
      <w:bookmarkStart w:id="51" w:name="_Toc12823"/>
      <w:bookmarkStart w:id="52" w:name="_Toc5216"/>
      <w:r>
        <w:rPr>
          <w:rFonts w:hint="eastAsia" w:ascii="宋体" w:hAnsi="宋体" w:eastAsia="宋体" w:cstheme="minorBidi"/>
          <w:b/>
          <w:snapToGrid w:val="0"/>
          <w:sz w:val="24"/>
          <w:szCs w:val="24"/>
        </w:rPr>
        <w:t>违约责任</w:t>
      </w:r>
      <w:bookmarkEnd w:id="49"/>
      <w:bookmarkEnd w:id="50"/>
      <w:bookmarkEnd w:id="51"/>
      <w:bookmarkEnd w:id="52"/>
    </w:p>
    <w:p w14:paraId="34527326">
      <w:pPr>
        <w:numPr>
          <w:ilvl w:val="1"/>
          <w:numId w:val="0"/>
        </w:numPr>
        <w:wordWrap w:val="0"/>
        <w:topLinePunct/>
        <w:spacing w:line="44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(一)甲方违约责任</w:t>
      </w:r>
    </w:p>
    <w:p w14:paraId="3144D253">
      <w:pPr>
        <w:numPr>
          <w:ilvl w:val="2"/>
          <w:numId w:val="0"/>
        </w:numPr>
        <w:wordWrap w:val="0"/>
        <w:topLinePunct/>
        <w:spacing w:line="440" w:lineRule="exact"/>
        <w:ind w:firstLine="480" w:firstLineChars="200"/>
        <w:jc w:val="left"/>
        <w:rPr>
          <w:rFonts w:ascii="宋体" w:hAnsi="宋体" w:eastAsia="宋体" w:cs="宋体"/>
          <w:snapToGrid w:val="0"/>
          <w:sz w:val="24"/>
          <w:szCs w:val="24"/>
        </w:rPr>
      </w:pPr>
      <w:r>
        <w:rPr>
          <w:rFonts w:hint="eastAsia" w:ascii="宋体" w:hAnsi="宋体" w:eastAsia="宋体" w:cs="宋体"/>
          <w:snapToGrid w:val="0"/>
          <w:sz w:val="24"/>
          <w:szCs w:val="24"/>
        </w:rPr>
        <w:t>1.</w:t>
      </w:r>
      <w:r>
        <w:rPr>
          <w:rFonts w:hint="eastAsia" w:ascii="宋体" w:hAnsi="宋体" w:eastAsia="宋体" w:cs="宋体"/>
          <w:sz w:val="24"/>
          <w:szCs w:val="24"/>
          <w:lang w:bidi="ar"/>
        </w:rPr>
        <w:t>甲方应遵守本合同并执行合同中的各项规定，保证本合同的正常履行。</w:t>
      </w:r>
    </w:p>
    <w:p w14:paraId="07CD6A4B">
      <w:pPr>
        <w:numPr>
          <w:ilvl w:val="2"/>
          <w:numId w:val="0"/>
        </w:numPr>
        <w:wordWrap w:val="0"/>
        <w:topLinePunct/>
        <w:spacing w:line="440" w:lineRule="exact"/>
        <w:ind w:firstLine="480" w:firstLineChars="200"/>
        <w:jc w:val="left"/>
        <w:rPr>
          <w:rFonts w:ascii="宋体" w:hAnsi="宋体" w:eastAsia="宋体" w:cs="宋体"/>
          <w:snapToGrid w:val="0"/>
          <w:sz w:val="24"/>
          <w:szCs w:val="24"/>
        </w:rPr>
      </w:pPr>
      <w:r>
        <w:rPr>
          <w:rFonts w:hint="eastAsia" w:ascii="宋体" w:hAnsi="宋体" w:eastAsia="宋体" w:cs="宋体"/>
          <w:snapToGrid w:val="0"/>
          <w:sz w:val="24"/>
          <w:szCs w:val="24"/>
        </w:rPr>
        <w:t>2.甲方逾期支付服务合同款项的，除应及时付足合同款项外，应向乙方偿付欠款总额万分之</w:t>
      </w:r>
      <w:r>
        <w:rPr>
          <w:rFonts w:hint="eastAsia" w:ascii="宋体" w:hAnsi="宋体" w:eastAsia="宋体" w:cs="宋体"/>
          <w:bCs/>
          <w:snapToGrid w:val="0"/>
          <w:sz w:val="24"/>
        </w:rPr>
        <w:t>一</w:t>
      </w:r>
      <w:r>
        <w:rPr>
          <w:rFonts w:hint="eastAsia" w:ascii="宋体" w:hAnsi="宋体" w:eastAsia="宋体" w:cs="宋体"/>
          <w:snapToGrid w:val="0"/>
          <w:sz w:val="24"/>
          <w:szCs w:val="24"/>
        </w:rPr>
        <w:t>/天的违约金；逾期付款超过</w:t>
      </w:r>
      <w:r>
        <w:rPr>
          <w:rFonts w:hint="eastAsia" w:ascii="宋体" w:hAnsi="宋体" w:eastAsia="宋体" w:cs="宋体"/>
          <w:snapToGrid w:val="0"/>
          <w:sz w:val="24"/>
          <w:szCs w:val="24"/>
          <w:u w:val="single"/>
        </w:rPr>
        <w:t>30</w:t>
      </w:r>
      <w:r>
        <w:rPr>
          <w:rFonts w:hint="eastAsia" w:ascii="宋体" w:hAnsi="宋体" w:eastAsia="宋体" w:cs="宋体"/>
          <w:snapToGrid w:val="0"/>
          <w:sz w:val="24"/>
          <w:szCs w:val="24"/>
        </w:rPr>
        <w:t>天的，乙方有权终止合同。</w:t>
      </w:r>
    </w:p>
    <w:p w14:paraId="43C64102">
      <w:pPr>
        <w:numPr>
          <w:ilvl w:val="2"/>
          <w:numId w:val="0"/>
        </w:numPr>
        <w:wordWrap w:val="0"/>
        <w:topLinePunct/>
        <w:spacing w:line="440" w:lineRule="exact"/>
        <w:ind w:firstLine="480" w:firstLineChars="200"/>
        <w:jc w:val="left"/>
        <w:rPr>
          <w:rFonts w:ascii="宋体" w:hAnsi="宋体" w:eastAsia="宋体" w:cs="宋体"/>
          <w:snapToGrid w:val="0"/>
          <w:sz w:val="24"/>
          <w:szCs w:val="24"/>
        </w:rPr>
      </w:pPr>
      <w:r>
        <w:rPr>
          <w:rFonts w:hint="eastAsia" w:ascii="宋体" w:hAnsi="宋体" w:eastAsia="宋体" w:cs="宋体"/>
          <w:snapToGrid w:val="0"/>
          <w:sz w:val="24"/>
          <w:szCs w:val="24"/>
        </w:rPr>
        <w:t>3.甲方偿付的违约金不足以弥补乙方损失的，还应按乙方经济损失尚未弥补的部分，支付赔偿金给乙方。</w:t>
      </w:r>
    </w:p>
    <w:p w14:paraId="27DC9459">
      <w:pPr>
        <w:numPr>
          <w:ilvl w:val="1"/>
          <w:numId w:val="0"/>
        </w:numPr>
        <w:wordWrap w:val="0"/>
        <w:topLinePunct/>
        <w:spacing w:line="44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(二)乙方违约责任</w:t>
      </w:r>
    </w:p>
    <w:p w14:paraId="2B70AD86">
      <w:pPr>
        <w:numPr>
          <w:ilvl w:val="2"/>
          <w:numId w:val="0"/>
        </w:numPr>
        <w:wordWrap w:val="0"/>
        <w:topLinePunct/>
        <w:spacing w:line="440" w:lineRule="exact"/>
        <w:ind w:firstLine="480" w:firstLineChars="200"/>
        <w:jc w:val="left"/>
        <w:rPr>
          <w:rFonts w:ascii="宋体" w:hAnsi="宋体" w:eastAsia="宋体" w:cs="宋体"/>
          <w:snapToGrid w:val="0"/>
          <w:sz w:val="24"/>
          <w:szCs w:val="24"/>
        </w:rPr>
      </w:pPr>
      <w:r>
        <w:rPr>
          <w:rFonts w:hint="eastAsia" w:ascii="宋体" w:hAnsi="宋体" w:eastAsia="宋体" w:cs="宋体"/>
          <w:snapToGrid w:val="0"/>
          <w:sz w:val="24"/>
          <w:szCs w:val="24"/>
        </w:rPr>
        <w:t>1.</w:t>
      </w:r>
      <w:r>
        <w:rPr>
          <w:rFonts w:hint="eastAsia" w:asciiTheme="minorEastAsia" w:hAnsiTheme="minorEastAsia" w:eastAsiaTheme="minorEastAsia" w:cstheme="minorEastAsia"/>
          <w:snapToGrid w:val="0"/>
          <w:sz w:val="24"/>
          <w:szCs w:val="24"/>
        </w:rPr>
        <w:t>乙方必须遵守采购合同并执行合同中的各项规定，保证采购合同的正常履行。</w:t>
      </w:r>
    </w:p>
    <w:p w14:paraId="53AA6A6C">
      <w:pPr>
        <w:numPr>
          <w:ilvl w:val="2"/>
          <w:numId w:val="0"/>
        </w:numPr>
        <w:wordWrap w:val="0"/>
        <w:topLinePunct/>
        <w:spacing w:line="440" w:lineRule="exact"/>
        <w:ind w:firstLine="480" w:firstLineChars="200"/>
        <w:jc w:val="left"/>
        <w:rPr>
          <w:rFonts w:asciiTheme="minorEastAsia" w:hAnsiTheme="minorEastAsia" w:eastAsiaTheme="minorEastAsia" w:cstheme="minorEastAsia"/>
          <w:snapToGrid w:val="0"/>
          <w:sz w:val="24"/>
          <w:szCs w:val="24"/>
        </w:rPr>
      </w:pPr>
      <w:r>
        <w:rPr>
          <w:rFonts w:hint="eastAsia" w:ascii="宋体" w:hAnsi="宋体" w:eastAsia="宋体" w:cs="宋体"/>
          <w:snapToGrid w:val="0"/>
          <w:sz w:val="24"/>
          <w:szCs w:val="24"/>
        </w:rPr>
        <w:t>2.</w:t>
      </w:r>
      <w:r>
        <w:rPr>
          <w:rFonts w:hint="eastAsia" w:asciiTheme="minorEastAsia" w:hAnsiTheme="minorEastAsia" w:eastAsiaTheme="minorEastAsia" w:cstheme="minorEastAsia"/>
          <w:snapToGrid w:val="0"/>
          <w:sz w:val="24"/>
          <w:szCs w:val="24"/>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52C0411">
      <w:pPr>
        <w:numPr>
          <w:ilvl w:val="2"/>
          <w:numId w:val="0"/>
        </w:numPr>
        <w:wordWrap w:val="0"/>
        <w:topLinePunct/>
        <w:spacing w:line="440" w:lineRule="exact"/>
        <w:ind w:firstLine="480" w:firstLineChars="200"/>
        <w:jc w:val="left"/>
        <w:rPr>
          <w:rFonts w:asciiTheme="minorEastAsia" w:hAnsiTheme="minorEastAsia" w:eastAsiaTheme="minorEastAsia" w:cstheme="minorEastAsia"/>
          <w:snapToGrid w:val="0"/>
          <w:sz w:val="24"/>
          <w:szCs w:val="24"/>
        </w:rPr>
      </w:pPr>
      <w:r>
        <w:rPr>
          <w:rFonts w:hint="eastAsia" w:ascii="宋体" w:hAnsi="宋体" w:eastAsia="宋体" w:cs="宋体"/>
          <w:snapToGrid w:val="0"/>
          <w:sz w:val="24"/>
          <w:szCs w:val="24"/>
        </w:rPr>
        <w:t>3.乙方不能按时提供服务(成果)或逾期提供的而违约的，除应及时提供服务外，应向甲方偿付逾期提供部分服务总额的百分之</w:t>
      </w:r>
      <w:r>
        <w:rPr>
          <w:rFonts w:hint="eastAsia" w:ascii="宋体" w:hAnsi="宋体" w:eastAsia="宋体" w:cs="宋体"/>
          <w:bCs/>
          <w:snapToGrid w:val="0"/>
          <w:sz w:val="24"/>
        </w:rPr>
        <w:t>一</w:t>
      </w:r>
      <w:r>
        <w:rPr>
          <w:rFonts w:hint="eastAsia" w:ascii="宋体" w:hAnsi="宋体" w:eastAsia="宋体" w:cs="宋体"/>
          <w:snapToGrid w:val="0"/>
          <w:sz w:val="24"/>
          <w:szCs w:val="24"/>
        </w:rPr>
        <w:t>/天的违约金；逾期超过15天，甲方有权终止合同，乙方则应按合同总价的百分之</w:t>
      </w:r>
      <w:r>
        <w:rPr>
          <w:rFonts w:hint="eastAsia" w:ascii="宋体" w:hAnsi="宋体" w:eastAsia="宋体" w:cs="宋体"/>
          <w:snapToGrid w:val="0"/>
          <w:sz w:val="24"/>
          <w:szCs w:val="24"/>
          <w:u w:val="single"/>
        </w:rPr>
        <w:t>20</w:t>
      </w:r>
      <w:r>
        <w:rPr>
          <w:rFonts w:hint="eastAsia" w:ascii="宋体" w:hAnsi="宋体" w:eastAsia="宋体" w:cs="宋体"/>
          <w:snapToGrid w:val="0"/>
          <w:sz w:val="24"/>
          <w:szCs w:val="24"/>
        </w:rPr>
        <w:t>的款额向甲方偿付违约金，并须全额退还甲方已经付给乙方的服务费及其利息。</w:t>
      </w:r>
    </w:p>
    <w:p w14:paraId="457FC52B">
      <w:pPr>
        <w:numPr>
          <w:ilvl w:val="2"/>
          <w:numId w:val="0"/>
        </w:numPr>
        <w:wordWrap w:val="0"/>
        <w:topLinePunct/>
        <w:spacing w:line="440" w:lineRule="exact"/>
        <w:ind w:firstLine="480" w:firstLineChars="200"/>
        <w:jc w:val="left"/>
        <w:rPr>
          <w:rFonts w:asciiTheme="minorEastAsia" w:hAnsiTheme="minorEastAsia" w:eastAsiaTheme="minorEastAsia" w:cstheme="minorEastAsia"/>
          <w:snapToGrid w:val="0"/>
          <w:sz w:val="24"/>
          <w:szCs w:val="24"/>
        </w:rPr>
      </w:pPr>
      <w:r>
        <w:rPr>
          <w:rFonts w:hint="eastAsia" w:ascii="宋体" w:hAnsi="宋体" w:eastAsia="宋体" w:cs="宋体"/>
          <w:snapToGrid w:val="0"/>
          <w:sz w:val="24"/>
          <w:szCs w:val="24"/>
        </w:rPr>
        <w:t>4.</w:t>
      </w:r>
      <w:r>
        <w:rPr>
          <w:rFonts w:hint="eastAsia" w:asciiTheme="minorEastAsia" w:hAnsiTheme="minorEastAsia" w:eastAsiaTheme="minorEastAsia" w:cstheme="minorEastAsia"/>
          <w:snapToGrid w:val="0"/>
          <w:sz w:val="24"/>
          <w:szCs w:val="24"/>
        </w:rPr>
        <w:t>乙方在履约过程中，服务经甲方考核不合格的，甲方有权要求乙方整改，如发生两次考核低于</w:t>
      </w:r>
      <w:r>
        <w:rPr>
          <w:rFonts w:hint="eastAsia" w:asciiTheme="minorEastAsia" w:hAnsiTheme="minorEastAsia" w:eastAsiaTheme="minorEastAsia" w:cstheme="minorEastAsia"/>
          <w:snapToGrid w:val="0"/>
          <w:sz w:val="24"/>
          <w:szCs w:val="24"/>
          <w:lang w:val="en-US" w:eastAsia="zh-CN"/>
        </w:rPr>
        <w:t>79(含)</w:t>
      </w:r>
      <w:r>
        <w:rPr>
          <w:rFonts w:hint="eastAsia" w:asciiTheme="minorEastAsia" w:hAnsiTheme="minorEastAsia" w:eastAsiaTheme="minorEastAsia" w:cstheme="minorEastAsia"/>
          <w:snapToGrid w:val="0"/>
          <w:sz w:val="24"/>
          <w:szCs w:val="24"/>
        </w:rPr>
        <w:t>分的，</w:t>
      </w:r>
      <w:r>
        <w:rPr>
          <w:rFonts w:hint="eastAsia" w:ascii="宋体" w:hAnsi="宋体" w:eastAsia="宋体" w:cs="宋体"/>
          <w:snapToGrid w:val="0"/>
          <w:sz w:val="24"/>
          <w:szCs w:val="24"/>
        </w:rPr>
        <w:t>甲方有权终止合同。</w:t>
      </w:r>
    </w:p>
    <w:p w14:paraId="39D19851">
      <w:pPr>
        <w:numPr>
          <w:ilvl w:val="2"/>
          <w:numId w:val="0"/>
        </w:numPr>
        <w:wordWrap w:val="0"/>
        <w:topLinePunct/>
        <w:spacing w:line="440" w:lineRule="exact"/>
        <w:ind w:firstLine="480" w:firstLineChars="200"/>
        <w:jc w:val="left"/>
        <w:rPr>
          <w:rFonts w:asciiTheme="minorEastAsia" w:hAnsiTheme="minorEastAsia" w:eastAsiaTheme="minorEastAsia" w:cstheme="minorEastAsia"/>
          <w:snapToGrid w:val="0"/>
          <w:sz w:val="24"/>
          <w:szCs w:val="24"/>
        </w:rPr>
      </w:pPr>
      <w:r>
        <w:rPr>
          <w:rFonts w:hint="eastAsia" w:ascii="宋体" w:hAnsi="宋体" w:eastAsia="宋体" w:cs="宋体"/>
          <w:snapToGrid w:val="0"/>
          <w:sz w:val="24"/>
          <w:szCs w:val="24"/>
        </w:rPr>
        <w:t>5.</w:t>
      </w:r>
      <w:r>
        <w:rPr>
          <w:rFonts w:hint="eastAsia" w:asciiTheme="minorEastAsia" w:hAnsiTheme="minorEastAsia" w:eastAsiaTheme="minorEastAsia" w:cstheme="minorEastAsia"/>
          <w:snapToGrid w:val="0"/>
          <w:sz w:val="24"/>
          <w:szCs w:val="24"/>
        </w:rPr>
        <w:t>乙方应当遵守甲方的相关项目需求及相关技术要求及实质性条款，实施完成采购合同应当完全满足相关项目需求及相关技术要求及实质性条款，若乙方瑕疵履行采购合同，甲方有权向乙方要求赔偿合同总价款20%的违约金，若造成相关损失的，甲方有权要求乙方承担所有赔偿责任。</w:t>
      </w:r>
    </w:p>
    <w:p w14:paraId="3AE1C7FD">
      <w:pPr>
        <w:numPr>
          <w:ilvl w:val="2"/>
          <w:numId w:val="0"/>
        </w:numPr>
        <w:wordWrap w:val="0"/>
        <w:topLinePunct/>
        <w:spacing w:line="440" w:lineRule="exact"/>
        <w:ind w:firstLine="480" w:firstLineChars="200"/>
        <w:jc w:val="left"/>
        <w:rPr>
          <w:rFonts w:asciiTheme="minorEastAsia" w:hAnsiTheme="minorEastAsia" w:eastAsiaTheme="minorEastAsia" w:cstheme="minorEastAsia"/>
          <w:snapToGrid w:val="0"/>
          <w:sz w:val="24"/>
          <w:szCs w:val="24"/>
        </w:rPr>
      </w:pPr>
      <w:r>
        <w:rPr>
          <w:rFonts w:hint="eastAsia" w:ascii="宋体" w:hAnsi="宋体" w:eastAsia="宋体" w:cs="宋体"/>
          <w:sz w:val="24"/>
        </w:rPr>
        <w:t>6.</w:t>
      </w:r>
      <w:r>
        <w:rPr>
          <w:rFonts w:hint="eastAsia" w:asciiTheme="minorEastAsia" w:hAnsiTheme="minorEastAsia" w:eastAsiaTheme="minorEastAsia" w:cstheme="minorEastAsia"/>
          <w:snapToGrid w:val="0"/>
          <w:sz w:val="24"/>
          <w:szCs w:val="24"/>
        </w:rPr>
        <w:t>有下列情形之一的，当事人可以解除合同：</w:t>
      </w:r>
    </w:p>
    <w:p w14:paraId="136800C2">
      <w:pPr>
        <w:wordWrap w:val="0"/>
        <w:topLinePunct/>
        <w:spacing w:line="440" w:lineRule="exact"/>
        <w:ind w:firstLine="480" w:firstLineChars="200"/>
        <w:jc w:val="left"/>
        <w:rPr>
          <w:rFonts w:asciiTheme="minorEastAsia" w:hAnsiTheme="minorEastAsia" w:eastAsiaTheme="minorEastAsia" w:cstheme="minorEastAsia"/>
          <w:snapToGrid w:val="0"/>
          <w:sz w:val="24"/>
          <w:szCs w:val="24"/>
        </w:rPr>
      </w:pPr>
      <w:r>
        <w:rPr>
          <w:rFonts w:hint="eastAsia" w:asciiTheme="minorEastAsia" w:hAnsiTheme="minorEastAsia" w:eastAsiaTheme="minorEastAsia" w:cstheme="minorEastAsia"/>
          <w:snapToGrid w:val="0"/>
          <w:sz w:val="24"/>
          <w:szCs w:val="24"/>
          <w:lang w:val="en-US" w:eastAsia="zh-CN"/>
        </w:rPr>
        <w:t>6</w:t>
      </w:r>
      <w:r>
        <w:rPr>
          <w:rFonts w:hint="eastAsia" w:asciiTheme="minorEastAsia" w:hAnsiTheme="minorEastAsia" w:eastAsiaTheme="minorEastAsia" w:cstheme="minorEastAsia"/>
          <w:snapToGrid w:val="0"/>
          <w:sz w:val="24"/>
          <w:szCs w:val="24"/>
        </w:rPr>
        <w:t>.1因不可抗力致使不能实现合同目的(由于非乙方或甲方原因，致使合同实质性条款无法实现的)；</w:t>
      </w:r>
    </w:p>
    <w:p w14:paraId="6F4781A6">
      <w:pPr>
        <w:wordWrap w:val="0"/>
        <w:topLinePunct/>
        <w:spacing w:line="440" w:lineRule="exact"/>
        <w:ind w:firstLine="480" w:firstLineChars="200"/>
        <w:jc w:val="left"/>
        <w:rPr>
          <w:rFonts w:asciiTheme="minorEastAsia" w:hAnsiTheme="minorEastAsia" w:eastAsiaTheme="minorEastAsia" w:cstheme="minorEastAsia"/>
          <w:snapToGrid w:val="0"/>
          <w:sz w:val="24"/>
          <w:szCs w:val="24"/>
        </w:rPr>
      </w:pPr>
      <w:r>
        <w:rPr>
          <w:rFonts w:hint="eastAsia" w:asciiTheme="minorEastAsia" w:hAnsiTheme="minorEastAsia" w:eastAsiaTheme="minorEastAsia" w:cstheme="minorEastAsia"/>
          <w:snapToGrid w:val="0"/>
          <w:sz w:val="24"/>
          <w:szCs w:val="24"/>
          <w:lang w:val="en-US" w:eastAsia="zh-CN"/>
        </w:rPr>
        <w:t>6</w:t>
      </w:r>
      <w:r>
        <w:rPr>
          <w:rFonts w:hint="eastAsia" w:asciiTheme="minorEastAsia" w:hAnsiTheme="minorEastAsia" w:eastAsiaTheme="minorEastAsia" w:cstheme="minorEastAsia"/>
          <w:snapToGrid w:val="0"/>
          <w:sz w:val="24"/>
          <w:szCs w:val="24"/>
        </w:rPr>
        <w:t>.2当事人一方迟延履行主要债务，经催告后在合理期限内仍未履行；</w:t>
      </w:r>
    </w:p>
    <w:p w14:paraId="29E7A4E7">
      <w:pPr>
        <w:wordWrap w:val="0"/>
        <w:topLinePunct/>
        <w:spacing w:line="440" w:lineRule="exact"/>
        <w:ind w:firstLine="480" w:firstLineChars="200"/>
        <w:jc w:val="left"/>
        <w:rPr>
          <w:rFonts w:asciiTheme="minorEastAsia" w:hAnsiTheme="minorEastAsia" w:eastAsiaTheme="minorEastAsia" w:cstheme="minorEastAsia"/>
          <w:snapToGrid w:val="0"/>
          <w:sz w:val="24"/>
          <w:szCs w:val="24"/>
        </w:rPr>
      </w:pPr>
      <w:r>
        <w:rPr>
          <w:rFonts w:hint="eastAsia" w:asciiTheme="minorEastAsia" w:hAnsiTheme="minorEastAsia" w:eastAsiaTheme="minorEastAsia" w:cstheme="minorEastAsia"/>
          <w:snapToGrid w:val="0"/>
          <w:sz w:val="24"/>
          <w:szCs w:val="24"/>
          <w:lang w:val="en-US" w:eastAsia="zh-CN"/>
        </w:rPr>
        <w:t>6</w:t>
      </w:r>
      <w:r>
        <w:rPr>
          <w:rFonts w:hint="eastAsia" w:asciiTheme="minorEastAsia" w:hAnsiTheme="minorEastAsia" w:eastAsiaTheme="minorEastAsia" w:cstheme="minorEastAsia"/>
          <w:snapToGrid w:val="0"/>
          <w:sz w:val="24"/>
          <w:szCs w:val="24"/>
        </w:rPr>
        <w:t>.3当事人一方迟延履行债务或者有其他违约行为致使不能实现合同目的；</w:t>
      </w:r>
    </w:p>
    <w:p w14:paraId="47D57D4D">
      <w:pPr>
        <w:wordWrap w:val="0"/>
        <w:topLinePunct/>
        <w:spacing w:line="440" w:lineRule="exact"/>
        <w:ind w:firstLine="480" w:firstLineChars="200"/>
        <w:jc w:val="left"/>
        <w:rPr>
          <w:rFonts w:asciiTheme="minorEastAsia" w:hAnsiTheme="minorEastAsia" w:eastAsiaTheme="minorEastAsia" w:cstheme="minorEastAsia"/>
          <w:snapToGrid w:val="0"/>
          <w:sz w:val="24"/>
          <w:szCs w:val="24"/>
        </w:rPr>
      </w:pPr>
      <w:r>
        <w:rPr>
          <w:rFonts w:hint="eastAsia" w:asciiTheme="minorEastAsia" w:hAnsiTheme="minorEastAsia" w:eastAsiaTheme="minorEastAsia" w:cstheme="minorEastAsia"/>
          <w:snapToGrid w:val="0"/>
          <w:sz w:val="24"/>
          <w:szCs w:val="24"/>
          <w:lang w:val="en-US" w:eastAsia="zh-CN"/>
        </w:rPr>
        <w:t>6</w:t>
      </w:r>
      <w:r>
        <w:rPr>
          <w:rFonts w:hint="eastAsia" w:asciiTheme="minorEastAsia" w:hAnsiTheme="minorEastAsia" w:eastAsiaTheme="minorEastAsia" w:cstheme="minorEastAsia"/>
          <w:snapToGrid w:val="0"/>
          <w:sz w:val="24"/>
          <w:szCs w:val="24"/>
        </w:rPr>
        <w:t>.4法律规定的其他情形。</w:t>
      </w:r>
    </w:p>
    <w:p w14:paraId="31015EAF">
      <w:pPr>
        <w:numPr>
          <w:ilvl w:val="0"/>
          <w:numId w:val="5"/>
        </w:numPr>
        <w:wordWrap w:val="0"/>
        <w:topLinePunct/>
        <w:adjustRightInd w:val="0"/>
        <w:snapToGrid w:val="0"/>
        <w:spacing w:line="440" w:lineRule="exact"/>
        <w:ind w:firstLine="482" w:firstLineChars="200"/>
        <w:jc w:val="left"/>
        <w:outlineLvl w:val="1"/>
        <w:rPr>
          <w:rFonts w:ascii="宋体" w:hAnsi="宋体" w:eastAsia="宋体" w:cstheme="minorBidi"/>
          <w:b/>
          <w:snapToGrid w:val="0"/>
          <w:sz w:val="24"/>
          <w:szCs w:val="24"/>
        </w:rPr>
      </w:pPr>
      <w:bookmarkStart w:id="53" w:name="_Toc18685"/>
      <w:bookmarkStart w:id="54" w:name="_Toc17858"/>
      <w:bookmarkStart w:id="55" w:name="_Toc20043"/>
      <w:bookmarkStart w:id="56" w:name="_Toc16518"/>
      <w:r>
        <w:rPr>
          <w:rFonts w:hint="eastAsia" w:ascii="宋体" w:hAnsi="宋体" w:eastAsia="宋体" w:cstheme="minorBidi"/>
          <w:b/>
          <w:snapToGrid w:val="0"/>
          <w:sz w:val="24"/>
          <w:szCs w:val="24"/>
        </w:rPr>
        <w:t>不可抗力事件处理</w:t>
      </w:r>
      <w:bookmarkEnd w:id="53"/>
      <w:bookmarkEnd w:id="54"/>
      <w:bookmarkEnd w:id="55"/>
      <w:bookmarkEnd w:id="56"/>
    </w:p>
    <w:p w14:paraId="537933F8">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(一)</w:t>
      </w:r>
      <w:r>
        <w:rPr>
          <w:rFonts w:hint="eastAsia" w:ascii="宋体" w:hAnsi="宋体" w:eastAsia="宋体" w:cstheme="minorBidi"/>
          <w:sz w:val="24"/>
          <w:szCs w:val="24"/>
        </w:rPr>
        <w:t>在合同有效期内，任何一方因不可抗力事件导致不能履行合同，则合同履行期可延长，其延长期与不可抗力影响期相同。</w:t>
      </w:r>
    </w:p>
    <w:p w14:paraId="30CBCFB5">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(二)</w:t>
      </w:r>
      <w:r>
        <w:rPr>
          <w:rFonts w:hint="eastAsia" w:ascii="宋体" w:hAnsi="宋体" w:eastAsia="宋体" w:cstheme="minorBidi"/>
          <w:sz w:val="24"/>
          <w:szCs w:val="24"/>
        </w:rPr>
        <w:t>不可抗力事件发生后，应立即通知对方，并寄送有关权威机构出具的证明。</w:t>
      </w:r>
    </w:p>
    <w:p w14:paraId="59A60AA2">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(三)</w:t>
      </w:r>
      <w:r>
        <w:rPr>
          <w:rFonts w:hint="eastAsia" w:ascii="宋体" w:hAnsi="宋体" w:eastAsia="宋体" w:cstheme="minorBidi"/>
          <w:sz w:val="24"/>
          <w:szCs w:val="24"/>
        </w:rPr>
        <w:t>不可抗力事件延续</w:t>
      </w:r>
      <w:r>
        <w:rPr>
          <w:rFonts w:hint="eastAsia" w:ascii="宋体" w:hAnsi="宋体" w:eastAsia="宋体" w:cstheme="minorBidi"/>
          <w:sz w:val="24"/>
          <w:szCs w:val="24"/>
          <w:u w:val="single"/>
        </w:rPr>
        <w:t>30</w:t>
      </w:r>
      <w:r>
        <w:rPr>
          <w:rFonts w:hint="eastAsia" w:ascii="宋体" w:hAnsi="宋体" w:eastAsia="宋体" w:cstheme="minorBidi"/>
          <w:sz w:val="24"/>
          <w:szCs w:val="24"/>
        </w:rPr>
        <w:t>天以上，双方应通过友好协商，确定是否继续履行合同。</w:t>
      </w:r>
    </w:p>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14:paraId="2F40415A">
      <w:pPr>
        <w:numPr>
          <w:ilvl w:val="0"/>
          <w:numId w:val="5"/>
        </w:numPr>
        <w:wordWrap w:val="0"/>
        <w:topLinePunct/>
        <w:adjustRightInd w:val="0"/>
        <w:snapToGrid w:val="0"/>
        <w:spacing w:line="440" w:lineRule="exact"/>
        <w:ind w:firstLine="482" w:firstLineChars="200"/>
        <w:jc w:val="left"/>
        <w:outlineLvl w:val="1"/>
        <w:rPr>
          <w:rFonts w:ascii="宋体" w:hAnsi="宋体" w:eastAsia="宋体" w:cstheme="minorBidi"/>
          <w:b/>
          <w:snapToGrid w:val="0"/>
          <w:sz w:val="24"/>
          <w:szCs w:val="24"/>
        </w:rPr>
      </w:pPr>
      <w:bookmarkStart w:id="57" w:name="_Toc225654649"/>
      <w:bookmarkStart w:id="58" w:name="_Toc211854454"/>
      <w:bookmarkStart w:id="59" w:name="_Toc238984980"/>
      <w:bookmarkStart w:id="60" w:name="_Toc251768867"/>
      <w:bookmarkStart w:id="61" w:name="_Toc185395254"/>
      <w:bookmarkStart w:id="62" w:name="_Toc237145411"/>
      <w:bookmarkStart w:id="63" w:name="_Toc239568423"/>
      <w:bookmarkStart w:id="64" w:name="_Toc239233919"/>
      <w:bookmarkStart w:id="65" w:name="_Toc286993792"/>
      <w:bookmarkStart w:id="66" w:name="_Toc247334846"/>
      <w:bookmarkStart w:id="67" w:name="_Toc232492933"/>
      <w:bookmarkStart w:id="68" w:name="_Toc212019599"/>
      <w:bookmarkStart w:id="69" w:name="_Toc225670756"/>
      <w:bookmarkStart w:id="70" w:name="_Toc241833908"/>
      <w:bookmarkStart w:id="71" w:name="_Toc211911353"/>
      <w:bookmarkStart w:id="72" w:name="_Toc225244857"/>
      <w:bookmarkStart w:id="73" w:name="_Toc16285"/>
      <w:bookmarkStart w:id="74" w:name="_Toc1595"/>
      <w:bookmarkStart w:id="75" w:name="_Toc30984"/>
      <w:bookmarkStart w:id="76" w:name="_Toc16931"/>
      <w:r>
        <w:rPr>
          <w:rFonts w:hint="eastAsia" w:ascii="宋体" w:hAnsi="宋体" w:eastAsia="宋体" w:cstheme="minorBidi"/>
          <w:b/>
          <w:snapToGrid w:val="0"/>
          <w:sz w:val="24"/>
          <w:szCs w:val="24"/>
        </w:rPr>
        <w:t>解决</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Pr>
          <w:rFonts w:hint="eastAsia" w:ascii="宋体" w:hAnsi="宋体" w:eastAsia="宋体" w:cstheme="minorBidi"/>
          <w:b/>
          <w:snapToGrid w:val="0"/>
          <w:sz w:val="24"/>
          <w:szCs w:val="24"/>
        </w:rPr>
        <w:t>争议的方法</w:t>
      </w:r>
      <w:bookmarkEnd w:id="73"/>
      <w:bookmarkEnd w:id="74"/>
      <w:bookmarkEnd w:id="75"/>
      <w:bookmarkEnd w:id="76"/>
    </w:p>
    <w:p w14:paraId="3FF385A8">
      <w:pPr>
        <w:wordWrap w:val="0"/>
        <w:topLinePunct/>
        <w:adjustRightInd w:val="0"/>
        <w:snapToGrid w:val="0"/>
        <w:spacing w:line="440" w:lineRule="exact"/>
        <w:ind w:firstLine="480" w:firstLineChars="200"/>
        <w:jc w:val="left"/>
        <w:rPr>
          <w:rFonts w:ascii="宋体" w:hAnsi="宋体" w:eastAsia="宋体" w:cs="Times New Roman"/>
          <w:sz w:val="24"/>
          <w:szCs w:val="24"/>
          <w:lang w:bidi="ar"/>
        </w:rPr>
      </w:pPr>
      <w:bookmarkStart w:id="77" w:name="_Toc286993793"/>
      <w:bookmarkStart w:id="78" w:name="_Toc238984981"/>
      <w:bookmarkStart w:id="79" w:name="_Toc185395255"/>
      <w:bookmarkStart w:id="80" w:name="_Toc237145412"/>
      <w:bookmarkStart w:id="81" w:name="_Toc241833909"/>
      <w:bookmarkStart w:id="82" w:name="_Toc225244858"/>
      <w:bookmarkStart w:id="83" w:name="_Toc225670757"/>
      <w:bookmarkStart w:id="84" w:name="_Toc225654650"/>
      <w:bookmarkStart w:id="85" w:name="_Toc247334847"/>
      <w:bookmarkStart w:id="86" w:name="_Toc239568424"/>
      <w:bookmarkStart w:id="87" w:name="_Toc251768868"/>
      <w:bookmarkStart w:id="88" w:name="_Toc283019219"/>
      <w:bookmarkStart w:id="89" w:name="_Toc211854455"/>
      <w:bookmarkStart w:id="90" w:name="_Toc239233920"/>
      <w:bookmarkStart w:id="91" w:name="_Toc211911354"/>
      <w:bookmarkStart w:id="92" w:name="_Toc282696231"/>
      <w:bookmarkStart w:id="93" w:name="_Toc232492934"/>
      <w:bookmarkStart w:id="94" w:name="_Toc212019600"/>
      <w:r>
        <w:rPr>
          <w:rFonts w:hint="eastAsia" w:ascii="宋体" w:hAnsi="宋体" w:eastAsia="宋体" w:cs="宋体"/>
          <w:sz w:val="24"/>
          <w:szCs w:val="24"/>
          <w:lang w:bidi="ar"/>
        </w:rPr>
        <w:t>合同履行期间，若双方发生争议，可协商或由有关部门调解解决，协商或调解不成的，向</w:t>
      </w:r>
      <w:r>
        <w:rPr>
          <w:rFonts w:hint="eastAsia" w:ascii="宋体" w:hAnsi="宋体" w:eastAsia="宋体" w:cs="Times New Roman"/>
          <w:sz w:val="24"/>
          <w:szCs w:val="24"/>
          <w:u w:val="single"/>
          <w:lang w:bidi="ar"/>
        </w:rPr>
        <w:t>甲方</w:t>
      </w:r>
      <w:r>
        <w:rPr>
          <w:rFonts w:hint="eastAsia" w:ascii="宋体" w:hAnsi="宋体" w:eastAsia="宋体" w:cs="宋体"/>
          <w:sz w:val="24"/>
          <w:szCs w:val="24"/>
          <w:lang w:bidi="ar"/>
        </w:rPr>
        <w:t>所在地人民法院起诉。</w:t>
      </w:r>
    </w:p>
    <w:p w14:paraId="62EA7BA5">
      <w:pPr>
        <w:numPr>
          <w:ilvl w:val="0"/>
          <w:numId w:val="5"/>
        </w:numPr>
        <w:wordWrap w:val="0"/>
        <w:topLinePunct/>
        <w:adjustRightInd w:val="0"/>
        <w:snapToGrid w:val="0"/>
        <w:spacing w:line="440" w:lineRule="exact"/>
        <w:ind w:firstLine="482" w:firstLineChars="200"/>
        <w:jc w:val="left"/>
        <w:outlineLvl w:val="1"/>
        <w:rPr>
          <w:rFonts w:ascii="宋体" w:hAnsi="宋体" w:eastAsia="宋体" w:cstheme="minorBidi"/>
          <w:b/>
          <w:snapToGrid w:val="0"/>
          <w:sz w:val="24"/>
          <w:szCs w:val="24"/>
        </w:rPr>
      </w:pPr>
      <w:bookmarkStart w:id="95" w:name="_Toc11429"/>
      <w:bookmarkStart w:id="96" w:name="_Toc28645"/>
      <w:bookmarkStart w:id="97" w:name="_Toc15488"/>
      <w:bookmarkStart w:id="98" w:name="_Toc17554"/>
      <w:r>
        <w:rPr>
          <w:rFonts w:hint="eastAsia" w:ascii="宋体" w:hAnsi="宋体" w:eastAsia="宋体" w:cstheme="minorBidi"/>
          <w:b/>
          <w:snapToGrid w:val="0"/>
          <w:sz w:val="24"/>
          <w:szCs w:val="24"/>
        </w:rPr>
        <w:t>合同</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Pr>
          <w:rFonts w:hint="eastAsia" w:ascii="宋体" w:hAnsi="宋体" w:eastAsia="宋体" w:cstheme="minorBidi"/>
          <w:b/>
          <w:snapToGrid w:val="0"/>
          <w:sz w:val="24"/>
          <w:szCs w:val="24"/>
        </w:rPr>
        <w:t>生效及其他</w:t>
      </w:r>
      <w:bookmarkEnd w:id="95"/>
      <w:bookmarkEnd w:id="96"/>
      <w:bookmarkEnd w:id="97"/>
      <w:bookmarkEnd w:id="98"/>
    </w:p>
    <w:p w14:paraId="25AA43B7">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(一)</w:t>
      </w:r>
      <w:r>
        <w:rPr>
          <w:rFonts w:hint="eastAsia" w:ascii="宋体" w:hAnsi="宋体" w:eastAsia="宋体" w:cstheme="minorBidi"/>
          <w:sz w:val="24"/>
          <w:szCs w:val="24"/>
        </w:rPr>
        <w:t>合同经双方法定代表人或授权委托代理人签字并加盖单位公章后生效。</w:t>
      </w:r>
    </w:p>
    <w:p w14:paraId="10FFDE06">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(二)</w:t>
      </w:r>
      <w:r>
        <w:rPr>
          <w:rFonts w:hint="eastAsia" w:ascii="宋体" w:hAnsi="宋体" w:eastAsia="宋体" w:cstheme="minorBidi"/>
          <w:sz w:val="24"/>
          <w:szCs w:val="24"/>
        </w:rPr>
        <w:t>合同执行中涉及采购资金和采购内容修改或补充的，须经政府采购监管部门审批，并签书面补充协议报政府采购监督管理部门备案，方可作为主合同不可分割的一部分。</w:t>
      </w:r>
    </w:p>
    <w:p w14:paraId="01D579AC">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(三)</w:t>
      </w:r>
      <w:r>
        <w:rPr>
          <w:rFonts w:hint="eastAsia" w:ascii="宋体" w:hAnsi="宋体" w:eastAsia="宋体" w:cstheme="minorBidi"/>
          <w:sz w:val="24"/>
          <w:szCs w:val="24"/>
        </w:rPr>
        <w:t>本合同一式</w:t>
      </w:r>
      <w:r>
        <w:rPr>
          <w:rFonts w:hint="eastAsia" w:ascii="宋体" w:hAnsi="宋体" w:eastAsia="宋体" w:cstheme="minorBidi"/>
          <w:sz w:val="24"/>
          <w:szCs w:val="24"/>
          <w:u w:val="single"/>
        </w:rPr>
        <w:t xml:space="preserve">  </w:t>
      </w:r>
      <w:r>
        <w:rPr>
          <w:rFonts w:hint="eastAsia" w:ascii="宋体" w:hAnsi="宋体" w:eastAsia="宋体" w:cstheme="minorBidi"/>
          <w:sz w:val="24"/>
          <w:szCs w:val="24"/>
        </w:rPr>
        <w:t>份，自双方签章之日起起效。甲方</w:t>
      </w:r>
      <w:r>
        <w:rPr>
          <w:rFonts w:hint="eastAsia" w:ascii="宋体" w:hAnsi="宋体" w:eastAsia="宋体" w:cstheme="minorBidi"/>
          <w:sz w:val="24"/>
          <w:szCs w:val="24"/>
          <w:u w:val="single"/>
        </w:rPr>
        <w:t xml:space="preserve">  </w:t>
      </w:r>
      <w:r>
        <w:rPr>
          <w:rFonts w:hint="eastAsia" w:ascii="宋体" w:hAnsi="宋体" w:eastAsia="宋体" w:cstheme="minorBidi"/>
          <w:sz w:val="24"/>
          <w:szCs w:val="24"/>
        </w:rPr>
        <w:t>份，乙方</w:t>
      </w:r>
      <w:r>
        <w:rPr>
          <w:rFonts w:hint="eastAsia" w:ascii="宋体" w:hAnsi="宋体" w:eastAsia="宋体" w:cstheme="minorBidi"/>
          <w:sz w:val="24"/>
          <w:szCs w:val="24"/>
          <w:u w:val="single"/>
        </w:rPr>
        <w:t xml:space="preserve">  </w:t>
      </w:r>
      <w:r>
        <w:rPr>
          <w:rFonts w:hint="eastAsia" w:ascii="宋体" w:hAnsi="宋体" w:eastAsia="宋体" w:cstheme="minorBidi"/>
          <w:sz w:val="24"/>
          <w:szCs w:val="24"/>
        </w:rPr>
        <w:t>份，具有同等法律效力。</w:t>
      </w:r>
    </w:p>
    <w:p w14:paraId="531C3C23">
      <w:pPr>
        <w:numPr>
          <w:ilvl w:val="0"/>
          <w:numId w:val="5"/>
        </w:numPr>
        <w:wordWrap w:val="0"/>
        <w:topLinePunct/>
        <w:adjustRightInd w:val="0"/>
        <w:snapToGrid w:val="0"/>
        <w:spacing w:line="440" w:lineRule="exact"/>
        <w:ind w:firstLine="482" w:firstLineChars="200"/>
        <w:jc w:val="left"/>
        <w:outlineLvl w:val="1"/>
        <w:rPr>
          <w:rFonts w:ascii="宋体" w:hAnsi="宋体" w:eastAsia="宋体" w:cstheme="minorBidi"/>
          <w:b/>
          <w:snapToGrid w:val="0"/>
          <w:sz w:val="24"/>
          <w:szCs w:val="24"/>
        </w:rPr>
      </w:pPr>
      <w:bookmarkStart w:id="99" w:name="_Toc4307"/>
      <w:bookmarkStart w:id="100" w:name="_Toc32250"/>
      <w:bookmarkStart w:id="101" w:name="_Toc16325"/>
      <w:bookmarkStart w:id="102" w:name="_Toc1701"/>
      <w:r>
        <w:rPr>
          <w:rFonts w:hint="eastAsia" w:ascii="宋体" w:hAnsi="宋体" w:eastAsia="宋体" w:cstheme="minorBidi"/>
          <w:b/>
          <w:snapToGrid w:val="0"/>
          <w:sz w:val="24"/>
          <w:szCs w:val="24"/>
        </w:rPr>
        <w:t>附件</w:t>
      </w:r>
      <w:bookmarkEnd w:id="99"/>
      <w:bookmarkEnd w:id="100"/>
      <w:bookmarkEnd w:id="101"/>
      <w:bookmarkEnd w:id="102"/>
    </w:p>
    <w:p w14:paraId="6BB9B989">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(一)</w:t>
      </w:r>
      <w:r>
        <w:rPr>
          <w:rFonts w:hint="eastAsia" w:ascii="宋体" w:hAnsi="宋体" w:eastAsia="宋体" w:cstheme="minorBidi"/>
          <w:sz w:val="24"/>
          <w:szCs w:val="24"/>
        </w:rPr>
        <w:t>项目竞争性磋商文件。</w:t>
      </w:r>
    </w:p>
    <w:p w14:paraId="5BF0328C">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(二)</w:t>
      </w:r>
      <w:r>
        <w:rPr>
          <w:rFonts w:hint="eastAsia" w:ascii="宋体" w:hAnsi="宋体" w:eastAsia="宋体" w:cstheme="minorBidi"/>
          <w:sz w:val="24"/>
          <w:szCs w:val="24"/>
        </w:rPr>
        <w:t>项目修改澄清文件(如有)。</w:t>
      </w:r>
    </w:p>
    <w:p w14:paraId="2BDD84C6">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(三)</w:t>
      </w:r>
      <w:r>
        <w:rPr>
          <w:rFonts w:hint="eastAsia" w:ascii="宋体" w:hAnsi="宋体" w:eastAsia="宋体" w:cstheme="minorBidi"/>
          <w:sz w:val="24"/>
          <w:szCs w:val="24"/>
        </w:rPr>
        <w:t>项目响应文件。</w:t>
      </w:r>
    </w:p>
    <w:p w14:paraId="0012DC98">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(四)</w:t>
      </w:r>
      <w:r>
        <w:rPr>
          <w:rFonts w:hint="eastAsia" w:ascii="宋体" w:hAnsi="宋体" w:eastAsia="宋体" w:cstheme="minorBidi"/>
          <w:sz w:val="24"/>
          <w:szCs w:val="24"/>
        </w:rPr>
        <w:t>成交通知书。</w:t>
      </w:r>
    </w:p>
    <w:p w14:paraId="107CB2AB">
      <w:pPr>
        <w:numPr>
          <w:ilvl w:val="1"/>
          <w:numId w:val="0"/>
        </w:numPr>
        <w:wordWrap w:val="0"/>
        <w:topLinePunct/>
        <w:adjustRightInd w:val="0"/>
        <w:snapToGrid w:val="0"/>
        <w:spacing w:line="440" w:lineRule="exact"/>
        <w:ind w:firstLine="480" w:firstLineChars="200"/>
        <w:jc w:val="left"/>
        <w:rPr>
          <w:rFonts w:ascii="宋体" w:hAnsi="宋体" w:eastAsia="宋体" w:cstheme="minorBidi"/>
          <w:sz w:val="24"/>
          <w:szCs w:val="24"/>
        </w:rPr>
      </w:pPr>
      <w:r>
        <w:rPr>
          <w:rFonts w:hint="eastAsia" w:ascii="宋体" w:hAnsi="宋体" w:eastAsia="宋体" w:cs="宋体"/>
          <w:sz w:val="24"/>
          <w:szCs w:val="24"/>
        </w:rPr>
        <w:t>(五)</w:t>
      </w:r>
      <w:r>
        <w:rPr>
          <w:rFonts w:hint="eastAsia" w:ascii="宋体" w:hAnsi="宋体" w:eastAsia="宋体" w:cstheme="minorBidi"/>
          <w:sz w:val="24"/>
          <w:szCs w:val="24"/>
        </w:rPr>
        <w:t>补充合同(如有)。</w:t>
      </w:r>
    </w:p>
    <w:p w14:paraId="4AD6EDAF">
      <w:pPr>
        <w:numPr>
          <w:ilvl w:val="1"/>
          <w:numId w:val="0"/>
        </w:numPr>
        <w:wordWrap w:val="0"/>
        <w:topLinePunct/>
        <w:adjustRightInd w:val="0"/>
        <w:snapToGrid w:val="0"/>
        <w:spacing w:line="44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(六)</w:t>
      </w:r>
      <w:r>
        <w:rPr>
          <w:rFonts w:hint="eastAsia" w:ascii="宋体" w:hAnsi="宋体" w:eastAsia="宋体" w:cstheme="minorBidi"/>
          <w:sz w:val="24"/>
          <w:szCs w:val="24"/>
        </w:rPr>
        <w:t>其他(如有)</w:t>
      </w:r>
      <w:r>
        <w:rPr>
          <w:rFonts w:hint="eastAsia" w:ascii="宋体" w:hAnsi="宋体" w:eastAsia="宋体" w:cs="宋体"/>
          <w:sz w:val="24"/>
          <w:szCs w:val="24"/>
        </w:rPr>
        <w:t>。</w:t>
      </w:r>
    </w:p>
    <w:p w14:paraId="5C1B4542">
      <w:pP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br w:type="page"/>
      </w:r>
    </w:p>
    <w:p w14:paraId="29668D24">
      <w:pPr>
        <w:pageBreakBefore w:val="0"/>
        <w:widowControl w:val="0"/>
        <w:numPr>
          <w:ilvl w:val="0"/>
          <w:numId w:val="0"/>
        </w:numPr>
        <w:kinsoku/>
        <w:wordWrap w:val="0"/>
        <w:overflowPunct/>
        <w:topLinePunct/>
        <w:autoSpaceDE/>
        <w:autoSpaceDN/>
        <w:bidi w:val="0"/>
        <w:adjustRightInd w:val="0"/>
        <w:snapToGrid w:val="0"/>
        <w:spacing w:beforeAutospacing="0" w:afterAutospacing="0" w:line="440" w:lineRule="exact"/>
        <w:ind w:leftChars="200"/>
        <w:jc w:val="center"/>
        <w:textAlignment w:val="auto"/>
        <w:outlineLvl w:val="9"/>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(本页无正文)</w:t>
      </w:r>
    </w:p>
    <w:tbl>
      <w:tblPr>
        <w:tblStyle w:val="9"/>
        <w:tblW w:w="9962" w:type="dxa"/>
        <w:jc w:val="center"/>
        <w:tblLayout w:type="fixed"/>
        <w:tblCellMar>
          <w:top w:w="0" w:type="dxa"/>
          <w:left w:w="108" w:type="dxa"/>
          <w:bottom w:w="0" w:type="dxa"/>
          <w:right w:w="108" w:type="dxa"/>
        </w:tblCellMar>
      </w:tblPr>
      <w:tblGrid>
        <w:gridCol w:w="4981"/>
        <w:gridCol w:w="4981"/>
      </w:tblGrid>
      <w:tr w14:paraId="14CAEE6B">
        <w:tblPrEx>
          <w:tblCellMar>
            <w:top w:w="0" w:type="dxa"/>
            <w:left w:w="108" w:type="dxa"/>
            <w:bottom w:w="0" w:type="dxa"/>
            <w:right w:w="108" w:type="dxa"/>
          </w:tblCellMar>
        </w:tblPrEx>
        <w:trPr>
          <w:trHeight w:val="718" w:hRule="atLeast"/>
          <w:jc w:val="center"/>
        </w:trPr>
        <w:tc>
          <w:tcPr>
            <w:tcW w:w="4981" w:type="dxa"/>
            <w:noWrap w:val="0"/>
            <w:vAlign w:val="center"/>
          </w:tcPr>
          <w:p w14:paraId="564E157D">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甲方：   (盖章)</w:t>
            </w:r>
          </w:p>
        </w:tc>
        <w:tc>
          <w:tcPr>
            <w:tcW w:w="4981" w:type="dxa"/>
            <w:noWrap w:val="0"/>
            <w:vAlign w:val="center"/>
          </w:tcPr>
          <w:p w14:paraId="047E90F3">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乙方：   (盖章)</w:t>
            </w:r>
          </w:p>
        </w:tc>
      </w:tr>
      <w:tr w14:paraId="40F13486">
        <w:tblPrEx>
          <w:tblCellMar>
            <w:top w:w="0" w:type="dxa"/>
            <w:left w:w="108" w:type="dxa"/>
            <w:bottom w:w="0" w:type="dxa"/>
            <w:right w:w="108" w:type="dxa"/>
          </w:tblCellMar>
        </w:tblPrEx>
        <w:trPr>
          <w:trHeight w:val="718" w:hRule="atLeast"/>
          <w:jc w:val="center"/>
        </w:trPr>
        <w:tc>
          <w:tcPr>
            <w:tcW w:w="4981" w:type="dxa"/>
            <w:noWrap w:val="0"/>
            <w:vAlign w:val="center"/>
          </w:tcPr>
          <w:p w14:paraId="06D71933">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法定代表人(授权代表)：</w:t>
            </w:r>
          </w:p>
        </w:tc>
        <w:tc>
          <w:tcPr>
            <w:tcW w:w="4981" w:type="dxa"/>
            <w:noWrap w:val="0"/>
            <w:vAlign w:val="center"/>
          </w:tcPr>
          <w:p w14:paraId="71E732B3">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法定代表人(授权代表)：</w:t>
            </w:r>
          </w:p>
        </w:tc>
      </w:tr>
      <w:tr w14:paraId="0A45B55D">
        <w:tblPrEx>
          <w:tblCellMar>
            <w:top w:w="0" w:type="dxa"/>
            <w:left w:w="108" w:type="dxa"/>
            <w:bottom w:w="0" w:type="dxa"/>
            <w:right w:w="108" w:type="dxa"/>
          </w:tblCellMar>
        </w:tblPrEx>
        <w:trPr>
          <w:trHeight w:val="718" w:hRule="atLeast"/>
          <w:jc w:val="center"/>
        </w:trPr>
        <w:tc>
          <w:tcPr>
            <w:tcW w:w="4981" w:type="dxa"/>
            <w:noWrap w:val="0"/>
            <w:vAlign w:val="center"/>
          </w:tcPr>
          <w:p w14:paraId="42A3343F">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地址(住所)：</w:t>
            </w:r>
          </w:p>
        </w:tc>
        <w:tc>
          <w:tcPr>
            <w:tcW w:w="4981" w:type="dxa"/>
            <w:noWrap w:val="0"/>
            <w:vAlign w:val="center"/>
          </w:tcPr>
          <w:p w14:paraId="6B8B04AA">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地址(住所)：</w:t>
            </w:r>
          </w:p>
        </w:tc>
      </w:tr>
      <w:tr w14:paraId="5FCA4CB4">
        <w:tblPrEx>
          <w:tblCellMar>
            <w:top w:w="0" w:type="dxa"/>
            <w:left w:w="108" w:type="dxa"/>
            <w:bottom w:w="0" w:type="dxa"/>
            <w:right w:w="108" w:type="dxa"/>
          </w:tblCellMar>
        </w:tblPrEx>
        <w:trPr>
          <w:trHeight w:val="718" w:hRule="atLeast"/>
          <w:jc w:val="center"/>
        </w:trPr>
        <w:tc>
          <w:tcPr>
            <w:tcW w:w="4981" w:type="dxa"/>
            <w:noWrap w:val="0"/>
            <w:vAlign w:val="center"/>
          </w:tcPr>
          <w:p w14:paraId="1976CBAE">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开户银行：</w:t>
            </w:r>
          </w:p>
        </w:tc>
        <w:tc>
          <w:tcPr>
            <w:tcW w:w="4981" w:type="dxa"/>
            <w:noWrap w:val="0"/>
            <w:vAlign w:val="center"/>
          </w:tcPr>
          <w:p w14:paraId="2D6DE596">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开户银行：</w:t>
            </w:r>
          </w:p>
        </w:tc>
      </w:tr>
      <w:tr w14:paraId="3254AD26">
        <w:tblPrEx>
          <w:tblCellMar>
            <w:top w:w="0" w:type="dxa"/>
            <w:left w:w="108" w:type="dxa"/>
            <w:bottom w:w="0" w:type="dxa"/>
            <w:right w:w="108" w:type="dxa"/>
          </w:tblCellMar>
        </w:tblPrEx>
        <w:trPr>
          <w:trHeight w:val="718" w:hRule="atLeast"/>
          <w:jc w:val="center"/>
        </w:trPr>
        <w:tc>
          <w:tcPr>
            <w:tcW w:w="4981" w:type="dxa"/>
            <w:noWrap w:val="0"/>
            <w:vAlign w:val="center"/>
          </w:tcPr>
          <w:p w14:paraId="69B959B1">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账号：</w:t>
            </w:r>
          </w:p>
        </w:tc>
        <w:tc>
          <w:tcPr>
            <w:tcW w:w="4981" w:type="dxa"/>
            <w:noWrap w:val="0"/>
            <w:vAlign w:val="center"/>
          </w:tcPr>
          <w:p w14:paraId="38592BEE">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账号：</w:t>
            </w:r>
          </w:p>
        </w:tc>
      </w:tr>
      <w:tr w14:paraId="35D0122B">
        <w:tblPrEx>
          <w:tblCellMar>
            <w:top w:w="0" w:type="dxa"/>
            <w:left w:w="108" w:type="dxa"/>
            <w:bottom w:w="0" w:type="dxa"/>
            <w:right w:w="108" w:type="dxa"/>
          </w:tblCellMar>
        </w:tblPrEx>
        <w:trPr>
          <w:trHeight w:val="718" w:hRule="atLeast"/>
          <w:jc w:val="center"/>
        </w:trPr>
        <w:tc>
          <w:tcPr>
            <w:tcW w:w="4981" w:type="dxa"/>
            <w:noWrap w:val="0"/>
            <w:vAlign w:val="center"/>
          </w:tcPr>
          <w:p w14:paraId="36A706D9">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 xml:space="preserve">电话： </w:t>
            </w:r>
          </w:p>
        </w:tc>
        <w:tc>
          <w:tcPr>
            <w:tcW w:w="4981" w:type="dxa"/>
            <w:noWrap w:val="0"/>
            <w:vAlign w:val="center"/>
          </w:tcPr>
          <w:p w14:paraId="2D8C7D11">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 xml:space="preserve">电话： </w:t>
            </w:r>
          </w:p>
        </w:tc>
      </w:tr>
      <w:tr w14:paraId="404E9A45">
        <w:tblPrEx>
          <w:tblCellMar>
            <w:top w:w="0" w:type="dxa"/>
            <w:left w:w="108" w:type="dxa"/>
            <w:bottom w:w="0" w:type="dxa"/>
            <w:right w:w="108" w:type="dxa"/>
          </w:tblCellMar>
        </w:tblPrEx>
        <w:trPr>
          <w:trHeight w:val="724" w:hRule="atLeast"/>
          <w:jc w:val="center"/>
        </w:trPr>
        <w:tc>
          <w:tcPr>
            <w:tcW w:w="4981" w:type="dxa"/>
            <w:noWrap w:val="0"/>
            <w:vAlign w:val="center"/>
          </w:tcPr>
          <w:p w14:paraId="1328A255">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传真：</w:t>
            </w:r>
          </w:p>
        </w:tc>
        <w:tc>
          <w:tcPr>
            <w:tcW w:w="4981" w:type="dxa"/>
            <w:noWrap w:val="0"/>
            <w:vAlign w:val="center"/>
          </w:tcPr>
          <w:p w14:paraId="69DDE15E">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传真：</w:t>
            </w:r>
          </w:p>
        </w:tc>
      </w:tr>
      <w:tr w14:paraId="436A7ED6">
        <w:tblPrEx>
          <w:tblCellMar>
            <w:top w:w="0" w:type="dxa"/>
            <w:left w:w="108" w:type="dxa"/>
            <w:bottom w:w="0" w:type="dxa"/>
            <w:right w:w="108" w:type="dxa"/>
          </w:tblCellMar>
        </w:tblPrEx>
        <w:trPr>
          <w:trHeight w:val="724" w:hRule="atLeast"/>
          <w:jc w:val="center"/>
        </w:trPr>
        <w:tc>
          <w:tcPr>
            <w:tcW w:w="4981" w:type="dxa"/>
            <w:noWrap w:val="0"/>
            <w:vAlign w:val="center"/>
          </w:tcPr>
          <w:p w14:paraId="4E3F056D">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签约日期：XX年XX月XX日</w:t>
            </w:r>
          </w:p>
        </w:tc>
        <w:tc>
          <w:tcPr>
            <w:tcW w:w="4981" w:type="dxa"/>
            <w:noWrap w:val="0"/>
            <w:vAlign w:val="center"/>
          </w:tcPr>
          <w:p w14:paraId="195BF73D">
            <w:pPr>
              <w:wordWrap w:val="0"/>
              <w:topLinePunct/>
              <w:adjustRightInd w:val="0"/>
              <w:snapToGrid w:val="0"/>
              <w:spacing w:line="440" w:lineRule="exact"/>
              <w:rPr>
                <w:rFonts w:hint="eastAsia" w:ascii="宋体" w:hAnsi="宋体" w:eastAsia="宋体" w:cs="宋体"/>
                <w:snapToGrid w:val="0"/>
                <w:sz w:val="24"/>
                <w:highlight w:val="none"/>
              </w:rPr>
            </w:pPr>
            <w:r>
              <w:rPr>
                <w:rFonts w:hint="eastAsia" w:ascii="宋体" w:hAnsi="宋体" w:eastAsia="宋体" w:cs="宋体"/>
                <w:snapToGrid w:val="0"/>
                <w:sz w:val="24"/>
                <w:highlight w:val="none"/>
              </w:rPr>
              <w:t>签约日期：XX年XX月XX日</w:t>
            </w:r>
          </w:p>
        </w:tc>
      </w:tr>
    </w:tbl>
    <w:p w14:paraId="06ED5A42">
      <w:pPr>
        <w:pStyle w:val="23"/>
        <w:numPr>
          <w:ilvl w:val="0"/>
          <w:numId w:val="0"/>
        </w:numPr>
        <w:spacing w:line="440" w:lineRule="exact"/>
        <w:ind w:firstLine="480" w:firstLineChars="200"/>
        <w:rPr>
          <w:rFonts w:hint="eastAsia" w:ascii="宋体" w:hAnsi="宋体" w:eastAsia="宋体" w:cs="宋体"/>
          <w:sz w:val="24"/>
          <w:highlight w:val="none"/>
        </w:rPr>
      </w:pPr>
    </w:p>
    <w:p w14:paraId="44D5BAEB">
      <w:pPr>
        <w:rPr>
          <w:rFonts w:hint="eastAsia" w:ascii="宋体" w:hAnsi="宋体" w:eastAsia="宋体" w:cs="宋体"/>
          <w:highlight w:val="none"/>
        </w:rPr>
      </w:pPr>
    </w:p>
    <w:sectPr>
      <w:pgSz w:w="11906" w:h="16838"/>
      <w:pgMar w:top="1440" w:right="1080" w:bottom="1440" w:left="108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0635A9"/>
    <w:multiLevelType w:val="singleLevel"/>
    <w:tmpl w:val="A80635A9"/>
    <w:lvl w:ilvl="0" w:tentative="0">
      <w:start w:val="1"/>
      <w:numFmt w:val="chineseCounting"/>
      <w:pStyle w:val="26"/>
      <w:suff w:val="nothing"/>
      <w:lvlText w:val="第%1条  "/>
      <w:lvlJc w:val="left"/>
      <w:pPr>
        <w:ind w:left="0" w:firstLine="0"/>
      </w:pPr>
      <w:rPr>
        <w:rFonts w:hint="eastAsia"/>
      </w:rPr>
    </w:lvl>
  </w:abstractNum>
  <w:abstractNum w:abstractNumId="1">
    <w:nsid w:val="B04D8E0A"/>
    <w:multiLevelType w:val="multilevel"/>
    <w:tmpl w:val="B04D8E0A"/>
    <w:lvl w:ilvl="0" w:tentative="0">
      <w:start w:val="1"/>
      <w:numFmt w:val="chineseCounting"/>
      <w:suff w:val="nothing"/>
      <w:lvlText w:val="第%1章 "/>
      <w:lvlJc w:val="left"/>
      <w:pPr>
        <w:tabs>
          <w:tab w:val="left" w:pos="0"/>
        </w:tabs>
        <w:ind w:left="0" w:firstLine="0"/>
      </w:pPr>
      <w:rPr>
        <w:rFonts w:hint="eastAsia" w:ascii="宋体" w:hAnsi="宋体" w:eastAsia="宋体" w:cs="宋体"/>
      </w:rPr>
    </w:lvl>
    <w:lvl w:ilvl="1" w:tentative="0">
      <w:start w:val="1"/>
      <w:numFmt w:val="chineseCounting"/>
      <w:pStyle w:val="24"/>
      <w:suff w:val="nothing"/>
      <w:lvlText w:val="%2、"/>
      <w:lvlJc w:val="left"/>
      <w:pPr>
        <w:ind w:left="0" w:firstLine="0"/>
      </w:pPr>
      <w:rPr>
        <w:rFonts w:hint="eastAsia" w:ascii="宋体" w:hAnsi="宋体" w:eastAsia="宋体" w:cs="宋体"/>
      </w:rPr>
    </w:lvl>
    <w:lvl w:ilvl="2" w:tentative="0">
      <w:start w:val="1"/>
      <w:numFmt w:val="chineseCounting"/>
      <w:suff w:val="nothing"/>
      <w:lvlText w:val="(%3)"/>
      <w:lvlJc w:val="left"/>
      <w:pPr>
        <w:tabs>
          <w:tab w:val="left" w:pos="0"/>
        </w:tabs>
        <w:ind w:left="0" w:firstLine="0"/>
      </w:pPr>
      <w:rPr>
        <w:rFonts w:hint="eastAsia" w:ascii="宋体" w:hAnsi="宋体" w:eastAsia="宋体" w:cs="宋体"/>
      </w:rPr>
    </w:lvl>
    <w:lvl w:ilvl="3" w:tentative="0">
      <w:start w:val="1"/>
      <w:numFmt w:val="decimal"/>
      <w:pStyle w:val="25"/>
      <w:suff w:val="nothing"/>
      <w:lvlText w:val="%4."/>
      <w:lvlJc w:val="left"/>
      <w:pPr>
        <w:tabs>
          <w:tab w:val="left" w:pos="0"/>
        </w:tabs>
        <w:ind w:left="0" w:firstLine="0"/>
      </w:pPr>
      <w:rPr>
        <w:rFonts w:hint="eastAsia" w:ascii="宋体" w:hAnsi="宋体" w:eastAsia="宋体" w:cs="宋体"/>
      </w:rPr>
    </w:lvl>
    <w:lvl w:ilvl="4" w:tentative="0">
      <w:start w:val="1"/>
      <w:numFmt w:val="decimal"/>
      <w:suff w:val="nothing"/>
      <w:lvlText w:val="%4.%5"/>
      <w:lvlJc w:val="left"/>
      <w:pPr>
        <w:ind w:left="0" w:firstLine="0"/>
      </w:pPr>
      <w:rPr>
        <w:rFonts w:hint="eastAsia" w:ascii="宋体" w:hAnsi="宋体" w:eastAsia="宋体" w:cs="宋体"/>
      </w:rPr>
    </w:lvl>
    <w:lvl w:ilvl="5" w:tentative="0">
      <w:start w:val="1"/>
      <w:numFmt w:val="decimal"/>
      <w:suff w:val="nothing"/>
      <w:lvlText w:val="(%6)"/>
      <w:lvlJc w:val="left"/>
      <w:pPr>
        <w:ind w:left="0" w:firstLine="0"/>
      </w:pPr>
      <w:rPr>
        <w:rFonts w:hint="eastAsia" w:ascii="宋体" w:hAnsi="宋体" w:eastAsia="宋体" w:cs="宋体"/>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
    <w:nsid w:val="E1C6327C"/>
    <w:multiLevelType w:val="multilevel"/>
    <w:tmpl w:val="E1C6327C"/>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chineseCounting"/>
      <w:pStyle w:val="23"/>
      <w:suff w:val="nothing"/>
      <w:lvlText w:val="(%2)"/>
      <w:lvlJc w:val="left"/>
      <w:pPr>
        <w:ind w:left="0" w:firstLine="0"/>
      </w:pPr>
      <w:rPr>
        <w:rFonts w:hint="eastAsia" w:ascii="宋体" w:hAnsi="宋体" w:eastAsia="宋体" w:cs="宋体"/>
        <w:sz w:val="24"/>
        <w:szCs w:val="24"/>
      </w:rPr>
    </w:lvl>
    <w:lvl w:ilvl="2" w:tentative="0">
      <w:start w:val="1"/>
      <w:numFmt w:val="decimal"/>
      <w:pStyle w:val="27"/>
      <w:suff w:val="nothing"/>
      <w:lvlText w:val="%3."/>
      <w:lvlJc w:val="left"/>
      <w:pPr>
        <w:ind w:left="0" w:firstLine="0"/>
      </w:pPr>
      <w:rPr>
        <w:rFonts w:hint="default" w:ascii="宋体" w:hAnsi="宋体" w:eastAsia="宋体" w:cs="宋体"/>
        <w:sz w:val="24"/>
        <w:szCs w:val="24"/>
      </w:rPr>
    </w:lvl>
    <w:lvl w:ilvl="3" w:tentative="0">
      <w:start w:val="1"/>
      <w:numFmt w:val="decimal"/>
      <w:suff w:val="nothing"/>
      <w:lvlText w:val="%3.%4"/>
      <w:lvlJc w:val="left"/>
      <w:pPr>
        <w:ind w:left="0" w:firstLine="0"/>
      </w:pPr>
      <w:rPr>
        <w:rFonts w:hint="eastAsia" w:ascii="宋体" w:hAnsi="宋体" w:eastAsia="宋体" w:cs="宋体"/>
      </w:rPr>
    </w:lvl>
    <w:lvl w:ilvl="4" w:tentative="0">
      <w:start w:val="1"/>
      <w:numFmt w:val="decimal"/>
      <w:suff w:val="nothing"/>
      <w:lvlText w:val="(%5)"/>
      <w:lvlJc w:val="left"/>
      <w:pPr>
        <w:ind w:left="0" w:firstLine="0"/>
      </w:pPr>
      <w:rPr>
        <w:rFonts w:hint="eastAsia" w:ascii="宋体" w:hAnsi="宋体" w:eastAsia="宋体" w:cs="宋体"/>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3">
    <w:nsid w:val="30942FA6"/>
    <w:multiLevelType w:val="singleLevel"/>
    <w:tmpl w:val="30942FA6"/>
    <w:lvl w:ilvl="0" w:tentative="0">
      <w:start w:val="1"/>
      <w:numFmt w:val="decimal"/>
      <w:pStyle w:val="15"/>
      <w:lvlText w:val="%1."/>
      <w:lvlJc w:val="left"/>
      <w:pPr>
        <w:ind w:left="425" w:hanging="425"/>
      </w:pPr>
      <w:rPr>
        <w:rFonts w:hint="default"/>
      </w:rPr>
    </w:lvl>
  </w:abstractNum>
  <w:abstractNum w:abstractNumId="4">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hZmZlNDUwOGNiM2JlYmU2ZThmMWE4MTBjNTRiOTUifQ=="/>
  </w:docVars>
  <w:rsids>
    <w:rsidRoot w:val="00000000"/>
    <w:rsid w:val="060F19C2"/>
    <w:rsid w:val="07BE16B9"/>
    <w:rsid w:val="08572986"/>
    <w:rsid w:val="0D9C0C57"/>
    <w:rsid w:val="0E800060"/>
    <w:rsid w:val="15284F04"/>
    <w:rsid w:val="156758F5"/>
    <w:rsid w:val="15D94790"/>
    <w:rsid w:val="16A668AC"/>
    <w:rsid w:val="1C0E45E4"/>
    <w:rsid w:val="1DED51E1"/>
    <w:rsid w:val="1E2F2863"/>
    <w:rsid w:val="1E9B14C2"/>
    <w:rsid w:val="23675C90"/>
    <w:rsid w:val="2BC8029E"/>
    <w:rsid w:val="2CFB5398"/>
    <w:rsid w:val="330F4321"/>
    <w:rsid w:val="35237291"/>
    <w:rsid w:val="3A5F4509"/>
    <w:rsid w:val="3B6D3455"/>
    <w:rsid w:val="43573464"/>
    <w:rsid w:val="4475141B"/>
    <w:rsid w:val="453579D4"/>
    <w:rsid w:val="468621A5"/>
    <w:rsid w:val="4DD21CD8"/>
    <w:rsid w:val="4EE748AB"/>
    <w:rsid w:val="51317043"/>
    <w:rsid w:val="51F90B9E"/>
    <w:rsid w:val="52136E57"/>
    <w:rsid w:val="555C6864"/>
    <w:rsid w:val="5978446A"/>
    <w:rsid w:val="5A4B7547"/>
    <w:rsid w:val="5B512A19"/>
    <w:rsid w:val="5B810C1F"/>
    <w:rsid w:val="5CBD2975"/>
    <w:rsid w:val="60CC428B"/>
    <w:rsid w:val="65BB0790"/>
    <w:rsid w:val="66C80C69"/>
    <w:rsid w:val="67FE0A1E"/>
    <w:rsid w:val="6B025E58"/>
    <w:rsid w:val="6C5A2BED"/>
    <w:rsid w:val="6C7F2641"/>
    <w:rsid w:val="6C96246F"/>
    <w:rsid w:val="6D3A3ED7"/>
    <w:rsid w:val="71A07EF4"/>
    <w:rsid w:val="71F83E94"/>
    <w:rsid w:val="75566DFD"/>
    <w:rsid w:val="791A5C8B"/>
    <w:rsid w:val="7A545FBD"/>
    <w:rsid w:val="7C495542"/>
    <w:rsid w:val="7EB853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adjustRightInd w:val="0"/>
      <w:snapToGrid w:val="0"/>
      <w:spacing w:line="440" w:lineRule="exact"/>
    </w:pPr>
    <w:rPr>
      <w:rFonts w:ascii="宋体" w:hAnsi="宋体" w:eastAsia="宋体" w:cs="Times New Roman"/>
      <w:kern w:val="2"/>
      <w:sz w:val="24"/>
      <w:szCs w:val="24"/>
      <w:lang w:val="en-US" w:eastAsia="zh-CN" w:bidi="ar-SA"/>
    </w:rPr>
  </w:style>
  <w:style w:type="paragraph" w:styleId="2">
    <w:name w:val="heading 1"/>
    <w:basedOn w:val="1"/>
    <w:next w:val="1"/>
    <w:qFormat/>
    <w:uiPriority w:val="0"/>
    <w:pPr>
      <w:keepNext/>
      <w:keepLines/>
      <w:spacing w:line="440" w:lineRule="exact"/>
      <w:outlineLvl w:val="0"/>
    </w:pPr>
    <w:rPr>
      <w:b/>
      <w:kern w:val="44"/>
      <w:sz w:val="4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rPr>
      <w:rFonts w:eastAsia="宋体"/>
      <w:sz w:val="18"/>
    </w:rPr>
  </w:style>
  <w:style w:type="paragraph" w:styleId="5">
    <w:name w:val="Body Text Indent 2"/>
    <w:basedOn w:val="1"/>
    <w:qFormat/>
    <w:uiPriority w:val="0"/>
    <w:pPr>
      <w:spacing w:after="120" w:line="480" w:lineRule="auto"/>
      <w:ind w:left="200" w:leftChars="200"/>
    </w:pPr>
  </w:style>
  <w:style w:type="paragraph" w:styleId="6">
    <w:name w:val="toc 6"/>
    <w:basedOn w:val="1"/>
    <w:next w:val="1"/>
    <w:qFormat/>
    <w:uiPriority w:val="0"/>
    <w:pPr>
      <w:ind w:left="2100"/>
    </w:pPr>
  </w:style>
  <w:style w:type="paragraph" w:styleId="7">
    <w:name w:val="Body Text 2"/>
    <w:basedOn w:val="1"/>
    <w:qFormat/>
    <w:uiPriority w:val="99"/>
    <w:pPr>
      <w:spacing w:after="120" w:line="480" w:lineRule="auto"/>
    </w:p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character" w:styleId="11">
    <w:name w:val="Hyperlink"/>
    <w:basedOn w:val="10"/>
    <w:qFormat/>
    <w:uiPriority w:val="0"/>
    <w:rPr>
      <w:color w:val="3D3D3D"/>
      <w:u w:val="none"/>
    </w:rPr>
  </w:style>
  <w:style w:type="paragraph" w:customStyle="1" w:styleId="12">
    <w:name w:val="标题 5（有编号）（绿盟科技）"/>
    <w:basedOn w:val="13"/>
    <w:next w:val="16"/>
    <w:qFormat/>
    <w:uiPriority w:val="0"/>
    <w:pPr>
      <w:keepNext/>
      <w:keepLines/>
      <w:numPr>
        <w:ilvl w:val="4"/>
        <w:numId w:val="1"/>
      </w:numPr>
      <w:tabs>
        <w:tab w:val="left" w:pos="0"/>
      </w:tabs>
      <w:spacing w:before="280" w:after="156" w:line="377" w:lineRule="auto"/>
      <w:jc w:val="left"/>
      <w:outlineLvl w:val="4"/>
    </w:pPr>
    <w:rPr>
      <w:rFonts w:ascii="Arial" w:hAnsi="Arial" w:eastAsia="黑体"/>
      <w:b/>
      <w:sz w:val="24"/>
      <w:szCs w:val="28"/>
    </w:rPr>
  </w:style>
  <w:style w:type="paragraph" w:customStyle="1" w:styleId="13">
    <w:name w:val="正文1"/>
    <w:next w:val="14"/>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14">
    <w:name w:val="正文文本1"/>
    <w:basedOn w:val="15"/>
    <w:next w:val="13"/>
    <w:qFormat/>
    <w:uiPriority w:val="0"/>
    <w:pPr>
      <w:tabs>
        <w:tab w:val="left" w:pos="0"/>
      </w:tabs>
    </w:pPr>
    <w:rPr>
      <w:sz w:val="18"/>
    </w:rPr>
  </w:style>
  <w:style w:type="paragraph" w:customStyle="1" w:styleId="15">
    <w:name w:val="表格内1"/>
    <w:next w:val="14"/>
    <w:qFormat/>
    <w:uiPriority w:val="0"/>
    <w:pPr>
      <w:widowControl w:val="0"/>
      <w:numPr>
        <w:ilvl w:val="0"/>
        <w:numId w:val="2"/>
      </w:numPr>
      <w:jc w:val="both"/>
    </w:pPr>
    <w:rPr>
      <w:rFonts w:ascii="Calibri" w:hAnsi="Calibri" w:eastAsia="宋体" w:cs="黑体"/>
      <w:b/>
      <w:kern w:val="2"/>
      <w:sz w:val="21"/>
      <w:szCs w:val="22"/>
      <w:lang w:val="en-US" w:eastAsia="zh-CN" w:bidi="ar-SA"/>
    </w:rPr>
  </w:style>
  <w:style w:type="paragraph" w:customStyle="1" w:styleId="16">
    <w:name w:val="正文（绿盟科技）"/>
    <w:next w:val="1"/>
    <w:qFormat/>
    <w:uiPriority w:val="0"/>
    <w:pPr>
      <w:spacing w:line="300" w:lineRule="auto"/>
    </w:pPr>
    <w:rPr>
      <w:rFonts w:ascii="Arial" w:hAnsi="Arial" w:eastAsia="宋体" w:cs="黑体"/>
      <w:sz w:val="21"/>
      <w:szCs w:val="21"/>
      <w:lang w:val="en-US" w:eastAsia="zh-CN" w:bidi="ar-SA"/>
    </w:rPr>
  </w:style>
  <w:style w:type="paragraph" w:customStyle="1" w:styleId="17">
    <w:name w:val="文档正文"/>
    <w:basedOn w:val="1"/>
    <w:qFormat/>
    <w:uiPriority w:val="0"/>
    <w:pPr>
      <w:adjustRightInd w:val="0"/>
      <w:spacing w:line="480" w:lineRule="atLeast"/>
    </w:pPr>
    <w:rPr>
      <w:rFonts w:ascii="Arial" w:hAnsi="Arial"/>
      <w:kern w:val="0"/>
    </w:rPr>
  </w:style>
  <w:style w:type="paragraph" w:customStyle="1" w:styleId="18">
    <w:name w:val="21、第三章“(一)”三级标题"/>
    <w:basedOn w:val="19"/>
    <w:qFormat/>
    <w:uiPriority w:val="0"/>
    <w:pPr>
      <w:pageBreakBefore/>
      <w:tabs>
        <w:tab w:val="left" w:pos="0"/>
      </w:tabs>
      <w:spacing w:before="50" w:beforeLines="50" w:after="50" w:afterLines="50"/>
      <w:jc w:val="center"/>
      <w:outlineLvl w:val="2"/>
    </w:pPr>
    <w:rPr>
      <w:b/>
      <w:sz w:val="28"/>
    </w:rPr>
  </w:style>
  <w:style w:type="paragraph" w:customStyle="1" w:styleId="19">
    <w:name w:val="01、普通正文"/>
    <w:basedOn w:val="1"/>
    <w:qFormat/>
    <w:uiPriority w:val="0"/>
    <w:pPr>
      <w:wordWrap w:val="0"/>
      <w:topLinePunct/>
    </w:pPr>
    <w:rPr>
      <w:snapToGrid w:val="0"/>
    </w:rPr>
  </w:style>
  <w:style w:type="paragraph" w:customStyle="1" w:styleId="20">
    <w:name w:val="13、表格内居中正文"/>
    <w:basedOn w:val="1"/>
    <w:qFormat/>
    <w:uiPriority w:val="0"/>
    <w:pPr>
      <w:wordWrap w:val="0"/>
      <w:topLinePunct/>
      <w:spacing w:line="360" w:lineRule="exact"/>
      <w:jc w:val="center"/>
    </w:pPr>
    <w:rPr>
      <w:sz w:val="21"/>
    </w:rPr>
  </w:style>
  <w:style w:type="paragraph" w:customStyle="1" w:styleId="21">
    <w:name w:val="03、“注：”正文(加粗，首行缩进2字符)"/>
    <w:basedOn w:val="19"/>
    <w:qFormat/>
    <w:uiPriority w:val="0"/>
    <w:pPr>
      <w:ind w:firstLine="480" w:firstLineChars="200"/>
    </w:pPr>
    <w:rPr>
      <w:b/>
    </w:rPr>
  </w:style>
  <w:style w:type="paragraph" w:customStyle="1" w:styleId="22">
    <w:name w:val="02、首行缩进2字符正文"/>
    <w:basedOn w:val="1"/>
    <w:qFormat/>
    <w:uiPriority w:val="0"/>
    <w:pPr>
      <w:wordWrap w:val="0"/>
      <w:topLinePunct/>
      <w:ind w:firstLine="480" w:firstLineChars="200"/>
    </w:pPr>
  </w:style>
  <w:style w:type="paragraph" w:customStyle="1" w:styleId="23">
    <w:name w:val="05、“(一)”正文三级标题"/>
    <w:basedOn w:val="1"/>
    <w:qFormat/>
    <w:uiPriority w:val="0"/>
    <w:pPr>
      <w:numPr>
        <w:ilvl w:val="1"/>
        <w:numId w:val="3"/>
      </w:numPr>
      <w:wordWrap w:val="0"/>
      <w:topLinePunct/>
      <w:ind w:firstLine="803" w:firstLineChars="200"/>
    </w:pPr>
    <w:rPr>
      <w:rFonts w:ascii="宋体" w:hAnsi="宋体" w:eastAsia="宋体"/>
    </w:rPr>
  </w:style>
  <w:style w:type="paragraph" w:customStyle="1" w:styleId="24">
    <w:name w:val="15、“一、”二级标题"/>
    <w:basedOn w:val="1"/>
    <w:qFormat/>
    <w:uiPriority w:val="0"/>
    <w:pPr>
      <w:numPr>
        <w:ilvl w:val="1"/>
        <w:numId w:val="4"/>
      </w:numPr>
      <w:wordWrap w:val="0"/>
      <w:topLinePunct/>
      <w:ind w:firstLine="803" w:firstLineChars="200"/>
      <w:outlineLvl w:val="1"/>
    </w:pPr>
    <w:rPr>
      <w:rFonts w:ascii="宋体" w:hAnsi="宋体" w:eastAsia="宋体"/>
      <w:b/>
    </w:rPr>
  </w:style>
  <w:style w:type="paragraph" w:customStyle="1" w:styleId="25">
    <w:name w:val="17“1.”四级标题"/>
    <w:basedOn w:val="22"/>
    <w:qFormat/>
    <w:uiPriority w:val="0"/>
    <w:pPr>
      <w:numPr>
        <w:ilvl w:val="3"/>
        <w:numId w:val="4"/>
      </w:numPr>
      <w:ind w:firstLine="803" w:firstLineChars="200"/>
    </w:pPr>
    <w:rPr>
      <w:rFonts w:ascii="宋体" w:hAnsi="宋体" w:eastAsia="宋体"/>
    </w:rPr>
  </w:style>
  <w:style w:type="paragraph" w:customStyle="1" w:styleId="26">
    <w:name w:val="21、合同二级标题序号"/>
    <w:basedOn w:val="19"/>
    <w:qFormat/>
    <w:uiPriority w:val="0"/>
    <w:pPr>
      <w:numPr>
        <w:ilvl w:val="0"/>
        <w:numId w:val="5"/>
      </w:numPr>
      <w:ind w:firstLine="803" w:firstLineChars="200"/>
      <w:outlineLvl w:val="1"/>
    </w:pPr>
    <w:rPr>
      <w:rFonts w:ascii="宋体" w:hAnsi="宋体" w:eastAsia="宋体"/>
      <w:b/>
    </w:rPr>
  </w:style>
  <w:style w:type="paragraph" w:customStyle="1" w:styleId="27">
    <w:name w:val="06、“1.”正文四级标题"/>
    <w:basedOn w:val="1"/>
    <w:qFormat/>
    <w:uiPriority w:val="0"/>
    <w:pPr>
      <w:numPr>
        <w:ilvl w:val="2"/>
        <w:numId w:val="3"/>
      </w:numPr>
      <w:wordWrap w:val="0"/>
      <w:topLinePunct/>
      <w:ind w:firstLine="803" w:firstLineChars="200"/>
    </w:pPr>
    <w:rPr>
      <w:rFonts w:ascii="宋体" w:hAnsi="宋体" w:eastAsia="宋体"/>
      <w:snapToGrid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3352</Words>
  <Characters>3424</Characters>
  <Lines>0</Lines>
  <Paragraphs>0</Paragraphs>
  <TotalTime>0</TotalTime>
  <ScaleCrop>false</ScaleCrop>
  <LinksUpToDate>false</LinksUpToDate>
  <CharactersWithSpaces>3544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2023-06-01T05:55:00Z</dcterms:created>
  <dc:creator>marti</dc:creator>
  <cp:lastModifiedBy>刘</cp:lastModifiedBy>
  <dcterms:modified xsi:type="dcterms:W3CDTF">2025-03-31T03:51:50Z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F8C5005BEB4D4F38B6439905D9060781_13</vt:lpwstr>
  </property>
  <property fmtid="{D5CDD505-2E9C-101B-9397-08002B2CF9AE}" pid="4" name="KSOTemplateDocerSaveRecord">
    <vt:lpwstr>eyJoZGlkIjoiMDhhZmZlNDUwOGNiM2JlYmU2ZThmMWE4MTBjNTRiOTUiLCJ1c2VySWQiOiI1ODMxMjU0NzMifQ==</vt:lpwstr>
  </property>
</Properties>
</file>