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C29E0">
      <w:pPr>
        <w:jc w:val="center"/>
        <w:rPr>
          <w:rFonts w:hint="eastAsia" w:ascii="Calibri" w:hAnsi="Calibri" w:eastAsia="宋体" w:cs="Times New Roman"/>
          <w:color w:val="auto"/>
          <w:lang w:val="en-US" w:eastAsia="zh-Hans"/>
        </w:rPr>
      </w:pPr>
      <w:bookmarkStart w:id="1" w:name="_GoBack"/>
      <w:r>
        <w:rPr>
          <w:rFonts w:hint="eastAsia" w:ascii="Calibri" w:hAnsi="Calibri" w:eastAsia="宋体" w:cs="Times New Roman"/>
          <w:b/>
          <w:color w:val="auto"/>
          <w:sz w:val="36"/>
          <w:lang w:val="en-US" w:eastAsia="zh-Hans"/>
        </w:rPr>
        <w:t>政府采购合同</w:t>
      </w:r>
    </w:p>
    <w:p w14:paraId="34D810CF">
      <w:pPr>
        <w:widowControl w:val="0"/>
        <w:spacing w:after="120"/>
        <w:jc w:val="center"/>
        <w:rPr>
          <w:rFonts w:hint="eastAsia" w:ascii="宋体" w:hAnsi="宋体" w:eastAsia="宋体" w:cs="宋体"/>
          <w:b/>
          <w:bCs/>
          <w:color w:val="auto"/>
          <w:spacing w:val="-20"/>
          <w:kern w:val="44"/>
          <w:sz w:val="48"/>
          <w:szCs w:val="48"/>
          <w:lang w:val="en-US" w:eastAsia="zh-CN" w:bidi="ar-SA"/>
        </w:rPr>
      </w:pPr>
      <w:r>
        <w:rPr>
          <w:rFonts w:hint="eastAsia" w:ascii="宋体" w:hAnsi="宋体" w:eastAsia="宋体" w:cs="宋体"/>
          <w:b/>
          <w:bCs/>
          <w:color w:val="auto"/>
          <w:spacing w:val="-20"/>
          <w:kern w:val="44"/>
          <w:sz w:val="48"/>
          <w:szCs w:val="48"/>
          <w:lang w:val="en-US" w:eastAsia="zh-CN" w:bidi="ar-SA"/>
        </w:rPr>
        <w:t>长沙市交通设施项目监理单位采购项目</w:t>
      </w:r>
    </w:p>
    <w:p w14:paraId="21CF7AB5">
      <w:pPr>
        <w:widowControl w:val="0"/>
        <w:spacing w:after="120"/>
        <w:jc w:val="center"/>
        <w:rPr>
          <w:rFonts w:ascii="宋体" w:hAnsi="宋体" w:eastAsia="宋体" w:cs="宋体"/>
          <w:b/>
          <w:bCs/>
          <w:color w:val="auto"/>
          <w:spacing w:val="-20"/>
          <w:kern w:val="44"/>
          <w:sz w:val="48"/>
          <w:szCs w:val="48"/>
          <w:lang w:val="en-US" w:eastAsia="zh-CN" w:bidi="ar-SA"/>
        </w:rPr>
      </w:pPr>
      <w:r>
        <w:rPr>
          <w:rFonts w:hint="eastAsia" w:ascii="宋体" w:hAnsi="宋体" w:eastAsia="宋体" w:cs="宋体"/>
          <w:b/>
          <w:bCs/>
          <w:color w:val="auto"/>
          <w:spacing w:val="-20"/>
          <w:kern w:val="44"/>
          <w:sz w:val="48"/>
          <w:szCs w:val="48"/>
          <w:lang w:val="en-US" w:eastAsia="zh-CN" w:bidi="ar-SA"/>
        </w:rPr>
        <w:t>政府采购合同</w:t>
      </w:r>
    </w:p>
    <w:p w14:paraId="55D92B4E">
      <w:pPr>
        <w:widowControl w:val="0"/>
        <w:spacing w:after="120"/>
        <w:jc w:val="center"/>
        <w:rPr>
          <w:rFonts w:ascii="宋体" w:hAnsi="宋体" w:eastAsia="宋体" w:cs="宋体"/>
          <w:b/>
          <w:bCs/>
          <w:color w:val="auto"/>
          <w:spacing w:val="-20"/>
          <w:kern w:val="44"/>
          <w:sz w:val="48"/>
          <w:szCs w:val="48"/>
          <w:lang w:val="en-US" w:eastAsia="zh-CN" w:bidi="ar-SA"/>
        </w:rPr>
      </w:pPr>
      <w:r>
        <w:rPr>
          <w:rFonts w:hint="eastAsia" w:ascii="宋体" w:hAnsi="宋体" w:eastAsia="宋体" w:cs="宋体"/>
          <w:b/>
          <w:bCs/>
          <w:color w:val="auto"/>
          <w:spacing w:val="-20"/>
          <w:kern w:val="44"/>
          <w:sz w:val="48"/>
          <w:szCs w:val="48"/>
          <w:lang w:val="en-US" w:eastAsia="zh-CN" w:bidi="ar-SA"/>
        </w:rPr>
        <w:t>（服务类）</w:t>
      </w:r>
    </w:p>
    <w:p w14:paraId="2BD7F478">
      <w:pPr>
        <w:rPr>
          <w:rFonts w:ascii="宋体" w:hAnsi="宋体" w:eastAsia="宋体" w:cs="宋体"/>
          <w:b/>
          <w:bCs/>
          <w:color w:val="auto"/>
          <w:spacing w:val="-20"/>
          <w:kern w:val="44"/>
          <w:sz w:val="40"/>
          <w:szCs w:val="40"/>
        </w:rPr>
      </w:pPr>
    </w:p>
    <w:p w14:paraId="2462D03B">
      <w:pPr>
        <w:rPr>
          <w:rFonts w:ascii="宋体" w:hAnsi="宋体" w:eastAsia="宋体" w:cs="宋体"/>
          <w:b/>
          <w:bCs/>
          <w:color w:val="auto"/>
          <w:spacing w:val="-20"/>
          <w:kern w:val="44"/>
          <w:sz w:val="40"/>
          <w:szCs w:val="40"/>
        </w:rPr>
      </w:pPr>
    </w:p>
    <w:p w14:paraId="32A623E0">
      <w:pPr>
        <w:rPr>
          <w:rFonts w:ascii="宋体" w:hAnsi="宋体" w:eastAsia="宋体" w:cs="宋体"/>
          <w:b/>
          <w:bCs/>
          <w:color w:val="auto"/>
          <w:spacing w:val="-20"/>
          <w:kern w:val="44"/>
          <w:sz w:val="40"/>
          <w:szCs w:val="40"/>
        </w:rPr>
      </w:pPr>
    </w:p>
    <w:p w14:paraId="123691CB">
      <w:pPr>
        <w:spacing w:line="360" w:lineRule="auto"/>
        <w:ind w:left="840" w:leftChars="400" w:firstLine="640" w:firstLineChars="200"/>
        <w:rPr>
          <w:rFonts w:hint="default" w:ascii="Times New Roman" w:hAnsi="Times New Roman" w:eastAsia="宋体" w:cs="Times New Roman"/>
          <w:color w:val="auto"/>
          <w:sz w:val="32"/>
          <w:szCs w:val="32"/>
          <w:u w:val="single"/>
          <w:lang w:val="en-US" w:eastAsia="zh-CN"/>
        </w:rPr>
      </w:pPr>
      <w:r>
        <w:rPr>
          <w:rFonts w:hint="eastAsia" w:ascii="Times New Roman" w:hAnsi="Times New Roman" w:eastAsia="宋体" w:cs="Times New Roman"/>
          <w:color w:val="auto"/>
          <w:sz w:val="32"/>
          <w:szCs w:val="32"/>
        </w:rPr>
        <w:t>政府采购合同编号：</w:t>
      </w:r>
      <w:r>
        <w:rPr>
          <w:rFonts w:hint="eastAsia" w:ascii="Times New Roman" w:hAnsi="Times New Roman" w:eastAsia="宋体" w:cs="Times New Roman"/>
          <w:color w:val="auto"/>
          <w:sz w:val="32"/>
          <w:szCs w:val="32"/>
          <w:u w:val="single"/>
          <w:lang w:val="en-US" w:eastAsia="zh-CN"/>
        </w:rPr>
        <w:t>暂不填写</w:t>
      </w:r>
    </w:p>
    <w:p w14:paraId="1C216AD7">
      <w:pPr>
        <w:spacing w:line="360" w:lineRule="auto"/>
        <w:ind w:left="840" w:leftChars="400" w:firstLine="640" w:firstLineChars="200"/>
        <w:rPr>
          <w:rFonts w:hint="default" w:ascii="Times New Roman" w:hAnsi="Times New Roman" w:eastAsia="宋体" w:cs="Times New Roman"/>
          <w:color w:val="auto"/>
          <w:sz w:val="32"/>
          <w:szCs w:val="32"/>
          <w:lang w:val="en-US"/>
        </w:rPr>
      </w:pPr>
      <w:r>
        <w:rPr>
          <w:rFonts w:hint="eastAsia" w:ascii="宋体" w:hAnsi="宋体" w:eastAsia="宋体" w:cs="宋体"/>
          <w:color w:val="auto"/>
          <w:kern w:val="0"/>
          <w:sz w:val="32"/>
          <w:szCs w:val="32"/>
        </w:rPr>
        <w:t>采购方式</w:t>
      </w:r>
      <w:r>
        <w:rPr>
          <w:rFonts w:hint="eastAsia" w:ascii="宋体" w:hAnsi="宋体" w:eastAsia="宋体" w:cs="宋体"/>
          <w:color w:val="auto"/>
          <w:kern w:val="0"/>
          <w:sz w:val="32"/>
          <w:szCs w:val="32"/>
          <w:highlight w:val="none"/>
        </w:rPr>
        <w:t>：</w:t>
      </w:r>
      <w:r>
        <w:rPr>
          <w:rFonts w:hint="eastAsia" w:ascii="Times New Roman" w:hAnsi="Times New Roman" w:eastAsia="宋体" w:cs="Times New Roman"/>
          <w:color w:val="auto"/>
          <w:sz w:val="32"/>
          <w:szCs w:val="32"/>
          <w:highlight w:val="none"/>
          <w:u w:val="single"/>
          <w:lang w:val="en-US" w:eastAsia="zh-CN"/>
        </w:rPr>
        <w:t>竞争性谈判</w:t>
      </w:r>
    </w:p>
    <w:p w14:paraId="7C1685CF">
      <w:pPr>
        <w:spacing w:line="360" w:lineRule="auto"/>
        <w:ind w:left="840" w:leftChars="400" w:firstLine="640" w:firstLineChars="200"/>
        <w:rPr>
          <w:rFonts w:ascii="Times New Roman" w:hAnsi="Times New Roman" w:eastAsia="宋体" w:cs="Times New Roman"/>
          <w:color w:val="auto"/>
        </w:rPr>
      </w:pPr>
      <w:r>
        <w:rPr>
          <w:rFonts w:hint="eastAsia" w:ascii="宋体" w:hAnsi="宋体" w:eastAsia="宋体" w:cs="宋体"/>
          <w:color w:val="auto"/>
          <w:kern w:val="0"/>
          <w:sz w:val="32"/>
          <w:szCs w:val="32"/>
        </w:rPr>
        <w:t>合同类型：</w:t>
      </w:r>
      <w:r>
        <w:rPr>
          <w:rFonts w:hint="eastAsia" w:ascii="Times New Roman" w:hAnsi="Times New Roman" w:eastAsia="宋体" w:cs="Times New Roman"/>
          <w:color w:val="auto"/>
          <w:sz w:val="32"/>
          <w:szCs w:val="32"/>
          <w:highlight w:val="none"/>
          <w:u w:val="single"/>
          <w:lang w:val="en-US" w:eastAsia="zh-CN"/>
        </w:rPr>
        <w:t>委托合同</w:t>
      </w:r>
    </w:p>
    <w:p w14:paraId="697C816A">
      <w:pPr>
        <w:spacing w:line="360" w:lineRule="auto"/>
        <w:ind w:left="840" w:leftChars="400" w:firstLine="640" w:firstLineChars="200"/>
        <w:rPr>
          <w:rFonts w:ascii="Times New Roman" w:hAnsi="Times New Roman" w:eastAsia="宋体" w:cs="Times New Roman"/>
          <w:color w:val="auto"/>
          <w:sz w:val="32"/>
          <w:szCs w:val="32"/>
        </w:rPr>
      </w:pPr>
      <w:r>
        <w:rPr>
          <w:rFonts w:hint="eastAsia" w:ascii="Times New Roman" w:hAnsi="Times New Roman" w:eastAsia="宋体" w:cs="Times New Roman"/>
          <w:color w:val="auto"/>
          <w:sz w:val="32"/>
          <w:szCs w:val="32"/>
        </w:rPr>
        <w:t>签订时间：</w:t>
      </w:r>
      <w:r>
        <w:rPr>
          <w:rFonts w:hint="eastAsia" w:ascii="Times New Roman" w:hAnsi="Times New Roman" w:eastAsia="宋体" w:cs="Times New Roman"/>
          <w:color w:val="auto"/>
          <w:sz w:val="32"/>
          <w:szCs w:val="32"/>
          <w:u w:val="single"/>
          <w:lang w:val="en-US" w:eastAsia="zh-CN"/>
        </w:rPr>
        <w:t>暂不填写</w:t>
      </w:r>
    </w:p>
    <w:p w14:paraId="49A8B9A4">
      <w:pPr>
        <w:spacing w:line="360" w:lineRule="auto"/>
        <w:ind w:left="840" w:leftChars="400" w:firstLine="640" w:firstLineChars="200"/>
        <w:rPr>
          <w:rFonts w:ascii="Times New Roman" w:hAnsi="Times New Roman" w:eastAsia="宋体" w:cs="Times New Roman"/>
          <w:color w:val="auto"/>
          <w:sz w:val="32"/>
          <w:szCs w:val="32"/>
        </w:rPr>
      </w:pPr>
      <w:r>
        <w:rPr>
          <w:rFonts w:hint="eastAsia" w:ascii="Times New Roman" w:hAnsi="Times New Roman" w:eastAsia="宋体" w:cs="Times New Roman"/>
          <w:color w:val="auto"/>
          <w:sz w:val="32"/>
          <w:szCs w:val="32"/>
        </w:rPr>
        <w:t>采购人（甲方）：</w:t>
      </w:r>
      <w:r>
        <w:rPr>
          <w:rFonts w:hint="eastAsia" w:ascii="Times New Roman" w:hAnsi="Times New Roman" w:eastAsia="宋体" w:cs="Times New Roman"/>
          <w:color w:val="auto"/>
          <w:sz w:val="32"/>
          <w:szCs w:val="32"/>
          <w:highlight w:val="none"/>
          <w:u w:val="single"/>
        </w:rPr>
        <w:t>长沙市公安局</w:t>
      </w:r>
      <w:r>
        <w:rPr>
          <w:rFonts w:hint="eastAsia" w:ascii="Times New Roman" w:hAnsi="Times New Roman" w:eastAsia="宋体" w:cs="Times New Roman"/>
          <w:color w:val="auto"/>
          <w:sz w:val="32"/>
          <w:szCs w:val="32"/>
          <w:highlight w:val="none"/>
          <w:u w:val="single"/>
          <w:lang w:val="en-US" w:eastAsia="zh-CN"/>
        </w:rPr>
        <w:t>交通警察</w:t>
      </w:r>
      <w:r>
        <w:rPr>
          <w:rFonts w:hint="eastAsia" w:ascii="Times New Roman" w:hAnsi="Times New Roman" w:eastAsia="宋体" w:cs="Times New Roman"/>
          <w:color w:val="auto"/>
          <w:sz w:val="32"/>
          <w:szCs w:val="32"/>
          <w:highlight w:val="none"/>
          <w:u w:val="single"/>
        </w:rPr>
        <w:t>支队</w:t>
      </w:r>
    </w:p>
    <w:p w14:paraId="65FC83FF">
      <w:pPr>
        <w:spacing w:line="360" w:lineRule="auto"/>
        <w:ind w:left="840" w:leftChars="400" w:firstLine="640" w:firstLineChars="200"/>
        <w:rPr>
          <w:rFonts w:ascii="Times New Roman" w:hAnsi="Times New Roman" w:eastAsia="宋体" w:cs="Times New Roman"/>
          <w:color w:val="auto"/>
          <w:sz w:val="32"/>
          <w:szCs w:val="32"/>
          <w:highlight w:val="yellow"/>
          <w:u w:val="single"/>
        </w:rPr>
      </w:pPr>
      <w:r>
        <w:rPr>
          <w:rFonts w:hint="eastAsia" w:ascii="Times New Roman" w:hAnsi="Times New Roman" w:eastAsia="宋体" w:cs="Times New Roman"/>
          <w:color w:val="auto"/>
          <w:sz w:val="32"/>
          <w:szCs w:val="32"/>
        </w:rPr>
        <w:t>采购人地址：</w:t>
      </w:r>
      <w:r>
        <w:rPr>
          <w:rFonts w:hint="eastAsia" w:ascii="Times New Roman" w:hAnsi="Times New Roman" w:eastAsia="宋体" w:cs="Times New Roman"/>
          <w:color w:val="auto"/>
          <w:sz w:val="32"/>
          <w:szCs w:val="32"/>
          <w:highlight w:val="none"/>
          <w:u w:val="single"/>
        </w:rPr>
        <w:t>长沙市岳麓区枫林一路2号交警大楼</w:t>
      </w:r>
    </w:p>
    <w:p w14:paraId="5F77318B">
      <w:pPr>
        <w:spacing w:line="360" w:lineRule="auto"/>
        <w:ind w:left="840" w:leftChars="400" w:firstLine="640" w:firstLineChars="200"/>
        <w:rPr>
          <w:rFonts w:ascii="Times New Roman" w:hAnsi="Times New Roman" w:eastAsia="宋体" w:cs="Times New Roman"/>
          <w:color w:val="auto"/>
          <w:sz w:val="32"/>
          <w:szCs w:val="32"/>
          <w:u w:val="single"/>
        </w:rPr>
      </w:pPr>
      <w:r>
        <w:rPr>
          <w:rFonts w:hint="eastAsia" w:ascii="Times New Roman" w:hAnsi="Times New Roman" w:eastAsia="宋体" w:cs="Times New Roman"/>
          <w:color w:val="auto"/>
          <w:sz w:val="32"/>
          <w:szCs w:val="32"/>
        </w:rPr>
        <w:t>供应商（乙方）：</w:t>
      </w:r>
      <w:r>
        <w:rPr>
          <w:rFonts w:hint="eastAsia" w:ascii="Times New Roman" w:hAnsi="Times New Roman" w:eastAsia="宋体" w:cs="Times New Roman"/>
          <w:color w:val="auto"/>
          <w:sz w:val="32"/>
          <w:szCs w:val="32"/>
          <w:u w:val="single"/>
          <w:lang w:val="en-US" w:eastAsia="zh-CN"/>
        </w:rPr>
        <w:t>暂不填写</w:t>
      </w:r>
    </w:p>
    <w:p w14:paraId="0543922F">
      <w:pPr>
        <w:spacing w:line="360" w:lineRule="auto"/>
        <w:ind w:left="840" w:leftChars="400" w:firstLine="640" w:firstLineChars="200"/>
        <w:rPr>
          <w:rFonts w:ascii="Times New Roman" w:hAnsi="Times New Roman" w:eastAsia="宋体" w:cs="Times New Roman"/>
          <w:color w:val="auto"/>
          <w:sz w:val="32"/>
          <w:szCs w:val="32"/>
          <w:u w:val="single"/>
        </w:rPr>
      </w:pPr>
      <w:r>
        <w:rPr>
          <w:rFonts w:hint="eastAsia" w:ascii="Times New Roman" w:hAnsi="Times New Roman" w:eastAsia="宋体" w:cs="Times New Roman"/>
          <w:color w:val="auto"/>
          <w:sz w:val="32"/>
          <w:szCs w:val="32"/>
        </w:rPr>
        <w:t>供应商地址：</w:t>
      </w:r>
      <w:r>
        <w:rPr>
          <w:rFonts w:hint="eastAsia" w:ascii="Times New Roman" w:hAnsi="Times New Roman" w:eastAsia="宋体" w:cs="Times New Roman"/>
          <w:color w:val="auto"/>
          <w:sz w:val="32"/>
          <w:szCs w:val="32"/>
          <w:u w:val="single"/>
          <w:lang w:val="en-US" w:eastAsia="zh-CN"/>
        </w:rPr>
        <w:t>暂不填写</w:t>
      </w:r>
    </w:p>
    <w:p w14:paraId="1158A3FB">
      <w:pPr>
        <w:rPr>
          <w:rFonts w:ascii="Times New Roman" w:hAnsi="Times New Roman" w:eastAsia="宋体" w:cs="Times New Roman"/>
          <w:color w:val="auto"/>
        </w:rPr>
      </w:pPr>
      <w:r>
        <w:rPr>
          <w:rFonts w:hint="eastAsia" w:ascii="Times New Roman" w:hAnsi="Times New Roman" w:eastAsia="宋体" w:cs="Times New Roman"/>
          <w:color w:val="auto"/>
        </w:rPr>
        <w:br w:type="page"/>
      </w:r>
    </w:p>
    <w:p w14:paraId="5DCAF035">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依据《中华人民共和国政府采购法》《中华人民共和国民法典》与项目有关的法律法规，以及长沙市交通设施项目监理单位采购项目的《采购文件》，乙方的《投标（响应）文件》及《中标（成交）通知书》，甲乙双方同意签订本合同。具体情况及要求如下：</w:t>
      </w:r>
    </w:p>
    <w:p w14:paraId="15E8CBAB">
      <w:pPr>
        <w:keepNext w:val="0"/>
        <w:keepLines w:val="0"/>
        <w:pageBreakBefore w:val="0"/>
        <w:widowControl/>
        <w:numPr>
          <w:ilvl w:val="0"/>
          <w:numId w:val="0"/>
        </w:numPr>
        <w:kinsoku/>
        <w:wordWrap/>
        <w:overflowPunct/>
        <w:topLinePunct w:val="0"/>
        <w:bidi w:val="0"/>
        <w:adjustRightInd w:val="0"/>
        <w:snapToGrid w:val="0"/>
        <w:spacing w:line="360" w:lineRule="auto"/>
        <w:ind w:left="0" w:leftChars="0" w:firstLine="420" w:firstLineChars="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val="en-US" w:eastAsia="zh-CN" w:bidi="ar-SA"/>
        </w:rPr>
        <w:t>一、</w:t>
      </w:r>
      <w:r>
        <w:rPr>
          <w:rFonts w:hint="eastAsia" w:ascii="宋体" w:hAnsi="宋体" w:eastAsia="宋体" w:cs="宋体"/>
          <w:b/>
          <w:bCs/>
          <w:color w:val="auto"/>
          <w:kern w:val="0"/>
          <w:sz w:val="21"/>
          <w:szCs w:val="21"/>
        </w:rPr>
        <w:t>标的信息</w:t>
      </w:r>
    </w:p>
    <w:p w14:paraId="13A174CA">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详见采购需求</w:t>
      </w:r>
    </w:p>
    <w:p w14:paraId="3FDE88B1">
      <w:pPr>
        <w:keepNext w:val="0"/>
        <w:keepLines w:val="0"/>
        <w:pageBreakBefore w:val="0"/>
        <w:widowControl/>
        <w:numPr>
          <w:ilvl w:val="0"/>
          <w:numId w:val="0"/>
        </w:numPr>
        <w:kinsoku/>
        <w:wordWrap/>
        <w:overflowPunct/>
        <w:topLinePunct w:val="0"/>
        <w:bidi w:val="0"/>
        <w:adjustRightInd w:val="0"/>
        <w:snapToGrid w:val="0"/>
        <w:spacing w:line="360" w:lineRule="auto"/>
        <w:ind w:left="0" w:leftChars="0" w:firstLine="420" w:firstLineChars="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val="en-US" w:eastAsia="zh-CN" w:bidi="ar-SA"/>
        </w:rPr>
        <w:t>二、</w:t>
      </w:r>
      <w:r>
        <w:rPr>
          <w:rFonts w:hint="eastAsia" w:ascii="宋体" w:hAnsi="宋体" w:eastAsia="宋体" w:cs="宋体"/>
          <w:b/>
          <w:bCs/>
          <w:color w:val="auto"/>
          <w:kern w:val="0"/>
          <w:sz w:val="21"/>
          <w:szCs w:val="21"/>
        </w:rPr>
        <w:t>服务要求</w:t>
      </w:r>
    </w:p>
    <w:p w14:paraId="79FB1177">
      <w:pPr>
        <w:keepNext w:val="0"/>
        <w:keepLines w:val="0"/>
        <w:pageBreakBefore w:val="0"/>
        <w:kinsoku/>
        <w:overflowPunct/>
        <w:topLinePunct w:val="0"/>
        <w:bidi w:val="0"/>
        <w:adjustRightInd w:val="0"/>
        <w:snapToGrid w:val="0"/>
        <w:spacing w:beforeAutospacing="0" w:line="360" w:lineRule="auto"/>
        <w:ind w:left="0" w:leftChars="0" w:firstLine="422" w:firstLineChars="200"/>
        <w:textAlignment w:val="baseline"/>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eastAsia="zh-CN"/>
        </w:rPr>
        <w:t>（</w:t>
      </w:r>
      <w:r>
        <w:rPr>
          <w:rFonts w:hint="eastAsia" w:ascii="宋体" w:hAnsi="宋体" w:eastAsia="宋体" w:cs="宋体"/>
          <w:b/>
          <w:bCs/>
          <w:color w:val="auto"/>
          <w:kern w:val="0"/>
          <w:sz w:val="21"/>
          <w:szCs w:val="21"/>
          <w:lang w:val="en-US" w:eastAsia="zh-CN"/>
        </w:rPr>
        <w:t>一</w:t>
      </w:r>
      <w:r>
        <w:rPr>
          <w:rFonts w:hint="eastAsia" w:ascii="宋体" w:hAnsi="宋体" w:eastAsia="宋体" w:cs="宋体"/>
          <w:b/>
          <w:bCs/>
          <w:color w:val="auto"/>
          <w:kern w:val="0"/>
          <w:sz w:val="21"/>
          <w:szCs w:val="21"/>
          <w:lang w:eastAsia="zh-CN"/>
        </w:rPr>
        <w:t>）</w:t>
      </w:r>
      <w:r>
        <w:rPr>
          <w:rFonts w:hint="eastAsia" w:ascii="宋体" w:hAnsi="宋体" w:eastAsia="宋体" w:cs="宋体"/>
          <w:b/>
          <w:bCs/>
          <w:color w:val="auto"/>
          <w:kern w:val="0"/>
          <w:sz w:val="21"/>
          <w:szCs w:val="21"/>
        </w:rPr>
        <w:t>项目概况（本监理服务项目为下述</w:t>
      </w:r>
      <w:r>
        <w:rPr>
          <w:rFonts w:hint="eastAsia" w:ascii="宋体" w:hAnsi="宋体" w:eastAsia="宋体" w:cs="宋体"/>
          <w:b/>
          <w:bCs/>
          <w:color w:val="auto"/>
          <w:kern w:val="0"/>
          <w:sz w:val="21"/>
          <w:szCs w:val="21"/>
          <w:lang w:val="en-US" w:eastAsia="zh-CN"/>
        </w:rPr>
        <w:t>项目开展</w:t>
      </w:r>
      <w:r>
        <w:rPr>
          <w:rFonts w:hint="eastAsia" w:ascii="宋体" w:hAnsi="宋体" w:eastAsia="宋体" w:cs="宋体"/>
          <w:b/>
          <w:bCs/>
          <w:color w:val="auto"/>
          <w:kern w:val="0"/>
          <w:sz w:val="21"/>
          <w:szCs w:val="21"/>
        </w:rPr>
        <w:t>监理服务）：</w:t>
      </w:r>
    </w:p>
    <w:tbl>
      <w:tblPr>
        <w:tblStyle w:val="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26"/>
        <w:gridCol w:w="7488"/>
      </w:tblGrid>
      <w:tr w14:paraId="210CB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7" w:type="pct"/>
            <w:noWrap w:val="0"/>
            <w:vAlign w:val="center"/>
          </w:tcPr>
          <w:p w14:paraId="5BD15C6F">
            <w:pPr>
              <w:keepNext w:val="0"/>
              <w:keepLines w:val="0"/>
              <w:pageBreakBefore w:val="0"/>
              <w:widowControl/>
              <w:kinsoku/>
              <w:wordWrap w:val="0"/>
              <w:overflowPunct/>
              <w:topLinePunct w:val="0"/>
              <w:bidi w:val="0"/>
              <w:adjustRightInd w:val="0"/>
              <w:snapToGrid w:val="0"/>
              <w:spacing w:beforeAutospacing="0" w:line="240" w:lineRule="auto"/>
              <w:ind w:left="0" w:leftChars="0"/>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序号</w:t>
            </w:r>
          </w:p>
        </w:tc>
        <w:tc>
          <w:tcPr>
            <w:tcW w:w="4502" w:type="pct"/>
            <w:noWrap w:val="0"/>
            <w:vAlign w:val="center"/>
          </w:tcPr>
          <w:p w14:paraId="1C176A79">
            <w:pPr>
              <w:keepNext w:val="0"/>
              <w:keepLines w:val="0"/>
              <w:pageBreakBefore w:val="0"/>
              <w:widowControl/>
              <w:kinsoku/>
              <w:wordWrap w:val="0"/>
              <w:overflowPunct/>
              <w:topLinePunct w:val="0"/>
              <w:bidi w:val="0"/>
              <w:adjustRightInd w:val="0"/>
              <w:snapToGrid w:val="0"/>
              <w:spacing w:beforeAutospacing="0" w:line="240" w:lineRule="auto"/>
              <w:ind w:left="0" w:leftChars="0"/>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名称</w:t>
            </w:r>
          </w:p>
        </w:tc>
      </w:tr>
      <w:tr w14:paraId="495F9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7" w:type="pct"/>
            <w:noWrap w:val="0"/>
            <w:vAlign w:val="center"/>
          </w:tcPr>
          <w:p w14:paraId="16859B7E">
            <w:pPr>
              <w:keepNext w:val="0"/>
              <w:keepLines w:val="0"/>
              <w:pageBreakBefore w:val="0"/>
              <w:widowControl/>
              <w:kinsoku/>
              <w:wordWrap w:val="0"/>
              <w:overflowPunct/>
              <w:topLinePunct w:val="0"/>
              <w:bidi w:val="0"/>
              <w:adjustRightInd w:val="0"/>
              <w:snapToGrid w:val="0"/>
              <w:spacing w:beforeAutospacing="0" w:line="240" w:lineRule="auto"/>
              <w:ind w:left="0" w:leftChars="0"/>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4502" w:type="pct"/>
            <w:noWrap w:val="0"/>
            <w:vAlign w:val="center"/>
          </w:tcPr>
          <w:p w14:paraId="481E32A5">
            <w:pPr>
              <w:keepNext w:val="0"/>
              <w:keepLines w:val="0"/>
              <w:pageBreakBefore w:val="0"/>
              <w:widowControl/>
              <w:kinsoku/>
              <w:wordWrap w:val="0"/>
              <w:overflowPunct/>
              <w:topLinePunct w:val="0"/>
              <w:bidi w:val="0"/>
              <w:adjustRightInd w:val="0"/>
              <w:snapToGrid w:val="0"/>
              <w:spacing w:beforeAutospacing="0" w:line="240" w:lineRule="auto"/>
              <w:ind w:left="0" w:leftChars="0"/>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长沙市</w:t>
            </w:r>
            <w:r>
              <w:rPr>
                <w:rFonts w:hint="eastAsia" w:ascii="宋体" w:hAnsi="宋体" w:eastAsia="宋体" w:cs="宋体"/>
                <w:color w:val="auto"/>
                <w:kern w:val="0"/>
                <w:sz w:val="21"/>
                <w:szCs w:val="21"/>
              </w:rPr>
              <w:t>道路交通设施维护维修项目</w:t>
            </w:r>
          </w:p>
        </w:tc>
      </w:tr>
      <w:tr w14:paraId="666F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7" w:type="pct"/>
            <w:noWrap w:val="0"/>
            <w:vAlign w:val="center"/>
          </w:tcPr>
          <w:p w14:paraId="35444DE0">
            <w:pPr>
              <w:keepNext w:val="0"/>
              <w:keepLines w:val="0"/>
              <w:pageBreakBefore w:val="0"/>
              <w:widowControl/>
              <w:kinsoku/>
              <w:wordWrap w:val="0"/>
              <w:overflowPunct/>
              <w:topLinePunct w:val="0"/>
              <w:bidi w:val="0"/>
              <w:adjustRightInd w:val="0"/>
              <w:snapToGrid w:val="0"/>
              <w:spacing w:beforeAutospacing="0" w:line="240" w:lineRule="auto"/>
              <w:ind w:left="0" w:leftChars="0"/>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p>
        </w:tc>
        <w:tc>
          <w:tcPr>
            <w:tcW w:w="4502" w:type="pct"/>
            <w:noWrap w:val="0"/>
            <w:vAlign w:val="center"/>
          </w:tcPr>
          <w:p w14:paraId="134CFA07">
            <w:pPr>
              <w:keepNext w:val="0"/>
              <w:keepLines w:val="0"/>
              <w:pageBreakBefore w:val="0"/>
              <w:widowControl/>
              <w:kinsoku/>
              <w:wordWrap w:val="0"/>
              <w:overflowPunct/>
              <w:topLinePunct w:val="0"/>
              <w:bidi w:val="0"/>
              <w:adjustRightInd w:val="0"/>
              <w:snapToGrid w:val="0"/>
              <w:spacing w:beforeAutospacing="0" w:line="240" w:lineRule="auto"/>
              <w:ind w:left="0" w:leftChars="0"/>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长沙市</w:t>
            </w:r>
            <w:r>
              <w:rPr>
                <w:rFonts w:hint="eastAsia" w:ascii="宋体" w:hAnsi="宋体" w:eastAsia="宋体" w:cs="宋体"/>
                <w:color w:val="auto"/>
                <w:kern w:val="0"/>
                <w:sz w:val="21"/>
                <w:szCs w:val="21"/>
              </w:rPr>
              <w:t>道路交通设施清洗项目</w:t>
            </w:r>
          </w:p>
        </w:tc>
      </w:tr>
      <w:tr w14:paraId="1AF7A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7" w:type="pct"/>
            <w:noWrap w:val="0"/>
            <w:vAlign w:val="center"/>
          </w:tcPr>
          <w:p w14:paraId="69A5A8CB">
            <w:pPr>
              <w:keepNext w:val="0"/>
              <w:keepLines w:val="0"/>
              <w:pageBreakBefore w:val="0"/>
              <w:widowControl/>
              <w:kinsoku/>
              <w:wordWrap w:val="0"/>
              <w:overflowPunct/>
              <w:topLinePunct w:val="0"/>
              <w:bidi w:val="0"/>
              <w:adjustRightInd w:val="0"/>
              <w:snapToGrid w:val="0"/>
              <w:spacing w:beforeAutospacing="0" w:line="240" w:lineRule="auto"/>
              <w:ind w:left="0" w:leftChars="0"/>
              <w:jc w:val="center"/>
              <w:textAlignment w:val="baseline"/>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val="en-US" w:eastAsia="zh-CN"/>
              </w:rPr>
              <w:t>3</w:t>
            </w:r>
          </w:p>
        </w:tc>
        <w:tc>
          <w:tcPr>
            <w:tcW w:w="4502" w:type="pct"/>
            <w:noWrap w:val="0"/>
            <w:vAlign w:val="center"/>
          </w:tcPr>
          <w:p w14:paraId="6FF773CA">
            <w:pPr>
              <w:keepNext w:val="0"/>
              <w:keepLines w:val="0"/>
              <w:pageBreakBefore w:val="0"/>
              <w:widowControl/>
              <w:kinsoku/>
              <w:wordWrap w:val="0"/>
              <w:overflowPunct/>
              <w:topLinePunct w:val="0"/>
              <w:bidi w:val="0"/>
              <w:adjustRightInd w:val="0"/>
              <w:snapToGrid w:val="0"/>
              <w:spacing w:beforeAutospacing="0" w:line="240" w:lineRule="auto"/>
              <w:ind w:left="0" w:leftChars="0"/>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长沙市</w:t>
            </w:r>
            <w:r>
              <w:rPr>
                <w:rFonts w:hint="eastAsia" w:ascii="宋体" w:hAnsi="宋体" w:eastAsia="宋体" w:cs="宋体"/>
                <w:color w:val="auto"/>
                <w:kern w:val="0"/>
                <w:sz w:val="21"/>
                <w:szCs w:val="21"/>
              </w:rPr>
              <w:t>专项交通设施维护项目</w:t>
            </w:r>
          </w:p>
        </w:tc>
      </w:tr>
      <w:tr w14:paraId="0F79B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7" w:type="pct"/>
            <w:noWrap w:val="0"/>
            <w:vAlign w:val="center"/>
          </w:tcPr>
          <w:p w14:paraId="36FB71C1">
            <w:pPr>
              <w:keepNext w:val="0"/>
              <w:keepLines w:val="0"/>
              <w:pageBreakBefore w:val="0"/>
              <w:widowControl/>
              <w:kinsoku/>
              <w:wordWrap w:val="0"/>
              <w:overflowPunct/>
              <w:topLinePunct w:val="0"/>
              <w:bidi w:val="0"/>
              <w:adjustRightInd w:val="0"/>
              <w:snapToGrid w:val="0"/>
              <w:spacing w:beforeAutospacing="0" w:line="240" w:lineRule="auto"/>
              <w:ind w:left="0" w:leftChars="0"/>
              <w:jc w:val="center"/>
              <w:textAlignment w:val="baseline"/>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4</w:t>
            </w:r>
          </w:p>
        </w:tc>
        <w:tc>
          <w:tcPr>
            <w:tcW w:w="4502" w:type="pct"/>
            <w:noWrap w:val="0"/>
            <w:vAlign w:val="center"/>
          </w:tcPr>
          <w:p w14:paraId="36A2A132">
            <w:pPr>
              <w:keepNext w:val="0"/>
              <w:keepLines w:val="0"/>
              <w:pageBreakBefore w:val="0"/>
              <w:widowControl/>
              <w:kinsoku/>
              <w:wordWrap w:val="0"/>
              <w:overflowPunct/>
              <w:topLinePunct w:val="0"/>
              <w:bidi w:val="0"/>
              <w:adjustRightInd w:val="0"/>
              <w:snapToGrid w:val="0"/>
              <w:spacing w:beforeAutospacing="0" w:line="240" w:lineRule="auto"/>
              <w:ind w:left="0" w:leftChars="0"/>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长沙市道路交通隔离设施维护维修项目</w:t>
            </w:r>
          </w:p>
        </w:tc>
      </w:tr>
      <w:tr w14:paraId="15607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97" w:type="pct"/>
            <w:noWrap w:val="0"/>
            <w:vAlign w:val="center"/>
          </w:tcPr>
          <w:p w14:paraId="5259D8CE">
            <w:pPr>
              <w:keepNext w:val="0"/>
              <w:keepLines w:val="0"/>
              <w:pageBreakBefore w:val="0"/>
              <w:widowControl/>
              <w:kinsoku/>
              <w:wordWrap w:val="0"/>
              <w:overflowPunct/>
              <w:topLinePunct w:val="0"/>
              <w:bidi w:val="0"/>
              <w:adjustRightInd w:val="0"/>
              <w:snapToGrid w:val="0"/>
              <w:spacing w:beforeAutospacing="0" w:line="240" w:lineRule="auto"/>
              <w:ind w:left="0" w:leftChars="0"/>
              <w:jc w:val="center"/>
              <w:textAlignment w:val="baseline"/>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5</w:t>
            </w:r>
          </w:p>
        </w:tc>
        <w:tc>
          <w:tcPr>
            <w:tcW w:w="4502" w:type="pct"/>
            <w:noWrap w:val="0"/>
            <w:vAlign w:val="center"/>
          </w:tcPr>
          <w:p w14:paraId="19B28C3E">
            <w:pPr>
              <w:keepNext w:val="0"/>
              <w:keepLines w:val="0"/>
              <w:pageBreakBefore w:val="0"/>
              <w:widowControl/>
              <w:kinsoku/>
              <w:wordWrap w:val="0"/>
              <w:overflowPunct/>
              <w:topLinePunct w:val="0"/>
              <w:bidi w:val="0"/>
              <w:adjustRightInd w:val="0"/>
              <w:snapToGrid w:val="0"/>
              <w:spacing w:beforeAutospacing="0" w:line="240" w:lineRule="auto"/>
              <w:ind w:left="0" w:leftChars="0"/>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spacing w:val="0"/>
                <w:sz w:val="21"/>
                <w:szCs w:val="21"/>
                <w:lang w:val="en-US" w:eastAsia="zh-CN" w:bidi="ar-SA"/>
              </w:rPr>
              <w:t>湖南湘江新区（除岳麓区外）交通设施维护维修项目</w:t>
            </w:r>
          </w:p>
        </w:tc>
      </w:tr>
    </w:tbl>
    <w:p w14:paraId="6C595225">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0" w:afterAutospacing="0" w:line="360" w:lineRule="auto"/>
        <w:ind w:left="0" w:right="0" w:firstLine="422" w:firstLineChars="200"/>
        <w:jc w:val="left"/>
        <w:textAlignment w:val="auto"/>
        <w:outlineLvl w:val="1"/>
        <w:rPr>
          <w:rFonts w:hint="eastAsia" w:ascii="宋体" w:hAnsi="宋体" w:eastAsia="宋体" w:cs="宋体"/>
          <w:b w:val="0"/>
          <w:bCs w:val="0"/>
          <w:color w:val="auto"/>
          <w:sz w:val="24"/>
          <w:szCs w:val="24"/>
          <w:lang w:val="en-US"/>
        </w:rPr>
      </w:pPr>
      <w:r>
        <w:rPr>
          <w:rFonts w:hint="eastAsia" w:ascii="宋体" w:hAnsi="宋体" w:eastAsia="宋体" w:cs="宋体"/>
          <w:b/>
          <w:bCs/>
          <w:color w:val="auto"/>
          <w:kern w:val="0"/>
          <w:sz w:val="21"/>
          <w:szCs w:val="21"/>
          <w:lang w:val="en-US" w:eastAsia="zh-CN"/>
        </w:rPr>
        <w:t>(二）服务地点及服务期</w:t>
      </w:r>
    </w:p>
    <w:p w14:paraId="6EBC8E6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20"/>
        <w:jc w:val="left"/>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0"/>
          <w:sz w:val="21"/>
          <w:szCs w:val="21"/>
          <w:lang w:val="en-US" w:eastAsia="zh-CN"/>
        </w:rPr>
        <w:t>服务</w:t>
      </w:r>
      <w:r>
        <w:rPr>
          <w:rFonts w:hint="eastAsia" w:ascii="宋体" w:hAnsi="宋体" w:eastAsia="宋体" w:cs="宋体"/>
          <w:color w:val="auto"/>
          <w:kern w:val="0"/>
          <w:sz w:val="21"/>
          <w:szCs w:val="21"/>
        </w:rPr>
        <w:t>地点：长沙市</w:t>
      </w:r>
    </w:p>
    <w:p w14:paraId="1051BC0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20"/>
        <w:jc w:val="left"/>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服务期：监理服务总周期为12个月</w:t>
      </w:r>
    </w:p>
    <w:p w14:paraId="09E1CA90">
      <w:pPr>
        <w:keepNext w:val="0"/>
        <w:keepLines w:val="0"/>
        <w:pageBreakBefore w:val="0"/>
        <w:kinsoku/>
        <w:overflowPunct/>
        <w:topLinePunct w:val="0"/>
        <w:bidi w:val="0"/>
        <w:adjustRightInd w:val="0"/>
        <w:snapToGrid w:val="0"/>
        <w:spacing w:beforeAutospacing="0" w:line="360" w:lineRule="auto"/>
        <w:ind w:left="0" w:leftChars="0" w:firstLine="422" w:firstLineChars="200"/>
        <w:textAlignment w:val="baseline"/>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lang w:eastAsia="zh-CN"/>
        </w:rPr>
        <w:t>（</w:t>
      </w:r>
      <w:r>
        <w:rPr>
          <w:rFonts w:hint="eastAsia" w:ascii="宋体" w:hAnsi="宋体" w:eastAsia="宋体" w:cs="宋体"/>
          <w:b/>
          <w:bCs/>
          <w:color w:val="auto"/>
          <w:kern w:val="0"/>
          <w:sz w:val="21"/>
          <w:szCs w:val="21"/>
          <w:lang w:val="en-US" w:eastAsia="zh-CN"/>
        </w:rPr>
        <w:t>三</w:t>
      </w:r>
      <w:r>
        <w:rPr>
          <w:rFonts w:hint="eastAsia" w:ascii="宋体" w:hAnsi="宋体" w:eastAsia="宋体" w:cs="宋体"/>
          <w:b/>
          <w:bCs/>
          <w:color w:val="auto"/>
          <w:kern w:val="0"/>
          <w:sz w:val="21"/>
          <w:szCs w:val="21"/>
          <w:lang w:eastAsia="zh-CN"/>
        </w:rPr>
        <w:t>）</w:t>
      </w:r>
      <w:r>
        <w:rPr>
          <w:rFonts w:hint="eastAsia" w:ascii="宋体" w:hAnsi="宋体" w:eastAsia="宋体" w:cs="宋体"/>
          <w:b/>
          <w:bCs/>
          <w:color w:val="auto"/>
          <w:kern w:val="0"/>
          <w:sz w:val="21"/>
          <w:szCs w:val="21"/>
        </w:rPr>
        <w:t>技术标准与规范</w:t>
      </w:r>
      <w:r>
        <w:rPr>
          <w:rFonts w:hint="eastAsia" w:ascii="宋体" w:hAnsi="宋体" w:eastAsia="宋体" w:cs="宋体"/>
          <w:color w:val="auto"/>
          <w:kern w:val="0"/>
          <w:sz w:val="21"/>
          <w:szCs w:val="21"/>
        </w:rPr>
        <w:t xml:space="preserve"> </w:t>
      </w:r>
    </w:p>
    <w:p w14:paraId="7FF35C85">
      <w:pPr>
        <w:keepNext w:val="0"/>
        <w:keepLines w:val="0"/>
        <w:pageBreakBefore w:val="0"/>
        <w:kinsoku/>
        <w:overflowPunct/>
        <w:topLinePunct w:val="0"/>
        <w:bidi w:val="0"/>
        <w:adjustRightInd w:val="0"/>
        <w:snapToGrid w:val="0"/>
        <w:spacing w:beforeAutospacing="0" w:line="360" w:lineRule="auto"/>
        <w:ind w:left="0" w:leftChars="0" w:firstLine="420" w:firstLineChars="200"/>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rPr>
        <w:t>本项目必须符合国家关于监理方面现行的标准、规范、规程、办法、示例，以及湖南省关于工程监理方面的文件、规定。</w:t>
      </w:r>
    </w:p>
    <w:p w14:paraId="77C8B3EA">
      <w:pPr>
        <w:keepNext w:val="0"/>
        <w:keepLines w:val="0"/>
        <w:pageBreakBefore w:val="0"/>
        <w:kinsoku/>
        <w:overflowPunct/>
        <w:topLinePunct w:val="0"/>
        <w:bidi w:val="0"/>
        <w:adjustRightInd w:val="0"/>
        <w:snapToGrid w:val="0"/>
        <w:spacing w:beforeAutospacing="0" w:line="360" w:lineRule="auto"/>
        <w:ind w:left="0" w:leftChars="0" w:firstLine="420" w:firstLineChars="200"/>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在监理工作中使用或参考下述标准、规范以外的技术标准、规范时，应征得</w:t>
      </w:r>
      <w:r>
        <w:rPr>
          <w:rFonts w:hint="eastAsia" w:ascii="宋体" w:hAnsi="宋体" w:eastAsia="宋体" w:cs="宋体"/>
          <w:color w:val="auto"/>
          <w:kern w:val="0"/>
          <w:sz w:val="21"/>
          <w:szCs w:val="21"/>
          <w:lang w:eastAsia="zh-CN"/>
        </w:rPr>
        <w:t>甲方</w:t>
      </w:r>
      <w:r>
        <w:rPr>
          <w:rFonts w:hint="eastAsia" w:ascii="宋体" w:hAnsi="宋体" w:eastAsia="宋体" w:cs="宋体"/>
          <w:color w:val="auto"/>
          <w:kern w:val="0"/>
          <w:sz w:val="21"/>
          <w:szCs w:val="21"/>
        </w:rPr>
        <w:t>或</w:t>
      </w:r>
      <w:r>
        <w:rPr>
          <w:rFonts w:hint="eastAsia" w:ascii="宋体" w:hAnsi="宋体" w:eastAsia="宋体" w:cs="宋体"/>
          <w:color w:val="auto"/>
          <w:kern w:val="0"/>
          <w:sz w:val="21"/>
          <w:szCs w:val="21"/>
          <w:lang w:eastAsia="zh-CN"/>
        </w:rPr>
        <w:t>甲方</w:t>
      </w:r>
      <w:r>
        <w:rPr>
          <w:rFonts w:hint="eastAsia" w:ascii="宋体" w:hAnsi="宋体" w:eastAsia="宋体" w:cs="宋体"/>
          <w:color w:val="auto"/>
          <w:kern w:val="0"/>
          <w:sz w:val="21"/>
          <w:szCs w:val="21"/>
        </w:rPr>
        <w:t>代表的同意。</w:t>
      </w:r>
    </w:p>
    <w:p w14:paraId="068D25BE">
      <w:pPr>
        <w:keepNext w:val="0"/>
        <w:keepLines w:val="0"/>
        <w:pageBreakBefore w:val="0"/>
        <w:kinsoku/>
        <w:overflowPunct/>
        <w:topLinePunct w:val="0"/>
        <w:bidi w:val="0"/>
        <w:adjustRightInd w:val="0"/>
        <w:snapToGrid w:val="0"/>
        <w:spacing w:beforeAutospacing="0" w:line="360" w:lineRule="auto"/>
        <w:ind w:left="0" w:leftChars="0" w:firstLine="420" w:firstLineChars="200"/>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rPr>
        <w:t>在</w:t>
      </w:r>
      <w:r>
        <w:rPr>
          <w:rFonts w:hint="eastAsia" w:ascii="宋体" w:hAnsi="宋体" w:eastAsia="宋体" w:cs="宋体"/>
          <w:color w:val="auto"/>
          <w:kern w:val="0"/>
          <w:sz w:val="21"/>
          <w:szCs w:val="21"/>
          <w:lang w:val="en-US" w:eastAsia="zh-CN"/>
        </w:rPr>
        <w:t>项目</w:t>
      </w:r>
      <w:r>
        <w:rPr>
          <w:rFonts w:hint="eastAsia" w:ascii="宋体" w:hAnsi="宋体" w:eastAsia="宋体" w:cs="宋体"/>
          <w:color w:val="auto"/>
          <w:kern w:val="0"/>
          <w:sz w:val="21"/>
          <w:szCs w:val="21"/>
        </w:rPr>
        <w:t>监理工作过程中，如果国家或有关部门颁布了新的技术标准和规范</w:t>
      </w:r>
      <w:r>
        <w:rPr>
          <w:rFonts w:hint="eastAsia" w:ascii="宋体" w:hAnsi="宋体" w:eastAsia="宋体" w:cs="宋体"/>
          <w:color w:val="auto"/>
          <w:kern w:val="0"/>
          <w:sz w:val="21"/>
          <w:szCs w:val="21"/>
          <w:lang w:val="en-US" w:eastAsia="zh-CN"/>
        </w:rPr>
        <w:t>，乙方自新标准施行之日起</w:t>
      </w:r>
      <w:r>
        <w:rPr>
          <w:rFonts w:hint="eastAsia" w:ascii="宋体" w:hAnsi="宋体" w:eastAsia="宋体" w:cs="宋体"/>
          <w:color w:val="auto"/>
          <w:kern w:val="0"/>
          <w:sz w:val="21"/>
          <w:szCs w:val="21"/>
        </w:rPr>
        <w:t xml:space="preserve">应采用新的标准或规范进行监理。 </w:t>
      </w:r>
    </w:p>
    <w:p w14:paraId="3EFDF5A8">
      <w:pPr>
        <w:keepNext w:val="0"/>
        <w:keepLines w:val="0"/>
        <w:pageBreakBefore w:val="0"/>
        <w:kinsoku/>
        <w:overflowPunct/>
        <w:topLinePunct w:val="0"/>
        <w:bidi w:val="0"/>
        <w:adjustRightInd w:val="0"/>
        <w:snapToGrid w:val="0"/>
        <w:spacing w:beforeAutospacing="0" w:line="360" w:lineRule="auto"/>
        <w:ind w:left="0" w:leftChars="0" w:firstLine="420" w:firstLineChars="200"/>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标准、规范</w:t>
      </w:r>
      <w:r>
        <w:rPr>
          <w:rFonts w:hint="eastAsia" w:ascii="宋体" w:hAnsi="宋体" w:eastAsia="宋体" w:cs="宋体"/>
          <w:color w:val="auto"/>
          <w:kern w:val="0"/>
          <w:sz w:val="21"/>
          <w:szCs w:val="21"/>
          <w:lang w:val="en-US" w:eastAsia="zh-CN"/>
        </w:rPr>
        <w:t>如下</w:t>
      </w:r>
      <w:r>
        <w:rPr>
          <w:rFonts w:hint="eastAsia" w:ascii="宋体" w:hAnsi="宋体" w:eastAsia="宋体" w:cs="宋体"/>
          <w:color w:val="auto"/>
          <w:kern w:val="0"/>
          <w:sz w:val="21"/>
          <w:szCs w:val="21"/>
        </w:rPr>
        <w:t>：</w:t>
      </w:r>
    </w:p>
    <w:p w14:paraId="68D22BCE">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《太阳能黄闪信号灯》(GA/T743)；</w:t>
      </w:r>
    </w:p>
    <w:p w14:paraId="0BA51E10">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《钢结构设计标准》（GB 50017）；</w:t>
      </w:r>
    </w:p>
    <w:p w14:paraId="37B55722">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《建筑钢结构焊接技术规程》（JGJ 81）；</w:t>
      </w:r>
    </w:p>
    <w:p w14:paraId="397AC6A2">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《涂覆涂料前钢材表面处理-第1部分》（GB/T 8923.1）；未涂覆过的钢材表面和全面清除原有涂层后的钢材表面的锈蚀等级和处理等级</w:t>
      </w:r>
    </w:p>
    <w:p w14:paraId="6516C716">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《涂覆涂料前钢材表面处理-第2部分》（GB/T 8923.2）；已涂覆过的钢材表面局部清除原有涂层后的处理等级</w:t>
      </w:r>
    </w:p>
    <w:p w14:paraId="4C57DDF0">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《涂覆涂料前钢材表面处理-第3部分》（GB/T 8923.3）；焊缝、边缘和其他区域的表面缺陷的处理等级</w:t>
      </w:r>
    </w:p>
    <w:p w14:paraId="02CE7613">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《涂覆涂料前钢材表面处理-第4部分》（GB/T 8923.4）；与高压水喷射处理有关的初始表面状态、处理等级和闪锈等级</w:t>
      </w:r>
    </w:p>
    <w:p w14:paraId="60AD2303">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《一般工业用铝及铝合金挤压型材》（GB/T 6892）；</w:t>
      </w:r>
    </w:p>
    <w:p w14:paraId="74DF5F7D">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《钢结构工程施工质量验收规范》(GB50205)；</w:t>
      </w:r>
    </w:p>
    <w:p w14:paraId="2EE5939C">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《城市道路交通隔离栏设置指南》（GA/T1567);</w:t>
      </w:r>
    </w:p>
    <w:p w14:paraId="047A3E22">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《表面粗糙度比较样板抛(喷)丸、喷砂加工表面》(相对国际标准 GB6060.5ISO8503)；</w:t>
      </w:r>
    </w:p>
    <w:p w14:paraId="31D58EDD">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《道路交通标志和标线》国家标准（GB5768—2009-2022）；</w:t>
      </w:r>
    </w:p>
    <w:p w14:paraId="4AE53BFE">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《城市道路交通标志和标线设置规范》国家标准（GB51038—2015）；</w:t>
      </w:r>
    </w:p>
    <w:p w14:paraId="6CCD076F">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《城市道路交通设施设计规范》国家标准（GB50688-2011）；</w:t>
      </w:r>
    </w:p>
    <w:p w14:paraId="5AA380C3">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《道路交通信号灯设置与安装规范》国家标准（GB14886-2016）；</w:t>
      </w:r>
    </w:p>
    <w:p w14:paraId="03E3A05F">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《道路交通标线质量要求和检测方法》国家标准（GBT16311-2009）；</w:t>
      </w:r>
    </w:p>
    <w:p w14:paraId="1291C239">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《道路交通信号灯》国家标准（GB14887-2011）；</w:t>
      </w:r>
    </w:p>
    <w:p w14:paraId="5BCEFEFE">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《道路交通标志及支撑件》国家标准（GBT23827-2009）；</w:t>
      </w:r>
    </w:p>
    <w:p w14:paraId="7B424183">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《道路交通反光膜》国家标准（GB/T18833-2012）；</w:t>
      </w:r>
    </w:p>
    <w:p w14:paraId="66D2391A">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《城市道路工程技术规范》国家标准（GB51286-2018）；</w:t>
      </w:r>
    </w:p>
    <w:p w14:paraId="4115D550">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《公路工程技术标准》行业标准（JTG-B01-2014）；</w:t>
      </w:r>
    </w:p>
    <w:p w14:paraId="165ECCF0">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《公路交通标志板》行业标准（JTT 279-2016）；</w:t>
      </w:r>
    </w:p>
    <w:p w14:paraId="2238BF09">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《公安交通管理外场设备基础设施施工通用要求》行业标准（GAT 652-2017）；</w:t>
      </w:r>
    </w:p>
    <w:p w14:paraId="479A8E6A">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《道路交通警示灯》国家标准（GB14887-2011）；</w:t>
      </w:r>
    </w:p>
    <w:p w14:paraId="336E5495">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《灯具一般安全要求与试验》国家标准（GB7000.1—2015）；</w:t>
      </w:r>
    </w:p>
    <w:p w14:paraId="6CEE6A08">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《灯光信号颜色》国家标准（GB/T8417-2003）；</w:t>
      </w:r>
    </w:p>
    <w:p w14:paraId="53466B05">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《电工电子产品环境试验》国家标准（GB/T2423-2008）；</w:t>
      </w:r>
    </w:p>
    <w:p w14:paraId="629DDF66">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《翻板式可变标志》行业标准（JT/T751-2009）； </w:t>
      </w:r>
    </w:p>
    <w:p w14:paraId="55E4C88B">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《建筑结构荷载规范》国家标准（GB50009-2012）；</w:t>
      </w:r>
    </w:p>
    <w:p w14:paraId="5F0F309E">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《钢结构设计规范》国家标准（GB50017-2017）；</w:t>
      </w:r>
    </w:p>
    <w:p w14:paraId="39A11F58">
      <w:pPr>
        <w:keepNext w:val="0"/>
        <w:keepLines w:val="0"/>
        <w:pageBreakBefore w:val="0"/>
        <w:kinsoku/>
        <w:overflowPunct/>
        <w:topLinePunct w:val="0"/>
        <w:bidi w:val="0"/>
        <w:adjustRightInd w:val="0"/>
        <w:snapToGrid w:val="0"/>
        <w:spacing w:beforeAutospacing="0" w:line="360" w:lineRule="auto"/>
        <w:ind w:left="0" w:leftChars="0" w:firstLine="420" w:firstLineChars="200"/>
        <w:jc w:val="left"/>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《道路交通指示标识英文译写规范》行业标准（DB3301/T0170-2016）</w:t>
      </w:r>
    </w:p>
    <w:p w14:paraId="3DB76419">
      <w:pPr>
        <w:keepNext w:val="0"/>
        <w:keepLines w:val="0"/>
        <w:pageBreakBefore w:val="0"/>
        <w:kinsoku/>
        <w:overflowPunct/>
        <w:topLinePunct w:val="0"/>
        <w:bidi w:val="0"/>
        <w:adjustRightInd w:val="0"/>
        <w:snapToGrid w:val="0"/>
        <w:spacing w:beforeAutospacing="0" w:line="360" w:lineRule="auto"/>
        <w:ind w:left="0" w:leftChars="0" w:firstLine="420" w:firstLineChars="200"/>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《信息化工程监理规范 第1部分:总则》（GB/T 19668.1-2014）</w:t>
      </w:r>
    </w:p>
    <w:p w14:paraId="455EB37F">
      <w:pPr>
        <w:keepNext w:val="0"/>
        <w:keepLines w:val="0"/>
        <w:pageBreakBefore w:val="0"/>
        <w:kinsoku/>
        <w:overflowPunct/>
        <w:topLinePunct w:val="0"/>
        <w:bidi w:val="0"/>
        <w:adjustRightInd w:val="0"/>
        <w:snapToGrid w:val="0"/>
        <w:spacing w:beforeAutospacing="0" w:line="360" w:lineRule="auto"/>
        <w:ind w:left="0" w:leftChars="0" w:firstLine="420" w:firstLineChars="200"/>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《信息化工程监理规范 第2部分:基础设施工程监理规范》（GB/T 19668.2-2017）</w:t>
      </w:r>
    </w:p>
    <w:p w14:paraId="6E913C99">
      <w:pPr>
        <w:keepNext w:val="0"/>
        <w:keepLines w:val="0"/>
        <w:pageBreakBefore w:val="0"/>
        <w:kinsoku/>
        <w:overflowPunct/>
        <w:topLinePunct w:val="0"/>
        <w:bidi w:val="0"/>
        <w:adjustRightInd w:val="0"/>
        <w:snapToGrid w:val="0"/>
        <w:spacing w:beforeAutospacing="0" w:line="360" w:lineRule="auto"/>
        <w:ind w:left="0" w:leftChars="0" w:firstLine="420" w:firstLineChars="200"/>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《信息化工程监理规范 第3部分:运行维护监理规范》（GB/T 19668.3-2017）</w:t>
      </w:r>
    </w:p>
    <w:p w14:paraId="46591271">
      <w:pPr>
        <w:keepNext w:val="0"/>
        <w:keepLines w:val="0"/>
        <w:pageBreakBefore w:val="0"/>
        <w:kinsoku/>
        <w:overflowPunct/>
        <w:topLinePunct w:val="0"/>
        <w:bidi w:val="0"/>
        <w:adjustRightInd w:val="0"/>
        <w:snapToGrid w:val="0"/>
        <w:spacing w:beforeAutospacing="0" w:line="360" w:lineRule="auto"/>
        <w:ind w:left="0" w:leftChars="0" w:firstLine="420" w:firstLineChars="200"/>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《信息化工程监理规范 第4部分:信息安全监理规范》（GB/T 19668.4-2017）</w:t>
      </w:r>
    </w:p>
    <w:p w14:paraId="235837C2">
      <w:pPr>
        <w:keepNext w:val="0"/>
        <w:keepLines w:val="0"/>
        <w:pageBreakBefore w:val="0"/>
        <w:kinsoku/>
        <w:overflowPunct/>
        <w:topLinePunct w:val="0"/>
        <w:bidi w:val="0"/>
        <w:adjustRightInd w:val="0"/>
        <w:snapToGrid w:val="0"/>
        <w:spacing w:beforeAutospacing="0" w:line="360" w:lineRule="auto"/>
        <w:ind w:left="0" w:leftChars="0" w:firstLine="420" w:firstLineChars="200"/>
        <w:textAlignment w:val="baseline"/>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《建设工程监理规范》GB/T 50319-2013</w:t>
      </w:r>
    </w:p>
    <w:p w14:paraId="268C092C">
      <w:pPr>
        <w:keepNext w:val="0"/>
        <w:keepLines w:val="0"/>
        <w:pageBreakBefore w:val="0"/>
        <w:widowControl w:val="0"/>
        <w:kinsoku/>
        <w:overflowPunct/>
        <w:topLinePunct w:val="0"/>
        <w:bidi w:val="0"/>
        <w:adjustRightInd w:val="0"/>
        <w:snapToGrid w:val="0"/>
        <w:spacing w:beforeAutospacing="0" w:after="0" w:line="360" w:lineRule="auto"/>
        <w:ind w:left="0" w:leftChars="0" w:firstLine="420" w:firstLineChars="200"/>
        <w:jc w:val="both"/>
        <w:textAlignment w:val="baseline"/>
        <w:rPr>
          <w:rFonts w:hint="eastAsia" w:ascii="宋体" w:hAnsi="宋体" w:eastAsia="宋体" w:cs="宋体"/>
          <w:color w:val="auto"/>
          <w:spacing w:val="0"/>
          <w:sz w:val="21"/>
          <w:szCs w:val="21"/>
          <w:lang w:val="en-US" w:eastAsia="zh-CN" w:bidi="ar-SA"/>
        </w:rPr>
      </w:pPr>
      <w:r>
        <w:rPr>
          <w:rFonts w:hint="eastAsia" w:ascii="宋体" w:hAnsi="宋体" w:eastAsia="宋体" w:cs="宋体"/>
          <w:color w:val="auto"/>
          <w:spacing w:val="0"/>
          <w:sz w:val="21"/>
          <w:szCs w:val="21"/>
          <w:lang w:val="en-US" w:eastAsia="zh-CN" w:bidi="ar-SA"/>
        </w:rPr>
        <w:t>《城市道路交通隔离栏设置指南》（GA/T1567-2019)</w:t>
      </w:r>
    </w:p>
    <w:p w14:paraId="1513165F">
      <w:pPr>
        <w:keepNext w:val="0"/>
        <w:keepLines w:val="0"/>
        <w:pageBreakBefore w:val="0"/>
        <w:kinsoku/>
        <w:overflowPunct/>
        <w:topLinePunct w:val="0"/>
        <w:bidi w:val="0"/>
        <w:adjustRightInd w:val="0"/>
        <w:snapToGrid w:val="0"/>
        <w:spacing w:beforeAutospacing="0" w:line="360" w:lineRule="auto"/>
        <w:ind w:left="0" w:leftChars="0" w:firstLine="420" w:firstLineChars="200"/>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《长沙市道路交通设施及占道施工交通安全管理工作指导意见》</w:t>
      </w:r>
    </w:p>
    <w:p w14:paraId="51054C12">
      <w:pPr>
        <w:keepNext w:val="0"/>
        <w:keepLines w:val="0"/>
        <w:pageBreakBefore w:val="0"/>
        <w:kinsoku/>
        <w:overflowPunct/>
        <w:topLinePunct w:val="0"/>
        <w:bidi w:val="0"/>
        <w:adjustRightInd w:val="0"/>
        <w:snapToGrid w:val="0"/>
        <w:spacing w:beforeAutospacing="0" w:line="360" w:lineRule="auto"/>
        <w:ind w:left="0" w:leftChars="0" w:firstLine="420" w:firstLineChars="200"/>
        <w:textAlignment w:val="baseline"/>
        <w:rPr>
          <w:rFonts w:hint="eastAsia" w:ascii="Times New Roman" w:hAnsi="Times New Roman" w:eastAsia="宋体" w:cs="Times New Roman"/>
          <w:color w:val="auto"/>
        </w:rPr>
      </w:pPr>
      <w:r>
        <w:rPr>
          <w:rFonts w:hint="eastAsia" w:ascii="Times New Roman" w:hAnsi="Times New Roman" w:eastAsia="宋体" w:cs="Times New Roman"/>
          <w:color w:val="auto"/>
        </w:rPr>
        <w:t>其他国家标准、地方规范。</w:t>
      </w:r>
    </w:p>
    <w:p w14:paraId="1D3F5277">
      <w:pPr>
        <w:keepNext w:val="0"/>
        <w:keepLines w:val="0"/>
        <w:pageBreakBefore w:val="0"/>
        <w:kinsoku/>
        <w:overflowPunct/>
        <w:topLinePunct w:val="0"/>
        <w:bidi w:val="0"/>
        <w:adjustRightInd w:val="0"/>
        <w:snapToGrid w:val="0"/>
        <w:spacing w:beforeAutospacing="0" w:line="360" w:lineRule="auto"/>
        <w:ind w:left="0" w:leftChars="0" w:firstLine="408"/>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如遇法律法规、标准等对同一问题的处理出现歧义或不一致时，一律就高不就低。</w:t>
      </w:r>
    </w:p>
    <w:p w14:paraId="241CE14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10" w:lineRule="exact"/>
        <w:ind w:left="0" w:leftChars="0" w:right="0" w:firstLine="420"/>
        <w:jc w:val="left"/>
        <w:rPr>
          <w:rFonts w:hint="eastAsia" w:ascii="宋体" w:hAnsi="宋体" w:eastAsia="宋体" w:cs="宋体"/>
          <w:b/>
          <w:bCs/>
          <w:color w:val="auto"/>
          <w:kern w:val="0"/>
          <w:sz w:val="21"/>
          <w:szCs w:val="21"/>
          <w:lang w:val="en-US" w:eastAsia="zh-CN"/>
        </w:rPr>
      </w:pPr>
      <w:r>
        <w:rPr>
          <w:rFonts w:hint="eastAsia" w:ascii="宋体" w:hAnsi="宋体" w:eastAsia="宋体" w:cs="宋体"/>
          <w:b/>
          <w:bCs/>
          <w:color w:val="auto"/>
          <w:kern w:val="2"/>
          <w:sz w:val="21"/>
          <w:szCs w:val="21"/>
          <w:lang w:val="en-US" w:eastAsia="zh-CN" w:bidi="ar-SA"/>
        </w:rPr>
        <w:t>（四）</w:t>
      </w:r>
      <w:r>
        <w:rPr>
          <w:rFonts w:hint="eastAsia" w:ascii="宋体" w:hAnsi="宋体" w:eastAsia="宋体" w:cs="宋体"/>
          <w:b/>
          <w:bCs/>
          <w:color w:val="auto"/>
          <w:kern w:val="0"/>
          <w:sz w:val="21"/>
          <w:szCs w:val="21"/>
          <w:lang w:val="en-US" w:eastAsia="zh-CN"/>
        </w:rPr>
        <w:t>配置要求</w:t>
      </w:r>
    </w:p>
    <w:p w14:paraId="682B3FDE">
      <w:pPr>
        <w:keepNext w:val="0"/>
        <w:keepLines w:val="0"/>
        <w:pageBreakBefore w:val="0"/>
        <w:kinsoku/>
        <w:wordWrap/>
        <w:overflowPunct/>
        <w:topLinePunct w:val="0"/>
        <w:autoSpaceDE/>
        <w:autoSpaceDN/>
        <w:bidi w:val="0"/>
        <w:adjustRightInd w:val="0"/>
        <w:snapToGrid w:val="0"/>
        <w:spacing w:beforeAutospacing="0" w:line="410" w:lineRule="exact"/>
        <w:ind w:left="0" w:leftChars="0" w:firstLine="396" w:firstLineChars="189"/>
        <w:textAlignment w:val="baseline"/>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1.人员配置要求</w:t>
      </w:r>
    </w:p>
    <w:p w14:paraId="2740B9ED">
      <w:pPr>
        <w:keepNext w:val="0"/>
        <w:keepLines w:val="0"/>
        <w:pageBreakBefore w:val="0"/>
        <w:kinsoku/>
        <w:wordWrap/>
        <w:overflowPunct/>
        <w:topLinePunct w:val="0"/>
        <w:autoSpaceDE/>
        <w:autoSpaceDN/>
        <w:bidi w:val="0"/>
        <w:adjustRightInd w:val="0"/>
        <w:snapToGrid w:val="0"/>
        <w:spacing w:beforeAutospacing="0" w:line="410" w:lineRule="exact"/>
        <w:ind w:left="0" w:leftChars="0" w:firstLine="396" w:firstLineChars="189"/>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（1）乙方为</w:t>
      </w:r>
      <w:r>
        <w:rPr>
          <w:rFonts w:hint="eastAsia" w:ascii="宋体" w:hAnsi="宋体" w:eastAsia="宋体" w:cs="宋体"/>
          <w:color w:val="auto"/>
          <w:kern w:val="0"/>
          <w:sz w:val="21"/>
          <w:szCs w:val="21"/>
        </w:rPr>
        <w:t>本项目配置</w:t>
      </w:r>
      <w:r>
        <w:rPr>
          <w:rFonts w:hint="eastAsia" w:ascii="宋体" w:hAnsi="宋体" w:eastAsia="宋体" w:cs="宋体"/>
          <w:color w:val="auto"/>
          <w:kern w:val="0"/>
          <w:sz w:val="21"/>
          <w:szCs w:val="21"/>
          <w:lang w:val="en-US" w:eastAsia="zh-CN"/>
        </w:rPr>
        <w:t>的</w:t>
      </w:r>
      <w:r>
        <w:rPr>
          <w:rFonts w:hint="eastAsia" w:ascii="宋体" w:hAnsi="宋体" w:eastAsia="宋体" w:cs="宋体"/>
          <w:color w:val="auto"/>
          <w:kern w:val="0"/>
          <w:sz w:val="21"/>
          <w:szCs w:val="21"/>
        </w:rPr>
        <w:t>相应专业监理团队至少达到8人及以上</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其中，总监理工程师（项目监理负责人）1人，驻场</w:t>
      </w:r>
      <w:r>
        <w:rPr>
          <w:rFonts w:hint="eastAsia" w:ascii="宋体" w:hAnsi="宋体" w:eastAsia="宋体" w:cs="宋体"/>
          <w:color w:val="auto"/>
          <w:kern w:val="0"/>
          <w:sz w:val="21"/>
          <w:szCs w:val="21"/>
        </w:rPr>
        <w:t>监理工程师</w:t>
      </w:r>
      <w:r>
        <w:rPr>
          <w:rFonts w:hint="eastAsia" w:ascii="宋体" w:hAnsi="宋体" w:eastAsia="宋体" w:cs="宋体"/>
          <w:color w:val="auto"/>
          <w:kern w:val="0"/>
          <w:sz w:val="21"/>
          <w:szCs w:val="21"/>
          <w:lang w:val="en-US" w:eastAsia="zh-CN"/>
        </w:rPr>
        <w:t>不</w:t>
      </w:r>
      <w:r>
        <w:rPr>
          <w:rFonts w:hint="eastAsia" w:ascii="宋体" w:hAnsi="宋体" w:eastAsia="宋体" w:cs="宋体"/>
          <w:color w:val="auto"/>
          <w:kern w:val="0"/>
          <w:sz w:val="21"/>
          <w:szCs w:val="21"/>
          <w:highlight w:val="none"/>
          <w:lang w:val="en-US" w:eastAsia="zh-CN"/>
        </w:rPr>
        <w:t>少于6人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lang w:val="en-US" w:eastAsia="zh-CN"/>
        </w:rPr>
        <w:t>信息管理员不少于1人</w:t>
      </w:r>
      <w:r>
        <w:rPr>
          <w:rFonts w:hint="eastAsia" w:ascii="宋体" w:hAnsi="宋体" w:eastAsia="宋体" w:cs="宋体"/>
          <w:color w:val="auto"/>
          <w:kern w:val="0"/>
          <w:sz w:val="21"/>
          <w:szCs w:val="21"/>
        </w:rPr>
        <w:t>，总监理工程师应具有监理工程师资格证书，监理人员应具有监理员从业资格证。</w:t>
      </w:r>
    </w:p>
    <w:p w14:paraId="758B4D98">
      <w:pPr>
        <w:keepNext w:val="0"/>
        <w:keepLines w:val="0"/>
        <w:pageBreakBefore w:val="0"/>
        <w:kinsoku/>
        <w:wordWrap/>
        <w:overflowPunct/>
        <w:topLinePunct w:val="0"/>
        <w:autoSpaceDE/>
        <w:autoSpaceDN/>
        <w:bidi w:val="0"/>
        <w:adjustRightInd w:val="0"/>
        <w:snapToGrid w:val="0"/>
        <w:spacing w:beforeAutospacing="0" w:line="410" w:lineRule="exact"/>
        <w:ind w:left="0" w:leftChars="0" w:firstLine="396" w:firstLineChars="189"/>
        <w:textAlignment w:val="baseline"/>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本项目涉及专业多，监理人员必须</w:t>
      </w:r>
      <w:r>
        <w:rPr>
          <w:rFonts w:hint="eastAsia" w:ascii="宋体" w:hAnsi="宋体" w:eastAsia="宋体" w:cs="宋体"/>
          <w:color w:val="auto"/>
          <w:kern w:val="0"/>
          <w:sz w:val="21"/>
          <w:szCs w:val="21"/>
          <w:highlight w:val="none"/>
        </w:rPr>
        <w:t>专业配置。</w:t>
      </w:r>
      <w:r>
        <w:rPr>
          <w:rFonts w:hint="eastAsia" w:ascii="宋体" w:hAnsi="宋体" w:eastAsia="宋体" w:cs="宋体"/>
          <w:color w:val="auto"/>
          <w:kern w:val="0"/>
          <w:sz w:val="21"/>
          <w:szCs w:val="21"/>
          <w:highlight w:val="none"/>
          <w:lang w:val="en-US" w:eastAsia="zh-CN"/>
        </w:rPr>
        <w:t>各专业具备工程师及以上职称人员不少于</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土建</w:t>
      </w:r>
      <w:r>
        <w:rPr>
          <w:rFonts w:hint="eastAsia" w:ascii="宋体" w:hAnsi="宋体" w:eastAsia="宋体" w:cs="宋体"/>
          <w:color w:val="auto"/>
          <w:kern w:val="0"/>
          <w:sz w:val="21"/>
          <w:szCs w:val="21"/>
          <w:highlight w:val="none"/>
        </w:rPr>
        <w:t>1名、市政1名、造价1名</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交通或机电</w:t>
      </w:r>
      <w:r>
        <w:rPr>
          <w:rFonts w:hint="eastAsia" w:ascii="宋体" w:hAnsi="宋体" w:eastAsia="宋体" w:cs="宋体"/>
          <w:color w:val="auto"/>
          <w:kern w:val="0"/>
          <w:sz w:val="21"/>
          <w:szCs w:val="21"/>
          <w:highlight w:val="none"/>
        </w:rPr>
        <w:t>1名。</w:t>
      </w:r>
    </w:p>
    <w:p w14:paraId="401B5C05">
      <w:pPr>
        <w:keepNext w:val="0"/>
        <w:keepLines w:val="0"/>
        <w:pageBreakBefore w:val="0"/>
        <w:kinsoku/>
        <w:wordWrap/>
        <w:overflowPunct/>
        <w:topLinePunct w:val="0"/>
        <w:autoSpaceDE/>
        <w:autoSpaceDN/>
        <w:bidi w:val="0"/>
        <w:adjustRightInd w:val="0"/>
        <w:snapToGrid w:val="0"/>
        <w:spacing w:beforeAutospacing="0" w:line="410" w:lineRule="exact"/>
        <w:ind w:left="0" w:leftChars="0" w:firstLine="396" w:firstLineChars="189"/>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rPr>
        <w:t>合同签订时应提供所有的监理工程师简历、学历、身份证及相关资质证书。</w:t>
      </w:r>
    </w:p>
    <w:p w14:paraId="09391C2B">
      <w:pPr>
        <w:keepNext w:val="0"/>
        <w:keepLines w:val="0"/>
        <w:pageBreakBefore w:val="0"/>
        <w:kinsoku/>
        <w:wordWrap/>
        <w:overflowPunct/>
        <w:topLinePunct w:val="0"/>
        <w:autoSpaceDE/>
        <w:autoSpaceDN/>
        <w:bidi w:val="0"/>
        <w:adjustRightInd w:val="0"/>
        <w:snapToGrid w:val="0"/>
        <w:spacing w:beforeAutospacing="0" w:line="410" w:lineRule="exact"/>
        <w:ind w:left="0" w:leftChars="0" w:firstLine="396" w:firstLineChars="189"/>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spacing w:val="0"/>
          <w:sz w:val="21"/>
          <w:szCs w:val="21"/>
          <w:lang w:val="en-US" w:eastAsia="zh-CN" w:bidi="ar-SA"/>
        </w:rPr>
        <w:t>乙方</w:t>
      </w:r>
      <w:r>
        <w:rPr>
          <w:rFonts w:hint="eastAsia" w:ascii="宋体" w:hAnsi="宋体" w:eastAsia="宋体" w:cs="宋体"/>
          <w:color w:val="auto"/>
          <w:kern w:val="0"/>
          <w:sz w:val="21"/>
          <w:szCs w:val="21"/>
        </w:rPr>
        <w:t>对负责本项目的监理工程师不得随意更换，若</w:t>
      </w:r>
      <w:r>
        <w:rPr>
          <w:rFonts w:hint="eastAsia" w:ascii="宋体" w:hAnsi="宋体" w:eastAsia="宋体" w:cs="宋体"/>
          <w:color w:val="auto"/>
          <w:kern w:val="0"/>
          <w:sz w:val="21"/>
          <w:szCs w:val="21"/>
          <w:lang w:val="en-US" w:eastAsia="zh-CN"/>
        </w:rPr>
        <w:t>需更换</w:t>
      </w:r>
      <w:r>
        <w:rPr>
          <w:rFonts w:hint="eastAsia" w:ascii="宋体" w:hAnsi="宋体" w:eastAsia="宋体" w:cs="宋体"/>
          <w:color w:val="auto"/>
          <w:kern w:val="0"/>
          <w:sz w:val="21"/>
          <w:szCs w:val="21"/>
        </w:rPr>
        <w:t>，须提前一个月书面报</w:t>
      </w:r>
      <w:r>
        <w:rPr>
          <w:rFonts w:hint="eastAsia" w:ascii="宋体" w:hAnsi="宋体" w:eastAsia="宋体" w:cs="宋体"/>
          <w:color w:val="auto"/>
          <w:kern w:val="0"/>
          <w:sz w:val="21"/>
          <w:szCs w:val="21"/>
          <w:lang w:val="en-US" w:eastAsia="zh-CN"/>
        </w:rPr>
        <w:t>甲方</w:t>
      </w:r>
      <w:r>
        <w:rPr>
          <w:rFonts w:hint="eastAsia" w:ascii="宋体" w:hAnsi="宋体" w:eastAsia="宋体" w:cs="宋体"/>
          <w:color w:val="auto"/>
          <w:kern w:val="0"/>
          <w:sz w:val="21"/>
          <w:szCs w:val="21"/>
        </w:rPr>
        <w:t>审核同意后方能更换，且接替人员的资质和经验不得低于原人员。甲方享有无条件否决权，未经甲方同意擅自更换，视为违约，并需支付合同金额2%的违约金。甲方有权要求恢复原监理人员或终止合同。</w:t>
      </w:r>
    </w:p>
    <w:p w14:paraId="50E7E099">
      <w:pPr>
        <w:keepNext w:val="0"/>
        <w:keepLines w:val="0"/>
        <w:pageBreakBefore w:val="0"/>
        <w:kinsoku/>
        <w:wordWrap/>
        <w:overflowPunct/>
        <w:topLinePunct w:val="0"/>
        <w:autoSpaceDE/>
        <w:autoSpaceDN/>
        <w:bidi w:val="0"/>
        <w:adjustRightInd w:val="0"/>
        <w:snapToGrid w:val="0"/>
        <w:spacing w:beforeAutospacing="0" w:line="410" w:lineRule="exact"/>
        <w:ind w:left="0" w:leftChars="0" w:firstLine="408"/>
        <w:textAlignment w:val="baseline"/>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2.设备配置要求</w:t>
      </w:r>
    </w:p>
    <w:p w14:paraId="001BFAF9">
      <w:pPr>
        <w:keepNext w:val="0"/>
        <w:keepLines w:val="0"/>
        <w:pageBreakBefore w:val="0"/>
        <w:kinsoku/>
        <w:wordWrap/>
        <w:overflowPunct/>
        <w:topLinePunct w:val="0"/>
        <w:autoSpaceDE/>
        <w:autoSpaceDN/>
        <w:bidi w:val="0"/>
        <w:adjustRightInd w:val="0"/>
        <w:snapToGrid w:val="0"/>
        <w:spacing w:beforeAutospacing="0" w:line="410" w:lineRule="exact"/>
        <w:ind w:left="0" w:leftChars="0" w:firstLine="420" w:firstLineChars="200"/>
        <w:textAlignment w:val="baseline"/>
        <w:rPr>
          <w:rFonts w:hint="default" w:ascii="宋体" w:hAnsi="宋体" w:eastAsia="宋体" w:cs="宋体"/>
          <w:b/>
          <w:bCs/>
          <w:color w:val="auto"/>
          <w:kern w:val="0"/>
          <w:sz w:val="21"/>
          <w:szCs w:val="21"/>
          <w:lang w:val="en-US" w:eastAsia="zh-CN"/>
        </w:rPr>
      </w:pPr>
      <w:r>
        <w:rPr>
          <w:rFonts w:hint="eastAsia" w:ascii="宋体" w:hAnsi="宋体" w:eastAsia="宋体" w:cs="宋体"/>
          <w:color w:val="auto"/>
          <w:kern w:val="0"/>
          <w:sz w:val="21"/>
          <w:szCs w:val="21"/>
          <w:lang w:val="en-US" w:eastAsia="zh-CN"/>
        </w:rPr>
        <w:t>乙方须</w:t>
      </w:r>
      <w:r>
        <w:rPr>
          <w:rFonts w:hint="eastAsia" w:ascii="宋体" w:hAnsi="宋体" w:eastAsia="宋体" w:cs="宋体"/>
          <w:color w:val="auto"/>
          <w:kern w:val="0"/>
          <w:sz w:val="21"/>
          <w:szCs w:val="21"/>
        </w:rPr>
        <w:t>成立监理项目部</w:t>
      </w:r>
      <w:r>
        <w:rPr>
          <w:rFonts w:hint="eastAsia" w:ascii="宋体" w:hAnsi="宋体" w:eastAsia="宋体" w:cs="宋体"/>
          <w:color w:val="auto"/>
          <w:kern w:val="0"/>
          <w:sz w:val="21"/>
          <w:szCs w:val="21"/>
          <w:lang w:val="en-US" w:eastAsia="zh-CN"/>
        </w:rPr>
        <w:t>并</w:t>
      </w:r>
      <w:r>
        <w:rPr>
          <w:rFonts w:hint="eastAsia" w:ascii="宋体" w:hAnsi="宋体" w:eastAsia="宋体" w:cs="宋体"/>
          <w:color w:val="auto"/>
          <w:kern w:val="0"/>
          <w:sz w:val="21"/>
          <w:szCs w:val="21"/>
        </w:rPr>
        <w:t>定期召开监理会议，配备电脑、</w:t>
      </w:r>
      <w:r>
        <w:rPr>
          <w:rFonts w:hint="eastAsia" w:ascii="宋体" w:hAnsi="宋体" w:eastAsia="宋体" w:cs="宋体"/>
          <w:color w:val="auto"/>
          <w:kern w:val="0"/>
          <w:sz w:val="21"/>
          <w:szCs w:val="21"/>
          <w:lang w:val="en-US" w:eastAsia="zh-CN"/>
        </w:rPr>
        <w:t>信息存储设备、</w:t>
      </w:r>
      <w:r>
        <w:rPr>
          <w:rFonts w:hint="eastAsia" w:ascii="宋体" w:hAnsi="宋体" w:eastAsia="宋体" w:cs="宋体"/>
          <w:color w:val="auto"/>
          <w:kern w:val="0"/>
          <w:sz w:val="21"/>
          <w:szCs w:val="21"/>
        </w:rPr>
        <w:t>桌椅等办公用品，配备相应工程所需的检测设备</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包括但不限于：反光标线逆反射系数测定仪、反光膜检测仪、标线厚度测量仪、涂层测厚仪、游标卡尺、测距仪、钢卷尺等）</w:t>
      </w:r>
      <w:r>
        <w:rPr>
          <w:rFonts w:hint="eastAsia" w:ascii="宋体" w:hAnsi="宋体" w:eastAsia="宋体" w:cs="宋体"/>
          <w:color w:val="auto"/>
          <w:kern w:val="0"/>
          <w:sz w:val="21"/>
          <w:szCs w:val="21"/>
        </w:rPr>
        <w:t>和其他硬件和软件设备，配备足够的交通工具以保证监理人员随时监督施工现场，及时按照</w:t>
      </w:r>
      <w:r>
        <w:rPr>
          <w:rFonts w:hint="eastAsia" w:ascii="宋体" w:hAnsi="宋体" w:eastAsia="宋体" w:cs="宋体"/>
          <w:color w:val="auto"/>
          <w:kern w:val="0"/>
          <w:sz w:val="21"/>
          <w:szCs w:val="21"/>
          <w:lang w:val="en-US" w:eastAsia="zh-CN"/>
        </w:rPr>
        <w:t>甲方</w:t>
      </w:r>
      <w:r>
        <w:rPr>
          <w:rFonts w:hint="eastAsia" w:ascii="宋体" w:hAnsi="宋体" w:eastAsia="宋体" w:cs="宋体"/>
          <w:color w:val="auto"/>
          <w:kern w:val="0"/>
          <w:sz w:val="21"/>
          <w:szCs w:val="21"/>
        </w:rPr>
        <w:t>要求进行现场抽样、检测。</w:t>
      </w:r>
    </w:p>
    <w:p w14:paraId="2B77D37D">
      <w:pPr>
        <w:keepNext w:val="0"/>
        <w:keepLines w:val="0"/>
        <w:pageBreakBefore w:val="0"/>
        <w:numPr>
          <w:ilvl w:val="0"/>
          <w:numId w:val="0"/>
        </w:numPr>
        <w:kinsoku/>
        <w:wordWrap/>
        <w:overflowPunct/>
        <w:topLinePunct w:val="0"/>
        <w:autoSpaceDE/>
        <w:autoSpaceDN/>
        <w:bidi w:val="0"/>
        <w:adjustRightInd w:val="0"/>
        <w:snapToGrid w:val="0"/>
        <w:spacing w:beforeAutospacing="0" w:line="410" w:lineRule="exact"/>
        <w:ind w:leftChars="189"/>
        <w:textAlignment w:val="baseline"/>
        <w:rPr>
          <w:rFonts w:hint="eastAsia" w:ascii="宋体" w:hAnsi="宋体" w:eastAsia="宋体" w:cs="宋体"/>
          <w:b/>
          <w:bCs/>
          <w:color w:val="auto"/>
          <w:kern w:val="0"/>
          <w:sz w:val="21"/>
          <w:szCs w:val="21"/>
          <w:lang w:val="en-US" w:eastAsia="zh-CN"/>
        </w:rPr>
      </w:pPr>
      <w:r>
        <w:rPr>
          <w:rFonts w:hint="eastAsia" w:ascii="宋体" w:hAnsi="宋体" w:eastAsia="宋体" w:cs="宋体"/>
          <w:b/>
          <w:bCs/>
          <w:color w:val="auto"/>
          <w:kern w:val="0"/>
          <w:sz w:val="21"/>
          <w:szCs w:val="21"/>
          <w:lang w:val="en-US" w:eastAsia="zh-CN"/>
        </w:rPr>
        <w:t>（五）其他要求</w:t>
      </w:r>
    </w:p>
    <w:p w14:paraId="37545A65">
      <w:pPr>
        <w:keepNext w:val="0"/>
        <w:keepLines w:val="0"/>
        <w:pageBreakBefore w:val="0"/>
        <w:widowControl w:val="0"/>
        <w:kinsoku/>
        <w:wordWrap/>
        <w:overflowPunct/>
        <w:topLinePunct w:val="0"/>
        <w:autoSpaceDE/>
        <w:autoSpaceDN/>
        <w:bidi w:val="0"/>
        <w:adjustRightInd w:val="0"/>
        <w:snapToGrid w:val="0"/>
        <w:spacing w:line="41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乙方须将安全工作摆在首位，须制定安全管理规定，强化人员安全防范意识。不得因监理工作造成安全隐患，同时确保工作人员的人身安全。监理工作中应按规定着装，酒后或无防护措施不准进入现场。乙方完成本项目发生的任何安全事故，均由乙方承担责任，不得以任何理由向甲方提出赔偿要求。</w:t>
      </w:r>
    </w:p>
    <w:p w14:paraId="3A2CA524">
      <w:pPr>
        <w:keepNext w:val="0"/>
        <w:keepLines w:val="0"/>
        <w:pageBreakBefore w:val="0"/>
        <w:widowControl w:val="0"/>
        <w:kinsoku/>
        <w:wordWrap/>
        <w:overflowPunct/>
        <w:topLinePunct w:val="0"/>
        <w:autoSpaceDE/>
        <w:autoSpaceDN/>
        <w:bidi w:val="0"/>
        <w:adjustRightInd w:val="0"/>
        <w:snapToGrid w:val="0"/>
        <w:spacing w:line="41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2.本项目全部及部分采购内容严禁转包、分包，若甲方在合同履行阶段发现乙方存在转包、分包的情形，甲方将有权终止合同并追究其相应损失。</w:t>
      </w:r>
    </w:p>
    <w:p w14:paraId="061DB532">
      <w:pPr>
        <w:keepNext w:val="0"/>
        <w:keepLines w:val="0"/>
        <w:pageBreakBefore w:val="0"/>
        <w:widowControl w:val="0"/>
        <w:kinsoku/>
        <w:wordWrap/>
        <w:overflowPunct/>
        <w:topLinePunct w:val="0"/>
        <w:autoSpaceDE/>
        <w:autoSpaceDN/>
        <w:bidi w:val="0"/>
        <w:adjustRightInd w:val="0"/>
        <w:snapToGrid w:val="0"/>
        <w:spacing w:line="41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对于快速路、快捷路、桥梁、隧道、涵洞、急弯（平曲线半径&lt;50米的弯道）、陡坡（纵坡≥7%的坡道）等七类重点路段、专项维护均应开展现场监理，且对设施维护项目隐蔽工程进行现场旁站；对所负责监理各个项目涉及的各个行政区域每月抽查均不得少于五次。</w:t>
      </w:r>
    </w:p>
    <w:p w14:paraId="1569B661">
      <w:pPr>
        <w:keepNext w:val="0"/>
        <w:keepLines w:val="0"/>
        <w:pageBreakBefore w:val="0"/>
        <w:widowControl w:val="0"/>
        <w:kinsoku/>
        <w:wordWrap/>
        <w:overflowPunct/>
        <w:topLinePunct w:val="0"/>
        <w:autoSpaceDE/>
        <w:autoSpaceDN/>
        <w:bidi w:val="0"/>
        <w:adjustRightInd w:val="0"/>
        <w:snapToGrid w:val="0"/>
        <w:spacing w:line="410" w:lineRule="exact"/>
        <w:ind w:firstLine="420" w:firstLineChars="200"/>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4.所有现场监理、监理抽查、检测以及整改情况均应保留影像资料并形成报告提交甲方。</w:t>
      </w:r>
    </w:p>
    <w:p w14:paraId="162C5CCF">
      <w:pPr>
        <w:keepNext w:val="0"/>
        <w:keepLines w:val="0"/>
        <w:pageBreakBefore w:val="0"/>
        <w:widowControl/>
        <w:numPr>
          <w:ilvl w:val="0"/>
          <w:numId w:val="0"/>
        </w:numPr>
        <w:kinsoku/>
        <w:wordWrap/>
        <w:overflowPunct/>
        <w:topLinePunct w:val="0"/>
        <w:autoSpaceDE/>
        <w:autoSpaceDN/>
        <w:bidi w:val="0"/>
        <w:adjustRightInd w:val="0"/>
        <w:snapToGrid w:val="0"/>
        <w:spacing w:line="410" w:lineRule="exact"/>
        <w:ind w:left="0" w:leftChars="0" w:firstLine="420" w:firstLineChars="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val="en-US" w:eastAsia="zh-CN" w:bidi="ar-SA"/>
        </w:rPr>
        <w:t>三、</w:t>
      </w:r>
      <w:r>
        <w:rPr>
          <w:rFonts w:hint="eastAsia" w:ascii="宋体" w:hAnsi="宋体" w:eastAsia="宋体" w:cs="宋体"/>
          <w:b/>
          <w:bCs/>
          <w:color w:val="auto"/>
          <w:kern w:val="0"/>
          <w:sz w:val="21"/>
          <w:szCs w:val="21"/>
        </w:rPr>
        <w:t>合同定价方式、付款进度和支付方式</w:t>
      </w:r>
    </w:p>
    <w:p w14:paraId="63A67EC5">
      <w:pPr>
        <w:keepNext w:val="0"/>
        <w:keepLines w:val="0"/>
        <w:pageBreakBefore w:val="0"/>
        <w:widowControl w:val="0"/>
        <w:numPr>
          <w:ilvl w:val="0"/>
          <w:numId w:val="0"/>
        </w:numPr>
        <w:kinsoku/>
        <w:wordWrap/>
        <w:overflowPunct/>
        <w:topLinePunct w:val="0"/>
        <w:autoSpaceDE/>
        <w:autoSpaceDN/>
        <w:bidi w:val="0"/>
        <w:adjustRightInd w:val="0"/>
        <w:snapToGrid w:val="0"/>
        <w:spacing w:after="0" w:line="410" w:lineRule="exact"/>
        <w:ind w:left="0" w:leftChars="0" w:firstLine="420" w:firstLineChars="200"/>
        <w:jc w:val="both"/>
        <w:textAlignment w:val="auto"/>
        <w:rPr>
          <w:rFonts w:hint="eastAsia" w:ascii="宋体" w:hAnsi="宋体" w:eastAsia="宋体" w:cs="宋体"/>
          <w:b/>
          <w:bCs/>
          <w:color w:val="auto"/>
          <w:kern w:val="0"/>
          <w:sz w:val="21"/>
          <w:szCs w:val="21"/>
          <w:lang w:val="en-US" w:eastAsia="zh-CN" w:bidi="ar-SA"/>
        </w:rPr>
      </w:pPr>
      <w:r>
        <w:rPr>
          <w:rFonts w:hint="eastAsia" w:ascii="宋体" w:hAnsi="宋体" w:eastAsia="宋体" w:cs="宋体"/>
          <w:color w:val="auto"/>
          <w:kern w:val="2"/>
          <w:sz w:val="21"/>
          <w:szCs w:val="21"/>
          <w:shd w:val="clear" w:color="auto" w:fill="FFFFFF"/>
          <w:lang w:val="en-US" w:eastAsia="zh-CN" w:bidi="ar-SA"/>
        </w:rPr>
        <w:t>合同定价方式：</w:t>
      </w:r>
      <w:r>
        <w:rPr>
          <w:rFonts w:hint="eastAsia" w:ascii="宋体" w:hAnsi="宋体" w:eastAsia="宋体" w:cs="宋体"/>
          <w:color w:val="auto"/>
          <w:kern w:val="2"/>
          <w:sz w:val="21"/>
          <w:szCs w:val="21"/>
          <w:u w:val="single"/>
          <w:lang w:val="en-US" w:eastAsia="zh-CN" w:bidi="ar-SA"/>
        </w:rPr>
        <w:t>固定总价</w:t>
      </w:r>
    </w:p>
    <w:p w14:paraId="286E3E14">
      <w:pPr>
        <w:keepNext w:val="0"/>
        <w:keepLines w:val="0"/>
        <w:pageBreakBefore w:val="0"/>
        <w:kinsoku/>
        <w:wordWrap/>
        <w:overflowPunct/>
        <w:topLinePunct w:val="0"/>
        <w:autoSpaceDE/>
        <w:autoSpaceDN/>
        <w:bidi w:val="0"/>
        <w:adjustRightInd w:val="0"/>
        <w:snapToGrid w:val="0"/>
        <w:spacing w:line="410" w:lineRule="exact"/>
        <w:ind w:left="0" w:leftChars="0" w:firstLine="372"/>
        <w:textAlignment w:val="auto"/>
        <w:rPr>
          <w:rFonts w:hint="eastAsia" w:ascii="宋体" w:hAnsi="宋体" w:eastAsia="宋体" w:cs="宋体"/>
          <w:color w:val="auto"/>
          <w:sz w:val="21"/>
          <w:szCs w:val="21"/>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收款账户：收款人名称  收款人开户银行  收款人银行账号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u w:val="single"/>
          <w:lang w:val="en-US" w:eastAsia="zh-CN"/>
        </w:rPr>
        <w:t xml:space="preserve"> 暂不填写</w:t>
      </w:r>
    </w:p>
    <w:p w14:paraId="2BD09CAC">
      <w:pPr>
        <w:keepNext w:val="0"/>
        <w:keepLines w:val="0"/>
        <w:pageBreakBefore w:val="0"/>
        <w:widowControl w:val="0"/>
        <w:kinsoku/>
        <w:wordWrap/>
        <w:overflowPunct/>
        <w:topLinePunct w:val="0"/>
        <w:autoSpaceDE/>
        <w:autoSpaceDN/>
        <w:bidi w:val="0"/>
        <w:adjustRightInd w:val="0"/>
        <w:snapToGrid w:val="0"/>
        <w:spacing w:after="0" w:line="41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lang w:val="en-US" w:eastAsia="zh-CN" w:bidi="ar-SA"/>
        </w:rPr>
        <w:t xml:space="preserve">2.付款方式： </w:t>
      </w:r>
      <w:r>
        <w:rPr>
          <w:rFonts w:hint="eastAsia" w:ascii="宋体" w:hAnsi="宋体" w:eastAsia="宋体" w:cs="宋体"/>
          <w:color w:val="auto"/>
          <w:kern w:val="2"/>
          <w:sz w:val="21"/>
          <w:szCs w:val="21"/>
          <w:highlight w:val="none"/>
          <w:lang w:val="en-US" w:eastAsia="zh-CN" w:bidi="ar"/>
        </w:rPr>
        <w:sym w:font="Wingdings 2" w:char="00A3"/>
      </w:r>
      <w:r>
        <w:rPr>
          <w:rFonts w:hint="eastAsia" w:ascii="宋体" w:hAnsi="宋体" w:eastAsia="宋体" w:cs="宋体"/>
          <w:color w:val="auto"/>
          <w:kern w:val="2"/>
          <w:sz w:val="21"/>
          <w:szCs w:val="21"/>
          <w:highlight w:val="none"/>
          <w:lang w:val="en-US" w:eastAsia="zh-CN" w:bidi="ar-SA"/>
        </w:rPr>
        <w:t xml:space="preserve">全额、 </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SA"/>
        </w:rPr>
        <w:t>分期</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3029"/>
        <w:gridCol w:w="1929"/>
        <w:gridCol w:w="1381"/>
        <w:gridCol w:w="1245"/>
      </w:tblGrid>
      <w:tr w14:paraId="3EAA0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 w:type="pct"/>
            <w:noWrap w:val="0"/>
            <w:vAlign w:val="center"/>
          </w:tcPr>
          <w:p w14:paraId="1B4938DE">
            <w:pPr>
              <w:keepNext w:val="0"/>
              <w:keepLines w:val="0"/>
              <w:pageBreakBefore w:val="0"/>
              <w:widowControl/>
              <w:kinsoku/>
              <w:wordWrap/>
              <w:overflowPunct/>
              <w:topLinePunct w:val="0"/>
              <w:bidi w:val="0"/>
              <w:adjustRightInd w:val="0"/>
              <w:snapToGrid w:val="0"/>
              <w:spacing w:beforeAutospacing="0" w:afterAutospacing="0" w:line="360" w:lineRule="auto"/>
              <w:jc w:val="center"/>
              <w:textAlignment w:val="auto"/>
              <w:rPr>
                <w:rFonts w:hint="eastAsia" w:ascii="宋体" w:hAnsi="宋体" w:eastAsia="宋体" w:cs="宋体"/>
                <w:b/>
                <w:bCs/>
                <w:color w:val="auto"/>
                <w:kern w:val="0"/>
                <w:sz w:val="21"/>
                <w:szCs w:val="21"/>
                <w:highlight w:val="none"/>
                <w:shd w:val="clear" w:color="auto" w:fill="FFFFFF"/>
                <w:lang w:val="en-US" w:eastAsia="zh-CN" w:bidi="ar-SA"/>
              </w:rPr>
            </w:pPr>
            <w:r>
              <w:rPr>
                <w:rFonts w:hint="eastAsia" w:ascii="宋体" w:hAnsi="宋体" w:eastAsia="宋体" w:cs="宋体"/>
                <w:b/>
                <w:bCs/>
                <w:color w:val="auto"/>
                <w:kern w:val="0"/>
                <w:sz w:val="21"/>
                <w:szCs w:val="21"/>
                <w:highlight w:val="none"/>
                <w:shd w:val="clear" w:color="auto" w:fill="FFFFFF"/>
                <w:lang w:val="en-US" w:eastAsia="zh-CN" w:bidi="ar-SA"/>
              </w:rPr>
              <w:t>序号</w:t>
            </w:r>
          </w:p>
        </w:tc>
        <w:tc>
          <w:tcPr>
            <w:tcW w:w="1776" w:type="pct"/>
            <w:noWrap w:val="0"/>
            <w:vAlign w:val="center"/>
          </w:tcPr>
          <w:p w14:paraId="6341298C">
            <w:pPr>
              <w:keepNext w:val="0"/>
              <w:keepLines w:val="0"/>
              <w:pageBreakBefore w:val="0"/>
              <w:widowControl/>
              <w:kinsoku/>
              <w:wordWrap/>
              <w:overflowPunct/>
              <w:topLinePunct w:val="0"/>
              <w:bidi w:val="0"/>
              <w:adjustRightInd w:val="0"/>
              <w:snapToGrid w:val="0"/>
              <w:spacing w:beforeAutospacing="0" w:afterAutospacing="0" w:line="360" w:lineRule="auto"/>
              <w:ind w:left="0" w:leftChars="0"/>
              <w:jc w:val="center"/>
              <w:textAlignment w:val="auto"/>
              <w:rPr>
                <w:rFonts w:hint="eastAsia" w:ascii="宋体" w:hAnsi="宋体" w:eastAsia="宋体" w:cs="宋体"/>
                <w:b/>
                <w:bCs/>
                <w:color w:val="auto"/>
                <w:kern w:val="0"/>
                <w:sz w:val="21"/>
                <w:szCs w:val="21"/>
                <w:highlight w:val="none"/>
                <w:shd w:val="clear" w:color="auto" w:fill="FFFFFF"/>
                <w:lang w:val="en-US" w:eastAsia="zh-CN" w:bidi="ar-SA"/>
              </w:rPr>
            </w:pPr>
            <w:r>
              <w:rPr>
                <w:rFonts w:hint="eastAsia" w:ascii="宋体" w:hAnsi="宋体" w:eastAsia="宋体" w:cs="宋体"/>
                <w:b/>
                <w:bCs/>
                <w:color w:val="auto"/>
                <w:kern w:val="0"/>
                <w:sz w:val="21"/>
                <w:szCs w:val="21"/>
                <w:highlight w:val="none"/>
                <w:shd w:val="clear" w:color="auto" w:fill="FFFFFF"/>
                <w:lang w:val="en-US" w:eastAsia="zh-CN" w:bidi="ar-SA"/>
              </w:rPr>
              <w:t>付款条件</w:t>
            </w:r>
          </w:p>
        </w:tc>
        <w:tc>
          <w:tcPr>
            <w:tcW w:w="1131" w:type="pct"/>
            <w:noWrap w:val="0"/>
            <w:vAlign w:val="center"/>
          </w:tcPr>
          <w:p w14:paraId="687CD870">
            <w:pPr>
              <w:keepNext w:val="0"/>
              <w:keepLines w:val="0"/>
              <w:pageBreakBefore w:val="0"/>
              <w:widowControl/>
              <w:kinsoku/>
              <w:wordWrap/>
              <w:overflowPunct/>
              <w:topLinePunct w:val="0"/>
              <w:bidi w:val="0"/>
              <w:adjustRightInd w:val="0"/>
              <w:snapToGrid w:val="0"/>
              <w:spacing w:beforeAutospacing="0" w:afterAutospacing="0" w:line="360" w:lineRule="auto"/>
              <w:ind w:left="0" w:leftChars="0"/>
              <w:jc w:val="center"/>
              <w:textAlignment w:val="auto"/>
              <w:rPr>
                <w:rFonts w:hint="eastAsia" w:ascii="宋体" w:hAnsi="宋体" w:eastAsia="宋体" w:cs="宋体"/>
                <w:b/>
                <w:bCs/>
                <w:color w:val="auto"/>
                <w:kern w:val="0"/>
                <w:sz w:val="21"/>
                <w:szCs w:val="21"/>
                <w:highlight w:val="none"/>
                <w:shd w:val="clear" w:color="auto" w:fill="FFFFFF"/>
                <w:lang w:val="en-US" w:eastAsia="zh-CN" w:bidi="ar-SA"/>
              </w:rPr>
            </w:pPr>
            <w:r>
              <w:rPr>
                <w:rFonts w:hint="eastAsia" w:ascii="宋体" w:hAnsi="宋体" w:eastAsia="宋体" w:cs="宋体"/>
                <w:b/>
                <w:bCs/>
                <w:color w:val="auto"/>
                <w:kern w:val="0"/>
                <w:sz w:val="21"/>
                <w:szCs w:val="21"/>
                <w:highlight w:val="none"/>
                <w:shd w:val="clear" w:color="auto" w:fill="FFFFFF"/>
                <w:lang w:val="en-US" w:eastAsia="zh-CN" w:bidi="ar-SA"/>
              </w:rPr>
              <w:t>达到付款条件起XX日</w:t>
            </w:r>
          </w:p>
        </w:tc>
        <w:tc>
          <w:tcPr>
            <w:tcW w:w="810" w:type="pct"/>
            <w:noWrap w:val="0"/>
            <w:vAlign w:val="center"/>
          </w:tcPr>
          <w:p w14:paraId="36FC223C">
            <w:pPr>
              <w:keepNext w:val="0"/>
              <w:keepLines w:val="0"/>
              <w:pageBreakBefore w:val="0"/>
              <w:widowControl/>
              <w:kinsoku/>
              <w:wordWrap/>
              <w:overflowPunct/>
              <w:topLinePunct w:val="0"/>
              <w:bidi w:val="0"/>
              <w:adjustRightInd w:val="0"/>
              <w:snapToGrid w:val="0"/>
              <w:spacing w:beforeAutospacing="0" w:afterAutospacing="0" w:line="360" w:lineRule="auto"/>
              <w:ind w:left="0" w:leftChars="0"/>
              <w:jc w:val="center"/>
              <w:textAlignment w:val="auto"/>
              <w:rPr>
                <w:rFonts w:hint="eastAsia" w:ascii="宋体" w:hAnsi="宋体" w:eastAsia="宋体" w:cs="宋体"/>
                <w:b/>
                <w:bCs/>
                <w:color w:val="auto"/>
                <w:kern w:val="0"/>
                <w:sz w:val="21"/>
                <w:szCs w:val="21"/>
                <w:highlight w:val="none"/>
                <w:shd w:val="clear" w:color="auto" w:fill="FFFFFF"/>
                <w:lang w:val="en-US" w:eastAsia="zh-CN" w:bidi="ar-SA"/>
              </w:rPr>
            </w:pPr>
            <w:r>
              <w:rPr>
                <w:rFonts w:hint="eastAsia" w:ascii="宋体" w:hAnsi="宋体" w:eastAsia="宋体" w:cs="宋体"/>
                <w:b/>
                <w:bCs/>
                <w:color w:val="auto"/>
                <w:kern w:val="0"/>
                <w:sz w:val="21"/>
                <w:szCs w:val="21"/>
                <w:highlight w:val="none"/>
                <w:shd w:val="clear" w:color="auto" w:fill="FFFFFF"/>
                <w:lang w:val="en-US" w:eastAsia="zh-CN" w:bidi="ar-SA"/>
              </w:rPr>
              <w:t>支付合同总金额XX%</w:t>
            </w:r>
          </w:p>
        </w:tc>
        <w:tc>
          <w:tcPr>
            <w:tcW w:w="730" w:type="pct"/>
            <w:noWrap w:val="0"/>
            <w:vAlign w:val="center"/>
          </w:tcPr>
          <w:p w14:paraId="3B5936B8">
            <w:pPr>
              <w:keepNext w:val="0"/>
              <w:keepLines w:val="0"/>
              <w:pageBreakBefore w:val="0"/>
              <w:widowControl/>
              <w:kinsoku/>
              <w:wordWrap/>
              <w:overflowPunct/>
              <w:topLinePunct w:val="0"/>
              <w:bidi w:val="0"/>
              <w:adjustRightInd w:val="0"/>
              <w:snapToGrid w:val="0"/>
              <w:spacing w:beforeAutospacing="0" w:afterAutospacing="0" w:line="360" w:lineRule="auto"/>
              <w:ind w:left="0" w:leftChars="0"/>
              <w:jc w:val="center"/>
              <w:textAlignment w:val="auto"/>
              <w:rPr>
                <w:rFonts w:hint="eastAsia" w:ascii="宋体" w:hAnsi="宋体" w:eastAsia="宋体" w:cs="宋体"/>
                <w:b/>
                <w:bCs/>
                <w:color w:val="auto"/>
                <w:kern w:val="0"/>
                <w:sz w:val="21"/>
                <w:szCs w:val="21"/>
                <w:highlight w:val="none"/>
                <w:shd w:val="clear" w:color="auto" w:fill="FFFFFF"/>
                <w:lang w:val="en-US" w:eastAsia="zh-CN" w:bidi="ar-SA"/>
              </w:rPr>
            </w:pPr>
            <w:r>
              <w:rPr>
                <w:rFonts w:hint="eastAsia" w:ascii="宋体" w:hAnsi="宋体" w:eastAsia="宋体" w:cs="宋体"/>
                <w:b/>
                <w:bCs/>
                <w:color w:val="auto"/>
                <w:kern w:val="0"/>
                <w:sz w:val="21"/>
                <w:szCs w:val="21"/>
                <w:highlight w:val="none"/>
                <w:shd w:val="clear" w:color="auto" w:fill="FFFFFF"/>
                <w:lang w:val="en-US" w:eastAsia="zh-CN" w:bidi="ar-SA"/>
              </w:rPr>
              <w:t>是否为履约验收期</w:t>
            </w:r>
          </w:p>
        </w:tc>
      </w:tr>
      <w:tr w14:paraId="1969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7" w:hRule="atLeast"/>
        </w:trPr>
        <w:tc>
          <w:tcPr>
            <w:tcW w:w="550" w:type="pct"/>
            <w:noWrap w:val="0"/>
            <w:vAlign w:val="center"/>
          </w:tcPr>
          <w:p w14:paraId="6FCEE920">
            <w:pPr>
              <w:keepNext w:val="0"/>
              <w:keepLines w:val="0"/>
              <w:pageBreakBefore w:val="0"/>
              <w:widowControl/>
              <w:kinsoku/>
              <w:wordWrap/>
              <w:overflowPunct/>
              <w:topLinePunct w:val="0"/>
              <w:bidi w:val="0"/>
              <w:adjustRightInd w:val="0"/>
              <w:snapToGrid w:val="0"/>
              <w:spacing w:beforeAutospacing="0" w:afterAutospacing="0" w:line="360" w:lineRule="auto"/>
              <w:ind w:left="0" w:leftChars="0"/>
              <w:jc w:val="center"/>
              <w:textAlignment w:val="auto"/>
              <w:rPr>
                <w:rFonts w:hint="eastAsia" w:ascii="宋体" w:hAnsi="宋体" w:eastAsia="宋体" w:cs="宋体"/>
                <w:b/>
                <w:bCs/>
                <w:color w:val="auto"/>
                <w:kern w:val="0"/>
                <w:sz w:val="21"/>
                <w:szCs w:val="21"/>
                <w:highlight w:val="none"/>
                <w:shd w:val="clear" w:color="auto" w:fill="FFFFFF"/>
                <w:lang w:val="en-US" w:eastAsia="zh-CN" w:bidi="ar-SA"/>
              </w:rPr>
            </w:pPr>
            <w:r>
              <w:rPr>
                <w:rFonts w:hint="eastAsia" w:ascii="宋体" w:hAnsi="宋体" w:eastAsia="宋体" w:cs="宋体"/>
                <w:b/>
                <w:bCs/>
                <w:color w:val="auto"/>
                <w:kern w:val="0"/>
                <w:sz w:val="21"/>
                <w:szCs w:val="21"/>
                <w:highlight w:val="none"/>
                <w:shd w:val="clear" w:color="auto" w:fill="FFFFFF"/>
                <w:lang w:val="en-US" w:eastAsia="zh-CN" w:bidi="ar-SA"/>
              </w:rPr>
              <w:t>1</w:t>
            </w:r>
          </w:p>
        </w:tc>
        <w:tc>
          <w:tcPr>
            <w:tcW w:w="1776" w:type="pct"/>
            <w:noWrap w:val="0"/>
            <w:vAlign w:val="center"/>
          </w:tcPr>
          <w:p w14:paraId="4FA1375C">
            <w:pPr>
              <w:keepNext w:val="0"/>
              <w:keepLines w:val="0"/>
              <w:pageBreakBefore w:val="0"/>
              <w:widowControl/>
              <w:kinsoku/>
              <w:wordWrap/>
              <w:overflowPunct/>
              <w:topLinePunct w:val="0"/>
              <w:bidi w:val="0"/>
              <w:adjustRightInd w:val="0"/>
              <w:snapToGrid w:val="0"/>
              <w:spacing w:beforeAutospacing="0" w:afterAutospacing="0" w:line="360" w:lineRule="auto"/>
              <w:ind w:left="0" w:leftChars="0" w:firstLine="420" w:firstLineChars="200"/>
              <w:jc w:val="both"/>
              <w:textAlignment w:val="auto"/>
              <w:rPr>
                <w:rFonts w:hint="eastAsia" w:ascii="宋体" w:hAnsi="宋体" w:eastAsia="宋体" w:cs="宋体"/>
                <w:b w:val="0"/>
                <w:bCs w:val="0"/>
                <w:color w:val="auto"/>
                <w:kern w:val="0"/>
                <w:sz w:val="21"/>
                <w:szCs w:val="21"/>
                <w:highlight w:val="none"/>
                <w:shd w:val="clear" w:color="auto" w:fill="FFFFFF"/>
                <w:lang w:val="en-US" w:eastAsia="zh-CN" w:bidi="ar-SA"/>
              </w:rPr>
            </w:pPr>
            <w:r>
              <w:rPr>
                <w:rFonts w:hint="eastAsia" w:ascii="宋体" w:hAnsi="宋体" w:eastAsia="宋体" w:cs="宋体"/>
                <w:b w:val="0"/>
                <w:bCs w:val="0"/>
                <w:color w:val="auto"/>
                <w:kern w:val="0"/>
                <w:sz w:val="21"/>
                <w:szCs w:val="21"/>
                <w:highlight w:val="none"/>
                <w:shd w:val="clear" w:color="auto" w:fill="FFFFFF"/>
                <w:lang w:val="en-US" w:eastAsia="zh-CN" w:bidi="ar-SA"/>
              </w:rPr>
              <w:t>甲方将按照其制定的《长沙市公安局交通警察支队交通设施项目监理单位考核管理办法》对乙方提供的监理服务进行季度考核。</w:t>
            </w:r>
          </w:p>
          <w:p w14:paraId="238B59FE">
            <w:pPr>
              <w:keepNext w:val="0"/>
              <w:keepLines w:val="0"/>
              <w:pageBreakBefore w:val="0"/>
              <w:kinsoku/>
              <w:overflowPunct/>
              <w:topLinePunct w:val="0"/>
              <w:bidi w:val="0"/>
              <w:adjustRightInd w:val="0"/>
              <w:snapToGrid w:val="0"/>
              <w:spacing w:beforeAutospacing="0" w:line="360" w:lineRule="auto"/>
              <w:ind w:left="0" w:leftChars="0" w:firstLine="408"/>
              <w:textAlignment w:val="baseline"/>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eastAsia="zh-CN"/>
              </w:rPr>
              <w:t>本项目监理费用按季度支付，每季度支付金额=监理合同金额/合同约定工期(月)*3个月，每个季度完成验收后，依据考核结果向财政局申请专项经费，待财政专项资金到位后按程序支付；最后一个季度完成年度验收后，</w:t>
            </w:r>
            <w:r>
              <w:rPr>
                <w:rFonts w:hint="eastAsia" w:ascii="宋体" w:hAnsi="宋体" w:eastAsia="宋体" w:cs="宋体"/>
                <w:color w:val="auto"/>
                <w:kern w:val="0"/>
                <w:sz w:val="21"/>
                <w:szCs w:val="21"/>
                <w:lang w:val="en-US" w:eastAsia="zh-CN"/>
              </w:rPr>
              <w:t>乙方</w:t>
            </w:r>
            <w:r>
              <w:rPr>
                <w:rFonts w:hint="eastAsia" w:ascii="宋体" w:hAnsi="宋体" w:eastAsia="宋体" w:cs="宋体"/>
                <w:color w:val="auto"/>
                <w:kern w:val="0"/>
                <w:sz w:val="21"/>
                <w:szCs w:val="21"/>
                <w:lang w:eastAsia="zh-CN"/>
              </w:rPr>
              <w:t>提交结算资料并经相关部门年度结算评审后，依据考核结果支付剩余监理费用。</w:t>
            </w:r>
          </w:p>
          <w:p w14:paraId="5ECE1864">
            <w:pPr>
              <w:keepNext w:val="0"/>
              <w:keepLines w:val="0"/>
              <w:pageBreakBefore w:val="0"/>
              <w:widowControl/>
              <w:kinsoku/>
              <w:wordWrap/>
              <w:overflowPunct/>
              <w:topLinePunct w:val="0"/>
              <w:bidi w:val="0"/>
              <w:adjustRightInd w:val="0"/>
              <w:snapToGrid w:val="0"/>
              <w:spacing w:beforeAutospacing="0" w:afterAutospacing="0" w:line="360" w:lineRule="auto"/>
              <w:ind w:left="0" w:leftChars="0" w:firstLine="420" w:firstLineChars="200"/>
              <w:jc w:val="both"/>
              <w:textAlignment w:val="auto"/>
              <w:rPr>
                <w:rFonts w:hint="eastAsia" w:ascii="宋体" w:hAnsi="宋体" w:eastAsia="宋体" w:cs="宋体"/>
                <w:b/>
                <w:bCs/>
                <w:color w:val="auto"/>
                <w:kern w:val="0"/>
                <w:sz w:val="21"/>
                <w:szCs w:val="21"/>
                <w:highlight w:val="none"/>
                <w:shd w:val="clear" w:color="auto" w:fill="FFFFFF"/>
                <w:lang w:val="en-US" w:eastAsia="zh-CN" w:bidi="ar-SA"/>
              </w:rPr>
            </w:pPr>
            <w:r>
              <w:rPr>
                <w:rFonts w:hint="eastAsia" w:ascii="宋体" w:hAnsi="宋体" w:eastAsia="宋体" w:cs="宋体"/>
                <w:color w:val="auto"/>
                <w:kern w:val="2"/>
                <w:sz w:val="21"/>
                <w:szCs w:val="21"/>
                <w:highlight w:val="none"/>
                <w:lang w:val="en-US" w:eastAsia="zh-CN" w:bidi="ar"/>
              </w:rPr>
              <w:t>考核分在90分（含）以上，按合同金额100%支付；考核分在85分（含）-90分（不含）的，按合同金额95%支付；考核分在80分（含）-85分（不含）的，按合同金额90%支付；考核分在75分（含）-80分（不含）的，按合同金额85%支付。考核分在70分（含）-75分（不含）的，按合同金额80%支付，考核分在70分（不含）以下的，按合同金额75%支付。</w:t>
            </w:r>
          </w:p>
        </w:tc>
        <w:tc>
          <w:tcPr>
            <w:tcW w:w="1131" w:type="pct"/>
            <w:noWrap w:val="0"/>
            <w:vAlign w:val="center"/>
          </w:tcPr>
          <w:p w14:paraId="3C3385A2">
            <w:pPr>
              <w:keepNext w:val="0"/>
              <w:keepLines w:val="0"/>
              <w:pageBreakBefore w:val="0"/>
              <w:widowControl/>
              <w:kinsoku/>
              <w:wordWrap/>
              <w:overflowPunct/>
              <w:topLinePunct w:val="0"/>
              <w:bidi w:val="0"/>
              <w:adjustRightInd w:val="0"/>
              <w:snapToGrid w:val="0"/>
              <w:spacing w:beforeAutospacing="0" w:afterAutospacing="0" w:line="360" w:lineRule="auto"/>
              <w:ind w:left="0" w:leftChars="0"/>
              <w:jc w:val="center"/>
              <w:textAlignment w:val="auto"/>
              <w:rPr>
                <w:rFonts w:hint="eastAsia" w:ascii="宋体" w:hAnsi="宋体" w:eastAsia="宋体" w:cs="宋体"/>
                <w:b/>
                <w:bCs/>
                <w:color w:val="auto"/>
                <w:kern w:val="0"/>
                <w:sz w:val="21"/>
                <w:szCs w:val="21"/>
                <w:highlight w:val="none"/>
                <w:shd w:val="clear" w:color="auto" w:fill="FFFFFF"/>
                <w:lang w:val="en-US" w:eastAsia="zh-CN" w:bidi="ar-SA"/>
              </w:rPr>
            </w:pPr>
          </w:p>
        </w:tc>
        <w:tc>
          <w:tcPr>
            <w:tcW w:w="810" w:type="pct"/>
            <w:noWrap w:val="0"/>
            <w:vAlign w:val="center"/>
          </w:tcPr>
          <w:p w14:paraId="5B97B7C8">
            <w:pPr>
              <w:keepNext w:val="0"/>
              <w:keepLines w:val="0"/>
              <w:pageBreakBefore w:val="0"/>
              <w:widowControl/>
              <w:kinsoku/>
              <w:wordWrap/>
              <w:overflowPunct/>
              <w:topLinePunct w:val="0"/>
              <w:bidi w:val="0"/>
              <w:adjustRightInd w:val="0"/>
              <w:snapToGrid w:val="0"/>
              <w:spacing w:beforeAutospacing="0" w:afterAutospacing="0" w:line="360" w:lineRule="auto"/>
              <w:ind w:left="0" w:leftChars="0"/>
              <w:jc w:val="center"/>
              <w:textAlignment w:val="auto"/>
              <w:rPr>
                <w:rFonts w:hint="eastAsia" w:ascii="宋体" w:hAnsi="宋体" w:eastAsia="宋体" w:cs="宋体"/>
                <w:b/>
                <w:bCs/>
                <w:color w:val="auto"/>
                <w:kern w:val="0"/>
                <w:sz w:val="21"/>
                <w:szCs w:val="21"/>
                <w:highlight w:val="none"/>
                <w:shd w:val="clear" w:color="auto" w:fill="FFFFFF"/>
                <w:lang w:val="en-US" w:eastAsia="zh-CN" w:bidi="ar-SA"/>
              </w:rPr>
            </w:pPr>
            <w:r>
              <w:rPr>
                <w:rFonts w:hint="eastAsia" w:ascii="宋体" w:hAnsi="宋体" w:eastAsia="宋体" w:cs="宋体"/>
                <w:b/>
                <w:bCs/>
                <w:color w:val="auto"/>
                <w:kern w:val="0"/>
                <w:sz w:val="21"/>
                <w:szCs w:val="21"/>
                <w:highlight w:val="none"/>
                <w:shd w:val="clear" w:color="auto" w:fill="FFFFFF"/>
                <w:lang w:val="en-US" w:eastAsia="zh-CN" w:bidi="ar-SA"/>
              </w:rPr>
              <w:t>根据考核情况支付</w:t>
            </w:r>
          </w:p>
        </w:tc>
        <w:tc>
          <w:tcPr>
            <w:tcW w:w="730" w:type="pct"/>
            <w:noWrap w:val="0"/>
            <w:vAlign w:val="center"/>
          </w:tcPr>
          <w:p w14:paraId="7F5BDF71">
            <w:pPr>
              <w:keepNext w:val="0"/>
              <w:keepLines w:val="0"/>
              <w:pageBreakBefore w:val="0"/>
              <w:widowControl/>
              <w:kinsoku/>
              <w:wordWrap/>
              <w:overflowPunct/>
              <w:topLinePunct w:val="0"/>
              <w:bidi w:val="0"/>
              <w:adjustRightInd w:val="0"/>
              <w:snapToGrid w:val="0"/>
              <w:spacing w:beforeAutospacing="0" w:afterAutospacing="0" w:line="360" w:lineRule="auto"/>
              <w:ind w:left="0" w:leftChars="0"/>
              <w:jc w:val="center"/>
              <w:textAlignment w:val="auto"/>
              <w:rPr>
                <w:rFonts w:hint="eastAsia" w:ascii="宋体" w:hAnsi="宋体" w:eastAsia="宋体" w:cs="宋体"/>
                <w:b/>
                <w:bCs/>
                <w:color w:val="auto"/>
                <w:kern w:val="0"/>
                <w:sz w:val="21"/>
                <w:szCs w:val="21"/>
                <w:highlight w:val="none"/>
                <w:shd w:val="clear" w:color="auto" w:fill="FFFFFF"/>
                <w:lang w:val="en-US" w:eastAsia="zh-CN" w:bidi="ar-SA"/>
              </w:rPr>
            </w:pPr>
            <w:r>
              <w:rPr>
                <w:rFonts w:hint="eastAsia" w:ascii="宋体" w:hAnsi="宋体" w:eastAsia="宋体" w:cs="宋体"/>
                <w:b/>
                <w:bCs/>
                <w:color w:val="auto"/>
                <w:kern w:val="0"/>
                <w:sz w:val="21"/>
                <w:szCs w:val="21"/>
                <w:highlight w:val="none"/>
                <w:shd w:val="clear" w:color="auto" w:fill="FFFFFF"/>
                <w:lang w:val="en-US" w:eastAsia="zh-CN" w:bidi="ar-SA"/>
              </w:rPr>
              <w:t>年度服务期满后进行履约验收</w:t>
            </w:r>
          </w:p>
        </w:tc>
      </w:tr>
    </w:tbl>
    <w:p w14:paraId="232879E1">
      <w:pPr>
        <w:keepNext w:val="0"/>
        <w:keepLines w:val="0"/>
        <w:pageBreakBefore w:val="0"/>
        <w:widowControl w:val="0"/>
        <w:kinsoku/>
        <w:wordWrap/>
        <w:overflowPunct/>
        <w:topLinePunct w:val="0"/>
        <w:bidi w:val="0"/>
        <w:adjustRightInd w:val="0"/>
        <w:snapToGrid w:val="0"/>
        <w:spacing w:after="0" w:line="360" w:lineRule="auto"/>
        <w:ind w:firstLine="420" w:firstLineChars="20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3.预付款保函：</w:t>
      </w:r>
      <w:r>
        <w:rPr>
          <w:rFonts w:hint="eastAsia" w:ascii="宋体" w:hAnsi="宋体" w:eastAsia="宋体" w:cs="宋体"/>
          <w:color w:val="auto"/>
          <w:kern w:val="0"/>
          <w:sz w:val="21"/>
          <w:szCs w:val="21"/>
          <w:highlight w:val="none"/>
          <w:lang w:val="en-US" w:eastAsia="zh-CN" w:bidi="ar-SA"/>
        </w:rPr>
        <w:t xml:space="preserve">□是 </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SA"/>
        </w:rPr>
        <w:t>否</w:t>
      </w:r>
    </w:p>
    <w:p w14:paraId="5693CBC9">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 w:val="0"/>
          <w:bCs w:val="0"/>
          <w:color w:val="auto"/>
          <w:sz w:val="21"/>
          <w:szCs w:val="21"/>
          <w:u w:val="single"/>
          <w:lang w:val="en-US" w:eastAsia="zh-CN"/>
        </w:rPr>
      </w:pP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highlight w:val="none"/>
          <w:u w:val="single"/>
          <w:shd w:val="clear" w:color="auto" w:fill="auto"/>
          <w:lang w:val="en-US" w:eastAsia="zh-CN"/>
        </w:rPr>
        <w:t>/</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u w:val="single"/>
          <w:lang w:val="en-US" w:eastAsia="zh-CN"/>
        </w:rPr>
        <w:t xml:space="preserve">  </w:t>
      </w:r>
    </w:p>
    <w:p w14:paraId="14E1049C">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国库集中支付■、双控账户支付□、自行支付□</w:t>
      </w:r>
    </w:p>
    <w:p w14:paraId="758DBEF9">
      <w:pPr>
        <w:keepNext w:val="0"/>
        <w:keepLines w:val="0"/>
        <w:pageBreakBefore w:val="0"/>
        <w:widowControl/>
        <w:numPr>
          <w:ilvl w:val="0"/>
          <w:numId w:val="0"/>
        </w:numPr>
        <w:kinsoku/>
        <w:wordWrap/>
        <w:overflowPunct/>
        <w:topLinePunct w:val="0"/>
        <w:bidi w:val="0"/>
        <w:adjustRightInd w:val="0"/>
        <w:snapToGrid w:val="0"/>
        <w:spacing w:line="360" w:lineRule="auto"/>
        <w:ind w:left="0" w:leftChars="0" w:firstLine="420" w:firstLineChars="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val="en-US" w:eastAsia="zh-CN" w:bidi="ar-SA"/>
        </w:rPr>
        <w:t>四、</w:t>
      </w:r>
      <w:r>
        <w:rPr>
          <w:rFonts w:hint="eastAsia" w:ascii="宋体" w:hAnsi="宋体" w:eastAsia="宋体" w:cs="宋体"/>
          <w:b/>
          <w:bCs/>
          <w:color w:val="auto"/>
          <w:kern w:val="0"/>
          <w:sz w:val="21"/>
          <w:szCs w:val="21"/>
        </w:rPr>
        <w:t>合同服务期限</w:t>
      </w:r>
    </w:p>
    <w:p w14:paraId="1AED975B">
      <w:pPr>
        <w:keepNext w:val="0"/>
        <w:keepLines w:val="0"/>
        <w:pageBreakBefore w:val="0"/>
        <w:widowControl/>
        <w:kinsoku/>
        <w:wordWrap/>
        <w:overflowPunct/>
        <w:topLinePunct w:val="0"/>
        <w:bidi w:val="0"/>
        <w:adjustRightInd w:val="0"/>
        <w:snapToGrid w:val="0"/>
        <w:spacing w:line="360" w:lineRule="auto"/>
        <w:ind w:left="0" w:leftChars="0" w:firstLine="474" w:firstLineChars="226"/>
        <w:jc w:val="left"/>
        <w:textAlignment w:val="auto"/>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rPr>
        <w:t>从  年 月 日起至  年   月  日止。</w:t>
      </w:r>
    </w:p>
    <w:p w14:paraId="7FDD5C9A">
      <w:pPr>
        <w:keepNext w:val="0"/>
        <w:keepLines w:val="0"/>
        <w:pageBreakBefore w:val="0"/>
        <w:widowControl/>
        <w:numPr>
          <w:ilvl w:val="0"/>
          <w:numId w:val="0"/>
        </w:numPr>
        <w:kinsoku/>
        <w:wordWrap/>
        <w:overflowPunct/>
        <w:topLinePunct w:val="0"/>
        <w:bidi w:val="0"/>
        <w:adjustRightInd w:val="0"/>
        <w:snapToGrid w:val="0"/>
        <w:spacing w:line="360" w:lineRule="auto"/>
        <w:ind w:left="0" w:leftChars="0" w:firstLine="420" w:firstLineChars="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val="en-US" w:eastAsia="zh-CN" w:bidi="ar-SA"/>
        </w:rPr>
        <w:t>五、</w:t>
      </w:r>
      <w:r>
        <w:rPr>
          <w:rFonts w:hint="eastAsia" w:ascii="宋体" w:hAnsi="宋体" w:eastAsia="宋体" w:cs="宋体"/>
          <w:b/>
          <w:bCs/>
          <w:color w:val="auto"/>
          <w:kern w:val="0"/>
          <w:sz w:val="21"/>
          <w:szCs w:val="21"/>
        </w:rPr>
        <w:t>服务地点</w:t>
      </w:r>
    </w:p>
    <w:p w14:paraId="22ACD234">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长沙市</w:t>
      </w:r>
    </w:p>
    <w:p w14:paraId="62D20792">
      <w:pPr>
        <w:keepNext w:val="0"/>
        <w:keepLines w:val="0"/>
        <w:pageBreakBefore w:val="0"/>
        <w:kinsoku/>
        <w:wordWrap/>
        <w:overflowPunct/>
        <w:topLinePunct w:val="0"/>
        <w:bidi w:val="0"/>
        <w:adjustRightInd w:val="0"/>
        <w:snapToGrid w:val="0"/>
        <w:spacing w:line="360" w:lineRule="auto"/>
        <w:ind w:left="0" w:leftChars="0" w:firstLine="371" w:firstLineChars="176"/>
        <w:textAlignment w:val="auto"/>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六</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eastAsia="zh-CN"/>
        </w:rPr>
        <w:t>履约验收方案</w:t>
      </w:r>
    </w:p>
    <w:p w14:paraId="69F1E114">
      <w:pPr>
        <w:keepNext w:val="0"/>
        <w:keepLines w:val="0"/>
        <w:pageBreakBefore w:val="0"/>
        <w:widowControl/>
        <w:kinsoku/>
        <w:wordWrap/>
        <w:overflowPunct/>
        <w:topLinePunct w:val="0"/>
        <w:bidi w:val="0"/>
        <w:adjustRightInd w:val="0"/>
        <w:snapToGrid w:val="0"/>
        <w:spacing w:beforeAutospacing="0" w:afterAutospacing="0" w:line="360" w:lineRule="auto"/>
        <w:ind w:firstLine="420" w:firstLineChars="200"/>
        <w:jc w:val="both"/>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1.验收主体：甲方为项目的验收主体</w:t>
      </w:r>
    </w:p>
    <w:p w14:paraId="33383E67">
      <w:pPr>
        <w:keepNext w:val="0"/>
        <w:keepLines w:val="0"/>
        <w:pageBreakBefore w:val="0"/>
        <w:widowControl/>
        <w:kinsoku/>
        <w:wordWrap/>
        <w:overflowPunct/>
        <w:topLinePunct w:val="0"/>
        <w:bidi w:val="0"/>
        <w:adjustRightInd w:val="0"/>
        <w:snapToGrid w:val="0"/>
        <w:spacing w:beforeAutospacing="0" w:afterAutospacing="0" w:line="360" w:lineRule="auto"/>
        <w:ind w:left="0" w:leftChars="0" w:firstLine="840" w:firstLineChars="400"/>
        <w:jc w:val="both"/>
        <w:textAlignment w:val="auto"/>
        <w:rPr>
          <w:rFonts w:hint="eastAsia"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验收组织</w:t>
      </w:r>
      <w:r>
        <w:rPr>
          <w:rFonts w:hint="eastAsia" w:ascii="宋体" w:hAnsi="宋体" w:eastAsia="宋体" w:cs="宋体"/>
          <w:color w:val="auto"/>
          <w:kern w:val="0"/>
          <w:sz w:val="21"/>
          <w:szCs w:val="21"/>
          <w:highlight w:val="none"/>
          <w:shd w:val="clear" w:color="auto" w:fill="FFFFFF"/>
          <w:lang w:val="en-US" w:eastAsia="zh-CN" w:bidi="ar-SA"/>
        </w:rPr>
        <w:t>方式：</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shd w:val="clear" w:color="auto" w:fill="FFFFFF"/>
          <w:lang w:val="en-US" w:eastAsia="zh-CN" w:bidi="ar-SA"/>
        </w:rPr>
        <w:t xml:space="preserve">自行组织 </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shd w:val="clear" w:color="auto" w:fill="FFFFFF"/>
          <w:lang w:val="en-US" w:eastAsia="zh-CN" w:bidi="ar-SA"/>
        </w:rPr>
        <w:t>委托第三方组织</w:t>
      </w:r>
    </w:p>
    <w:p w14:paraId="65FF41DD">
      <w:pPr>
        <w:keepNext w:val="0"/>
        <w:keepLines w:val="0"/>
        <w:pageBreakBefore w:val="0"/>
        <w:widowControl/>
        <w:kinsoku/>
        <w:wordWrap/>
        <w:overflowPunct/>
        <w:topLinePunct w:val="0"/>
        <w:bidi w:val="0"/>
        <w:adjustRightInd w:val="0"/>
        <w:snapToGrid w:val="0"/>
        <w:spacing w:beforeAutospacing="0" w:afterAutospacing="0" w:line="360" w:lineRule="auto"/>
        <w:ind w:left="0" w:leftChars="0" w:firstLine="840" w:firstLineChars="400"/>
        <w:jc w:val="both"/>
        <w:textAlignment w:val="auto"/>
        <w:rPr>
          <w:rFonts w:hint="eastAsia"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是否邀请本项目的其他供应商：</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shd w:val="clear" w:color="auto" w:fill="FFFFFF"/>
          <w:lang w:val="en-US" w:eastAsia="zh-CN" w:bidi="ar-SA"/>
        </w:rPr>
        <w:t xml:space="preserve">是  </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shd w:val="clear" w:color="auto" w:fill="FFFFFF"/>
          <w:lang w:val="en-US" w:eastAsia="zh-CN" w:bidi="ar-SA"/>
        </w:rPr>
        <w:t>否</w:t>
      </w:r>
    </w:p>
    <w:p w14:paraId="58FB0494">
      <w:pPr>
        <w:keepNext w:val="0"/>
        <w:keepLines w:val="0"/>
        <w:pageBreakBefore w:val="0"/>
        <w:widowControl/>
        <w:kinsoku/>
        <w:wordWrap/>
        <w:overflowPunct/>
        <w:topLinePunct w:val="0"/>
        <w:bidi w:val="0"/>
        <w:adjustRightInd w:val="0"/>
        <w:snapToGrid w:val="0"/>
        <w:spacing w:beforeAutospacing="0" w:afterAutospacing="0" w:line="360" w:lineRule="auto"/>
        <w:ind w:left="0" w:leftChars="0" w:firstLine="840" w:firstLineChars="400"/>
        <w:jc w:val="both"/>
        <w:textAlignment w:val="auto"/>
        <w:rPr>
          <w:rFonts w:hint="eastAsia"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是否邀请专家：</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shd w:val="clear" w:color="auto" w:fill="FFFFFF"/>
          <w:lang w:val="en-US" w:eastAsia="zh-CN" w:bidi="ar-SA"/>
        </w:rPr>
        <w:t xml:space="preserve">是  </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shd w:val="clear" w:color="auto" w:fill="FFFFFF"/>
          <w:lang w:val="en-US" w:eastAsia="zh-CN" w:bidi="ar-SA"/>
        </w:rPr>
        <w:t>否</w:t>
      </w:r>
    </w:p>
    <w:p w14:paraId="7A4684E3">
      <w:pPr>
        <w:keepNext w:val="0"/>
        <w:keepLines w:val="0"/>
        <w:pageBreakBefore w:val="0"/>
        <w:widowControl/>
        <w:kinsoku/>
        <w:wordWrap/>
        <w:overflowPunct/>
        <w:topLinePunct w:val="0"/>
        <w:bidi w:val="0"/>
        <w:adjustRightInd w:val="0"/>
        <w:snapToGrid w:val="0"/>
        <w:spacing w:beforeAutospacing="0" w:afterAutospacing="0" w:line="360" w:lineRule="auto"/>
        <w:ind w:left="0" w:leftChars="0" w:firstLine="840" w:firstLineChars="4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是否邀请服务对象：</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shd w:val="clear" w:color="auto" w:fill="FFFFFF"/>
          <w:lang w:val="en-US" w:eastAsia="zh-CN" w:bidi="ar-SA"/>
        </w:rPr>
        <w:t xml:space="preserve">是  </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shd w:val="clear" w:color="auto" w:fill="FFFFFF"/>
          <w:lang w:val="en-US" w:eastAsia="zh-CN" w:bidi="ar-SA"/>
        </w:rPr>
        <w:t>否</w:t>
      </w:r>
    </w:p>
    <w:p w14:paraId="6372ECBC">
      <w:pPr>
        <w:keepNext w:val="0"/>
        <w:keepLines w:val="0"/>
        <w:pageBreakBefore w:val="0"/>
        <w:widowControl/>
        <w:kinsoku/>
        <w:wordWrap/>
        <w:overflowPunct/>
        <w:topLinePunct w:val="0"/>
        <w:bidi w:val="0"/>
        <w:adjustRightInd w:val="0"/>
        <w:snapToGrid w:val="0"/>
        <w:spacing w:beforeAutospacing="0" w:afterAutospacing="0" w:line="360" w:lineRule="auto"/>
        <w:ind w:left="0" w:leftChars="0" w:firstLine="840" w:firstLineChars="400"/>
        <w:jc w:val="both"/>
        <w:textAlignment w:val="auto"/>
        <w:rPr>
          <w:rFonts w:hint="eastAsia"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是否邀请第三方检测机构：</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shd w:val="clear" w:color="auto" w:fill="FFFFFF"/>
          <w:lang w:val="en-US" w:eastAsia="zh-CN" w:bidi="ar-SA"/>
        </w:rPr>
        <w:t xml:space="preserve">是  </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shd w:val="clear" w:color="auto" w:fill="FFFFFF"/>
          <w:lang w:val="en-US" w:eastAsia="zh-CN" w:bidi="ar-SA"/>
        </w:rPr>
        <w:t>否</w:t>
      </w:r>
    </w:p>
    <w:p w14:paraId="73C5C430">
      <w:pPr>
        <w:keepNext w:val="0"/>
        <w:keepLines w:val="0"/>
        <w:pageBreakBefore w:val="0"/>
        <w:widowControl/>
        <w:kinsoku/>
        <w:wordWrap/>
        <w:overflowPunct/>
        <w:topLinePunct w:val="0"/>
        <w:bidi w:val="0"/>
        <w:adjustRightInd w:val="0"/>
        <w:snapToGrid w:val="0"/>
        <w:spacing w:beforeAutospacing="0" w:afterAutospacing="0" w:line="360" w:lineRule="auto"/>
        <w:ind w:left="0" w:leftChars="0" w:firstLine="840" w:firstLineChars="400"/>
        <w:jc w:val="both"/>
        <w:textAlignment w:val="auto"/>
        <w:rPr>
          <w:rFonts w:hint="eastAsia"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验收组织的其他事项：</w:t>
      </w:r>
      <w:r>
        <w:rPr>
          <w:rFonts w:hint="eastAsia" w:ascii="宋体" w:hAnsi="宋体" w:eastAsia="宋体" w:cs="宋体"/>
          <w:b w:val="0"/>
          <w:bCs w:val="0"/>
          <w:color w:val="auto"/>
          <w:kern w:val="0"/>
          <w:sz w:val="21"/>
          <w:szCs w:val="21"/>
          <w:highlight w:val="none"/>
          <w:u w:val="single"/>
          <w:lang w:val="en-US" w:eastAsia="zh-CN" w:bidi="ar-SA"/>
        </w:rPr>
        <w:t xml:space="preserve"> </w:t>
      </w:r>
      <w:r>
        <w:rPr>
          <w:rFonts w:hint="eastAsia" w:ascii="宋体" w:hAnsi="宋体" w:eastAsia="宋体" w:cs="宋体"/>
          <w:b w:val="0"/>
          <w:bCs w:val="0"/>
          <w:color w:val="auto"/>
          <w:kern w:val="0"/>
          <w:sz w:val="21"/>
          <w:szCs w:val="21"/>
          <w:highlight w:val="none"/>
          <w:u w:val="single"/>
          <w:shd w:val="clear" w:color="auto" w:fill="auto"/>
          <w:lang w:val="en-US" w:eastAsia="zh-CN" w:bidi="ar-SA"/>
        </w:rPr>
        <w:t>/</w:t>
      </w:r>
      <w:r>
        <w:rPr>
          <w:rFonts w:hint="eastAsia" w:ascii="宋体" w:hAnsi="宋体" w:eastAsia="宋体" w:cs="宋体"/>
          <w:b w:val="0"/>
          <w:bCs w:val="0"/>
          <w:color w:val="auto"/>
          <w:kern w:val="0"/>
          <w:sz w:val="21"/>
          <w:szCs w:val="21"/>
          <w:highlight w:val="none"/>
          <w:u w:val="single"/>
          <w:lang w:val="en-US" w:eastAsia="zh-CN" w:bidi="ar-SA"/>
        </w:rPr>
        <w:t xml:space="preserve">    </w:t>
      </w:r>
    </w:p>
    <w:p w14:paraId="60141D2B">
      <w:pPr>
        <w:keepNext w:val="0"/>
        <w:keepLines w:val="0"/>
        <w:pageBreakBefore w:val="0"/>
        <w:widowControl/>
        <w:kinsoku/>
        <w:wordWrap/>
        <w:overflowPunct/>
        <w:topLinePunct w:val="0"/>
        <w:bidi w:val="0"/>
        <w:adjustRightInd w:val="0"/>
        <w:snapToGrid w:val="0"/>
        <w:spacing w:beforeAutospacing="0" w:afterAutospacing="0" w:line="360" w:lineRule="auto"/>
        <w:ind w:firstLine="420" w:firstLineChars="200"/>
        <w:jc w:val="both"/>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2.履约验收时间：</w:t>
      </w:r>
      <w:r>
        <w:rPr>
          <w:rFonts w:hint="eastAsia" w:ascii="宋体" w:hAnsi="宋体" w:eastAsia="宋体" w:cs="宋体"/>
          <w:color w:val="auto"/>
          <w:kern w:val="0"/>
          <w:sz w:val="21"/>
          <w:szCs w:val="21"/>
          <w:highlight w:val="none"/>
          <w:lang w:val="en-US" w:eastAsia="zh-CN" w:bidi="ar-SA"/>
        </w:rPr>
        <w:t>供应商提出验收申请之日起</w:t>
      </w:r>
      <w:r>
        <w:rPr>
          <w:rFonts w:hint="eastAsia" w:ascii="宋体" w:hAnsi="宋体" w:eastAsia="宋体" w:cs="宋体"/>
          <w:color w:val="auto"/>
          <w:kern w:val="0"/>
          <w:sz w:val="21"/>
          <w:szCs w:val="21"/>
          <w:highlight w:val="none"/>
          <w:u w:val="single"/>
          <w:lang w:val="en-US" w:eastAsia="zh-CN" w:bidi="ar-SA"/>
        </w:rPr>
        <w:t>10</w:t>
      </w:r>
      <w:r>
        <w:rPr>
          <w:rFonts w:hint="eastAsia" w:ascii="宋体" w:hAnsi="宋体" w:eastAsia="宋体" w:cs="宋体"/>
          <w:color w:val="auto"/>
          <w:kern w:val="0"/>
          <w:sz w:val="21"/>
          <w:szCs w:val="21"/>
          <w:highlight w:val="none"/>
          <w:lang w:val="en-US" w:eastAsia="zh-CN" w:bidi="ar-SA"/>
        </w:rPr>
        <w:t>日内组</w:t>
      </w:r>
      <w:r>
        <w:rPr>
          <w:rFonts w:hint="eastAsia" w:ascii="宋体" w:hAnsi="宋体" w:eastAsia="宋体" w:cs="宋体"/>
          <w:color w:val="auto"/>
          <w:kern w:val="0"/>
          <w:sz w:val="21"/>
          <w:szCs w:val="21"/>
          <w:lang w:val="en-US" w:eastAsia="zh-CN" w:bidi="ar-SA"/>
        </w:rPr>
        <w:t>织验收</w:t>
      </w:r>
    </w:p>
    <w:p w14:paraId="52CF1AF1">
      <w:pPr>
        <w:keepNext w:val="0"/>
        <w:keepLines w:val="0"/>
        <w:pageBreakBefore w:val="0"/>
        <w:widowControl/>
        <w:kinsoku/>
        <w:wordWrap/>
        <w:overflowPunct/>
        <w:topLinePunct w:val="0"/>
        <w:bidi w:val="0"/>
        <w:adjustRightInd w:val="0"/>
        <w:snapToGrid w:val="0"/>
        <w:spacing w:beforeAutospacing="0" w:afterAutospacing="0" w:line="360" w:lineRule="auto"/>
        <w:ind w:left="0" w:leftChars="0" w:firstLine="420" w:firstLineChars="200"/>
        <w:jc w:val="both"/>
        <w:textAlignment w:val="auto"/>
        <w:rPr>
          <w:rFonts w:hint="eastAsia"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 xml:space="preserve">3.履约验收方式： </w:t>
      </w:r>
      <w:r>
        <w:rPr>
          <w:rFonts w:hint="eastAsia" w:ascii="宋体" w:hAnsi="宋体" w:eastAsia="宋体" w:cs="宋体"/>
          <w:color w:val="auto"/>
          <w:kern w:val="0"/>
          <w:sz w:val="21"/>
          <w:szCs w:val="21"/>
          <w:highlight w:val="none"/>
          <w:lang w:val="en-US" w:eastAsia="zh-CN" w:bidi="ar-SA"/>
        </w:rPr>
        <w:t xml:space="preserve"> □</w:t>
      </w:r>
      <w:r>
        <w:rPr>
          <w:rFonts w:hint="eastAsia" w:ascii="宋体" w:hAnsi="宋体" w:eastAsia="宋体" w:cs="宋体"/>
          <w:color w:val="auto"/>
          <w:kern w:val="0"/>
          <w:sz w:val="21"/>
          <w:szCs w:val="21"/>
          <w:highlight w:val="none"/>
          <w:shd w:val="clear" w:color="auto" w:fill="FFFFFF"/>
          <w:lang w:val="en-US" w:eastAsia="zh-CN" w:bidi="ar-SA"/>
        </w:rPr>
        <w:t xml:space="preserve">一次性验收   </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shd w:val="clear" w:color="auto" w:fill="FFFFFF"/>
          <w:lang w:val="en-US" w:eastAsia="zh-CN" w:bidi="ar-SA"/>
        </w:rPr>
        <w:t>分期/分项验收</w:t>
      </w:r>
    </w:p>
    <w:p w14:paraId="056B4AEE">
      <w:pPr>
        <w:keepNext w:val="0"/>
        <w:keepLines w:val="0"/>
        <w:pageBreakBefore w:val="0"/>
        <w:widowControl/>
        <w:kinsoku/>
        <w:wordWrap/>
        <w:overflowPunct/>
        <w:topLinePunct w:val="0"/>
        <w:bidi w:val="0"/>
        <w:adjustRightInd w:val="0"/>
        <w:snapToGrid w:val="0"/>
        <w:spacing w:beforeAutospacing="0" w:afterAutospacing="0" w:line="360" w:lineRule="auto"/>
        <w:ind w:firstLine="420" w:firstLineChars="200"/>
        <w:jc w:val="both"/>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4.履约验收程序：按照长沙市政府采购履约验收规定的程序。</w:t>
      </w:r>
    </w:p>
    <w:p w14:paraId="19BA0D64">
      <w:pPr>
        <w:keepNext w:val="0"/>
        <w:keepLines w:val="0"/>
        <w:pageBreakBefore w:val="0"/>
        <w:widowControl/>
        <w:kinsoku/>
        <w:wordWrap/>
        <w:overflowPunct/>
        <w:topLinePunct w:val="0"/>
        <w:bidi w:val="0"/>
        <w:adjustRightInd w:val="0"/>
        <w:snapToGrid w:val="0"/>
        <w:spacing w:beforeAutospacing="0" w:afterAutospacing="0" w:line="360" w:lineRule="auto"/>
        <w:ind w:firstLine="420" w:firstLineChars="200"/>
        <w:jc w:val="both"/>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5.履约验收的内容：</w:t>
      </w:r>
    </w:p>
    <w:p w14:paraId="1DEF0DD7">
      <w:pPr>
        <w:keepNext w:val="0"/>
        <w:keepLines w:val="0"/>
        <w:pageBreakBefore w:val="0"/>
        <w:widowControl w:val="0"/>
        <w:kinsoku/>
        <w:wordWrap/>
        <w:overflowPunct/>
        <w:topLinePunct w:val="0"/>
        <w:autoSpaceDE/>
        <w:autoSpaceDN/>
        <w:bidi w:val="0"/>
        <w:adjustRightInd w:val="0"/>
        <w:snapToGrid w:val="0"/>
        <w:spacing w:beforeAutospacing="0" w:line="360" w:lineRule="auto"/>
        <w:ind w:left="0" w:leftChars="0"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5.1</w:t>
      </w:r>
      <w:r>
        <w:rPr>
          <w:rFonts w:hint="eastAsia" w:ascii="宋体" w:hAnsi="宋体" w:eastAsia="宋体" w:cs="宋体"/>
          <w:color w:val="auto"/>
          <w:sz w:val="21"/>
          <w:szCs w:val="21"/>
        </w:rPr>
        <w:t>技术履约验收内容：</w:t>
      </w:r>
    </w:p>
    <w:p w14:paraId="3583920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详见本合同第二条服务要求第三款：</w:t>
      </w:r>
      <w:r>
        <w:rPr>
          <w:rFonts w:hint="eastAsia" w:ascii="宋体" w:hAnsi="宋体" w:eastAsia="宋体" w:cs="宋体"/>
          <w:b w:val="0"/>
          <w:bCs w:val="0"/>
          <w:color w:val="auto"/>
          <w:kern w:val="0"/>
          <w:sz w:val="21"/>
          <w:szCs w:val="21"/>
        </w:rPr>
        <w:t>技术标准与规范</w:t>
      </w:r>
    </w:p>
    <w:p w14:paraId="5610116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5.2</w:t>
      </w:r>
      <w:r>
        <w:rPr>
          <w:rFonts w:hint="eastAsia" w:ascii="宋体" w:hAnsi="宋体" w:eastAsia="宋体" w:cs="宋体"/>
          <w:color w:val="auto"/>
          <w:sz w:val="21"/>
          <w:szCs w:val="21"/>
          <w:lang w:eastAsia="zh-CN"/>
        </w:rPr>
        <w:t>服务</w:t>
      </w:r>
      <w:r>
        <w:rPr>
          <w:rFonts w:hint="eastAsia" w:ascii="宋体" w:hAnsi="宋体" w:eastAsia="宋体" w:cs="宋体"/>
          <w:color w:val="auto"/>
          <w:sz w:val="21"/>
          <w:szCs w:val="21"/>
        </w:rPr>
        <w:t>履约验收内容：</w:t>
      </w:r>
    </w:p>
    <w:p w14:paraId="555BE4A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b w:val="0"/>
          <w:bCs w:val="0"/>
          <w:color w:val="auto"/>
          <w:kern w:val="0"/>
          <w:sz w:val="21"/>
          <w:szCs w:val="21"/>
          <w:lang w:val="en-US" w:eastAsia="zh-CN"/>
        </w:rPr>
        <w:t>详见本合同第</w:t>
      </w:r>
      <w:r>
        <w:rPr>
          <w:rFonts w:hint="eastAsia" w:ascii="宋体" w:hAnsi="宋体" w:eastAsia="宋体" w:cs="宋体"/>
          <w:b w:val="0"/>
          <w:bCs w:val="0"/>
          <w:color w:val="auto"/>
          <w:kern w:val="0"/>
          <w:sz w:val="21"/>
          <w:szCs w:val="21"/>
          <w:lang w:eastAsia="zh-CN"/>
        </w:rPr>
        <w:t>九</w:t>
      </w:r>
      <w:r>
        <w:rPr>
          <w:rFonts w:hint="eastAsia" w:ascii="宋体" w:hAnsi="宋体" w:eastAsia="宋体" w:cs="宋体"/>
          <w:b w:val="0"/>
          <w:bCs w:val="0"/>
          <w:color w:val="auto"/>
          <w:kern w:val="0"/>
          <w:sz w:val="21"/>
          <w:szCs w:val="21"/>
          <w:lang w:val="en-US" w:eastAsia="zh-CN"/>
        </w:rPr>
        <w:t>条：</w:t>
      </w:r>
      <w:r>
        <w:rPr>
          <w:rFonts w:hint="eastAsia" w:ascii="宋体" w:hAnsi="宋体" w:eastAsia="宋体" w:cs="宋体"/>
          <w:b w:val="0"/>
          <w:bCs w:val="0"/>
          <w:color w:val="auto"/>
          <w:kern w:val="0"/>
          <w:sz w:val="21"/>
          <w:szCs w:val="21"/>
        </w:rPr>
        <w:t>乙方的权利和义务</w:t>
      </w:r>
    </w:p>
    <w:p w14:paraId="4809259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5.3</w:t>
      </w:r>
      <w:r>
        <w:rPr>
          <w:rFonts w:hint="eastAsia" w:ascii="宋体" w:hAnsi="宋体" w:eastAsia="宋体" w:cs="宋体"/>
          <w:color w:val="auto"/>
          <w:sz w:val="21"/>
          <w:szCs w:val="21"/>
          <w:lang w:eastAsia="zh-CN"/>
        </w:rPr>
        <w:t>商务</w:t>
      </w:r>
      <w:r>
        <w:rPr>
          <w:rFonts w:hint="eastAsia" w:ascii="宋体" w:hAnsi="宋体" w:eastAsia="宋体" w:cs="宋体"/>
          <w:color w:val="auto"/>
          <w:sz w:val="21"/>
          <w:szCs w:val="21"/>
        </w:rPr>
        <w:t>履约验收内容：</w:t>
      </w:r>
    </w:p>
    <w:p w14:paraId="266D7FE7">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lang w:val="en-US" w:eastAsia="zh-CN"/>
        </w:rPr>
        <w:t>详见本合同第二条服务要求第四款：</w:t>
      </w:r>
      <w:r>
        <w:rPr>
          <w:rFonts w:hint="eastAsia" w:ascii="宋体" w:hAnsi="宋体" w:eastAsia="宋体" w:cs="宋体"/>
          <w:b w:val="0"/>
          <w:bCs w:val="0"/>
          <w:color w:val="auto"/>
          <w:kern w:val="0"/>
          <w:sz w:val="21"/>
          <w:szCs w:val="21"/>
          <w:lang w:val="en-US" w:eastAsia="zh-CN"/>
        </w:rPr>
        <w:t>配置要求</w:t>
      </w:r>
    </w:p>
    <w:p w14:paraId="3E9716A7">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履约验收标准：</w:t>
      </w:r>
      <w:r>
        <w:rPr>
          <w:rFonts w:hint="eastAsia" w:ascii="宋体" w:hAnsi="宋体" w:eastAsia="宋体" w:cs="宋体"/>
          <w:b w:val="0"/>
          <w:bCs w:val="0"/>
          <w:color w:val="auto"/>
          <w:kern w:val="2"/>
          <w:sz w:val="21"/>
          <w:szCs w:val="21"/>
          <w:highlight w:val="none"/>
          <w:u w:val="single"/>
          <w:shd w:val="clear" w:color="auto" w:fill="auto"/>
          <w:lang w:val="en-US" w:eastAsia="zh-CN" w:bidi="ar-SA"/>
        </w:rPr>
        <w:t>按“关于加强长沙市政府采购项目履约验收工作的通知（长财采购【2024】5号）”执行</w:t>
      </w:r>
    </w:p>
    <w:p w14:paraId="3EF1D28F">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履约验收其他事项：</w:t>
      </w:r>
      <w:r>
        <w:rPr>
          <w:rFonts w:hint="eastAsia" w:ascii="宋体" w:hAnsi="宋体" w:eastAsia="宋体" w:cs="宋体"/>
          <w:b w:val="0"/>
          <w:bCs w:val="0"/>
          <w:color w:val="auto"/>
          <w:kern w:val="2"/>
          <w:sz w:val="21"/>
          <w:szCs w:val="21"/>
          <w:highlight w:val="none"/>
          <w:u w:val="single"/>
          <w:shd w:val="clear" w:color="auto" w:fill="auto"/>
          <w:lang w:val="en-US" w:eastAsia="zh-CN" w:bidi="ar-SA"/>
        </w:rPr>
        <w:t>自行协商</w:t>
      </w:r>
    </w:p>
    <w:p w14:paraId="05920164">
      <w:pPr>
        <w:keepNext w:val="0"/>
        <w:keepLines w:val="0"/>
        <w:pageBreakBefore w:val="0"/>
        <w:numPr>
          <w:ilvl w:val="0"/>
          <w:numId w:val="0"/>
        </w:numPr>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color w:val="auto"/>
          <w:sz w:val="21"/>
          <w:szCs w:val="21"/>
          <w:shd w:val="clear" w:color="auto" w:fill="FFFFFF"/>
        </w:rPr>
      </w:pPr>
      <w:r>
        <w:rPr>
          <w:rFonts w:hint="eastAsia" w:ascii="宋体" w:hAnsi="宋体" w:eastAsia="宋体" w:cs="宋体"/>
          <w:b/>
          <w:bCs/>
          <w:color w:val="auto"/>
          <w:kern w:val="2"/>
          <w:sz w:val="21"/>
          <w:szCs w:val="21"/>
          <w:shd w:val="clear" w:color="auto" w:fill="FFFFFF"/>
          <w:lang w:val="en-US" w:eastAsia="zh-CN" w:bidi="ar-SA"/>
        </w:rPr>
        <w:t>七、</w:t>
      </w:r>
      <w:r>
        <w:rPr>
          <w:rFonts w:hint="eastAsia" w:ascii="宋体" w:hAnsi="宋体" w:eastAsia="宋体" w:cs="宋体"/>
          <w:b/>
          <w:bCs/>
          <w:color w:val="auto"/>
          <w:sz w:val="21"/>
          <w:szCs w:val="21"/>
          <w:shd w:val="clear" w:color="auto" w:fill="FFFFFF"/>
        </w:rPr>
        <w:t>知识产权归属和处理方式：</w:t>
      </w:r>
    </w:p>
    <w:p w14:paraId="047B7460">
      <w:pPr>
        <w:keepNext w:val="0"/>
        <w:keepLines w:val="0"/>
        <w:pageBreakBefore w:val="0"/>
        <w:widowControl w:val="0"/>
        <w:numPr>
          <w:ilvl w:val="0"/>
          <w:numId w:val="0"/>
        </w:numPr>
        <w:kinsoku/>
        <w:wordWrap/>
        <w:overflowPunct/>
        <w:topLinePunct w:val="0"/>
        <w:bidi w:val="0"/>
        <w:adjustRightInd w:val="0"/>
        <w:snapToGrid w:val="0"/>
        <w:spacing w:after="0" w:line="360" w:lineRule="auto"/>
        <w:ind w:left="0" w:leftChars="0" w:firstLine="420" w:firstLineChars="20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1.乙方对其所提供的服务应当享有知识产权或经权利人合法授权，保证没有侵犯任何第三人的知识产权和商业秘密等权利。</w:t>
      </w:r>
    </w:p>
    <w:p w14:paraId="134644D9">
      <w:pPr>
        <w:keepNext w:val="0"/>
        <w:keepLines w:val="0"/>
        <w:pageBreakBefore w:val="0"/>
        <w:widowControl w:val="0"/>
        <w:numPr>
          <w:ilvl w:val="0"/>
          <w:numId w:val="0"/>
        </w:numPr>
        <w:kinsoku/>
        <w:wordWrap/>
        <w:overflowPunct/>
        <w:topLinePunct w:val="0"/>
        <w:bidi w:val="0"/>
        <w:adjustRightInd w:val="0"/>
        <w:snapToGrid w:val="0"/>
        <w:spacing w:after="0" w:line="360" w:lineRule="auto"/>
        <w:ind w:left="0" w:leftChars="0" w:firstLine="420" w:firstLineChars="20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2.甲方使用乙方提供的服务对第三人构成侵权的，应当由乙方承担全部法律责任，给甲方造成损害的，乙方应当承担赔偿责任。</w:t>
      </w:r>
    </w:p>
    <w:p w14:paraId="1AFC507C">
      <w:pPr>
        <w:keepNext w:val="0"/>
        <w:keepLines w:val="0"/>
        <w:pageBreakBefore w:val="0"/>
        <w:widowControl w:val="0"/>
        <w:numPr>
          <w:ilvl w:val="0"/>
          <w:numId w:val="0"/>
        </w:numPr>
        <w:kinsoku/>
        <w:wordWrap/>
        <w:overflowPunct/>
        <w:topLinePunct w:val="0"/>
        <w:bidi w:val="0"/>
        <w:adjustRightInd w:val="0"/>
        <w:snapToGrid w:val="0"/>
        <w:spacing w:after="0" w:line="360" w:lineRule="auto"/>
        <w:ind w:left="0" w:leftChars="0" w:firstLine="420" w:firstLineChars="20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3.甲方委托乙方开发的产品，甲方享有知识产权，未经甲方许可不得转让任何第三人。</w:t>
      </w:r>
    </w:p>
    <w:p w14:paraId="31BD77E2">
      <w:pPr>
        <w:keepNext w:val="0"/>
        <w:keepLines w:val="0"/>
        <w:pageBreakBefore w:val="0"/>
        <w:widowControl/>
        <w:numPr>
          <w:ilvl w:val="0"/>
          <w:numId w:val="0"/>
        </w:numPr>
        <w:kinsoku/>
        <w:wordWrap/>
        <w:overflowPunct/>
        <w:topLinePunct w:val="0"/>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eastAsia="zh-CN"/>
        </w:rPr>
        <w:t>八、</w:t>
      </w:r>
      <w:r>
        <w:rPr>
          <w:rFonts w:hint="eastAsia" w:ascii="宋体" w:hAnsi="宋体" w:eastAsia="宋体" w:cs="宋体"/>
          <w:b/>
          <w:bCs/>
          <w:color w:val="auto"/>
          <w:kern w:val="0"/>
          <w:sz w:val="21"/>
          <w:szCs w:val="21"/>
        </w:rPr>
        <w:t>甲方的权利和义务</w:t>
      </w:r>
    </w:p>
    <w:p w14:paraId="3453D5D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20"/>
        <w:jc w:val="left"/>
        <w:rPr>
          <w:rFonts w:hint="eastAsia" w:ascii="宋体" w:hAnsi="宋体" w:eastAsia="宋体" w:cs="宋体"/>
          <w:color w:val="auto"/>
          <w:sz w:val="21"/>
          <w:szCs w:val="21"/>
          <w:highlight w:val="none"/>
          <w:lang w:val="en-US"/>
        </w:rPr>
      </w:pPr>
      <w:r>
        <w:rPr>
          <w:rFonts w:hint="eastAsia" w:ascii="宋体" w:hAnsi="宋体" w:eastAsia="宋体" w:cs="宋体"/>
          <w:b w:val="0"/>
          <w:bCs w:val="0"/>
          <w:color w:val="auto"/>
          <w:kern w:val="0"/>
          <w:sz w:val="21"/>
          <w:szCs w:val="21"/>
          <w:highlight w:val="none"/>
          <w:lang w:val="en-US" w:eastAsia="zh-CN"/>
        </w:rPr>
        <w:t>1.</w:t>
      </w:r>
      <w:r>
        <w:rPr>
          <w:rFonts w:hint="eastAsia" w:ascii="宋体" w:hAnsi="宋体" w:eastAsia="宋体" w:cs="宋体"/>
          <w:color w:val="auto"/>
          <w:kern w:val="2"/>
          <w:sz w:val="21"/>
          <w:szCs w:val="21"/>
          <w:highlight w:val="none"/>
          <w:lang w:val="en-US" w:eastAsia="zh-CN" w:bidi="ar"/>
        </w:rPr>
        <w:t>负责安排监理工作并做好监理实施期间协调工作。</w:t>
      </w:r>
    </w:p>
    <w:p w14:paraId="0727141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20"/>
        <w:jc w:val="left"/>
        <w:rPr>
          <w:rFonts w:hint="eastAsia" w:ascii="宋体" w:hAnsi="宋体" w:eastAsia="宋体" w:cs="宋体"/>
          <w:color w:val="auto"/>
          <w:sz w:val="21"/>
          <w:szCs w:val="21"/>
          <w:lang w:val="en-US"/>
        </w:rPr>
      </w:pPr>
      <w:r>
        <w:rPr>
          <w:rFonts w:hint="eastAsia" w:ascii="宋体" w:hAnsi="宋体" w:eastAsia="宋体" w:cs="宋体"/>
          <w:b w:val="0"/>
          <w:bCs w:val="0"/>
          <w:color w:val="auto"/>
          <w:kern w:val="0"/>
          <w:sz w:val="21"/>
          <w:szCs w:val="21"/>
          <w:highlight w:val="none"/>
          <w:lang w:val="en-US" w:eastAsia="zh-CN"/>
        </w:rPr>
        <w:t>2.</w:t>
      </w:r>
      <w:r>
        <w:rPr>
          <w:rFonts w:hint="eastAsia" w:ascii="宋体" w:hAnsi="宋体" w:eastAsia="宋体" w:cs="宋体"/>
          <w:color w:val="auto"/>
          <w:kern w:val="2"/>
          <w:sz w:val="21"/>
          <w:szCs w:val="21"/>
          <w:lang w:val="en-US" w:eastAsia="zh-CN" w:bidi="ar"/>
        </w:rPr>
        <w:t>按合同付款。</w:t>
      </w:r>
    </w:p>
    <w:p w14:paraId="3841BC0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20"/>
        <w:jc w:val="left"/>
        <w:rPr>
          <w:rFonts w:hint="eastAsia" w:ascii="宋体" w:hAnsi="宋体" w:eastAsia="宋体" w:cs="宋体"/>
          <w:color w:val="auto"/>
          <w:sz w:val="21"/>
          <w:szCs w:val="21"/>
          <w:lang w:val="en-US" w:eastAsia="zh-CN"/>
        </w:rPr>
      </w:pPr>
      <w:r>
        <w:rPr>
          <w:rFonts w:hint="eastAsia" w:ascii="宋体" w:hAnsi="宋体" w:eastAsia="宋体" w:cs="宋体"/>
          <w:b w:val="0"/>
          <w:bCs w:val="0"/>
          <w:color w:val="auto"/>
          <w:kern w:val="0"/>
          <w:sz w:val="21"/>
          <w:szCs w:val="21"/>
          <w:highlight w:val="none"/>
          <w:lang w:val="en-US" w:eastAsia="zh-CN"/>
        </w:rPr>
        <w:t>3.依据有关技术规范要求</w:t>
      </w:r>
      <w:r>
        <w:rPr>
          <w:rFonts w:hint="eastAsia" w:ascii="宋体" w:hAnsi="宋体" w:eastAsia="宋体" w:cs="宋体"/>
          <w:color w:val="auto"/>
          <w:sz w:val="21"/>
          <w:szCs w:val="21"/>
          <w:highlight w:val="none"/>
        </w:rPr>
        <w:t>提供技术指导</w:t>
      </w:r>
      <w:r>
        <w:rPr>
          <w:rFonts w:hint="eastAsia" w:ascii="宋体" w:hAnsi="宋体" w:eastAsia="宋体" w:cs="宋体"/>
          <w:color w:val="auto"/>
          <w:sz w:val="21"/>
          <w:szCs w:val="21"/>
          <w:highlight w:val="none"/>
          <w:lang w:eastAsia="zh-CN"/>
        </w:rPr>
        <w:t>。</w:t>
      </w:r>
    </w:p>
    <w:p w14:paraId="3482009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20"/>
        <w:jc w:val="left"/>
        <w:rPr>
          <w:rFonts w:hint="eastAsia" w:ascii="宋体" w:hAnsi="宋体" w:eastAsia="宋体" w:cs="宋体"/>
          <w:color w:val="auto"/>
          <w:kern w:val="2"/>
          <w:sz w:val="21"/>
          <w:szCs w:val="21"/>
          <w:lang w:val="en-US" w:eastAsia="zh-CN" w:bidi="ar"/>
        </w:rPr>
      </w:pPr>
      <w:r>
        <w:rPr>
          <w:rFonts w:hint="eastAsia" w:ascii="宋体" w:hAnsi="宋体" w:eastAsia="宋体" w:cs="宋体"/>
          <w:b w:val="0"/>
          <w:bCs w:val="0"/>
          <w:color w:val="auto"/>
          <w:kern w:val="0"/>
          <w:sz w:val="21"/>
          <w:szCs w:val="21"/>
          <w:highlight w:val="none"/>
          <w:lang w:val="en-US" w:eastAsia="zh-CN"/>
        </w:rPr>
        <w:t>4.</w:t>
      </w:r>
      <w:r>
        <w:rPr>
          <w:rFonts w:hint="eastAsia" w:ascii="宋体" w:hAnsi="宋体" w:eastAsia="宋体" w:cs="宋体"/>
          <w:color w:val="auto"/>
          <w:sz w:val="21"/>
          <w:szCs w:val="21"/>
          <w:highlight w:val="none"/>
        </w:rPr>
        <w:t>进行项目服务、质量监管。</w:t>
      </w:r>
    </w:p>
    <w:p w14:paraId="52A7F568">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rPr>
          <w:rFonts w:hint="eastAsia" w:ascii="宋体" w:hAnsi="宋体" w:eastAsia="宋体" w:cs="宋体"/>
          <w:color w:val="auto"/>
          <w:sz w:val="21"/>
          <w:szCs w:val="21"/>
          <w:highlight w:val="none"/>
        </w:rPr>
      </w:pPr>
      <w:r>
        <w:rPr>
          <w:rFonts w:hint="eastAsia" w:ascii="宋体" w:hAnsi="宋体" w:eastAsia="宋体" w:cs="宋体"/>
          <w:b w:val="0"/>
          <w:bCs w:val="0"/>
          <w:color w:val="auto"/>
          <w:kern w:val="0"/>
          <w:sz w:val="21"/>
          <w:szCs w:val="21"/>
          <w:highlight w:val="none"/>
          <w:lang w:val="en-US" w:eastAsia="zh-CN"/>
        </w:rPr>
        <w:t>5.</w:t>
      </w:r>
      <w:r>
        <w:rPr>
          <w:rFonts w:hint="eastAsia" w:ascii="宋体" w:hAnsi="宋体" w:eastAsia="宋体" w:cs="宋体"/>
          <w:color w:val="auto"/>
          <w:sz w:val="21"/>
          <w:szCs w:val="21"/>
          <w:highlight w:val="none"/>
        </w:rPr>
        <w:t>对项目完成情况进行审核。</w:t>
      </w:r>
    </w:p>
    <w:p w14:paraId="2B46CAA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20"/>
        <w:jc w:val="left"/>
        <w:rPr>
          <w:rFonts w:hint="eastAsia" w:ascii="宋体" w:hAnsi="宋体" w:eastAsia="宋体" w:cs="宋体"/>
          <w:color w:val="auto"/>
          <w:kern w:val="2"/>
          <w:sz w:val="21"/>
          <w:szCs w:val="21"/>
          <w:lang w:val="en-US" w:eastAsia="zh-CN" w:bidi="ar-SA"/>
        </w:rPr>
      </w:pPr>
      <w:r>
        <w:rPr>
          <w:rFonts w:hint="eastAsia" w:ascii="宋体" w:hAnsi="宋体" w:eastAsia="宋体" w:cs="宋体"/>
          <w:b w:val="0"/>
          <w:bCs w:val="0"/>
          <w:color w:val="auto"/>
          <w:kern w:val="0"/>
          <w:sz w:val="21"/>
          <w:szCs w:val="21"/>
          <w:highlight w:val="none"/>
          <w:lang w:val="en-US" w:eastAsia="zh-CN"/>
        </w:rPr>
        <w:t>6.</w:t>
      </w:r>
      <w:r>
        <w:rPr>
          <w:rFonts w:hint="eastAsia" w:ascii="宋体" w:hAnsi="宋体" w:eastAsia="宋体" w:cs="宋体"/>
          <w:color w:val="auto"/>
          <w:kern w:val="2"/>
          <w:sz w:val="21"/>
          <w:szCs w:val="21"/>
          <w:lang w:val="en-US" w:eastAsia="zh-CN" w:bidi="ar"/>
        </w:rPr>
        <w:t>对乙方进行考核。</w:t>
      </w:r>
    </w:p>
    <w:p w14:paraId="3FAAAB39">
      <w:pPr>
        <w:keepNext w:val="0"/>
        <w:keepLines w:val="0"/>
        <w:pageBreakBefore w:val="0"/>
        <w:widowControl w:val="0"/>
        <w:kinsoku/>
        <w:wordWrap/>
        <w:overflowPunct/>
        <w:topLinePunct w:val="0"/>
        <w:bidi w:val="0"/>
        <w:adjustRightInd w:val="0"/>
        <w:snapToGrid w:val="0"/>
        <w:spacing w:after="0" w:line="360" w:lineRule="auto"/>
        <w:ind w:left="0" w:leftChars="0" w:firstLine="369" w:firstLineChars="176"/>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7.国家法律、法规所规定由甲方承担的其它责任。</w:t>
      </w:r>
    </w:p>
    <w:p w14:paraId="2806517E">
      <w:pPr>
        <w:keepNext w:val="0"/>
        <w:keepLines w:val="0"/>
        <w:pageBreakBefore w:val="0"/>
        <w:widowControl/>
        <w:numPr>
          <w:ilvl w:val="0"/>
          <w:numId w:val="0"/>
        </w:numPr>
        <w:kinsoku/>
        <w:wordWrap/>
        <w:overflowPunct/>
        <w:topLinePunct w:val="0"/>
        <w:bidi w:val="0"/>
        <w:adjustRightInd w:val="0"/>
        <w:snapToGrid w:val="0"/>
        <w:spacing w:line="360" w:lineRule="auto"/>
        <w:ind w:left="0" w:leftChars="0" w:firstLine="422" w:firstLineChars="20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eastAsia="zh-CN"/>
        </w:rPr>
        <w:t>九、</w:t>
      </w:r>
      <w:r>
        <w:rPr>
          <w:rFonts w:hint="eastAsia" w:ascii="宋体" w:hAnsi="宋体" w:eastAsia="宋体" w:cs="宋体"/>
          <w:b/>
          <w:bCs/>
          <w:color w:val="auto"/>
          <w:kern w:val="0"/>
          <w:sz w:val="21"/>
          <w:szCs w:val="21"/>
        </w:rPr>
        <w:t>乙方的权利和义务</w:t>
      </w:r>
      <w:r>
        <w:rPr>
          <w:rFonts w:hint="eastAsia" w:ascii="宋体" w:hAnsi="宋体" w:eastAsia="宋体" w:cs="宋体"/>
          <w:b/>
          <w:bCs/>
          <w:color w:val="auto"/>
          <w:kern w:val="0"/>
          <w:sz w:val="21"/>
          <w:szCs w:val="21"/>
        </w:rPr>
        <w:tab/>
      </w:r>
    </w:p>
    <w:p w14:paraId="406E0EA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20"/>
        <w:jc w:val="left"/>
        <w:rPr>
          <w:rFonts w:hint="eastAsia" w:ascii="宋体" w:hAnsi="宋体" w:eastAsia="宋体" w:cs="宋体"/>
          <w:color w:val="auto"/>
          <w:kern w:val="2"/>
          <w:sz w:val="21"/>
          <w:szCs w:val="21"/>
          <w:lang w:val="en-US" w:eastAsia="zh-CN" w:bidi="ar"/>
        </w:rPr>
      </w:pPr>
      <w:r>
        <w:rPr>
          <w:rFonts w:hint="eastAsia" w:ascii="宋体" w:hAnsi="宋体" w:eastAsia="宋体" w:cs="宋体"/>
          <w:b w:val="0"/>
          <w:bCs w:val="0"/>
          <w:color w:val="auto"/>
          <w:kern w:val="0"/>
          <w:sz w:val="21"/>
          <w:szCs w:val="21"/>
          <w:highlight w:val="none"/>
          <w:lang w:val="en-US" w:eastAsia="zh-CN"/>
        </w:rPr>
        <w:t>1.</w:t>
      </w:r>
      <w:r>
        <w:rPr>
          <w:rFonts w:hint="eastAsia" w:ascii="宋体" w:hAnsi="宋体" w:eastAsia="宋体" w:cs="宋体"/>
          <w:color w:val="auto"/>
          <w:kern w:val="2"/>
          <w:sz w:val="21"/>
          <w:szCs w:val="21"/>
          <w:lang w:val="en-US" w:eastAsia="zh-CN" w:bidi="ar"/>
        </w:rPr>
        <w:t>服从甲方的工作安排，及时进场开展监理工作。</w:t>
      </w:r>
    </w:p>
    <w:p w14:paraId="5BC10284">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rPr>
          <w:rFonts w:hint="eastAsia" w:ascii="宋体" w:hAnsi="宋体" w:eastAsia="宋体" w:cs="宋体"/>
          <w:color w:val="auto"/>
          <w:sz w:val="21"/>
          <w:szCs w:val="21"/>
          <w:lang w:val="en-US"/>
        </w:rPr>
      </w:pPr>
      <w:r>
        <w:rPr>
          <w:rFonts w:hint="eastAsia" w:ascii="宋体" w:hAnsi="宋体" w:eastAsia="宋体" w:cs="宋体"/>
          <w:b w:val="0"/>
          <w:bCs w:val="0"/>
          <w:color w:val="auto"/>
          <w:kern w:val="0"/>
          <w:sz w:val="21"/>
          <w:szCs w:val="21"/>
          <w:highlight w:val="none"/>
          <w:lang w:val="en-US" w:eastAsia="zh-CN"/>
        </w:rPr>
        <w:t>2.</w:t>
      </w:r>
      <w:r>
        <w:rPr>
          <w:rFonts w:hint="eastAsia" w:ascii="宋体" w:hAnsi="宋体" w:eastAsia="宋体" w:cs="宋体"/>
          <w:color w:val="auto"/>
          <w:sz w:val="21"/>
          <w:szCs w:val="21"/>
          <w:highlight w:val="none"/>
          <w:lang w:eastAsia="zh-CN"/>
        </w:rPr>
        <w:t>严格按照《长沙市道路交通设施及占道施工交通安全管理工作指导意见》要求进行</w:t>
      </w:r>
      <w:r>
        <w:rPr>
          <w:rFonts w:hint="eastAsia" w:ascii="宋体" w:hAnsi="宋体" w:eastAsia="宋体" w:cs="宋体"/>
          <w:color w:val="auto"/>
          <w:sz w:val="21"/>
          <w:szCs w:val="21"/>
          <w:highlight w:val="none"/>
          <w:lang w:val="en-US" w:eastAsia="zh-CN"/>
        </w:rPr>
        <w:t>监理</w:t>
      </w:r>
      <w:r>
        <w:rPr>
          <w:rFonts w:hint="eastAsia" w:ascii="宋体" w:hAnsi="宋体" w:eastAsia="宋体" w:cs="宋体"/>
          <w:color w:val="auto"/>
          <w:sz w:val="21"/>
          <w:szCs w:val="21"/>
          <w:highlight w:val="none"/>
          <w:lang w:eastAsia="zh-CN"/>
        </w:rPr>
        <w:t>，确保安全文明生产。如《长沙市道路交通设施及占道施工交通安全管理工作指导意见》更新，</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应当</w:t>
      </w:r>
      <w:r>
        <w:rPr>
          <w:rFonts w:hint="eastAsia" w:ascii="宋体" w:hAnsi="宋体" w:eastAsia="宋体" w:cs="宋体"/>
          <w:color w:val="auto"/>
          <w:sz w:val="21"/>
          <w:szCs w:val="21"/>
          <w:highlight w:val="none"/>
          <w:lang w:eastAsia="zh-CN"/>
        </w:rPr>
        <w:t>按照</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最新制定的意见履行</w:t>
      </w:r>
      <w:r>
        <w:rPr>
          <w:rFonts w:hint="eastAsia" w:ascii="宋体" w:hAnsi="宋体" w:eastAsia="宋体" w:cs="宋体"/>
          <w:color w:val="auto"/>
          <w:sz w:val="21"/>
          <w:szCs w:val="21"/>
          <w:highlight w:val="none"/>
        </w:rPr>
        <w:t>。</w:t>
      </w:r>
    </w:p>
    <w:p w14:paraId="59899536">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b w:val="0"/>
          <w:bCs w:val="0"/>
          <w:color w:val="auto"/>
          <w:kern w:val="0"/>
          <w:sz w:val="21"/>
          <w:szCs w:val="21"/>
          <w:highlight w:val="none"/>
          <w:lang w:val="en-US" w:eastAsia="zh-CN"/>
        </w:rPr>
        <w:t>3.</w:t>
      </w:r>
      <w:r>
        <w:rPr>
          <w:rFonts w:hint="eastAsia" w:ascii="宋体" w:hAnsi="宋体" w:eastAsia="宋体" w:cs="宋体"/>
          <w:color w:val="auto"/>
          <w:kern w:val="2"/>
          <w:sz w:val="21"/>
          <w:szCs w:val="21"/>
          <w:lang w:val="en-US" w:eastAsia="zh-CN" w:bidi="ar"/>
        </w:rPr>
        <w:t>接受甲方按《长沙市公安局交通警察支队交通设施项目监理单位考核管理办法》进行考核，</w:t>
      </w:r>
      <w:r>
        <w:rPr>
          <w:rFonts w:hint="eastAsia" w:ascii="宋体" w:hAnsi="宋体" w:eastAsia="宋体" w:cs="宋体"/>
          <w:color w:val="auto"/>
          <w:sz w:val="21"/>
          <w:szCs w:val="21"/>
          <w:highlight w:val="none"/>
          <w:lang w:eastAsia="zh-CN"/>
        </w:rPr>
        <w:t>并对考核中存在的问题积极响应及整改。</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出现考核管理办法中的“一票否决”情形时，甲方有权终止合同，</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除应当承担违约损失赔偿外，在下一个</w:t>
      </w:r>
      <w:r>
        <w:rPr>
          <w:rFonts w:hint="eastAsia" w:ascii="宋体" w:hAnsi="宋体" w:eastAsia="宋体" w:cs="宋体"/>
          <w:color w:val="auto"/>
          <w:sz w:val="21"/>
          <w:szCs w:val="21"/>
          <w:highlight w:val="none"/>
          <w:lang w:val="en-US" w:eastAsia="zh-CN"/>
        </w:rPr>
        <w:t>监理</w:t>
      </w:r>
      <w:r>
        <w:rPr>
          <w:rFonts w:hint="eastAsia" w:ascii="宋体" w:hAnsi="宋体" w:eastAsia="宋体" w:cs="宋体"/>
          <w:color w:val="auto"/>
          <w:sz w:val="21"/>
          <w:szCs w:val="21"/>
          <w:highlight w:val="none"/>
          <w:lang w:eastAsia="zh-CN"/>
        </w:rPr>
        <w:t>企业正式进场前，</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应当做好衔接配合事宜，并承担该期间造成的损失和发生的所有费用。</w:t>
      </w:r>
    </w:p>
    <w:p w14:paraId="76D87CE3">
      <w:pPr>
        <w:keepNext w:val="0"/>
        <w:keepLines w:val="0"/>
        <w:pageBreakBefore w:val="0"/>
        <w:widowControl w:val="0"/>
        <w:kinsoku/>
        <w:wordWrap/>
        <w:overflowPunct/>
        <w:topLinePunct w:val="0"/>
        <w:autoSpaceDE/>
        <w:autoSpaceDN/>
        <w:bidi w:val="0"/>
        <w:adjustRightInd w:val="0"/>
        <w:snapToGrid w:val="0"/>
        <w:spacing w:line="360" w:lineRule="auto"/>
        <w:ind w:leftChars="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4.</w:t>
      </w:r>
      <w:r>
        <w:rPr>
          <w:rFonts w:hint="eastAsia" w:ascii="宋体" w:hAnsi="宋体" w:eastAsia="宋体" w:cs="宋体"/>
          <w:color w:val="auto"/>
          <w:sz w:val="21"/>
          <w:szCs w:val="21"/>
          <w:highlight w:val="none"/>
          <w:lang w:val="en-US" w:eastAsia="zh-CN"/>
        </w:rPr>
        <w:t>乙方在服务过程中接触到的涉及国家机密、警务秘密、案件信息、公民个人信息等资料，均应当履行保密义务。因乙方原因发生失密、泄密情形时，乙方应当承担全部责任。</w:t>
      </w:r>
    </w:p>
    <w:p w14:paraId="12D4CB27">
      <w:pPr>
        <w:keepNext w:val="0"/>
        <w:keepLines w:val="0"/>
        <w:pageBreakBefore w:val="0"/>
        <w:widowControl w:val="0"/>
        <w:kinsoku/>
        <w:wordWrap/>
        <w:overflowPunct/>
        <w:topLinePunct w:val="0"/>
        <w:autoSpaceDE/>
        <w:autoSpaceDN/>
        <w:bidi w:val="0"/>
        <w:adjustRightInd w:val="0"/>
        <w:snapToGrid w:val="0"/>
        <w:spacing w:after="120" w:line="360" w:lineRule="auto"/>
        <w:ind w:leftChars="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5.凡因乙方原因，导致交通设施</w:t>
      </w:r>
      <w:r>
        <w:rPr>
          <w:rFonts w:hint="eastAsia" w:ascii="宋体" w:hAnsi="宋体" w:eastAsia="宋体" w:cs="宋体"/>
          <w:color w:val="auto"/>
          <w:kern w:val="2"/>
          <w:sz w:val="21"/>
          <w:szCs w:val="21"/>
          <w:lang w:val="en-US" w:eastAsia="zh-CN" w:bidi="ar"/>
        </w:rPr>
        <w:t>维护维修项目监理无法正常进行或引发纠纷、造成负面影响等事件发生，由</w:t>
      </w:r>
      <w:r>
        <w:rPr>
          <w:rFonts w:hint="eastAsia" w:ascii="宋体" w:hAnsi="宋体" w:eastAsia="宋体" w:cs="宋体"/>
          <w:color w:val="auto"/>
          <w:kern w:val="2"/>
          <w:sz w:val="21"/>
          <w:szCs w:val="21"/>
          <w:highlight w:val="none"/>
          <w:lang w:val="en-US" w:eastAsia="zh-CN" w:bidi="ar-SA"/>
        </w:rPr>
        <w:t>乙方承担所有损失并对甲方进行赔偿。且甲方有权终止合同。</w:t>
      </w:r>
    </w:p>
    <w:p w14:paraId="1A3C4047">
      <w:pPr>
        <w:keepNext w:val="0"/>
        <w:keepLines w:val="0"/>
        <w:pageBreakBefore w:val="0"/>
        <w:widowControl w:val="0"/>
        <w:kinsoku/>
        <w:wordWrap/>
        <w:overflowPunct/>
        <w:topLinePunct w:val="0"/>
        <w:autoSpaceDE/>
        <w:autoSpaceDN/>
        <w:bidi w:val="0"/>
        <w:adjustRightInd w:val="0"/>
        <w:snapToGrid w:val="0"/>
        <w:spacing w:after="120" w:line="380" w:lineRule="exact"/>
        <w:ind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6.</w:t>
      </w:r>
      <w:r>
        <w:rPr>
          <w:rFonts w:hint="eastAsia" w:ascii="宋体" w:hAnsi="宋体" w:eastAsia="宋体" w:cs="宋体"/>
          <w:b w:val="0"/>
          <w:bCs w:val="0"/>
          <w:color w:val="auto"/>
          <w:kern w:val="2"/>
          <w:sz w:val="21"/>
          <w:szCs w:val="21"/>
          <w:highlight w:val="none"/>
          <w:lang w:val="en-US" w:eastAsia="zh-CN" w:bidi="ar-SA"/>
        </w:rPr>
        <w:t>制定完善的项目管理制度，其中应包括且不限于安全生产、岗位责任、培训、廉洁、保密等方面，并提交项目相关的人员、设备等台账。</w:t>
      </w:r>
    </w:p>
    <w:p w14:paraId="435D51C4">
      <w:pPr>
        <w:keepNext w:val="0"/>
        <w:keepLines w:val="0"/>
        <w:pageBreakBefore w:val="0"/>
        <w:widowControl w:val="0"/>
        <w:kinsoku/>
        <w:wordWrap/>
        <w:overflowPunct/>
        <w:topLinePunct w:val="0"/>
        <w:autoSpaceDE/>
        <w:autoSpaceDN/>
        <w:bidi w:val="0"/>
        <w:adjustRightInd w:val="0"/>
        <w:snapToGrid w:val="0"/>
        <w:spacing w:line="380" w:lineRule="exact"/>
        <w:ind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7.</w:t>
      </w:r>
      <w:r>
        <w:rPr>
          <w:rFonts w:hint="eastAsia" w:ascii="宋体" w:hAnsi="宋体" w:eastAsia="宋体" w:cs="宋体"/>
          <w:color w:val="auto"/>
          <w:sz w:val="21"/>
          <w:szCs w:val="21"/>
          <w:highlight w:val="none"/>
          <w:lang w:val="en-US" w:eastAsia="zh-CN"/>
        </w:rPr>
        <w:t>协调交通设施项目所涉及的各服务单位之间的工作关系，协调项目服务过程中的各类争议、纠纷，</w:t>
      </w:r>
      <w:r>
        <w:rPr>
          <w:rFonts w:hint="eastAsia" w:ascii="宋体" w:hAnsi="宋体" w:eastAsia="宋体" w:cs="宋体"/>
          <w:color w:val="auto"/>
          <w:spacing w:val="0"/>
          <w:sz w:val="21"/>
          <w:szCs w:val="21"/>
          <w:highlight w:val="none"/>
          <w:lang w:val="en-US" w:eastAsia="zh-CN" w:bidi="ar-SA"/>
        </w:rPr>
        <w:t>协调处理索赔事项。</w:t>
      </w:r>
    </w:p>
    <w:p w14:paraId="10B3CCB6">
      <w:pPr>
        <w:keepNext w:val="0"/>
        <w:keepLines w:val="0"/>
        <w:pageBreakBefore w:val="0"/>
        <w:widowControl w:val="0"/>
        <w:numPr>
          <w:ilvl w:val="0"/>
          <w:numId w:val="0"/>
        </w:numPr>
        <w:kinsoku/>
        <w:wordWrap/>
        <w:overflowPunct/>
        <w:topLinePunct w:val="0"/>
        <w:autoSpaceDE/>
        <w:autoSpaceDN/>
        <w:bidi w:val="0"/>
        <w:adjustRightInd w:val="0"/>
        <w:snapToGrid w:val="0"/>
        <w:spacing w:line="380" w:lineRule="exact"/>
        <w:ind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8.</w:t>
      </w:r>
      <w:r>
        <w:rPr>
          <w:rFonts w:hint="eastAsia" w:ascii="宋体" w:hAnsi="宋体" w:eastAsia="宋体" w:cs="宋体"/>
          <w:color w:val="auto"/>
          <w:kern w:val="2"/>
          <w:sz w:val="21"/>
          <w:szCs w:val="21"/>
          <w:highlight w:val="none"/>
          <w:lang w:val="en-US" w:eastAsia="zh-CN" w:bidi="ar-SA"/>
        </w:rPr>
        <w:t>制定科学、详细的监理大纲及监理计划，编制各类监理工作表格、文件。组织相关会议，完成周报、月报及阶段性工作总结，并及时将上报材料及形成的影像资料提交甲方。</w:t>
      </w:r>
    </w:p>
    <w:p w14:paraId="088CD035">
      <w:pPr>
        <w:keepNext w:val="0"/>
        <w:keepLines w:val="0"/>
        <w:pageBreakBefore w:val="0"/>
        <w:widowControl w:val="0"/>
        <w:numPr>
          <w:ilvl w:val="0"/>
          <w:numId w:val="0"/>
        </w:numPr>
        <w:kinsoku/>
        <w:wordWrap/>
        <w:overflowPunct/>
        <w:topLinePunct w:val="0"/>
        <w:autoSpaceDE/>
        <w:autoSpaceDN/>
        <w:bidi w:val="0"/>
        <w:adjustRightInd w:val="0"/>
        <w:snapToGrid w:val="0"/>
        <w:spacing w:line="380" w:lineRule="exact"/>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9.</w:t>
      </w:r>
      <w:r>
        <w:rPr>
          <w:rFonts w:hint="eastAsia" w:ascii="宋体" w:hAnsi="宋体" w:eastAsia="宋体" w:cs="宋体"/>
          <w:color w:val="auto"/>
          <w:kern w:val="2"/>
          <w:sz w:val="21"/>
          <w:szCs w:val="21"/>
          <w:highlight w:val="none"/>
          <w:lang w:val="en-US" w:eastAsia="zh-CN" w:bidi="ar-SA"/>
        </w:rPr>
        <w:t>检查施工单位工程质量控制及安全生产管理措施的可行性；</w:t>
      </w:r>
      <w:r>
        <w:rPr>
          <w:rFonts w:hint="eastAsia" w:ascii="宋体" w:hAnsi="宋体" w:eastAsia="宋体" w:cs="宋体"/>
          <w:color w:val="auto"/>
          <w:spacing w:val="0"/>
          <w:sz w:val="21"/>
          <w:szCs w:val="21"/>
          <w:highlight w:val="none"/>
          <w:lang w:val="en-US" w:eastAsia="zh-CN" w:bidi="ar-SA"/>
        </w:rPr>
        <w:t>督促施工单位提供专业的交通设施设计方案及图纸,并参与会审；</w:t>
      </w:r>
      <w:r>
        <w:rPr>
          <w:rFonts w:hint="eastAsia" w:ascii="宋体" w:hAnsi="宋体" w:eastAsia="宋体" w:cs="宋体"/>
          <w:color w:val="auto"/>
          <w:kern w:val="2"/>
          <w:sz w:val="21"/>
          <w:szCs w:val="21"/>
          <w:highlight w:val="none"/>
          <w:lang w:val="en-US" w:eastAsia="zh-CN" w:bidi="ar-SA"/>
        </w:rPr>
        <w:t>审查工程开工条件，将情况上报甲方。</w:t>
      </w:r>
    </w:p>
    <w:p w14:paraId="0C8A9E4B">
      <w:pPr>
        <w:keepNext w:val="0"/>
        <w:keepLines w:val="0"/>
        <w:pageBreakBefore w:val="0"/>
        <w:widowControl w:val="0"/>
        <w:numPr>
          <w:ilvl w:val="0"/>
          <w:numId w:val="0"/>
        </w:numPr>
        <w:kinsoku/>
        <w:wordWrap/>
        <w:overflowPunct/>
        <w:topLinePunct w:val="0"/>
        <w:autoSpaceDE/>
        <w:autoSpaceDN/>
        <w:bidi w:val="0"/>
        <w:adjustRightInd w:val="0"/>
        <w:snapToGrid w:val="0"/>
        <w:spacing w:line="380" w:lineRule="exact"/>
        <w:ind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10.</w:t>
      </w:r>
      <w:r>
        <w:rPr>
          <w:rFonts w:hint="eastAsia" w:ascii="宋体" w:hAnsi="宋体" w:eastAsia="宋体" w:cs="宋体"/>
          <w:color w:val="auto"/>
          <w:spacing w:val="0"/>
          <w:sz w:val="21"/>
          <w:szCs w:val="21"/>
          <w:highlight w:val="none"/>
          <w:lang w:val="en-US" w:eastAsia="zh-CN" w:bidi="ar-SA"/>
        </w:rPr>
        <w:t>督促施工单位根据项目提前做好资源（设备、材料、车辆、工具等）的准备工作，</w:t>
      </w:r>
      <w:r>
        <w:rPr>
          <w:rFonts w:hint="eastAsia" w:ascii="宋体" w:hAnsi="宋体" w:eastAsia="宋体" w:cs="宋体"/>
          <w:color w:val="auto"/>
          <w:kern w:val="2"/>
          <w:sz w:val="21"/>
          <w:szCs w:val="21"/>
          <w:highlight w:val="none"/>
          <w:lang w:val="en-US" w:eastAsia="zh-CN" w:bidi="ar-SA"/>
        </w:rPr>
        <w:t>对交通设施维护项目的施工单位的材料和设备物资提出质量要求，</w:t>
      </w:r>
      <w:r>
        <w:rPr>
          <w:rFonts w:hint="eastAsia" w:ascii="宋体" w:hAnsi="宋体" w:eastAsia="宋体" w:cs="宋体"/>
          <w:color w:val="auto"/>
          <w:spacing w:val="0"/>
          <w:sz w:val="21"/>
          <w:szCs w:val="21"/>
          <w:highlight w:val="none"/>
          <w:lang w:val="en-US" w:eastAsia="zh-CN" w:bidi="ar-SA"/>
        </w:rPr>
        <w:t>对到场的设备、材料进行验收。</w:t>
      </w:r>
    </w:p>
    <w:p w14:paraId="133BB7B2">
      <w:pPr>
        <w:keepNext w:val="0"/>
        <w:keepLines w:val="0"/>
        <w:pageBreakBefore w:val="0"/>
        <w:widowControl w:val="0"/>
        <w:numPr>
          <w:ilvl w:val="0"/>
          <w:numId w:val="0"/>
        </w:numPr>
        <w:kinsoku/>
        <w:wordWrap/>
        <w:overflowPunct/>
        <w:topLinePunct w:val="0"/>
        <w:autoSpaceDE/>
        <w:autoSpaceDN/>
        <w:bidi w:val="0"/>
        <w:adjustRightInd w:val="0"/>
        <w:snapToGrid w:val="0"/>
        <w:spacing w:line="380" w:lineRule="exact"/>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11.</w:t>
      </w:r>
      <w:r>
        <w:rPr>
          <w:rFonts w:hint="eastAsia" w:ascii="宋体" w:hAnsi="宋体" w:eastAsia="宋体" w:cs="宋体"/>
          <w:color w:val="auto"/>
          <w:spacing w:val="0"/>
          <w:sz w:val="21"/>
          <w:szCs w:val="21"/>
          <w:highlight w:val="none"/>
          <w:lang w:val="en-US" w:eastAsia="zh-CN" w:bidi="ar-SA"/>
        </w:rPr>
        <w:t>对施工单位的项目经理、质量管理、安全管理、施工管理等现场管理人员进行资质审核，</w:t>
      </w:r>
      <w:r>
        <w:rPr>
          <w:rFonts w:hint="eastAsia" w:ascii="宋体" w:hAnsi="宋体" w:eastAsia="宋体" w:cs="宋体"/>
          <w:color w:val="auto"/>
          <w:kern w:val="2"/>
          <w:sz w:val="21"/>
          <w:szCs w:val="21"/>
          <w:highlight w:val="none"/>
          <w:lang w:val="en-US" w:eastAsia="zh-CN" w:bidi="ar-SA"/>
        </w:rPr>
        <w:t>监督施工单位严格按工期组织施工，检查施工单位工程实施状况、人员与实施方案的一致性，</w:t>
      </w:r>
      <w:r>
        <w:rPr>
          <w:rFonts w:hint="eastAsia" w:ascii="宋体" w:hAnsi="宋体" w:eastAsia="宋体" w:cs="宋体"/>
          <w:color w:val="auto"/>
          <w:spacing w:val="0"/>
          <w:sz w:val="21"/>
          <w:szCs w:val="21"/>
          <w:highlight w:val="none"/>
          <w:lang w:val="en-US" w:eastAsia="zh-CN" w:bidi="ar-SA"/>
        </w:rPr>
        <w:t>督促施工单位根据项目科学合理的安排人员；</w:t>
      </w:r>
      <w:r>
        <w:rPr>
          <w:rFonts w:hint="eastAsia" w:ascii="宋体" w:hAnsi="宋体" w:eastAsia="宋体" w:cs="宋体"/>
          <w:color w:val="auto"/>
          <w:kern w:val="2"/>
          <w:sz w:val="21"/>
          <w:szCs w:val="21"/>
          <w:highlight w:val="none"/>
          <w:lang w:val="en-US" w:eastAsia="zh-CN" w:bidi="ar-SA"/>
        </w:rPr>
        <w:t>审查施工单位提交的施工进度计划，核查施工单位对施工进度计划的调整；</w:t>
      </w:r>
      <w:r>
        <w:rPr>
          <w:rFonts w:hint="eastAsia" w:ascii="宋体" w:hAnsi="宋体" w:eastAsia="宋体" w:cs="宋体"/>
          <w:color w:val="auto"/>
          <w:kern w:val="2"/>
          <w:sz w:val="21"/>
          <w:szCs w:val="21"/>
          <w:highlight w:val="none"/>
          <w:lang w:val="en-US" w:eastAsia="zh-CN" w:bidi="ar-SA"/>
        </w:rPr>
        <w:t>现场核查施工单位维护、维修、清洗交通设施是否按照规范进行。</w:t>
      </w:r>
    </w:p>
    <w:p w14:paraId="33417AD7">
      <w:pPr>
        <w:keepNext w:val="0"/>
        <w:keepLines w:val="0"/>
        <w:pageBreakBefore w:val="0"/>
        <w:widowControl w:val="0"/>
        <w:numPr>
          <w:ilvl w:val="0"/>
          <w:numId w:val="0"/>
        </w:numPr>
        <w:kinsoku/>
        <w:wordWrap/>
        <w:overflowPunct/>
        <w:topLinePunct w:val="0"/>
        <w:autoSpaceDE/>
        <w:autoSpaceDN/>
        <w:bidi w:val="0"/>
        <w:adjustRightInd w:val="0"/>
        <w:snapToGrid w:val="0"/>
        <w:spacing w:line="380" w:lineRule="exact"/>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12.</w:t>
      </w:r>
      <w:r>
        <w:rPr>
          <w:rFonts w:hint="eastAsia" w:ascii="宋体" w:hAnsi="宋体" w:eastAsia="宋体" w:cs="宋体"/>
          <w:color w:val="auto"/>
          <w:kern w:val="2"/>
          <w:sz w:val="21"/>
          <w:szCs w:val="21"/>
          <w:highlight w:val="none"/>
          <w:lang w:val="en-US" w:eastAsia="zh-CN" w:bidi="ar-SA"/>
        </w:rPr>
        <w:t>审查施工单位报送的项目材料、设施设备的质量证明资料，抽检进场的项目材料、设施设备的质量，并签字确认；对发现的质量问题应及时通知施工单位整改，做好监理记录，并立即报告甲方。</w:t>
      </w:r>
    </w:p>
    <w:p w14:paraId="22E9E517">
      <w:pPr>
        <w:keepNext w:val="0"/>
        <w:keepLines w:val="0"/>
        <w:pageBreakBefore w:val="0"/>
        <w:widowControl w:val="0"/>
        <w:numPr>
          <w:ilvl w:val="0"/>
          <w:numId w:val="0"/>
        </w:numPr>
        <w:kinsoku/>
        <w:wordWrap/>
        <w:overflowPunct/>
        <w:topLinePunct w:val="0"/>
        <w:autoSpaceDE/>
        <w:autoSpaceDN/>
        <w:bidi w:val="0"/>
        <w:adjustRightInd w:val="0"/>
        <w:snapToGrid w:val="0"/>
        <w:spacing w:line="380" w:lineRule="exact"/>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13.</w:t>
      </w:r>
      <w:r>
        <w:rPr>
          <w:rFonts w:hint="eastAsia" w:ascii="宋体" w:hAnsi="宋体" w:eastAsia="宋体" w:cs="宋体"/>
          <w:color w:val="auto"/>
          <w:kern w:val="2"/>
          <w:sz w:val="21"/>
          <w:szCs w:val="21"/>
          <w:highlight w:val="none"/>
          <w:lang w:val="en-US" w:eastAsia="zh-CN" w:bidi="ar-SA"/>
        </w:rPr>
        <w:t>按照国标规定和环保相关要求，做好交通设施材料、反光性、厚度、重量检测，定期上报甲方近期交通设施用料质量检测情况；配合甲方做好施工质量管理，及时下发整改、停工通知书，并督促问题单位及时整改，对于问题较大的单位，按照交通设施维护维修项目合同进行违约行为处理，并做好交通设施维护质量控制。</w:t>
      </w:r>
    </w:p>
    <w:p w14:paraId="0A8A44B4">
      <w:pPr>
        <w:keepNext w:val="0"/>
        <w:keepLines w:val="0"/>
        <w:pageBreakBefore w:val="0"/>
        <w:widowControl w:val="0"/>
        <w:numPr>
          <w:ilvl w:val="0"/>
          <w:numId w:val="0"/>
        </w:numPr>
        <w:kinsoku/>
        <w:wordWrap/>
        <w:overflowPunct/>
        <w:topLinePunct w:val="0"/>
        <w:autoSpaceDE/>
        <w:autoSpaceDN/>
        <w:bidi w:val="0"/>
        <w:adjustRightInd w:val="0"/>
        <w:snapToGrid w:val="0"/>
        <w:spacing w:line="380" w:lineRule="exact"/>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14.</w:t>
      </w:r>
      <w:r>
        <w:rPr>
          <w:rFonts w:hint="eastAsia" w:ascii="宋体" w:hAnsi="宋体" w:eastAsia="宋体" w:cs="宋体"/>
          <w:color w:val="auto"/>
          <w:kern w:val="2"/>
          <w:sz w:val="21"/>
          <w:szCs w:val="21"/>
          <w:highlight w:val="none"/>
          <w:lang w:val="en-US" w:eastAsia="zh-CN" w:bidi="ar-SA"/>
        </w:rPr>
        <w:t>按照甲方要求上报施工进度报告，报告内容应包含工程量汇总、交通设施维护情况总结等。每月应核准当月施工最终工程量报甲方，确保工程量准确。</w:t>
      </w:r>
    </w:p>
    <w:p w14:paraId="5912D94E">
      <w:pPr>
        <w:keepNext w:val="0"/>
        <w:keepLines w:val="0"/>
        <w:pageBreakBefore w:val="0"/>
        <w:widowControl w:val="0"/>
        <w:numPr>
          <w:ilvl w:val="0"/>
          <w:numId w:val="0"/>
        </w:numPr>
        <w:kinsoku/>
        <w:wordWrap/>
        <w:overflowPunct/>
        <w:topLinePunct w:val="0"/>
        <w:autoSpaceDE/>
        <w:autoSpaceDN/>
        <w:bidi w:val="0"/>
        <w:adjustRightInd w:val="0"/>
        <w:snapToGrid w:val="0"/>
        <w:spacing w:line="380" w:lineRule="exact"/>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15.</w:t>
      </w:r>
      <w:r>
        <w:rPr>
          <w:rFonts w:hint="eastAsia" w:ascii="宋体" w:hAnsi="宋体" w:eastAsia="宋体" w:cs="宋体"/>
          <w:color w:val="auto"/>
          <w:kern w:val="2"/>
          <w:sz w:val="21"/>
          <w:szCs w:val="21"/>
          <w:highlight w:val="none"/>
          <w:lang w:val="en-US" w:eastAsia="zh-CN" w:bidi="ar-SA"/>
        </w:rPr>
        <w:t>对施工单位安全生产管理进行监督；督促施工单位进行</w:t>
      </w:r>
      <w:r>
        <w:rPr>
          <w:rFonts w:hint="eastAsia" w:ascii="宋体" w:hAnsi="宋体" w:eastAsia="宋体" w:cs="宋体"/>
          <w:bCs/>
          <w:color w:val="auto"/>
          <w:spacing w:val="0"/>
          <w:sz w:val="21"/>
          <w:szCs w:val="21"/>
          <w:highlight w:val="none"/>
          <w:lang w:val="en-US" w:eastAsia="zh-CN" w:bidi="ar-SA"/>
        </w:rPr>
        <w:t>安全教育和</w:t>
      </w:r>
      <w:r>
        <w:rPr>
          <w:rFonts w:hint="eastAsia" w:ascii="宋体" w:hAnsi="宋体" w:eastAsia="宋体" w:cs="宋体"/>
          <w:color w:val="auto"/>
          <w:kern w:val="2"/>
          <w:sz w:val="21"/>
          <w:szCs w:val="21"/>
          <w:highlight w:val="none"/>
          <w:lang w:val="en-US" w:eastAsia="zh-CN" w:bidi="ar-SA"/>
        </w:rPr>
        <w:t>安全自查工作，巡视巡查施工现场安全生产情况；对实施监理过程中发现存在安全事故隐患的，应签发书面通知单，要求施工单位整改；情况严重的要及时下达工程暂停指令，并上报甲方；参与</w:t>
      </w:r>
      <w:r>
        <w:rPr>
          <w:rFonts w:hint="eastAsia" w:ascii="宋体" w:hAnsi="宋体" w:eastAsia="宋体" w:cs="宋体"/>
          <w:bCs/>
          <w:color w:val="auto"/>
          <w:spacing w:val="0"/>
          <w:sz w:val="21"/>
          <w:szCs w:val="21"/>
          <w:highlight w:val="none"/>
          <w:lang w:val="en-US" w:eastAsia="zh-CN" w:bidi="ar-SA"/>
        </w:rPr>
        <w:t>项目安全事故的调查与处理。</w:t>
      </w:r>
    </w:p>
    <w:p w14:paraId="5D0EFAFC">
      <w:pPr>
        <w:keepNext w:val="0"/>
        <w:keepLines w:val="0"/>
        <w:pageBreakBefore w:val="0"/>
        <w:widowControl w:val="0"/>
        <w:numPr>
          <w:ilvl w:val="0"/>
          <w:numId w:val="0"/>
        </w:numPr>
        <w:kinsoku/>
        <w:wordWrap/>
        <w:overflowPunct/>
        <w:topLinePunct w:val="0"/>
        <w:autoSpaceDE/>
        <w:autoSpaceDN/>
        <w:bidi w:val="0"/>
        <w:adjustRightInd w:val="0"/>
        <w:snapToGrid w:val="0"/>
        <w:spacing w:line="380" w:lineRule="exact"/>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16.</w:t>
      </w:r>
      <w:r>
        <w:rPr>
          <w:rFonts w:hint="eastAsia" w:ascii="宋体" w:hAnsi="宋体" w:eastAsia="宋体" w:cs="宋体"/>
          <w:color w:val="auto"/>
          <w:kern w:val="2"/>
          <w:sz w:val="21"/>
          <w:szCs w:val="21"/>
          <w:highlight w:val="none"/>
          <w:lang w:val="en-US" w:eastAsia="zh-CN" w:bidi="ar-SA"/>
        </w:rPr>
        <w:t>及时审核工程量，</w:t>
      </w:r>
      <w:r>
        <w:rPr>
          <w:rFonts w:hint="eastAsia" w:ascii="Calibri" w:hAnsi="Calibri" w:eastAsia="宋体" w:cs="Times New Roman"/>
          <w:color w:val="auto"/>
          <w:lang w:val="en-US" w:eastAsia="zh-CN"/>
        </w:rPr>
        <w:t>配合甲方</w:t>
      </w:r>
      <w:r>
        <w:rPr>
          <w:rFonts w:hint="eastAsia" w:ascii="宋体" w:hAnsi="宋体" w:eastAsia="宋体" w:cs="宋体"/>
          <w:color w:val="auto"/>
          <w:kern w:val="2"/>
          <w:sz w:val="21"/>
          <w:szCs w:val="21"/>
          <w:highlight w:val="none"/>
          <w:lang w:val="en-US" w:eastAsia="zh-CN" w:bidi="ar-SA"/>
        </w:rPr>
        <w:t>组织验收工作。督促和检查施工单位及时整理竣工文件和验收资料；审查施工单位提交的竣工验收申请，对竣工量进行确认；组织工程预验收，并签署竣工验收意见；</w:t>
      </w:r>
      <w:r>
        <w:rPr>
          <w:rFonts w:hint="eastAsia" w:ascii="Calibri" w:hAnsi="Calibri" w:eastAsia="宋体" w:cs="Times New Roman"/>
          <w:color w:val="auto"/>
          <w:lang w:val="en-US" w:eastAsia="zh-CN"/>
        </w:rPr>
        <w:t>配合</w:t>
      </w:r>
      <w:r>
        <w:rPr>
          <w:rFonts w:hint="eastAsia" w:ascii="宋体" w:hAnsi="宋体" w:eastAsia="宋体" w:cs="宋体"/>
          <w:color w:val="auto"/>
          <w:kern w:val="2"/>
          <w:sz w:val="21"/>
          <w:szCs w:val="21"/>
          <w:highlight w:val="none"/>
          <w:lang w:val="en-US" w:eastAsia="zh-CN" w:bidi="ar-SA"/>
        </w:rPr>
        <w:t>组织交通设施维护验收工作，验收完毕后及时编制各类验收清单，工程量清单表，整理项目监理归档文件并提交给甲方。逾期未完成验收视为验收不合格。乙方应对其审核确认的工程量和验收结果负责，如因乙方审核不严或验收不当导致工程质量问题或工程量核算错误，乙方应承担相应的赔偿责任，包括但不限于返工费用、材料损失、延误工期造成的损失等，并支付相当于错误工程量或质量问题造成损失金额的20%作为违约金。</w:t>
      </w:r>
    </w:p>
    <w:p w14:paraId="014C4159">
      <w:pPr>
        <w:keepNext w:val="0"/>
        <w:keepLines w:val="0"/>
        <w:pageBreakBefore w:val="0"/>
        <w:widowControl w:val="0"/>
        <w:kinsoku/>
        <w:wordWrap/>
        <w:overflowPunct/>
        <w:topLinePunct w:val="0"/>
        <w:autoSpaceDE/>
        <w:autoSpaceDN/>
        <w:bidi w:val="0"/>
        <w:adjustRightInd w:val="0"/>
        <w:snapToGrid w:val="0"/>
        <w:spacing w:beforeAutospacing="0" w:after="0" w:line="366" w:lineRule="exact"/>
        <w:ind w:leftChars="0" w:firstLine="420" w:firstLineChars="200"/>
        <w:jc w:val="both"/>
        <w:textAlignment w:val="baseline"/>
        <w:rPr>
          <w:rFonts w:hint="eastAsia" w:ascii="宋体" w:hAnsi="宋体" w:eastAsia="宋体" w:cs="宋体"/>
          <w:color w:val="auto"/>
          <w:spacing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17.</w:t>
      </w:r>
      <w:r>
        <w:rPr>
          <w:rFonts w:hint="eastAsia" w:ascii="宋体" w:hAnsi="宋体" w:eastAsia="宋体" w:cs="宋体"/>
          <w:color w:val="auto"/>
          <w:kern w:val="2"/>
          <w:sz w:val="21"/>
          <w:szCs w:val="21"/>
          <w:highlight w:val="none"/>
          <w:lang w:val="en-US" w:eastAsia="zh-CN" w:bidi="ar-SA"/>
        </w:rPr>
        <w:t>在交通设施质保期内，乙方应每月至少进行一次全面巡查，并形成书面巡查报告提交给采购人。对存在问题的点位，乙方应在发现问题后24小时内通知施工单位和采购人，并在3个工作日内提出整改方案，督促施工单位在规定时间内完成整改，确保交通设施在质保期内满足使用功能。如因乙方未尽到巡查义务或未及时发现并报告问题导致交通设施损坏或引发安全事故，乙方应承担相应的赔偿责任，并支付每次事故5万元的违约金。质保期结束前，乙方应组织一次全面检查，并出具质保期满检查报告。</w:t>
      </w:r>
    </w:p>
    <w:p w14:paraId="4A574D8A">
      <w:pPr>
        <w:keepNext w:val="0"/>
        <w:keepLines w:val="0"/>
        <w:pageBreakBefore w:val="0"/>
        <w:widowControl w:val="0"/>
        <w:kinsoku/>
        <w:wordWrap/>
        <w:overflowPunct/>
        <w:topLinePunct w:val="0"/>
        <w:autoSpaceDE/>
        <w:autoSpaceDN/>
        <w:bidi w:val="0"/>
        <w:adjustRightInd w:val="0"/>
        <w:snapToGrid w:val="0"/>
        <w:spacing w:beforeAutospacing="0" w:line="366" w:lineRule="exact"/>
        <w:ind w:left="0" w:leftChars="0" w:firstLine="420" w:firstLineChars="200"/>
        <w:textAlignment w:val="baseline"/>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18.</w:t>
      </w:r>
      <w:r>
        <w:rPr>
          <w:rFonts w:hint="eastAsia" w:ascii="宋体" w:hAnsi="宋体" w:eastAsia="宋体" w:cs="宋体"/>
          <w:color w:val="auto"/>
          <w:kern w:val="2"/>
          <w:sz w:val="21"/>
          <w:szCs w:val="21"/>
          <w:highlight w:val="none"/>
          <w:lang w:val="en-US" w:eastAsia="zh-CN" w:bidi="ar-SA"/>
        </w:rPr>
        <w:t>负责甲方交通设施创新等工作的监理、咨询、服务和全过程管控工作。</w:t>
      </w:r>
    </w:p>
    <w:p w14:paraId="236D18B2">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0" w:line="366" w:lineRule="exact"/>
        <w:ind w:left="0" w:leftChars="0" w:firstLine="420" w:firstLineChars="200"/>
        <w:jc w:val="both"/>
        <w:textAlignment w:val="baseline"/>
        <w:rPr>
          <w:rFonts w:hint="eastAsia" w:ascii="宋体" w:hAnsi="宋体" w:eastAsia="宋体" w:cs="宋体"/>
          <w:color w:val="auto"/>
          <w:spacing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19.</w:t>
      </w:r>
      <w:r>
        <w:rPr>
          <w:rFonts w:hint="eastAsia" w:ascii="宋体" w:hAnsi="宋体" w:eastAsia="宋体" w:cs="宋体"/>
          <w:color w:val="auto"/>
          <w:spacing w:val="0"/>
          <w:sz w:val="21"/>
          <w:szCs w:val="21"/>
          <w:highlight w:val="none"/>
          <w:lang w:val="en-US" w:eastAsia="zh-CN" w:bidi="ar-SA"/>
        </w:rPr>
        <w:t>负责对所监理项目变更的合理性、影响、经济可行性、技术可行性进行分析；对于所监理项目合理的变更参与审核；监督所监理项目变更实施。</w:t>
      </w:r>
    </w:p>
    <w:p w14:paraId="4E7DC78E">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0" w:line="366" w:lineRule="exact"/>
        <w:ind w:left="0" w:leftChars="0" w:firstLine="420" w:firstLineChars="200"/>
        <w:jc w:val="both"/>
        <w:textAlignment w:val="baseline"/>
        <w:rPr>
          <w:rFonts w:hint="eastAsia" w:ascii="宋体" w:hAnsi="宋体" w:eastAsia="宋体" w:cs="宋体"/>
          <w:color w:val="auto"/>
          <w:spacing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20.</w:t>
      </w:r>
      <w:r>
        <w:rPr>
          <w:rFonts w:hint="eastAsia" w:ascii="宋体" w:hAnsi="宋体" w:eastAsia="宋体" w:cs="宋体"/>
          <w:color w:val="auto"/>
          <w:spacing w:val="0"/>
          <w:sz w:val="21"/>
          <w:szCs w:val="21"/>
          <w:highlight w:val="none"/>
          <w:lang w:val="en-US" w:eastAsia="zh-CN" w:bidi="ar-SA"/>
        </w:rPr>
        <w:t>根据合同内的要求在监理项目实施过程中，监督施工单位严格按照合同执行，发生偏离及时提出，发现施工单位存在一票否决情形，需立即报告甲方。</w:t>
      </w:r>
    </w:p>
    <w:p w14:paraId="742107FB">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0" w:line="366" w:lineRule="exact"/>
        <w:ind w:left="0" w:leftChars="0" w:firstLine="420" w:firstLineChars="200"/>
        <w:jc w:val="both"/>
        <w:textAlignment w:val="baseline"/>
        <w:rPr>
          <w:rFonts w:hint="default" w:ascii="宋体" w:hAnsi="宋体" w:eastAsia="宋体" w:cs="宋体"/>
          <w:color w:val="auto"/>
          <w:spacing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rPr>
        <w:t>21.</w:t>
      </w:r>
      <w:r>
        <w:rPr>
          <w:rFonts w:hint="eastAsia" w:ascii="宋体" w:hAnsi="宋体" w:eastAsia="宋体" w:cs="宋体"/>
          <w:color w:val="auto"/>
          <w:spacing w:val="0"/>
          <w:sz w:val="21"/>
          <w:szCs w:val="21"/>
          <w:highlight w:val="none"/>
          <w:lang w:val="en-US" w:eastAsia="zh-CN" w:bidi="ar-SA"/>
        </w:rPr>
        <w:t>对于合同本身及和合同内要求的所有技术文档及时整理、归档。</w:t>
      </w:r>
    </w:p>
    <w:p w14:paraId="1F8642BC">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line="366" w:lineRule="exact"/>
        <w:ind w:leftChars="0" w:firstLine="420" w:firstLineChars="200"/>
        <w:textAlignment w:val="baseline"/>
        <w:rPr>
          <w:rFonts w:hint="eastAsia" w:ascii="宋体" w:hAnsi="宋体" w:eastAsia="宋体" w:cs="宋体"/>
          <w:b/>
          <w:bCs/>
          <w:color w:val="auto"/>
          <w:kern w:val="0"/>
          <w:sz w:val="21"/>
          <w:szCs w:val="21"/>
          <w:lang w:val="en-US" w:eastAsia="zh-CN"/>
        </w:rPr>
      </w:pPr>
      <w:r>
        <w:rPr>
          <w:rFonts w:hint="eastAsia" w:ascii="宋体" w:hAnsi="宋体" w:eastAsia="宋体" w:cs="宋体"/>
          <w:b w:val="0"/>
          <w:bCs w:val="0"/>
          <w:color w:val="auto"/>
          <w:kern w:val="0"/>
          <w:sz w:val="21"/>
          <w:szCs w:val="21"/>
          <w:highlight w:val="none"/>
          <w:lang w:val="en-US" w:eastAsia="zh-CN"/>
        </w:rPr>
        <w:t>22.</w:t>
      </w:r>
      <w:r>
        <w:rPr>
          <w:rFonts w:hint="eastAsia" w:ascii="宋体" w:hAnsi="宋体" w:eastAsia="宋体" w:cs="宋体"/>
          <w:color w:val="auto"/>
          <w:sz w:val="21"/>
          <w:szCs w:val="21"/>
          <w:highlight w:val="none"/>
        </w:rPr>
        <w:t>配合</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开展道路</w:t>
      </w:r>
      <w:r>
        <w:rPr>
          <w:rFonts w:hint="eastAsia" w:ascii="宋体" w:hAnsi="宋体" w:eastAsia="宋体" w:cs="宋体"/>
          <w:color w:val="auto"/>
          <w:sz w:val="21"/>
          <w:szCs w:val="21"/>
          <w:highlight w:val="none"/>
          <w:lang w:val="en-US" w:eastAsia="zh-CN"/>
        </w:rPr>
        <w:t>交通</w:t>
      </w:r>
      <w:r>
        <w:rPr>
          <w:rFonts w:hint="eastAsia" w:ascii="宋体" w:hAnsi="宋体" w:eastAsia="宋体" w:cs="宋体"/>
          <w:color w:val="auto"/>
          <w:sz w:val="21"/>
          <w:szCs w:val="21"/>
          <w:highlight w:val="none"/>
        </w:rPr>
        <w:t>安全宣传工作</w:t>
      </w:r>
      <w:r>
        <w:rPr>
          <w:rFonts w:hint="eastAsia" w:ascii="宋体" w:hAnsi="宋体" w:eastAsia="宋体" w:cs="宋体"/>
          <w:color w:val="auto"/>
          <w:sz w:val="21"/>
          <w:szCs w:val="21"/>
          <w:highlight w:val="none"/>
          <w:lang w:eastAsia="zh-CN"/>
        </w:rPr>
        <w:t>。</w:t>
      </w:r>
    </w:p>
    <w:p w14:paraId="0B479ADE">
      <w:pPr>
        <w:keepNext w:val="0"/>
        <w:keepLines w:val="0"/>
        <w:pageBreakBefore w:val="0"/>
        <w:widowControl w:val="0"/>
        <w:kinsoku/>
        <w:wordWrap/>
        <w:overflowPunct/>
        <w:topLinePunct w:val="0"/>
        <w:autoSpaceDE/>
        <w:autoSpaceDN/>
        <w:bidi w:val="0"/>
        <w:adjustRightInd w:val="0"/>
        <w:snapToGrid w:val="0"/>
        <w:spacing w:after="0" w:line="366" w:lineRule="exact"/>
        <w:ind w:left="0" w:leftChars="0" w:firstLine="369" w:firstLineChars="176"/>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23.国家法律、法规所规定由乙方承担的其它责任。</w:t>
      </w:r>
    </w:p>
    <w:p w14:paraId="389041AC">
      <w:pPr>
        <w:keepNext w:val="0"/>
        <w:keepLines w:val="0"/>
        <w:pageBreakBefore w:val="0"/>
        <w:widowControl/>
        <w:numPr>
          <w:ilvl w:val="0"/>
          <w:numId w:val="0"/>
        </w:numPr>
        <w:kinsoku/>
        <w:wordWrap/>
        <w:overflowPunct/>
        <w:topLinePunct w:val="0"/>
        <w:autoSpaceDE/>
        <w:autoSpaceDN/>
        <w:bidi w:val="0"/>
        <w:adjustRightInd w:val="0"/>
        <w:snapToGrid w:val="0"/>
        <w:spacing w:line="366" w:lineRule="exact"/>
        <w:ind w:left="0" w:leftChars="0" w:firstLine="422" w:firstLineChars="20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eastAsia="zh-CN"/>
        </w:rPr>
        <w:t>十、</w:t>
      </w:r>
      <w:r>
        <w:rPr>
          <w:rFonts w:hint="eastAsia" w:ascii="宋体" w:hAnsi="宋体" w:eastAsia="宋体" w:cs="宋体"/>
          <w:b/>
          <w:bCs/>
          <w:color w:val="auto"/>
          <w:kern w:val="0"/>
          <w:sz w:val="21"/>
          <w:szCs w:val="21"/>
        </w:rPr>
        <w:t>违约责任</w:t>
      </w:r>
    </w:p>
    <w:p w14:paraId="5908B220">
      <w:pPr>
        <w:keepNext w:val="0"/>
        <w:keepLines w:val="0"/>
        <w:pageBreakBefore w:val="0"/>
        <w:widowControl w:val="0"/>
        <w:kinsoku/>
        <w:wordWrap/>
        <w:overflowPunct/>
        <w:topLinePunct w:val="0"/>
        <w:autoSpaceDE/>
        <w:autoSpaceDN/>
        <w:bidi w:val="0"/>
        <w:adjustRightInd w:val="0"/>
        <w:snapToGrid w:val="0"/>
        <w:spacing w:after="0" w:line="366" w:lineRule="exact"/>
        <w:ind w:left="0" w:leftChars="0" w:firstLine="369" w:firstLineChars="176"/>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甲方自交付之日起30日内支付款项；另有约定的，付款期限最长不得超过60日。约定采取履行进度结算、定期结算等结算方式的，付款期限应当自双方确认结算金额之日起算。合同明确需检验或验收的，应明确检验或验收期间，约定交付后经检验或者验收合格作为支付条件的，付款期限应当自检验或者验收合格之日起算；甲方拖延检验或者验收的，付款期限自约定的检验或者验收期限届满之日起算。甲方不得以法定代表人或者主要负责人变更，履行内部付款流程，或者在合同未作约定的情况下以等待竣工验收批复、决算审计等为由，拒绝或者迟延支付中小微企业款项。甲方存在迟延支付乙方合同款项的，应当承担付款逾期利息。双方对逾期利息的利率约定为</w:t>
      </w:r>
      <w:r>
        <w:rPr>
          <w:rFonts w:hint="eastAsia" w:ascii="宋体" w:hAnsi="宋体" w:eastAsia="宋体" w:cs="宋体"/>
          <w:color w:val="auto"/>
          <w:kern w:val="2"/>
          <w:sz w:val="21"/>
          <w:szCs w:val="21"/>
          <w:highlight w:val="none"/>
          <w:lang w:val="en-US" w:eastAsia="zh-CN" w:bidi="ar-SA"/>
        </w:rPr>
        <w:t>年息</w:t>
      </w:r>
      <w:r>
        <w:rPr>
          <w:rFonts w:hint="eastAsia" w:ascii="宋体" w:hAnsi="宋体" w:eastAsia="宋体" w:cs="宋体"/>
          <w:color w:val="auto"/>
          <w:kern w:val="2"/>
          <w:sz w:val="21"/>
          <w:szCs w:val="21"/>
          <w:highlight w:val="none"/>
          <w:u w:val="single"/>
          <w:lang w:val="en-US" w:eastAsia="zh-CN" w:bidi="ar-SA"/>
        </w:rPr>
        <w:t xml:space="preserve"> 3.1  </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lang w:val="en-US" w:eastAsia="zh-CN" w:bidi="ar-SA"/>
        </w:rPr>
        <w:t>（约定利率不得低于合同订立时1年期贷款市场报价利率），未做约定的，按照每日利率万分之五的标准支付逾期利息。</w:t>
      </w:r>
    </w:p>
    <w:p w14:paraId="43E32555">
      <w:pPr>
        <w:keepNext w:val="0"/>
        <w:keepLines w:val="0"/>
        <w:pageBreakBefore w:val="0"/>
        <w:widowControl w:val="0"/>
        <w:kinsoku/>
        <w:wordWrap/>
        <w:overflowPunct/>
        <w:topLinePunct w:val="0"/>
        <w:autoSpaceDE/>
        <w:autoSpaceDN/>
        <w:bidi w:val="0"/>
        <w:adjustRightInd w:val="0"/>
        <w:snapToGrid w:val="0"/>
        <w:spacing w:after="0" w:line="366" w:lineRule="exact"/>
        <w:ind w:left="0" w:leftChars="0" w:firstLine="369" w:firstLineChars="176"/>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kern w:val="2"/>
          <w:sz w:val="21"/>
          <w:szCs w:val="21"/>
          <w:shd w:val="clear" w:color="auto" w:fill="auto"/>
          <w:lang w:val="en-US" w:eastAsia="zh-CN" w:bidi="ar-SA"/>
        </w:rPr>
        <w:t>甲方不得以行政区划调整、政府换届、机构或者职能调整以及相关责任人更替等为由违约毁约。因国家利益、社会公共利益需要改变政策承诺、合同约定的，应当依照法定权限和程序进行，并依法对乙方因此受到的损失予以补偿。</w:t>
      </w:r>
    </w:p>
    <w:p w14:paraId="0F4CA35E">
      <w:pPr>
        <w:keepNext w:val="0"/>
        <w:keepLines w:val="0"/>
        <w:pageBreakBefore w:val="0"/>
        <w:kinsoku/>
        <w:wordWrap/>
        <w:overflowPunct/>
        <w:topLinePunct w:val="0"/>
        <w:autoSpaceDE/>
        <w:autoSpaceDN/>
        <w:bidi w:val="0"/>
        <w:adjustRightInd w:val="0"/>
        <w:snapToGrid w:val="0"/>
        <w:spacing w:line="366" w:lineRule="exact"/>
        <w:ind w:left="0" w:leftChars="0" w:firstLine="420"/>
        <w:textAlignment w:val="auto"/>
        <w:rPr>
          <w:rFonts w:hint="eastAsia" w:ascii="宋体" w:hAnsi="宋体" w:eastAsia="宋体" w:cs="宋体"/>
          <w:color w:val="auto"/>
          <w:kern w:val="1"/>
          <w:sz w:val="21"/>
          <w:szCs w:val="21"/>
        </w:rPr>
      </w:pPr>
      <w:r>
        <w:rPr>
          <w:rFonts w:hint="eastAsia" w:ascii="宋体" w:hAnsi="宋体" w:eastAsia="宋体" w:cs="宋体"/>
          <w:color w:val="auto"/>
          <w:kern w:val="1"/>
          <w:sz w:val="21"/>
          <w:szCs w:val="21"/>
          <w:lang w:val="en-US" w:eastAsia="zh-CN"/>
        </w:rPr>
        <w:t>3.</w:t>
      </w:r>
      <w:r>
        <w:rPr>
          <w:rFonts w:hint="eastAsia" w:ascii="宋体" w:hAnsi="宋体" w:eastAsia="宋体" w:cs="宋体"/>
          <w:color w:val="auto"/>
          <w:kern w:val="1"/>
          <w:sz w:val="21"/>
          <w:szCs w:val="21"/>
        </w:rPr>
        <w:t>违规处理</w:t>
      </w:r>
    </w:p>
    <w:p w14:paraId="656FD62B">
      <w:pPr>
        <w:keepNext w:val="0"/>
        <w:keepLines w:val="0"/>
        <w:pageBreakBefore w:val="0"/>
        <w:numPr>
          <w:ilvl w:val="0"/>
          <w:numId w:val="0"/>
        </w:numPr>
        <w:kinsoku/>
        <w:wordWrap/>
        <w:overflowPunct/>
        <w:topLinePunct w:val="0"/>
        <w:autoSpaceDE/>
        <w:autoSpaceDN/>
        <w:bidi w:val="0"/>
        <w:adjustRightInd w:val="0"/>
        <w:snapToGrid w:val="0"/>
        <w:spacing w:line="366" w:lineRule="exact"/>
        <w:ind w:firstLine="420" w:firstLineChars="20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甲方根据《长沙市公安局交通警察支队交通设施项目监理单位考核管理办法》（详见附件）进行考核，乙方出现考核管理办法中一票否决情形之一的，甲方有权有权终止合同，并扣除乙方项目当季款30%作为违约金。</w:t>
      </w:r>
    </w:p>
    <w:p w14:paraId="4B178D40">
      <w:pPr>
        <w:keepNext w:val="0"/>
        <w:keepLines w:val="0"/>
        <w:pageBreakBefore w:val="0"/>
        <w:widowControl w:val="0"/>
        <w:kinsoku/>
        <w:wordWrap/>
        <w:overflowPunct/>
        <w:topLinePunct w:val="0"/>
        <w:autoSpaceDE/>
        <w:autoSpaceDN/>
        <w:bidi w:val="0"/>
        <w:adjustRightInd w:val="0"/>
        <w:snapToGrid w:val="0"/>
        <w:spacing w:after="0" w:line="366" w:lineRule="exact"/>
        <w:ind w:left="0" w:leftChars="0" w:firstLine="422" w:firstLineChars="20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b/>
          <w:bCs/>
          <w:color w:val="auto"/>
          <w:kern w:val="0"/>
          <w:sz w:val="21"/>
          <w:szCs w:val="21"/>
          <w:lang w:val="en-US" w:eastAsia="zh-CN" w:bidi="ar-SA"/>
        </w:rPr>
        <w:t>十一、</w:t>
      </w:r>
      <w:r>
        <w:rPr>
          <w:rFonts w:hint="eastAsia" w:ascii="宋体" w:hAnsi="宋体" w:eastAsia="宋体" w:cs="宋体"/>
          <w:color w:val="auto"/>
          <w:kern w:val="2"/>
          <w:sz w:val="21"/>
          <w:szCs w:val="21"/>
          <w:lang w:val="en-US" w:eastAsia="zh-CN" w:bidi="ar-SA"/>
        </w:rPr>
        <w:t xml:space="preserve"> </w:t>
      </w:r>
      <w:r>
        <w:rPr>
          <w:rFonts w:hint="eastAsia" w:ascii="宋体" w:hAnsi="宋体" w:eastAsia="宋体" w:cs="宋体"/>
          <w:color w:val="auto"/>
          <w:kern w:val="2"/>
          <w:sz w:val="21"/>
          <w:szCs w:val="21"/>
          <w:shd w:val="clear" w:color="auto" w:fill="FFFFFF"/>
          <w:lang w:val="en-US" w:eastAsia="zh-CN" w:bidi="ar-SA"/>
        </w:rPr>
        <w:t>成本补偿和风险分担约定：</w:t>
      </w:r>
      <w:r>
        <w:rPr>
          <w:rFonts w:hint="eastAsia" w:ascii="宋体" w:hAnsi="宋体" w:eastAsia="宋体" w:cs="宋体"/>
          <w:b w:val="0"/>
          <w:bCs w:val="0"/>
          <w:color w:val="auto"/>
          <w:kern w:val="2"/>
          <w:sz w:val="21"/>
          <w:szCs w:val="21"/>
          <w:highlight w:val="none"/>
          <w:u w:val="single"/>
          <w:shd w:val="clear" w:color="auto" w:fill="auto"/>
          <w:lang w:val="en-US" w:eastAsia="zh-CN" w:bidi="ar-SA"/>
        </w:rPr>
        <w:t xml:space="preserve">   /</w:t>
      </w:r>
      <w:r>
        <w:rPr>
          <w:rFonts w:hint="eastAsia" w:ascii="宋体" w:hAnsi="宋体" w:eastAsia="宋体" w:cs="宋体"/>
          <w:b w:val="0"/>
          <w:bCs w:val="0"/>
          <w:color w:val="auto"/>
          <w:kern w:val="2"/>
          <w:sz w:val="21"/>
          <w:szCs w:val="21"/>
          <w:highlight w:val="none"/>
          <w:u w:val="single"/>
          <w:lang w:val="en-US" w:eastAsia="zh-CN" w:bidi="ar-SA"/>
        </w:rPr>
        <w:t xml:space="preserve"> </w:t>
      </w:r>
    </w:p>
    <w:p w14:paraId="25509F37">
      <w:pPr>
        <w:keepNext w:val="0"/>
        <w:keepLines w:val="0"/>
        <w:pageBreakBefore w:val="0"/>
        <w:widowControl/>
        <w:numPr>
          <w:ilvl w:val="0"/>
          <w:numId w:val="0"/>
        </w:numPr>
        <w:kinsoku/>
        <w:wordWrap/>
        <w:overflowPunct/>
        <w:topLinePunct w:val="0"/>
        <w:autoSpaceDE/>
        <w:autoSpaceDN/>
        <w:bidi w:val="0"/>
        <w:adjustRightInd w:val="0"/>
        <w:snapToGrid w:val="0"/>
        <w:spacing w:line="366" w:lineRule="exact"/>
        <w:ind w:left="0" w:leftChars="0" w:firstLine="422" w:firstLineChars="20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eastAsia="zh-CN"/>
        </w:rPr>
        <w:t>十二、</w:t>
      </w:r>
      <w:r>
        <w:rPr>
          <w:rFonts w:hint="eastAsia" w:ascii="宋体" w:hAnsi="宋体" w:eastAsia="宋体" w:cs="宋体"/>
          <w:b/>
          <w:bCs/>
          <w:color w:val="auto"/>
          <w:kern w:val="0"/>
          <w:sz w:val="21"/>
          <w:szCs w:val="21"/>
        </w:rPr>
        <w:t>不可抗力事件处理</w:t>
      </w:r>
    </w:p>
    <w:p w14:paraId="7874AE95">
      <w:pPr>
        <w:keepNext w:val="0"/>
        <w:keepLines w:val="0"/>
        <w:pageBreakBefore w:val="0"/>
        <w:kinsoku/>
        <w:wordWrap/>
        <w:overflowPunct/>
        <w:topLinePunct w:val="0"/>
        <w:autoSpaceDE/>
        <w:autoSpaceDN/>
        <w:bidi w:val="0"/>
        <w:adjustRightInd w:val="0"/>
        <w:snapToGrid w:val="0"/>
        <w:spacing w:line="366" w:lineRule="exact"/>
        <w:ind w:firstLine="420" w:firstLineChars="200"/>
        <w:rPr>
          <w:rFonts w:hint="eastAsia" w:ascii="宋体" w:hAnsi="宋体" w:eastAsia="宋体" w:cs="宋体"/>
          <w:color w:val="auto"/>
          <w:sz w:val="18"/>
          <w:szCs w:val="18"/>
          <w:highlight w:val="none"/>
        </w:rPr>
      </w:pPr>
      <w:r>
        <w:rPr>
          <w:rFonts w:hint="eastAsia" w:ascii="宋体" w:hAnsi="宋体" w:eastAsia="宋体" w:cs="宋体"/>
          <w:color w:val="auto"/>
          <w:sz w:val="21"/>
          <w:szCs w:val="21"/>
          <w:highlight w:val="none"/>
        </w:rPr>
        <w:t>1.在合同有效期内，任何一方因战争、洪灾、台风、地震、政府政策变更、法律法规调整等不可抗力事件导致不能履行合同，则合同履行期可延长，其延长期与不可抗力事件影响期相同。</w:t>
      </w:r>
    </w:p>
    <w:p w14:paraId="1D9ABA03">
      <w:pPr>
        <w:keepNext w:val="0"/>
        <w:keepLines w:val="0"/>
        <w:pageBreakBefore w:val="0"/>
        <w:widowControl w:val="0"/>
        <w:kinsoku/>
        <w:wordWrap/>
        <w:overflowPunct/>
        <w:topLinePunct w:val="0"/>
        <w:autoSpaceDE/>
        <w:autoSpaceDN/>
        <w:bidi w:val="0"/>
        <w:adjustRightInd w:val="0"/>
        <w:snapToGrid w:val="0"/>
        <w:spacing w:after="0" w:line="366" w:lineRule="exact"/>
        <w:ind w:left="0" w:leftChars="0" w:firstLine="369" w:firstLineChars="176"/>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2.受阻一方应在不可抗力事件发生后尽快用电话通知对方并于事故发生后3天内将有关部门出具的证明文件等用特快专递或挂号信寄给对方审阅确认。</w:t>
      </w:r>
    </w:p>
    <w:p w14:paraId="1A2D0DA9">
      <w:pPr>
        <w:keepNext w:val="0"/>
        <w:keepLines w:val="0"/>
        <w:pageBreakBefore w:val="0"/>
        <w:widowControl w:val="0"/>
        <w:kinsoku/>
        <w:wordWrap/>
        <w:overflowPunct/>
        <w:topLinePunct w:val="0"/>
        <w:bidi w:val="0"/>
        <w:adjustRightInd w:val="0"/>
        <w:snapToGrid w:val="0"/>
        <w:spacing w:after="0" w:line="360" w:lineRule="auto"/>
        <w:ind w:left="0" w:leftChars="0" w:firstLine="369" w:firstLineChars="176"/>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3.不可抗力事件延续15天以上，双方应通过友好协商，确定是否继续履行合同。</w:t>
      </w:r>
    </w:p>
    <w:p w14:paraId="57C8E09E">
      <w:pPr>
        <w:keepNext w:val="0"/>
        <w:keepLines w:val="0"/>
        <w:pageBreakBefore w:val="0"/>
        <w:widowControl/>
        <w:numPr>
          <w:ilvl w:val="0"/>
          <w:numId w:val="0"/>
        </w:numPr>
        <w:kinsoku/>
        <w:wordWrap/>
        <w:overflowPunct/>
        <w:topLinePunct w:val="0"/>
        <w:bidi w:val="0"/>
        <w:adjustRightInd w:val="0"/>
        <w:snapToGrid w:val="0"/>
        <w:spacing w:line="360" w:lineRule="auto"/>
        <w:ind w:left="0" w:leftChars="0" w:firstLine="422" w:firstLineChars="20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eastAsia="zh-CN"/>
        </w:rPr>
        <w:t>十三、</w:t>
      </w:r>
      <w:r>
        <w:rPr>
          <w:rFonts w:hint="eastAsia" w:ascii="宋体" w:hAnsi="宋体" w:eastAsia="宋体" w:cs="宋体"/>
          <w:b/>
          <w:bCs/>
          <w:color w:val="auto"/>
          <w:kern w:val="0"/>
          <w:sz w:val="21"/>
          <w:szCs w:val="21"/>
        </w:rPr>
        <w:t>解决合同纠纷的方式</w:t>
      </w:r>
    </w:p>
    <w:p w14:paraId="7282C397">
      <w:pPr>
        <w:keepNext w:val="0"/>
        <w:keepLines w:val="0"/>
        <w:pageBreakBefore w:val="0"/>
        <w:widowControl w:val="0"/>
        <w:numPr>
          <w:ilvl w:val="0"/>
          <w:numId w:val="0"/>
        </w:numPr>
        <w:kinsoku/>
        <w:wordWrap/>
        <w:overflowPunct/>
        <w:topLinePunct w:val="0"/>
        <w:bidi w:val="0"/>
        <w:adjustRightInd w:val="0"/>
        <w:snapToGrid w:val="0"/>
        <w:spacing w:line="360" w:lineRule="auto"/>
        <w:ind w:left="0" w:leftChars="0" w:firstLine="420" w:firstLineChars="20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 xml:space="preserve">因本合同引起的争议，甲乙双方应友好协商解决。若甲乙双方不能解决争议，可通过以下途径之一解决： </w:t>
      </w:r>
    </w:p>
    <w:p w14:paraId="27232C99">
      <w:pPr>
        <w:keepNext w:val="0"/>
        <w:keepLines w:val="0"/>
        <w:pageBreakBefore w:val="0"/>
        <w:widowControl w:val="0"/>
        <w:kinsoku/>
        <w:wordWrap/>
        <w:overflowPunct/>
        <w:topLinePunct w:val="0"/>
        <w:bidi w:val="0"/>
        <w:adjustRightInd w:val="0"/>
        <w:snapToGrid w:val="0"/>
        <w:spacing w:after="0" w:line="360" w:lineRule="auto"/>
        <w:ind w:left="0" w:leftChars="0" w:firstLine="369" w:firstLineChars="176"/>
        <w:jc w:val="both"/>
        <w:textAlignment w:val="auto"/>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 xml:space="preserve">向甲方所在地人民法院提起诉讼 </w:t>
      </w:r>
    </w:p>
    <w:p w14:paraId="6189E855">
      <w:pPr>
        <w:keepNext w:val="0"/>
        <w:keepLines w:val="0"/>
        <w:pageBreakBefore w:val="0"/>
        <w:widowControl/>
        <w:numPr>
          <w:ilvl w:val="0"/>
          <w:numId w:val="0"/>
        </w:numPr>
        <w:kinsoku/>
        <w:wordWrap/>
        <w:overflowPunct/>
        <w:topLinePunct w:val="0"/>
        <w:bidi w:val="0"/>
        <w:adjustRightInd w:val="0"/>
        <w:snapToGrid w:val="0"/>
        <w:spacing w:line="360" w:lineRule="auto"/>
        <w:ind w:left="0" w:leftChars="0" w:firstLine="422" w:firstLineChars="20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eastAsia="zh-CN"/>
        </w:rPr>
        <w:t>十四、</w:t>
      </w:r>
      <w:r>
        <w:rPr>
          <w:rFonts w:hint="eastAsia" w:ascii="宋体" w:hAnsi="宋体" w:eastAsia="宋体" w:cs="宋体"/>
          <w:b/>
          <w:bCs/>
          <w:color w:val="auto"/>
          <w:kern w:val="0"/>
          <w:sz w:val="21"/>
          <w:szCs w:val="21"/>
        </w:rPr>
        <w:t>合同变更、中止或者终止合同</w:t>
      </w:r>
    </w:p>
    <w:p w14:paraId="1F2DC896">
      <w:pPr>
        <w:keepNext w:val="0"/>
        <w:keepLines w:val="0"/>
        <w:pageBreakBefore w:val="0"/>
        <w:widowControl w:val="0"/>
        <w:kinsoku/>
        <w:wordWrap/>
        <w:overflowPunct/>
        <w:topLinePunct w:val="0"/>
        <w:bidi w:val="0"/>
        <w:adjustRightInd w:val="0"/>
        <w:snapToGrid w:val="0"/>
        <w:spacing w:after="0" w:line="360" w:lineRule="auto"/>
        <w:ind w:left="0" w:leftChars="0" w:firstLine="369" w:firstLineChars="176"/>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1.根据《政府采购法》第五十条规定：政府采购合同的双方当事人不得擅自变更、中止或者终止合同。政府采购合同继续履行将损害国家利益和社会公共利益的，双方当事人应当变更、中止或者终止合同。</w:t>
      </w:r>
    </w:p>
    <w:p w14:paraId="2063E068">
      <w:pPr>
        <w:keepNext w:val="0"/>
        <w:keepLines w:val="0"/>
        <w:pageBreakBefore w:val="0"/>
        <w:widowControl/>
        <w:numPr>
          <w:ilvl w:val="0"/>
          <w:numId w:val="0"/>
        </w:numPr>
        <w:kinsoku/>
        <w:wordWrap/>
        <w:overflowPunct/>
        <w:topLinePunct w:val="0"/>
        <w:bidi w:val="0"/>
        <w:adjustRightInd w:val="0"/>
        <w:snapToGrid w:val="0"/>
        <w:spacing w:line="360" w:lineRule="auto"/>
        <w:ind w:left="0" w:leftChars="0" w:firstLine="422" w:firstLineChars="20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eastAsia="zh-CN"/>
        </w:rPr>
        <w:t>十五、</w:t>
      </w:r>
      <w:r>
        <w:rPr>
          <w:rFonts w:hint="eastAsia" w:ascii="宋体" w:hAnsi="宋体" w:eastAsia="宋体" w:cs="宋体"/>
          <w:b/>
          <w:bCs/>
          <w:color w:val="auto"/>
          <w:kern w:val="0"/>
          <w:sz w:val="21"/>
          <w:szCs w:val="21"/>
        </w:rPr>
        <w:t>合同生效及其他</w:t>
      </w:r>
      <w:r>
        <w:rPr>
          <w:rFonts w:hint="eastAsia" w:ascii="宋体" w:hAnsi="宋体" w:eastAsia="宋体" w:cs="宋体"/>
          <w:b/>
          <w:bCs/>
          <w:color w:val="auto"/>
          <w:kern w:val="0"/>
          <w:sz w:val="21"/>
          <w:szCs w:val="21"/>
        </w:rPr>
        <w:tab/>
      </w:r>
    </w:p>
    <w:p w14:paraId="6678F447">
      <w:pPr>
        <w:keepNext w:val="0"/>
        <w:keepLines w:val="0"/>
        <w:pageBreakBefore w:val="0"/>
        <w:widowControl w:val="0"/>
        <w:kinsoku/>
        <w:wordWrap/>
        <w:overflowPunct/>
        <w:topLinePunct w:val="0"/>
        <w:bidi w:val="0"/>
        <w:adjustRightInd w:val="0"/>
        <w:snapToGrid w:val="0"/>
        <w:spacing w:after="0" w:line="360" w:lineRule="auto"/>
        <w:ind w:left="0" w:leftChars="0" w:firstLine="577" w:firstLineChars="275"/>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1.合同加盖电子签章后生效。</w:t>
      </w:r>
    </w:p>
    <w:p w14:paraId="42A9C3E3">
      <w:pPr>
        <w:keepNext w:val="0"/>
        <w:keepLines w:val="0"/>
        <w:pageBreakBefore w:val="0"/>
        <w:widowControl w:val="0"/>
        <w:kinsoku/>
        <w:wordWrap/>
        <w:overflowPunct/>
        <w:topLinePunct w:val="0"/>
        <w:bidi w:val="0"/>
        <w:adjustRightInd w:val="0"/>
        <w:snapToGrid w:val="0"/>
        <w:spacing w:after="0" w:line="360" w:lineRule="auto"/>
        <w:ind w:left="0" w:leftChars="0" w:firstLine="577" w:firstLineChars="275"/>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政府采购合同履行中，甲方需追加与合同标的相同的服务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217A52B9">
      <w:pPr>
        <w:keepNext w:val="0"/>
        <w:keepLines w:val="0"/>
        <w:pageBreakBefore w:val="0"/>
        <w:numPr>
          <w:ilvl w:val="0"/>
          <w:numId w:val="0"/>
        </w:numPr>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color w:val="auto"/>
          <w:sz w:val="21"/>
          <w:szCs w:val="21"/>
        </w:rPr>
      </w:pPr>
      <w:r>
        <w:rPr>
          <w:rFonts w:hint="eastAsia" w:ascii="宋体" w:hAnsi="宋体" w:eastAsia="宋体" w:cs="宋体"/>
          <w:b/>
          <w:bCs/>
          <w:color w:val="auto"/>
          <w:sz w:val="21"/>
          <w:szCs w:val="21"/>
          <w:lang w:eastAsia="zh-CN"/>
        </w:rPr>
        <w:t>十六、</w:t>
      </w:r>
      <w:r>
        <w:rPr>
          <w:rFonts w:hint="eastAsia" w:ascii="宋体" w:hAnsi="宋体" w:eastAsia="宋体" w:cs="宋体"/>
          <w:b/>
          <w:bCs/>
          <w:color w:val="auto"/>
          <w:sz w:val="21"/>
          <w:szCs w:val="21"/>
        </w:rPr>
        <w:t>合同文件构成</w:t>
      </w:r>
    </w:p>
    <w:p w14:paraId="1F2618E6">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本协议书与下列文件一起构成合同文件：</w:t>
      </w:r>
    </w:p>
    <w:p w14:paraId="0CC95210">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（1）中标(成交)通知书；</w:t>
      </w:r>
    </w:p>
    <w:p w14:paraId="5B004587">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（2）专用合同条款及其附件；</w:t>
      </w:r>
    </w:p>
    <w:p w14:paraId="1FE7BCD2">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（3）通用合同条款；</w:t>
      </w:r>
    </w:p>
    <w:p w14:paraId="6AFA58FF">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（4）采购文件；</w:t>
      </w:r>
    </w:p>
    <w:p w14:paraId="23EAB121">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（5）投标(响应)文件。</w:t>
      </w:r>
    </w:p>
    <w:p w14:paraId="501124A4">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在合同订立及履行过程中形成的与合同有关的文件均构成合同文件组成部分。</w:t>
      </w:r>
    </w:p>
    <w:p w14:paraId="13381DE8">
      <w:pPr>
        <w:keepNext w:val="0"/>
        <w:keepLines w:val="0"/>
        <w:pageBreakBefore w:val="0"/>
        <w:widowControl w:val="0"/>
        <w:kinsoku/>
        <w:wordWrap/>
        <w:overflowPunct/>
        <w:topLinePunct w:val="0"/>
        <w:bidi w:val="0"/>
        <w:adjustRightInd w:val="0"/>
        <w:snapToGrid w:val="0"/>
        <w:spacing w:after="0" w:line="360" w:lineRule="auto"/>
        <w:ind w:left="0" w:leftChars="0" w:firstLine="371" w:firstLineChars="177"/>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上述各项合同文件包括合同当事人就该项合同文件所作出的补充和修改，属于同一类内容的文件，应以最新签署的为准。专用合同条款及其附件须经合同当事人签字或盖章（自然人签字、法人盖章）。</w:t>
      </w:r>
    </w:p>
    <w:p w14:paraId="2271C429">
      <w:pPr>
        <w:keepNext w:val="0"/>
        <w:keepLines w:val="0"/>
        <w:pageBreakBefore w:val="0"/>
        <w:widowControl w:val="0"/>
        <w:kinsoku/>
        <w:wordWrap/>
        <w:overflowPunct/>
        <w:topLinePunct w:val="0"/>
        <w:bidi w:val="0"/>
        <w:adjustRightInd w:val="0"/>
        <w:snapToGrid w:val="0"/>
        <w:spacing w:after="0" w:line="360" w:lineRule="auto"/>
        <w:ind w:left="0" w:leftChars="0" w:firstLine="371" w:firstLineChars="177"/>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甲方：   （盖章）</w:t>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t xml:space="preserve">              乙方：   （盖章）</w:t>
      </w:r>
    </w:p>
    <w:p w14:paraId="796AE938">
      <w:pPr>
        <w:keepNext w:val="0"/>
        <w:keepLines w:val="0"/>
        <w:pageBreakBefore w:val="0"/>
        <w:widowControl w:val="0"/>
        <w:kinsoku/>
        <w:wordWrap/>
        <w:overflowPunct/>
        <w:topLinePunct w:val="0"/>
        <w:bidi w:val="0"/>
        <w:adjustRightInd w:val="0"/>
        <w:snapToGrid w:val="0"/>
        <w:spacing w:after="0" w:line="360" w:lineRule="auto"/>
        <w:ind w:left="0" w:leftChars="0" w:firstLine="371" w:firstLineChars="177"/>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法定代表人或主要负责人</w:t>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t xml:space="preserve">       法定代表人或主要负责人</w:t>
      </w:r>
    </w:p>
    <w:p w14:paraId="591D55DC">
      <w:pPr>
        <w:keepNext w:val="0"/>
        <w:keepLines w:val="0"/>
        <w:pageBreakBefore w:val="0"/>
        <w:widowControl w:val="0"/>
        <w:kinsoku/>
        <w:wordWrap/>
        <w:overflowPunct/>
        <w:topLinePunct w:val="0"/>
        <w:bidi w:val="0"/>
        <w:adjustRightInd w:val="0"/>
        <w:snapToGrid w:val="0"/>
        <w:spacing w:after="0" w:line="360" w:lineRule="auto"/>
        <w:ind w:left="0" w:leftChars="0" w:firstLine="420" w:firstLineChars="200"/>
        <w:jc w:val="both"/>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SA"/>
        </w:rPr>
        <w:t>（授权代表）：                            （授权代表）：</w:t>
      </w:r>
    </w:p>
    <w:p w14:paraId="2E1A9F26">
      <w:pPr>
        <w:rPr>
          <w:rFonts w:hint="default"/>
          <w:color w:val="auto"/>
          <w:lang w:val="en-US" w:eastAsia="zh-CN"/>
        </w:rPr>
        <w:sectPr>
          <w:footerReference r:id="rId3" w:type="default"/>
          <w:pgSz w:w="11906" w:h="16838"/>
          <w:pgMar w:top="1440" w:right="1800" w:bottom="1440" w:left="1800" w:header="851" w:footer="992" w:gutter="0"/>
          <w:pgNumType w:fmt="decimal"/>
          <w:cols w:space="720" w:num="1"/>
          <w:docGrid w:type="lines" w:linePitch="312" w:charSpace="0"/>
        </w:sectPr>
      </w:pPr>
    </w:p>
    <w:p w14:paraId="59122041">
      <w:pPr>
        <w:spacing w:line="560" w:lineRule="exact"/>
        <w:ind w:left="0" w:leftChars="0" w:firstLine="0" w:firstLineChars="0"/>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合同附件</w:t>
      </w:r>
    </w:p>
    <w:p w14:paraId="361FEE29">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4"/>
          <w:szCs w:val="24"/>
          <w:highlight w:val="none"/>
        </w:rPr>
        <w:t>长沙市公安局交通警察支队</w:t>
      </w:r>
      <w:r>
        <w:rPr>
          <w:rFonts w:hint="eastAsia" w:ascii="宋体" w:hAnsi="宋体" w:eastAsia="宋体" w:cs="宋体"/>
          <w:b/>
          <w:bCs/>
          <w:color w:val="auto"/>
          <w:sz w:val="24"/>
          <w:szCs w:val="24"/>
          <w:highlight w:val="none"/>
          <w:lang w:eastAsia="zh-CN"/>
        </w:rPr>
        <w:t>交通</w:t>
      </w:r>
      <w:r>
        <w:rPr>
          <w:rFonts w:hint="eastAsia" w:ascii="宋体" w:hAnsi="宋体" w:eastAsia="宋体" w:cs="宋体"/>
          <w:b/>
          <w:bCs/>
          <w:color w:val="auto"/>
          <w:sz w:val="24"/>
          <w:szCs w:val="24"/>
          <w:highlight w:val="none"/>
        </w:rPr>
        <w:t>设施项目监理</w:t>
      </w:r>
      <w:r>
        <w:rPr>
          <w:rFonts w:hint="eastAsia" w:ascii="宋体" w:hAnsi="宋体" w:eastAsia="宋体" w:cs="宋体"/>
          <w:b/>
          <w:bCs/>
          <w:color w:val="auto"/>
          <w:sz w:val="24"/>
          <w:szCs w:val="24"/>
          <w:highlight w:val="none"/>
          <w:lang w:eastAsia="zh-CN"/>
        </w:rPr>
        <w:t>单位考核管理办法</w:t>
      </w:r>
    </w:p>
    <w:p w14:paraId="3F545D92">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val="0"/>
          <w:bCs w:val="0"/>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为切实强化对长沙市</w:t>
      </w:r>
      <w:r>
        <w:rPr>
          <w:rFonts w:hint="eastAsia" w:ascii="宋体" w:hAnsi="宋体" w:eastAsia="宋体" w:cs="宋体"/>
          <w:b w:val="0"/>
          <w:bCs w:val="0"/>
          <w:color w:val="auto"/>
          <w:sz w:val="21"/>
          <w:szCs w:val="21"/>
          <w:highlight w:val="none"/>
          <w:lang w:eastAsia="zh-CN"/>
        </w:rPr>
        <w:t>交通</w:t>
      </w:r>
      <w:r>
        <w:rPr>
          <w:rFonts w:hint="eastAsia" w:ascii="宋体" w:hAnsi="宋体" w:eastAsia="宋体" w:cs="宋体"/>
          <w:b w:val="0"/>
          <w:bCs w:val="0"/>
          <w:color w:val="auto"/>
          <w:sz w:val="21"/>
          <w:szCs w:val="21"/>
          <w:highlight w:val="none"/>
        </w:rPr>
        <w:t>设施项目监理</w:t>
      </w:r>
      <w:r>
        <w:rPr>
          <w:rFonts w:hint="eastAsia" w:ascii="宋体" w:hAnsi="宋体" w:eastAsia="宋体" w:cs="宋体"/>
          <w:b w:val="0"/>
          <w:bCs w:val="0"/>
          <w:color w:val="auto"/>
          <w:sz w:val="21"/>
          <w:szCs w:val="21"/>
          <w:highlight w:val="none"/>
          <w:lang w:eastAsia="zh-CN"/>
        </w:rPr>
        <w:t>单位</w:t>
      </w:r>
      <w:r>
        <w:rPr>
          <w:rFonts w:hint="eastAsia" w:ascii="宋体" w:hAnsi="宋体" w:eastAsia="宋体" w:cs="宋体"/>
          <w:color w:val="auto"/>
          <w:kern w:val="2"/>
          <w:sz w:val="21"/>
          <w:szCs w:val="21"/>
          <w:highlight w:val="none"/>
          <w:lang w:val="en-US" w:eastAsia="zh-CN" w:bidi="ar"/>
        </w:rPr>
        <w:t>的考核监督，特制订</w:t>
      </w:r>
      <w:r>
        <w:rPr>
          <w:rFonts w:hint="eastAsia" w:ascii="宋体" w:hAnsi="宋体" w:eastAsia="宋体" w:cs="宋体"/>
          <w:b w:val="0"/>
          <w:bCs w:val="0"/>
          <w:color w:val="auto"/>
          <w:sz w:val="21"/>
          <w:szCs w:val="21"/>
          <w:highlight w:val="none"/>
          <w:lang w:eastAsia="zh-CN"/>
        </w:rPr>
        <w:t>交通</w:t>
      </w:r>
      <w:r>
        <w:rPr>
          <w:rFonts w:hint="eastAsia" w:ascii="宋体" w:hAnsi="宋体" w:eastAsia="宋体" w:cs="宋体"/>
          <w:b w:val="0"/>
          <w:bCs w:val="0"/>
          <w:color w:val="auto"/>
          <w:sz w:val="21"/>
          <w:szCs w:val="21"/>
          <w:highlight w:val="none"/>
        </w:rPr>
        <w:t>设施项目监理</w:t>
      </w:r>
      <w:r>
        <w:rPr>
          <w:rFonts w:hint="eastAsia" w:ascii="宋体" w:hAnsi="宋体" w:eastAsia="宋体" w:cs="宋体"/>
          <w:b w:val="0"/>
          <w:bCs w:val="0"/>
          <w:color w:val="auto"/>
          <w:sz w:val="21"/>
          <w:szCs w:val="21"/>
          <w:highlight w:val="none"/>
          <w:lang w:eastAsia="zh-CN"/>
        </w:rPr>
        <w:t>单位考核管理办法。</w:t>
      </w:r>
    </w:p>
    <w:p w14:paraId="7F31B7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b w:val="0"/>
          <w:bCs/>
          <w:color w:val="auto"/>
          <w:sz w:val="21"/>
          <w:szCs w:val="21"/>
          <w:highlight w:val="none"/>
          <w:lang w:val="en-US" w:eastAsia="zh-CN"/>
        </w:rPr>
        <w:t>第一条</w:t>
      </w:r>
      <w:r>
        <w:rPr>
          <w:rFonts w:hint="eastAsia" w:ascii="宋体" w:hAnsi="宋体" w:eastAsia="宋体" w:cs="宋体"/>
          <w:color w:val="auto"/>
          <w:kern w:val="2"/>
          <w:sz w:val="21"/>
          <w:szCs w:val="21"/>
          <w:highlight w:val="none"/>
          <w:lang w:val="en-US" w:eastAsia="zh-CN" w:bidi="ar"/>
        </w:rPr>
        <w:t xml:space="preserve">  长沙市公安局交通警察支队交通工程设施大队代表支队履行对交通设施的管理职能，负责对交通设施项目监理工作的管理、指导、验收、考核、结算等职责，督促服务单位履行合同。</w:t>
      </w:r>
    </w:p>
    <w:p w14:paraId="786C72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b w:val="0"/>
          <w:bCs/>
          <w:color w:val="auto"/>
          <w:sz w:val="21"/>
          <w:szCs w:val="21"/>
          <w:highlight w:val="none"/>
          <w:lang w:val="en-US" w:eastAsia="zh-CN"/>
        </w:rPr>
        <w:t>第二条</w:t>
      </w:r>
      <w:r>
        <w:rPr>
          <w:rFonts w:hint="eastAsia" w:ascii="宋体" w:hAnsi="宋体" w:eastAsia="宋体" w:cs="宋体"/>
          <w:color w:val="auto"/>
          <w:kern w:val="2"/>
          <w:sz w:val="21"/>
          <w:szCs w:val="21"/>
          <w:highlight w:val="none"/>
          <w:lang w:val="en-US" w:eastAsia="zh-CN" w:bidi="ar"/>
        </w:rPr>
        <w:t xml:space="preserve">  考核对象</w:t>
      </w:r>
    </w:p>
    <w:p w14:paraId="39AAF9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长沙市公安局</w:t>
      </w:r>
      <w:r>
        <w:rPr>
          <w:rFonts w:hint="eastAsia" w:ascii="宋体" w:hAnsi="宋体" w:eastAsia="宋体" w:cs="宋体"/>
          <w:color w:val="auto"/>
          <w:sz w:val="21"/>
          <w:szCs w:val="21"/>
          <w:highlight w:val="none"/>
          <w:lang w:val="en-US" w:eastAsia="zh-CN"/>
        </w:rPr>
        <w:t>交通警察</w:t>
      </w:r>
      <w:r>
        <w:rPr>
          <w:rFonts w:hint="eastAsia" w:ascii="宋体" w:hAnsi="宋体" w:eastAsia="宋体" w:cs="宋体"/>
          <w:color w:val="auto"/>
          <w:kern w:val="2"/>
          <w:sz w:val="21"/>
          <w:szCs w:val="21"/>
          <w:highlight w:val="none"/>
          <w:lang w:val="en-US" w:eastAsia="zh-CN" w:bidi="ar"/>
        </w:rPr>
        <w:t>支队交通设施项目监理单位。</w:t>
      </w:r>
    </w:p>
    <w:p w14:paraId="1756C3F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Autospacing="0" w:line="360" w:lineRule="auto"/>
        <w:ind w:right="0" w:rightChars="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第三条  考核内容</w:t>
      </w:r>
    </w:p>
    <w:p w14:paraId="1935F6D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 w:val="21"/>
          <w:szCs w:val="21"/>
          <w:highlight w:val="none"/>
          <w:lang w:val="en-US" w:eastAsia="zh-CN"/>
        </w:rPr>
        <w:t>1.日常管理：是否按要求</w:t>
      </w:r>
      <w:r>
        <w:rPr>
          <w:rFonts w:hint="eastAsia" w:ascii="宋体" w:hAnsi="宋体" w:eastAsia="宋体" w:cs="宋体"/>
          <w:color w:val="auto"/>
          <w:kern w:val="2"/>
          <w:sz w:val="21"/>
          <w:szCs w:val="21"/>
          <w:highlight w:val="none"/>
          <w:lang w:val="en-US" w:eastAsia="zh-CN" w:bidi="ar"/>
        </w:rPr>
        <w:t>形成人员、设备等基础台账，是否制定并落实相关制度，是否未经用户单位同意调换监理人员，监理人员是否按要求熟悉项目情况并要求到岗考勤，是否遵守《关于加强长沙市道路交通管理设施占道施工交通安全管理工作等指导意见》相关规定。</w:t>
      </w:r>
    </w:p>
    <w:p w14:paraId="6E73C111">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响应管理：是否按要求提交监理工作方案，是否及时响应采购人工作指令，是否及时审核施工单位提交的方案、图纸及其他资料，是否督促施工单位按时进场施工、按时限完成施工任务，是否按时完成签证，是否按要求组织相关会议、提交相关报告，是否及时调解各施工单位在服务过程中争议、纠纷。</w:t>
      </w:r>
    </w:p>
    <w:p w14:paraId="775FE250">
      <w:pPr>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质量管理：是否按要求对施工单位提交的方案、图纸及其他资料进行审核、是否按规定对施工设备及材料进行抽检、验收，是否对隐蔽工程进行现场监督，是否对施工流程和质量进行把控，是否对施工单位提交的完工资料进行审核。</w:t>
      </w:r>
    </w:p>
    <w:p w14:paraId="48E257F1">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4.安全管理：监理单位自身是否落实文明安全施工等相关要求，是否按文明安全施工要求对施工单位进行督促，是否对重点路段施工开展现场监理，是否严格遵守保密规定。</w:t>
      </w:r>
    </w:p>
    <w:p w14:paraId="19756E4F">
      <w:pPr>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5.资料管理：是否按规定制作、收存、提交监理周报、月报、会议纪要、监理日志、工作报告及其他资料。</w:t>
      </w:r>
    </w:p>
    <w:p w14:paraId="6C2139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 xml:space="preserve">第四条  考核评分表(附后) </w:t>
      </w:r>
    </w:p>
    <w:p w14:paraId="0C36FE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第五条  “一票否决”情形</w:t>
      </w:r>
    </w:p>
    <w:p w14:paraId="291748A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出现下述情况的监理单位，报请支队审定，予以“一票否决”。</w:t>
      </w:r>
    </w:p>
    <w:p w14:paraId="24C0A7A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Autospacing="0" w:line="360" w:lineRule="auto"/>
        <w:ind w:left="0" w:leftChars="0" w:right="0" w:rightChars="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（一）监理单位未发现或未纠正施工中的严重质量问题（如结构缺陷、材料不合格），导致工程存在安全隐患。</w:t>
      </w:r>
    </w:p>
    <w:p w14:paraId="156427E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Autospacing="0" w:line="360" w:lineRule="auto"/>
        <w:ind w:left="0" w:leftChars="0" w:right="0" w:rightChars="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（二）恶意编造虚假监理日志、验收记录或检测报告，导致工程资料失实。</w:t>
      </w:r>
    </w:p>
    <w:p w14:paraId="1A37DA1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（三）因失、泄密被依法追究法律责任的。</w:t>
      </w:r>
    </w:p>
    <w:p w14:paraId="2EDF427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（四）自行全部或部分项目违法转包、分包的。</w:t>
      </w:r>
    </w:p>
    <w:p w14:paraId="5EC67028">
      <w:pPr>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（五）未按谈判响应文件中承诺的场地、人员、设备等配置到位的。</w:t>
      </w:r>
    </w:p>
    <w:p w14:paraId="4F2C0F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第六条  考核结果运用</w:t>
      </w:r>
    </w:p>
    <w:p w14:paraId="24F7DFE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采取季度考核的方式进行。考核分在90分（含）以上，按合同金额100%支付；考核分在85分（含）-90分（不含）的，按合同金额95%支付；考核分在80分（含）-85分（不含）的，按合同金额90%支付；考核分在75分（含）-80分（不含）的，按合同金额85%支付。考核分在70分（含）-75分（不含）的，按合同金额80%支付，考核分在70分（不含）以下的，按合同金额75%支付。</w:t>
      </w:r>
    </w:p>
    <w:p w14:paraId="586D49D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年度内累计两次考核分 70 分（不含）以下的，或者符合一票否决情形的，长沙市公安局交通警察支队有权终止合同。</w:t>
      </w:r>
    </w:p>
    <w:p w14:paraId="6548146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第七条  附则</w:t>
      </w:r>
    </w:p>
    <w:p w14:paraId="4657762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right="0" w:firstLine="420" w:firstLineChars="200"/>
        <w:jc w:val="both"/>
        <w:textAlignment w:val="auto"/>
        <w:rPr>
          <w:rFonts w:hint="eastAsia" w:ascii="宋体" w:hAnsi="宋体" w:eastAsia="宋体" w:cs="仿宋"/>
          <w:color w:val="auto"/>
          <w:kern w:val="2"/>
          <w:sz w:val="28"/>
          <w:szCs w:val="28"/>
          <w:lang w:val="en-US" w:eastAsia="zh-CN" w:bidi="ar"/>
        </w:rPr>
      </w:pPr>
      <w:r>
        <w:rPr>
          <w:rFonts w:hint="eastAsia" w:ascii="宋体" w:hAnsi="宋体" w:eastAsia="宋体" w:cs="宋体"/>
          <w:color w:val="auto"/>
          <w:kern w:val="2"/>
          <w:sz w:val="21"/>
          <w:szCs w:val="21"/>
          <w:highlight w:val="none"/>
          <w:lang w:val="en-US" w:eastAsia="zh-CN" w:bidi="ar"/>
        </w:rPr>
        <w:t>本考核管理办法适用于该办法执行日起签订合同的项目，由长沙市公安局交通警察支队交通工程设施大队负责解释。</w:t>
      </w:r>
    </w:p>
    <w:p w14:paraId="20465EE6">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宋体" w:hAnsi="宋体" w:eastAsia="宋体" w:cs="仿宋"/>
          <w:color w:val="auto"/>
          <w:kern w:val="2"/>
          <w:sz w:val="28"/>
          <w:szCs w:val="28"/>
          <w:lang w:val="en-US" w:eastAsia="zh-CN" w:bidi="ar"/>
        </w:rPr>
      </w:pPr>
      <w:r>
        <w:rPr>
          <w:rFonts w:hint="eastAsia" w:ascii="宋体" w:hAnsi="宋体" w:eastAsia="宋体" w:cs="仿宋"/>
          <w:color w:val="auto"/>
          <w:kern w:val="2"/>
          <w:sz w:val="28"/>
          <w:szCs w:val="28"/>
          <w:lang w:val="en-US" w:eastAsia="zh-CN" w:bidi="ar"/>
        </w:rPr>
        <w:br w:type="page"/>
      </w:r>
      <w:bookmarkStart w:id="0" w:name="_Toc159"/>
      <w:r>
        <w:rPr>
          <w:rFonts w:hint="eastAsia" w:ascii="宋体" w:hAnsi="宋体" w:eastAsia="宋体" w:cs="仿宋"/>
          <w:color w:val="auto"/>
          <w:kern w:val="2"/>
          <w:sz w:val="24"/>
          <w:szCs w:val="24"/>
          <w:lang w:val="en-US" w:eastAsia="zh-CN" w:bidi="ar"/>
        </w:rPr>
        <w:t>合同附表</w:t>
      </w:r>
    </w:p>
    <w:p w14:paraId="1743C970">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长沙市公安局交通警察支队</w:t>
      </w:r>
      <w:r>
        <w:rPr>
          <w:rFonts w:hint="eastAsia" w:ascii="宋体" w:hAnsi="宋体" w:eastAsia="宋体" w:cs="宋体"/>
          <w:b/>
          <w:color w:val="auto"/>
          <w:sz w:val="21"/>
          <w:szCs w:val="21"/>
          <w:lang w:val="en-US" w:eastAsia="zh-CN"/>
        </w:rPr>
        <w:t>交通设施项目</w:t>
      </w:r>
      <w:r>
        <w:rPr>
          <w:rFonts w:hint="eastAsia" w:ascii="宋体" w:hAnsi="宋体" w:eastAsia="宋体" w:cs="宋体"/>
          <w:b/>
          <w:color w:val="auto"/>
          <w:sz w:val="21"/>
          <w:szCs w:val="21"/>
        </w:rPr>
        <w:t>监理单位考核评分表</w:t>
      </w:r>
      <w:bookmarkEnd w:id="0"/>
    </w:p>
    <w:p w14:paraId="6F1C7BF1">
      <w:pPr>
        <w:keepNext w:val="0"/>
        <w:keepLines w:val="0"/>
        <w:pageBreakBefore w:val="0"/>
        <w:kinsoku/>
        <w:wordWrap/>
        <w:overflowPunct/>
        <w:topLinePunct w:val="0"/>
        <w:autoSpaceDE/>
        <w:autoSpaceDN/>
        <w:bidi w:val="0"/>
        <w:adjustRightInd w:val="0"/>
        <w:snapToGrid w:val="0"/>
        <w:spacing w:line="240" w:lineRule="auto"/>
        <w:ind w:right="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考核</w:t>
      </w:r>
      <w:r>
        <w:rPr>
          <w:rFonts w:hint="eastAsia" w:ascii="宋体" w:hAnsi="宋体" w:eastAsia="宋体" w:cs="宋体"/>
          <w:color w:val="auto"/>
          <w:sz w:val="21"/>
          <w:szCs w:val="21"/>
          <w:lang w:val="en-US" w:eastAsia="zh-CN"/>
        </w:rPr>
        <w:t>期</w:t>
      </w:r>
      <w:r>
        <w:rPr>
          <w:rFonts w:hint="eastAsia" w:ascii="宋体" w:hAnsi="宋体" w:eastAsia="宋体" w:cs="宋体"/>
          <w:color w:val="auto"/>
          <w:sz w:val="21"/>
          <w:szCs w:val="21"/>
        </w:rPr>
        <w:t>：</w:t>
      </w:r>
    </w:p>
    <w:tbl>
      <w:tblPr>
        <w:tblStyle w:val="2"/>
        <w:tblW w:w="5000" w:type="pct"/>
        <w:tblInd w:w="0" w:type="dxa"/>
        <w:tblLayout w:type="fixed"/>
        <w:tblCellMar>
          <w:top w:w="0" w:type="dxa"/>
          <w:left w:w="108" w:type="dxa"/>
          <w:bottom w:w="0" w:type="dxa"/>
          <w:right w:w="108" w:type="dxa"/>
        </w:tblCellMar>
      </w:tblPr>
      <w:tblGrid>
        <w:gridCol w:w="343"/>
        <w:gridCol w:w="648"/>
        <w:gridCol w:w="7031"/>
        <w:gridCol w:w="474"/>
        <w:gridCol w:w="474"/>
      </w:tblGrid>
      <w:tr w14:paraId="26072C31">
        <w:tblPrEx>
          <w:tblCellMar>
            <w:top w:w="0" w:type="dxa"/>
            <w:left w:w="108" w:type="dxa"/>
            <w:bottom w:w="0" w:type="dxa"/>
            <w:right w:w="108" w:type="dxa"/>
          </w:tblCellMar>
        </w:tblPrEx>
        <w:trPr>
          <w:trHeight w:val="658" w:hRule="atLeast"/>
        </w:trPr>
        <w:tc>
          <w:tcPr>
            <w:tcW w:w="191" w:type="pct"/>
            <w:tcBorders>
              <w:top w:val="single" w:color="auto" w:sz="4" w:space="0"/>
              <w:left w:val="single" w:color="auto" w:sz="4" w:space="0"/>
              <w:bottom w:val="single" w:color="auto" w:sz="4" w:space="0"/>
              <w:right w:val="single" w:color="auto" w:sz="4" w:space="0"/>
            </w:tcBorders>
            <w:noWrap/>
            <w:vAlign w:val="center"/>
          </w:tcPr>
          <w:p w14:paraId="4C20B7AF">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both"/>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序号</w:t>
            </w:r>
          </w:p>
        </w:tc>
        <w:tc>
          <w:tcPr>
            <w:tcW w:w="361" w:type="pct"/>
            <w:tcBorders>
              <w:top w:val="single" w:color="auto" w:sz="4" w:space="0"/>
              <w:left w:val="nil"/>
              <w:bottom w:val="single" w:color="auto" w:sz="4" w:space="0"/>
              <w:right w:val="single" w:color="auto" w:sz="4" w:space="0"/>
            </w:tcBorders>
            <w:noWrap/>
            <w:vAlign w:val="center"/>
          </w:tcPr>
          <w:p w14:paraId="42269FF8">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both"/>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考核内容</w:t>
            </w:r>
          </w:p>
        </w:tc>
        <w:tc>
          <w:tcPr>
            <w:tcW w:w="3919" w:type="pct"/>
            <w:tcBorders>
              <w:top w:val="single" w:color="auto" w:sz="4" w:space="0"/>
              <w:left w:val="nil"/>
              <w:bottom w:val="single" w:color="auto" w:sz="4" w:space="0"/>
              <w:right w:val="single" w:color="auto" w:sz="4" w:space="0"/>
            </w:tcBorders>
            <w:noWrap/>
            <w:vAlign w:val="center"/>
          </w:tcPr>
          <w:p w14:paraId="2E53A221">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评分标准</w:t>
            </w:r>
          </w:p>
        </w:tc>
        <w:tc>
          <w:tcPr>
            <w:tcW w:w="264" w:type="pct"/>
            <w:tcBorders>
              <w:top w:val="single" w:color="auto" w:sz="4" w:space="0"/>
              <w:left w:val="nil"/>
              <w:bottom w:val="single" w:color="auto" w:sz="4" w:space="0"/>
              <w:right w:val="single" w:color="auto" w:sz="4" w:space="0"/>
            </w:tcBorders>
            <w:noWrap/>
            <w:vAlign w:val="center"/>
          </w:tcPr>
          <w:p w14:paraId="5C18CB54">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both"/>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考核扣分</w:t>
            </w:r>
          </w:p>
        </w:tc>
        <w:tc>
          <w:tcPr>
            <w:tcW w:w="264" w:type="pct"/>
            <w:tcBorders>
              <w:top w:val="single" w:color="auto" w:sz="4" w:space="0"/>
              <w:left w:val="nil"/>
              <w:bottom w:val="single" w:color="auto" w:sz="4" w:space="0"/>
              <w:right w:val="single" w:color="auto" w:sz="4" w:space="0"/>
            </w:tcBorders>
            <w:noWrap/>
            <w:vAlign w:val="center"/>
          </w:tcPr>
          <w:p w14:paraId="6D8E4AB8">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both"/>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考核得分</w:t>
            </w:r>
          </w:p>
        </w:tc>
      </w:tr>
      <w:tr w14:paraId="7AC2B6B2">
        <w:tblPrEx>
          <w:tblCellMar>
            <w:top w:w="0" w:type="dxa"/>
            <w:left w:w="108" w:type="dxa"/>
            <w:bottom w:w="0" w:type="dxa"/>
            <w:right w:w="108" w:type="dxa"/>
          </w:tblCellMar>
        </w:tblPrEx>
        <w:trPr>
          <w:trHeight w:val="556" w:hRule="atLeast"/>
        </w:trPr>
        <w:tc>
          <w:tcPr>
            <w:tcW w:w="191" w:type="pct"/>
            <w:vMerge w:val="restart"/>
            <w:tcBorders>
              <w:top w:val="nil"/>
              <w:left w:val="single" w:color="auto" w:sz="4" w:space="0"/>
              <w:bottom w:val="single" w:color="000000" w:sz="4" w:space="0"/>
              <w:right w:val="single" w:color="auto" w:sz="4" w:space="0"/>
            </w:tcBorders>
            <w:noWrap/>
            <w:vAlign w:val="center"/>
          </w:tcPr>
          <w:p w14:paraId="6018B6F1">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w:t>
            </w:r>
          </w:p>
        </w:tc>
        <w:tc>
          <w:tcPr>
            <w:tcW w:w="361" w:type="pct"/>
            <w:vMerge w:val="restart"/>
            <w:tcBorders>
              <w:top w:val="nil"/>
              <w:left w:val="single" w:color="auto" w:sz="4" w:space="0"/>
              <w:bottom w:val="single" w:color="000000" w:sz="4" w:space="0"/>
              <w:right w:val="single" w:color="auto" w:sz="4" w:space="0"/>
            </w:tcBorders>
            <w:noWrap w:val="0"/>
            <w:vAlign w:val="center"/>
          </w:tcPr>
          <w:p w14:paraId="7C3E225E">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日常管理</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20</w:t>
            </w:r>
            <w:r>
              <w:rPr>
                <w:rFonts w:hint="eastAsia" w:ascii="宋体" w:hAnsi="宋体" w:eastAsia="宋体" w:cs="宋体"/>
                <w:color w:val="auto"/>
                <w:kern w:val="0"/>
                <w:sz w:val="21"/>
                <w:szCs w:val="21"/>
              </w:rPr>
              <w:t>分）</w:t>
            </w:r>
          </w:p>
        </w:tc>
        <w:tc>
          <w:tcPr>
            <w:tcW w:w="3919" w:type="pct"/>
            <w:tcBorders>
              <w:top w:val="nil"/>
              <w:left w:val="nil"/>
              <w:bottom w:val="single" w:color="auto" w:sz="4" w:space="0"/>
              <w:right w:val="single" w:color="auto" w:sz="4" w:space="0"/>
            </w:tcBorders>
            <w:noWrap/>
            <w:vAlign w:val="center"/>
          </w:tcPr>
          <w:p w14:paraId="6943F097">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bidi="ar"/>
              </w:rPr>
              <w:t>1、制定完善的管理制度，其中应包括安全生产制度、培训制度、岗位责任制度、保密制度、廉政制度，缺一项扣1分，扣完为止。</w:t>
            </w:r>
          </w:p>
        </w:tc>
        <w:tc>
          <w:tcPr>
            <w:tcW w:w="264" w:type="pct"/>
            <w:tcBorders>
              <w:top w:val="nil"/>
              <w:left w:val="nil"/>
              <w:bottom w:val="single" w:color="auto" w:sz="4" w:space="0"/>
              <w:right w:val="single" w:color="auto" w:sz="4" w:space="0"/>
            </w:tcBorders>
            <w:noWrap/>
            <w:vAlign w:val="center"/>
          </w:tcPr>
          <w:p w14:paraId="048C6E32">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c>
          <w:tcPr>
            <w:tcW w:w="264" w:type="pct"/>
            <w:vMerge w:val="restart"/>
            <w:tcBorders>
              <w:top w:val="single" w:color="auto" w:sz="4" w:space="0"/>
              <w:left w:val="single" w:color="auto" w:sz="4" w:space="0"/>
              <w:bottom w:val="single" w:color="000000" w:sz="4" w:space="0"/>
              <w:right w:val="single" w:color="auto" w:sz="4" w:space="0"/>
            </w:tcBorders>
            <w:noWrap w:val="0"/>
            <w:vAlign w:val="center"/>
          </w:tcPr>
          <w:p w14:paraId="3F02A35F">
            <w:pPr>
              <w:keepNext w:val="0"/>
              <w:keepLines w:val="0"/>
              <w:pageBreakBefore w:val="0"/>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r>
      <w:tr w14:paraId="5F9F6245">
        <w:tblPrEx>
          <w:tblCellMar>
            <w:top w:w="0" w:type="dxa"/>
            <w:left w:w="108" w:type="dxa"/>
            <w:bottom w:w="0" w:type="dxa"/>
            <w:right w:w="108" w:type="dxa"/>
          </w:tblCellMar>
        </w:tblPrEx>
        <w:trPr>
          <w:trHeight w:val="188" w:hRule="atLeast"/>
        </w:trPr>
        <w:tc>
          <w:tcPr>
            <w:tcW w:w="191" w:type="pct"/>
            <w:vMerge w:val="continue"/>
            <w:tcBorders>
              <w:top w:val="nil"/>
              <w:left w:val="single" w:color="auto" w:sz="4" w:space="0"/>
              <w:bottom w:val="single" w:color="000000" w:sz="4" w:space="0"/>
              <w:right w:val="single" w:color="auto" w:sz="4" w:space="0"/>
            </w:tcBorders>
            <w:noWrap w:val="0"/>
            <w:vAlign w:val="center"/>
          </w:tcPr>
          <w:p w14:paraId="6296DE1F">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nil"/>
              <w:left w:val="single" w:color="auto" w:sz="4" w:space="0"/>
              <w:bottom w:val="single" w:color="000000" w:sz="4" w:space="0"/>
              <w:right w:val="single" w:color="auto" w:sz="4" w:space="0"/>
            </w:tcBorders>
            <w:noWrap w:val="0"/>
            <w:vAlign w:val="center"/>
          </w:tcPr>
          <w:p w14:paraId="413E6AC4">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0ABDBBB3">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2、根据合同人员、设备（含车辆）要求，分别形成台账，缺一项扣1分；发生台账与实际不符的情况，扣2分/次，扣完为止。</w:t>
            </w:r>
          </w:p>
        </w:tc>
        <w:tc>
          <w:tcPr>
            <w:tcW w:w="264" w:type="pct"/>
            <w:tcBorders>
              <w:top w:val="nil"/>
              <w:left w:val="nil"/>
              <w:bottom w:val="single" w:color="auto" w:sz="4" w:space="0"/>
              <w:right w:val="single" w:color="auto" w:sz="4" w:space="0"/>
            </w:tcBorders>
            <w:noWrap/>
            <w:vAlign w:val="center"/>
          </w:tcPr>
          <w:p w14:paraId="56C58B9B">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c>
          <w:tcPr>
            <w:tcW w:w="264" w:type="pct"/>
            <w:vMerge w:val="continue"/>
            <w:tcBorders>
              <w:top w:val="nil"/>
              <w:left w:val="single" w:color="auto" w:sz="4" w:space="0"/>
              <w:bottom w:val="single" w:color="000000" w:sz="4" w:space="0"/>
              <w:right w:val="single" w:color="auto" w:sz="4" w:space="0"/>
            </w:tcBorders>
            <w:noWrap w:val="0"/>
            <w:vAlign w:val="center"/>
          </w:tcPr>
          <w:p w14:paraId="3748FE2A">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r>
      <w:tr w14:paraId="73B88660">
        <w:tblPrEx>
          <w:tblCellMar>
            <w:top w:w="0" w:type="dxa"/>
            <w:left w:w="108" w:type="dxa"/>
            <w:bottom w:w="0" w:type="dxa"/>
            <w:right w:w="108" w:type="dxa"/>
          </w:tblCellMar>
        </w:tblPrEx>
        <w:trPr>
          <w:trHeight w:val="188" w:hRule="atLeast"/>
        </w:trPr>
        <w:tc>
          <w:tcPr>
            <w:tcW w:w="191" w:type="pct"/>
            <w:vMerge w:val="continue"/>
            <w:tcBorders>
              <w:top w:val="nil"/>
              <w:left w:val="single" w:color="auto" w:sz="4" w:space="0"/>
              <w:bottom w:val="single" w:color="000000" w:sz="4" w:space="0"/>
              <w:right w:val="single" w:color="auto" w:sz="4" w:space="0"/>
            </w:tcBorders>
            <w:noWrap w:val="0"/>
            <w:vAlign w:val="center"/>
          </w:tcPr>
          <w:p w14:paraId="7B0310FB">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nil"/>
              <w:left w:val="single" w:color="auto" w:sz="4" w:space="0"/>
              <w:bottom w:val="single" w:color="000000" w:sz="4" w:space="0"/>
              <w:right w:val="single" w:color="auto" w:sz="4" w:space="0"/>
            </w:tcBorders>
            <w:noWrap w:val="0"/>
            <w:vAlign w:val="center"/>
          </w:tcPr>
          <w:p w14:paraId="6A07353E">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4747A00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每季度至少开展一次全员业务培训（含安全、保密等内容），并有详细的培训记录。未落实扣1分/次，缺1人扣0.5分/次，扣完为止；项目履约中发生泄密行为扣2分/次，未落实项目管理制度，对项目造成不良影响等扣2分/次，扣完为止。</w:t>
            </w:r>
          </w:p>
        </w:tc>
        <w:tc>
          <w:tcPr>
            <w:tcW w:w="264" w:type="pct"/>
            <w:tcBorders>
              <w:top w:val="nil"/>
              <w:left w:val="nil"/>
              <w:bottom w:val="single" w:color="auto" w:sz="4" w:space="0"/>
              <w:right w:val="single" w:color="auto" w:sz="4" w:space="0"/>
            </w:tcBorders>
            <w:noWrap/>
            <w:vAlign w:val="center"/>
          </w:tcPr>
          <w:p w14:paraId="505BE4FD">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c>
          <w:tcPr>
            <w:tcW w:w="264" w:type="pct"/>
            <w:vMerge w:val="continue"/>
            <w:tcBorders>
              <w:top w:val="nil"/>
              <w:left w:val="single" w:color="auto" w:sz="4" w:space="0"/>
              <w:bottom w:val="single" w:color="000000" w:sz="4" w:space="0"/>
              <w:right w:val="single" w:color="auto" w:sz="4" w:space="0"/>
            </w:tcBorders>
            <w:noWrap w:val="0"/>
            <w:vAlign w:val="center"/>
          </w:tcPr>
          <w:p w14:paraId="50101BF3">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r>
      <w:tr w14:paraId="123E7E7D">
        <w:tblPrEx>
          <w:tblCellMar>
            <w:top w:w="0" w:type="dxa"/>
            <w:left w:w="108" w:type="dxa"/>
            <w:bottom w:w="0" w:type="dxa"/>
            <w:right w:w="108" w:type="dxa"/>
          </w:tblCellMar>
        </w:tblPrEx>
        <w:trPr>
          <w:trHeight w:val="188" w:hRule="atLeast"/>
        </w:trPr>
        <w:tc>
          <w:tcPr>
            <w:tcW w:w="191" w:type="pct"/>
            <w:vMerge w:val="continue"/>
            <w:tcBorders>
              <w:top w:val="nil"/>
              <w:left w:val="single" w:color="auto" w:sz="4" w:space="0"/>
              <w:bottom w:val="single" w:color="000000" w:sz="4" w:space="0"/>
              <w:right w:val="single" w:color="auto" w:sz="4" w:space="0"/>
            </w:tcBorders>
            <w:noWrap w:val="0"/>
            <w:vAlign w:val="center"/>
          </w:tcPr>
          <w:p w14:paraId="26B23EF8">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nil"/>
              <w:left w:val="single" w:color="auto" w:sz="4" w:space="0"/>
              <w:bottom w:val="single" w:color="000000" w:sz="4" w:space="0"/>
              <w:right w:val="single" w:color="auto" w:sz="4" w:space="0"/>
            </w:tcBorders>
            <w:noWrap w:val="0"/>
            <w:vAlign w:val="center"/>
          </w:tcPr>
          <w:p w14:paraId="382C37E9">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438C623A">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、向服务单位“吃、拿、卡、要”，扣10分</w:t>
            </w:r>
            <w:r>
              <w:rPr>
                <w:rFonts w:hint="eastAsia" w:ascii="宋体" w:hAnsi="宋体" w:eastAsia="宋体" w:cs="宋体"/>
                <w:color w:val="auto"/>
                <w:kern w:val="0"/>
                <w:sz w:val="21"/>
                <w:szCs w:val="21"/>
                <w:lang w:val="en-US" w:eastAsia="zh-CN"/>
              </w:rPr>
              <w:t>/次，</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41017793">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c>
          <w:tcPr>
            <w:tcW w:w="264" w:type="pct"/>
            <w:vMerge w:val="continue"/>
            <w:tcBorders>
              <w:top w:val="nil"/>
              <w:left w:val="single" w:color="auto" w:sz="4" w:space="0"/>
              <w:bottom w:val="single" w:color="000000" w:sz="4" w:space="0"/>
              <w:right w:val="single" w:color="auto" w:sz="4" w:space="0"/>
            </w:tcBorders>
            <w:noWrap w:val="0"/>
            <w:vAlign w:val="center"/>
          </w:tcPr>
          <w:p w14:paraId="580741B7">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r>
      <w:tr w14:paraId="0EBDC071">
        <w:tblPrEx>
          <w:tblCellMar>
            <w:top w:w="0" w:type="dxa"/>
            <w:left w:w="108" w:type="dxa"/>
            <w:bottom w:w="0" w:type="dxa"/>
            <w:right w:w="108" w:type="dxa"/>
          </w:tblCellMar>
        </w:tblPrEx>
        <w:trPr>
          <w:trHeight w:val="188" w:hRule="atLeast"/>
        </w:trPr>
        <w:tc>
          <w:tcPr>
            <w:tcW w:w="191" w:type="pct"/>
            <w:vMerge w:val="continue"/>
            <w:tcBorders>
              <w:top w:val="nil"/>
              <w:left w:val="single" w:color="auto" w:sz="4" w:space="0"/>
              <w:bottom w:val="single" w:color="000000" w:sz="4" w:space="0"/>
              <w:right w:val="single" w:color="auto" w:sz="4" w:space="0"/>
            </w:tcBorders>
            <w:noWrap w:val="0"/>
            <w:vAlign w:val="center"/>
          </w:tcPr>
          <w:p w14:paraId="12540896">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nil"/>
              <w:left w:val="single" w:color="auto" w:sz="4" w:space="0"/>
              <w:bottom w:val="single" w:color="000000" w:sz="4" w:space="0"/>
              <w:right w:val="single" w:color="auto" w:sz="4" w:space="0"/>
            </w:tcBorders>
            <w:noWrap w:val="0"/>
            <w:vAlign w:val="center"/>
          </w:tcPr>
          <w:p w14:paraId="09E00AC9">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279C938E">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rPr>
              <w:t>、对项目情况不熟悉，扣1分/人</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33356E1D">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c>
          <w:tcPr>
            <w:tcW w:w="264" w:type="pct"/>
            <w:vMerge w:val="continue"/>
            <w:tcBorders>
              <w:top w:val="nil"/>
              <w:left w:val="single" w:color="auto" w:sz="4" w:space="0"/>
              <w:bottom w:val="single" w:color="000000" w:sz="4" w:space="0"/>
              <w:right w:val="single" w:color="auto" w:sz="4" w:space="0"/>
            </w:tcBorders>
            <w:noWrap w:val="0"/>
            <w:vAlign w:val="center"/>
          </w:tcPr>
          <w:p w14:paraId="63C9F350">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r>
      <w:tr w14:paraId="0B54C9D5">
        <w:tblPrEx>
          <w:tblCellMar>
            <w:top w:w="0" w:type="dxa"/>
            <w:left w:w="108" w:type="dxa"/>
            <w:bottom w:w="0" w:type="dxa"/>
            <w:right w:w="108" w:type="dxa"/>
          </w:tblCellMar>
        </w:tblPrEx>
        <w:trPr>
          <w:trHeight w:val="188" w:hRule="atLeast"/>
        </w:trPr>
        <w:tc>
          <w:tcPr>
            <w:tcW w:w="191" w:type="pct"/>
            <w:vMerge w:val="continue"/>
            <w:tcBorders>
              <w:top w:val="nil"/>
              <w:left w:val="single" w:color="auto" w:sz="4" w:space="0"/>
              <w:bottom w:val="single" w:color="000000" w:sz="4" w:space="0"/>
              <w:right w:val="single" w:color="auto" w:sz="4" w:space="0"/>
            </w:tcBorders>
            <w:noWrap w:val="0"/>
            <w:vAlign w:val="center"/>
          </w:tcPr>
          <w:p w14:paraId="0C295808">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nil"/>
              <w:left w:val="single" w:color="auto" w:sz="4" w:space="0"/>
              <w:bottom w:val="single" w:color="000000" w:sz="4" w:space="0"/>
              <w:right w:val="single" w:color="auto" w:sz="4" w:space="0"/>
            </w:tcBorders>
            <w:noWrap w:val="0"/>
            <w:vAlign w:val="center"/>
          </w:tcPr>
          <w:p w14:paraId="273B3ACC">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522D60D0">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rPr>
              <w:t>、监理人员办公场所不清洁，不卫生，未挂牌上岗，违反《关于加强长沙市道路交通管理设施占道施工交通安全管理工作的指导意见》之“着装要求”规定，扣1分/次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0F53BF30">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c>
          <w:tcPr>
            <w:tcW w:w="264" w:type="pct"/>
            <w:vMerge w:val="continue"/>
            <w:tcBorders>
              <w:top w:val="nil"/>
              <w:left w:val="single" w:color="auto" w:sz="4" w:space="0"/>
              <w:bottom w:val="single" w:color="000000" w:sz="4" w:space="0"/>
              <w:right w:val="single" w:color="auto" w:sz="4" w:space="0"/>
            </w:tcBorders>
            <w:noWrap w:val="0"/>
            <w:vAlign w:val="center"/>
          </w:tcPr>
          <w:p w14:paraId="33D37F8B">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r>
      <w:tr w14:paraId="3F9DC6D5">
        <w:tblPrEx>
          <w:tblCellMar>
            <w:top w:w="0" w:type="dxa"/>
            <w:left w:w="108" w:type="dxa"/>
            <w:bottom w:w="0" w:type="dxa"/>
            <w:right w:w="108" w:type="dxa"/>
          </w:tblCellMar>
        </w:tblPrEx>
        <w:trPr>
          <w:trHeight w:val="90" w:hRule="atLeast"/>
        </w:trPr>
        <w:tc>
          <w:tcPr>
            <w:tcW w:w="191" w:type="pct"/>
            <w:vMerge w:val="continue"/>
            <w:tcBorders>
              <w:top w:val="nil"/>
              <w:left w:val="single" w:color="auto" w:sz="4" w:space="0"/>
              <w:bottom w:val="single" w:color="000000" w:sz="4" w:space="0"/>
              <w:right w:val="single" w:color="auto" w:sz="4" w:space="0"/>
            </w:tcBorders>
            <w:noWrap w:val="0"/>
            <w:vAlign w:val="center"/>
          </w:tcPr>
          <w:p w14:paraId="34D61861">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nil"/>
              <w:left w:val="single" w:color="auto" w:sz="4" w:space="0"/>
              <w:bottom w:val="single" w:color="000000" w:sz="4" w:space="0"/>
              <w:right w:val="single" w:color="auto" w:sz="4" w:space="0"/>
            </w:tcBorders>
            <w:noWrap w:val="0"/>
            <w:vAlign w:val="center"/>
          </w:tcPr>
          <w:p w14:paraId="055C4BBF">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030A94D5">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rPr>
              <w:t>、现场监理人员未按要求考勤到岗，扣1分/次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71F04FD3">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c>
          <w:tcPr>
            <w:tcW w:w="264" w:type="pct"/>
            <w:vMerge w:val="continue"/>
            <w:tcBorders>
              <w:top w:val="nil"/>
              <w:left w:val="single" w:color="auto" w:sz="4" w:space="0"/>
              <w:bottom w:val="single" w:color="000000" w:sz="4" w:space="0"/>
              <w:right w:val="single" w:color="auto" w:sz="4" w:space="0"/>
            </w:tcBorders>
            <w:noWrap w:val="0"/>
            <w:vAlign w:val="center"/>
          </w:tcPr>
          <w:p w14:paraId="1C6DB932">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r>
      <w:tr w14:paraId="2A424473">
        <w:tblPrEx>
          <w:tblCellMar>
            <w:top w:w="0" w:type="dxa"/>
            <w:left w:w="108" w:type="dxa"/>
            <w:bottom w:w="0" w:type="dxa"/>
            <w:right w:w="108" w:type="dxa"/>
          </w:tblCellMar>
        </w:tblPrEx>
        <w:trPr>
          <w:trHeight w:val="290" w:hRule="atLeast"/>
        </w:trPr>
        <w:tc>
          <w:tcPr>
            <w:tcW w:w="191" w:type="pct"/>
            <w:vMerge w:val="continue"/>
            <w:tcBorders>
              <w:left w:val="single" w:color="auto" w:sz="4" w:space="0"/>
              <w:bottom w:val="single" w:color="000000" w:sz="4" w:space="0"/>
              <w:right w:val="single" w:color="auto" w:sz="4" w:space="0"/>
            </w:tcBorders>
            <w:noWrap w:val="0"/>
            <w:vAlign w:val="center"/>
          </w:tcPr>
          <w:p w14:paraId="43AD832C">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sz w:val="21"/>
                <w:szCs w:val="21"/>
              </w:rPr>
            </w:pPr>
          </w:p>
        </w:tc>
        <w:tc>
          <w:tcPr>
            <w:tcW w:w="361" w:type="pct"/>
            <w:vMerge w:val="continue"/>
            <w:tcBorders>
              <w:left w:val="single" w:color="auto" w:sz="4" w:space="0"/>
              <w:bottom w:val="single" w:color="000000" w:sz="4" w:space="0"/>
              <w:right w:val="single" w:color="auto" w:sz="4" w:space="0"/>
            </w:tcBorders>
            <w:noWrap w:val="0"/>
            <w:vAlign w:val="center"/>
          </w:tcPr>
          <w:p w14:paraId="0B56740D">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sz w:val="21"/>
                <w:szCs w:val="21"/>
              </w:rPr>
            </w:pPr>
          </w:p>
        </w:tc>
        <w:tc>
          <w:tcPr>
            <w:tcW w:w="3919" w:type="pct"/>
            <w:tcBorders>
              <w:top w:val="single" w:color="auto" w:sz="4" w:space="0"/>
              <w:left w:val="single" w:color="auto" w:sz="4" w:space="0"/>
              <w:bottom w:val="single" w:color="auto" w:sz="4" w:space="0"/>
              <w:right w:val="single" w:color="auto" w:sz="4" w:space="0"/>
            </w:tcBorders>
            <w:noWrap/>
            <w:vAlign w:val="center"/>
          </w:tcPr>
          <w:p w14:paraId="4B7A2147">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、未经用户单位同意，调换主要监理人员，扣2分/次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single" w:color="auto" w:sz="4" w:space="0"/>
              <w:left w:val="single" w:color="auto" w:sz="4" w:space="0"/>
              <w:bottom w:val="single" w:color="auto" w:sz="4" w:space="0"/>
              <w:right w:val="single" w:color="auto" w:sz="4" w:space="0"/>
            </w:tcBorders>
            <w:noWrap/>
            <w:vAlign w:val="center"/>
          </w:tcPr>
          <w:p w14:paraId="09A76903">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single" w:color="auto" w:sz="4" w:space="0"/>
              <w:bottom w:val="single" w:color="000000" w:sz="4" w:space="0"/>
              <w:right w:val="single" w:color="auto" w:sz="4" w:space="0"/>
            </w:tcBorders>
            <w:noWrap w:val="0"/>
            <w:vAlign w:val="center"/>
          </w:tcPr>
          <w:p w14:paraId="32760213">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42E0A93B">
        <w:tblPrEx>
          <w:tblCellMar>
            <w:top w:w="0" w:type="dxa"/>
            <w:left w:w="108" w:type="dxa"/>
            <w:bottom w:w="0" w:type="dxa"/>
            <w:right w:w="108" w:type="dxa"/>
          </w:tblCellMar>
        </w:tblPrEx>
        <w:trPr>
          <w:trHeight w:val="188" w:hRule="atLeast"/>
        </w:trPr>
        <w:tc>
          <w:tcPr>
            <w:tcW w:w="191" w:type="pct"/>
            <w:vMerge w:val="restart"/>
            <w:tcBorders>
              <w:top w:val="nil"/>
              <w:left w:val="single" w:color="auto" w:sz="4" w:space="0"/>
              <w:right w:val="single" w:color="auto" w:sz="4" w:space="0"/>
            </w:tcBorders>
            <w:noWrap/>
            <w:vAlign w:val="center"/>
          </w:tcPr>
          <w:p w14:paraId="639279D7">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2</w:t>
            </w:r>
          </w:p>
        </w:tc>
        <w:tc>
          <w:tcPr>
            <w:tcW w:w="361" w:type="pct"/>
            <w:vMerge w:val="restart"/>
            <w:tcBorders>
              <w:top w:val="nil"/>
              <w:left w:val="single" w:color="auto" w:sz="4" w:space="0"/>
              <w:right w:val="single" w:color="auto" w:sz="4" w:space="0"/>
            </w:tcBorders>
            <w:noWrap w:val="0"/>
            <w:vAlign w:val="center"/>
          </w:tcPr>
          <w:p w14:paraId="7CC36F92">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响应管理（20分）</w:t>
            </w:r>
          </w:p>
        </w:tc>
        <w:tc>
          <w:tcPr>
            <w:tcW w:w="3919" w:type="pct"/>
            <w:tcBorders>
              <w:top w:val="nil"/>
              <w:left w:val="nil"/>
              <w:bottom w:val="single" w:color="auto" w:sz="4" w:space="0"/>
              <w:right w:val="single" w:color="auto" w:sz="4" w:space="0"/>
            </w:tcBorders>
            <w:noWrap/>
            <w:vAlign w:val="center"/>
          </w:tcPr>
          <w:p w14:paraId="29DA7672">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1、未及时响应用户单位的工作指示，扣</w:t>
            </w: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4AB04CAE">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restart"/>
            <w:tcBorders>
              <w:top w:val="nil"/>
              <w:left w:val="nil"/>
              <w:right w:val="single" w:color="auto" w:sz="4" w:space="0"/>
            </w:tcBorders>
            <w:noWrap/>
            <w:vAlign w:val="center"/>
          </w:tcPr>
          <w:p w14:paraId="42211588">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39FBD633">
        <w:tblPrEx>
          <w:tblCellMar>
            <w:top w:w="0" w:type="dxa"/>
            <w:left w:w="108" w:type="dxa"/>
            <w:bottom w:w="0" w:type="dxa"/>
            <w:right w:w="108" w:type="dxa"/>
          </w:tblCellMar>
        </w:tblPrEx>
        <w:trPr>
          <w:trHeight w:val="188" w:hRule="atLeast"/>
        </w:trPr>
        <w:tc>
          <w:tcPr>
            <w:tcW w:w="191" w:type="pct"/>
            <w:vMerge w:val="continue"/>
            <w:tcBorders>
              <w:left w:val="single" w:color="auto" w:sz="4" w:space="0"/>
              <w:right w:val="single" w:color="auto" w:sz="4" w:space="0"/>
            </w:tcBorders>
            <w:noWrap w:val="0"/>
            <w:vAlign w:val="center"/>
          </w:tcPr>
          <w:p w14:paraId="23ED999F">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left w:val="single" w:color="auto" w:sz="4" w:space="0"/>
              <w:right w:val="single" w:color="auto" w:sz="4" w:space="0"/>
            </w:tcBorders>
            <w:noWrap w:val="0"/>
            <w:vAlign w:val="center"/>
          </w:tcPr>
          <w:p w14:paraId="35194E6D">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58D0D4F6">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2、为督促服务单位按时限进场，扣1分/次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0C746BAF">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right w:val="single" w:color="auto" w:sz="4" w:space="0"/>
            </w:tcBorders>
            <w:noWrap/>
            <w:vAlign w:val="center"/>
          </w:tcPr>
          <w:p w14:paraId="4E5F01C4">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01CE4A57">
        <w:tblPrEx>
          <w:tblCellMar>
            <w:top w:w="0" w:type="dxa"/>
            <w:left w:w="108" w:type="dxa"/>
            <w:bottom w:w="0" w:type="dxa"/>
            <w:right w:w="108" w:type="dxa"/>
          </w:tblCellMar>
        </w:tblPrEx>
        <w:trPr>
          <w:trHeight w:val="188" w:hRule="atLeast"/>
        </w:trPr>
        <w:tc>
          <w:tcPr>
            <w:tcW w:w="191" w:type="pct"/>
            <w:vMerge w:val="continue"/>
            <w:tcBorders>
              <w:left w:val="single" w:color="auto" w:sz="4" w:space="0"/>
              <w:right w:val="single" w:color="auto" w:sz="4" w:space="0"/>
            </w:tcBorders>
            <w:noWrap w:val="0"/>
            <w:vAlign w:val="center"/>
          </w:tcPr>
          <w:p w14:paraId="13188E5A">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left w:val="single" w:color="auto" w:sz="4" w:space="0"/>
              <w:right w:val="single" w:color="auto" w:sz="4" w:space="0"/>
            </w:tcBorders>
            <w:noWrap w:val="0"/>
            <w:vAlign w:val="center"/>
          </w:tcPr>
          <w:p w14:paraId="62613123">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5B3BA66F">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3、未及时完成现场签证处理，扣1分/次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6F4D226D">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right w:val="single" w:color="auto" w:sz="4" w:space="0"/>
            </w:tcBorders>
            <w:noWrap/>
            <w:vAlign w:val="center"/>
          </w:tcPr>
          <w:p w14:paraId="5D5B22BE">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2D204F4D">
        <w:tblPrEx>
          <w:tblCellMar>
            <w:top w:w="0" w:type="dxa"/>
            <w:left w:w="108" w:type="dxa"/>
            <w:bottom w:w="0" w:type="dxa"/>
            <w:right w:w="108" w:type="dxa"/>
          </w:tblCellMar>
        </w:tblPrEx>
        <w:trPr>
          <w:trHeight w:val="314" w:hRule="atLeast"/>
        </w:trPr>
        <w:tc>
          <w:tcPr>
            <w:tcW w:w="191" w:type="pct"/>
            <w:vMerge w:val="continue"/>
            <w:tcBorders>
              <w:left w:val="single" w:color="auto" w:sz="4" w:space="0"/>
              <w:right w:val="single" w:color="auto" w:sz="4" w:space="0"/>
            </w:tcBorders>
            <w:noWrap w:val="0"/>
            <w:vAlign w:val="center"/>
          </w:tcPr>
          <w:p w14:paraId="31BC026A">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left w:val="single" w:color="auto" w:sz="4" w:space="0"/>
              <w:right w:val="single" w:color="auto" w:sz="4" w:space="0"/>
            </w:tcBorders>
            <w:noWrap w:val="0"/>
            <w:vAlign w:val="center"/>
          </w:tcPr>
          <w:p w14:paraId="57139F24">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2C018385">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4、未督促服务单位按时完成维护、维修，扣1分/次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1C672CE3">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right w:val="single" w:color="auto" w:sz="4" w:space="0"/>
            </w:tcBorders>
            <w:noWrap/>
            <w:vAlign w:val="center"/>
          </w:tcPr>
          <w:p w14:paraId="48445DB8">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40D5086F">
        <w:trPr>
          <w:trHeight w:val="314" w:hRule="atLeast"/>
        </w:trPr>
        <w:tc>
          <w:tcPr>
            <w:tcW w:w="191" w:type="pct"/>
            <w:vMerge w:val="continue"/>
            <w:tcBorders>
              <w:left w:val="single" w:color="auto" w:sz="4" w:space="0"/>
              <w:bottom w:val="single" w:color="auto" w:sz="4" w:space="0"/>
              <w:right w:val="single" w:color="auto" w:sz="4" w:space="0"/>
            </w:tcBorders>
            <w:noWrap w:val="0"/>
            <w:vAlign w:val="center"/>
          </w:tcPr>
          <w:p w14:paraId="1F8B7811">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left w:val="single" w:color="auto" w:sz="4" w:space="0"/>
              <w:bottom w:val="single" w:color="auto" w:sz="4" w:space="0"/>
              <w:right w:val="single" w:color="auto" w:sz="4" w:space="0"/>
            </w:tcBorders>
            <w:noWrap w:val="0"/>
            <w:vAlign w:val="center"/>
          </w:tcPr>
          <w:p w14:paraId="005CF425">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76D226CF">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lang w:val="en-US"/>
              </w:rPr>
            </w:pPr>
            <w:r>
              <w:rPr>
                <w:rFonts w:hint="eastAsia" w:ascii="宋体" w:hAnsi="宋体" w:eastAsia="宋体" w:cs="宋体"/>
                <w:color w:val="auto"/>
                <w:kern w:val="0"/>
                <w:sz w:val="21"/>
                <w:szCs w:val="21"/>
                <w:lang w:val="en-US" w:eastAsia="zh-CN"/>
              </w:rPr>
              <w:t>5、未按合同要求落实现场监理、监理抽查、检测，</w:t>
            </w:r>
            <w:r>
              <w:rPr>
                <w:rFonts w:hint="eastAsia" w:ascii="宋体" w:hAnsi="宋体" w:eastAsia="宋体" w:cs="宋体"/>
                <w:color w:val="auto"/>
                <w:kern w:val="0"/>
                <w:sz w:val="21"/>
                <w:szCs w:val="21"/>
              </w:rPr>
              <w:t>扣1分/次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4B84BEBB">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bottom w:val="single" w:color="auto" w:sz="4" w:space="0"/>
              <w:right w:val="single" w:color="auto" w:sz="4" w:space="0"/>
            </w:tcBorders>
            <w:noWrap/>
            <w:vAlign w:val="center"/>
          </w:tcPr>
          <w:p w14:paraId="31193F0D">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2D7CE77A">
        <w:trPr>
          <w:trHeight w:val="188" w:hRule="atLeast"/>
        </w:trPr>
        <w:tc>
          <w:tcPr>
            <w:tcW w:w="191" w:type="pct"/>
            <w:vMerge w:val="restart"/>
            <w:tcBorders>
              <w:top w:val="nil"/>
              <w:left w:val="single" w:color="auto" w:sz="4" w:space="0"/>
              <w:bottom w:val="single" w:color="000000" w:sz="4" w:space="0"/>
              <w:right w:val="single" w:color="auto" w:sz="4" w:space="0"/>
            </w:tcBorders>
            <w:noWrap/>
            <w:vAlign w:val="center"/>
          </w:tcPr>
          <w:p w14:paraId="5147CDC2">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w:t>
            </w:r>
          </w:p>
        </w:tc>
        <w:tc>
          <w:tcPr>
            <w:tcW w:w="361" w:type="pct"/>
            <w:vMerge w:val="restart"/>
            <w:tcBorders>
              <w:top w:val="nil"/>
              <w:left w:val="single" w:color="auto" w:sz="4" w:space="0"/>
              <w:bottom w:val="single" w:color="000000" w:sz="4" w:space="0"/>
              <w:right w:val="single" w:color="auto" w:sz="4" w:space="0"/>
            </w:tcBorders>
            <w:noWrap w:val="0"/>
            <w:vAlign w:val="center"/>
          </w:tcPr>
          <w:p w14:paraId="7E6D2E1D">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质量管理（</w:t>
            </w:r>
            <w:r>
              <w:rPr>
                <w:rFonts w:hint="eastAsia" w:ascii="宋体" w:hAnsi="宋体" w:eastAsia="宋体" w:cs="宋体"/>
                <w:color w:val="auto"/>
                <w:kern w:val="0"/>
                <w:sz w:val="21"/>
                <w:szCs w:val="21"/>
                <w:lang w:val="en-US" w:eastAsia="zh-CN"/>
              </w:rPr>
              <w:t>30</w:t>
            </w:r>
            <w:r>
              <w:rPr>
                <w:rFonts w:hint="eastAsia" w:ascii="宋体" w:hAnsi="宋体" w:eastAsia="宋体" w:cs="宋体"/>
                <w:color w:val="auto"/>
                <w:kern w:val="0"/>
                <w:sz w:val="21"/>
                <w:szCs w:val="21"/>
              </w:rPr>
              <w:t>分）</w:t>
            </w:r>
          </w:p>
        </w:tc>
        <w:tc>
          <w:tcPr>
            <w:tcW w:w="3919" w:type="pct"/>
            <w:tcBorders>
              <w:top w:val="single" w:color="auto" w:sz="4" w:space="0"/>
              <w:left w:val="nil"/>
              <w:bottom w:val="single" w:color="auto" w:sz="4" w:space="0"/>
              <w:right w:val="single" w:color="auto" w:sz="4" w:space="0"/>
            </w:tcBorders>
            <w:noWrap/>
            <w:vAlign w:val="center"/>
          </w:tcPr>
          <w:p w14:paraId="0863EC88">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1、监理现场抽查记录缺失或不合格的，扣2分/次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533E9619">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restart"/>
            <w:tcBorders>
              <w:top w:val="nil"/>
              <w:left w:val="nil"/>
              <w:right w:val="single" w:color="auto" w:sz="4" w:space="0"/>
            </w:tcBorders>
            <w:noWrap/>
            <w:vAlign w:val="center"/>
          </w:tcPr>
          <w:p w14:paraId="77357B4B">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28261475">
        <w:tblPrEx>
          <w:tblCellMar>
            <w:top w:w="0" w:type="dxa"/>
            <w:left w:w="108" w:type="dxa"/>
            <w:bottom w:w="0" w:type="dxa"/>
            <w:right w:w="108" w:type="dxa"/>
          </w:tblCellMar>
        </w:tblPrEx>
        <w:trPr>
          <w:trHeight w:val="188" w:hRule="atLeast"/>
        </w:trPr>
        <w:tc>
          <w:tcPr>
            <w:tcW w:w="191" w:type="pct"/>
            <w:vMerge w:val="continue"/>
            <w:tcBorders>
              <w:top w:val="nil"/>
              <w:left w:val="single" w:color="auto" w:sz="4" w:space="0"/>
              <w:bottom w:val="single" w:color="000000" w:sz="4" w:space="0"/>
              <w:right w:val="single" w:color="auto" w:sz="4" w:space="0"/>
            </w:tcBorders>
            <w:noWrap w:val="0"/>
            <w:vAlign w:val="center"/>
          </w:tcPr>
          <w:p w14:paraId="34E9096C">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nil"/>
              <w:left w:val="single" w:color="auto" w:sz="4" w:space="0"/>
              <w:bottom w:val="single" w:color="000000" w:sz="4" w:space="0"/>
              <w:right w:val="single" w:color="auto" w:sz="4" w:space="0"/>
            </w:tcBorders>
            <w:noWrap w:val="0"/>
            <w:vAlign w:val="center"/>
          </w:tcPr>
          <w:p w14:paraId="55557D8C">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0DFD4BE1">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2、材料、设备不合格，不符合规范和合同要求</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属监督不到位情形的</w:t>
            </w:r>
            <w:r>
              <w:rPr>
                <w:rFonts w:hint="eastAsia" w:ascii="宋体" w:hAnsi="宋体" w:eastAsia="宋体" w:cs="宋体"/>
                <w:color w:val="auto"/>
                <w:kern w:val="0"/>
                <w:sz w:val="21"/>
                <w:szCs w:val="21"/>
              </w:rPr>
              <w:t>，扣</w:t>
            </w: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55C5F01B">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right w:val="single" w:color="auto" w:sz="4" w:space="0"/>
            </w:tcBorders>
            <w:noWrap/>
            <w:vAlign w:val="center"/>
          </w:tcPr>
          <w:p w14:paraId="3F6ABF39">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13F357DE">
        <w:tblPrEx>
          <w:tblCellMar>
            <w:top w:w="0" w:type="dxa"/>
            <w:left w:w="108" w:type="dxa"/>
            <w:bottom w:w="0" w:type="dxa"/>
            <w:right w:w="108" w:type="dxa"/>
          </w:tblCellMar>
        </w:tblPrEx>
        <w:trPr>
          <w:trHeight w:val="188" w:hRule="atLeast"/>
        </w:trPr>
        <w:tc>
          <w:tcPr>
            <w:tcW w:w="191" w:type="pct"/>
            <w:vMerge w:val="continue"/>
            <w:tcBorders>
              <w:top w:val="nil"/>
              <w:left w:val="single" w:color="auto" w:sz="4" w:space="0"/>
              <w:bottom w:val="single" w:color="000000" w:sz="4" w:space="0"/>
              <w:right w:val="single" w:color="auto" w:sz="4" w:space="0"/>
            </w:tcBorders>
            <w:noWrap w:val="0"/>
            <w:vAlign w:val="center"/>
          </w:tcPr>
          <w:p w14:paraId="21989F67">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nil"/>
              <w:left w:val="single" w:color="auto" w:sz="4" w:space="0"/>
              <w:bottom w:val="single" w:color="000000" w:sz="4" w:space="0"/>
              <w:right w:val="single" w:color="auto" w:sz="4" w:space="0"/>
            </w:tcBorders>
            <w:noWrap w:val="0"/>
            <w:vAlign w:val="center"/>
          </w:tcPr>
          <w:p w14:paraId="5455EB94">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7725D10D">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3、标志、标线、信号灯设置不合理不符合质量要求，</w:t>
            </w:r>
            <w:r>
              <w:rPr>
                <w:rFonts w:hint="eastAsia" w:ascii="宋体" w:hAnsi="宋体" w:eastAsia="宋体" w:cs="宋体"/>
                <w:color w:val="auto"/>
                <w:kern w:val="0"/>
                <w:sz w:val="21"/>
                <w:szCs w:val="21"/>
                <w:lang w:val="en-US" w:eastAsia="zh-CN"/>
              </w:rPr>
              <w:t>属监督不到位情形的，</w:t>
            </w:r>
            <w:r>
              <w:rPr>
                <w:rFonts w:hint="eastAsia" w:ascii="宋体" w:hAnsi="宋体" w:eastAsia="宋体" w:cs="宋体"/>
                <w:color w:val="auto"/>
                <w:kern w:val="0"/>
                <w:sz w:val="21"/>
                <w:szCs w:val="21"/>
              </w:rPr>
              <w:t>扣</w:t>
            </w: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0F47799B">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right w:val="single" w:color="auto" w:sz="4" w:space="0"/>
            </w:tcBorders>
            <w:noWrap/>
            <w:vAlign w:val="center"/>
          </w:tcPr>
          <w:p w14:paraId="7E5672B2">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42B59310">
        <w:tblPrEx>
          <w:tblCellMar>
            <w:top w:w="0" w:type="dxa"/>
            <w:left w:w="108" w:type="dxa"/>
            <w:bottom w:w="0" w:type="dxa"/>
            <w:right w:w="108" w:type="dxa"/>
          </w:tblCellMar>
        </w:tblPrEx>
        <w:trPr>
          <w:trHeight w:val="188" w:hRule="atLeast"/>
        </w:trPr>
        <w:tc>
          <w:tcPr>
            <w:tcW w:w="191" w:type="pct"/>
            <w:vMerge w:val="continue"/>
            <w:tcBorders>
              <w:top w:val="nil"/>
              <w:left w:val="single" w:color="auto" w:sz="4" w:space="0"/>
              <w:bottom w:val="single" w:color="000000" w:sz="4" w:space="0"/>
              <w:right w:val="single" w:color="auto" w:sz="4" w:space="0"/>
            </w:tcBorders>
            <w:noWrap w:val="0"/>
            <w:vAlign w:val="center"/>
          </w:tcPr>
          <w:p w14:paraId="151D8773">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nil"/>
              <w:left w:val="single" w:color="auto" w:sz="4" w:space="0"/>
              <w:bottom w:val="single" w:color="000000" w:sz="4" w:space="0"/>
              <w:right w:val="single" w:color="auto" w:sz="4" w:space="0"/>
            </w:tcBorders>
            <w:noWrap w:val="0"/>
            <w:vAlign w:val="center"/>
          </w:tcPr>
          <w:p w14:paraId="1B7133EA">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564A92F3">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4、审批的方案有不合理之处，扣2分/次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048274BE">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right w:val="single" w:color="auto" w:sz="4" w:space="0"/>
            </w:tcBorders>
            <w:noWrap/>
            <w:vAlign w:val="center"/>
          </w:tcPr>
          <w:p w14:paraId="55021A71">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39C98E1C">
        <w:tblPrEx>
          <w:tblCellMar>
            <w:top w:w="0" w:type="dxa"/>
            <w:left w:w="108" w:type="dxa"/>
            <w:bottom w:w="0" w:type="dxa"/>
            <w:right w:w="108" w:type="dxa"/>
          </w:tblCellMar>
        </w:tblPrEx>
        <w:trPr>
          <w:trHeight w:val="188" w:hRule="atLeast"/>
        </w:trPr>
        <w:tc>
          <w:tcPr>
            <w:tcW w:w="191" w:type="pct"/>
            <w:vMerge w:val="continue"/>
            <w:tcBorders>
              <w:top w:val="nil"/>
              <w:left w:val="single" w:color="auto" w:sz="4" w:space="0"/>
              <w:bottom w:val="single" w:color="000000" w:sz="4" w:space="0"/>
              <w:right w:val="single" w:color="auto" w:sz="4" w:space="0"/>
            </w:tcBorders>
            <w:noWrap w:val="0"/>
            <w:vAlign w:val="center"/>
          </w:tcPr>
          <w:p w14:paraId="04679A4F">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nil"/>
              <w:left w:val="single" w:color="auto" w:sz="4" w:space="0"/>
              <w:bottom w:val="single" w:color="000000" w:sz="4" w:space="0"/>
              <w:right w:val="single" w:color="auto" w:sz="4" w:space="0"/>
            </w:tcBorders>
            <w:noWrap w:val="0"/>
            <w:vAlign w:val="center"/>
          </w:tcPr>
          <w:p w14:paraId="456AB761">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651FE1FE">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5、出现重大质量问题而未采取控制措施，扣20分/次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70312D95">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right w:val="single" w:color="auto" w:sz="4" w:space="0"/>
            </w:tcBorders>
            <w:noWrap/>
            <w:vAlign w:val="center"/>
          </w:tcPr>
          <w:p w14:paraId="77460BC6">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63FD1E4F">
        <w:tblPrEx>
          <w:tblCellMar>
            <w:top w:w="0" w:type="dxa"/>
            <w:left w:w="108" w:type="dxa"/>
            <w:bottom w:w="0" w:type="dxa"/>
            <w:right w:w="108" w:type="dxa"/>
          </w:tblCellMar>
        </w:tblPrEx>
        <w:trPr>
          <w:trHeight w:val="188" w:hRule="atLeast"/>
        </w:trPr>
        <w:tc>
          <w:tcPr>
            <w:tcW w:w="191" w:type="pct"/>
            <w:vMerge w:val="continue"/>
            <w:tcBorders>
              <w:top w:val="nil"/>
              <w:left w:val="single" w:color="auto" w:sz="4" w:space="0"/>
              <w:bottom w:val="single" w:color="000000" w:sz="4" w:space="0"/>
              <w:right w:val="single" w:color="auto" w:sz="4" w:space="0"/>
            </w:tcBorders>
            <w:noWrap w:val="0"/>
            <w:vAlign w:val="center"/>
          </w:tcPr>
          <w:p w14:paraId="70B6ACE5">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nil"/>
              <w:left w:val="single" w:color="auto" w:sz="4" w:space="0"/>
              <w:bottom w:val="single" w:color="000000" w:sz="4" w:space="0"/>
              <w:right w:val="single" w:color="auto" w:sz="4" w:space="0"/>
            </w:tcBorders>
            <w:noWrap w:val="0"/>
            <w:vAlign w:val="center"/>
          </w:tcPr>
          <w:p w14:paraId="67E53CEE">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1FFA0B14">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w:t>
            </w:r>
            <w:r>
              <w:rPr>
                <w:rFonts w:hint="eastAsia" w:ascii="宋体" w:hAnsi="宋体" w:eastAsia="宋体" w:cs="宋体"/>
                <w:color w:val="auto"/>
                <w:kern w:val="0"/>
                <w:sz w:val="21"/>
                <w:szCs w:val="21"/>
                <w:lang w:val="en-US" w:eastAsia="zh-CN"/>
              </w:rPr>
              <w:t>所监理的项目</w:t>
            </w:r>
            <w:r>
              <w:rPr>
                <w:rFonts w:hint="eastAsia" w:ascii="宋体" w:hAnsi="宋体" w:eastAsia="宋体" w:cs="宋体"/>
                <w:color w:val="auto"/>
                <w:kern w:val="0"/>
                <w:sz w:val="21"/>
                <w:szCs w:val="21"/>
              </w:rPr>
              <w:t>发生重大质量事故，扣10分/次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77ECC6C2">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bottom w:val="single" w:color="auto" w:sz="4" w:space="0"/>
              <w:right w:val="single" w:color="auto" w:sz="4" w:space="0"/>
            </w:tcBorders>
            <w:noWrap/>
            <w:vAlign w:val="center"/>
          </w:tcPr>
          <w:p w14:paraId="3E1F0E01">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50D18395">
        <w:tblPrEx>
          <w:tblCellMar>
            <w:top w:w="0" w:type="dxa"/>
            <w:left w:w="108" w:type="dxa"/>
            <w:bottom w:w="0" w:type="dxa"/>
            <w:right w:w="108" w:type="dxa"/>
          </w:tblCellMar>
        </w:tblPrEx>
        <w:trPr>
          <w:trHeight w:val="188" w:hRule="atLeast"/>
        </w:trPr>
        <w:tc>
          <w:tcPr>
            <w:tcW w:w="191" w:type="pct"/>
            <w:vMerge w:val="restart"/>
            <w:tcBorders>
              <w:top w:val="single" w:color="auto" w:sz="4" w:space="0"/>
              <w:left w:val="single" w:color="auto" w:sz="4" w:space="0"/>
              <w:right w:val="single" w:color="auto" w:sz="4" w:space="0"/>
            </w:tcBorders>
            <w:noWrap/>
            <w:vAlign w:val="center"/>
          </w:tcPr>
          <w:p w14:paraId="0B4EF4F0">
            <w:pPr>
              <w:keepNext w:val="0"/>
              <w:keepLines w:val="0"/>
              <w:pageBreakBefore w:val="0"/>
              <w:widowControl/>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4</w:t>
            </w:r>
          </w:p>
        </w:tc>
        <w:tc>
          <w:tcPr>
            <w:tcW w:w="361" w:type="pct"/>
            <w:vMerge w:val="restart"/>
            <w:tcBorders>
              <w:top w:val="single" w:color="auto" w:sz="4" w:space="0"/>
              <w:left w:val="single" w:color="auto" w:sz="4" w:space="0"/>
              <w:right w:val="single" w:color="auto" w:sz="4" w:space="0"/>
            </w:tcBorders>
            <w:noWrap w:val="0"/>
            <w:vAlign w:val="center"/>
          </w:tcPr>
          <w:p w14:paraId="7B926EA9">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安全管理（20分）</w:t>
            </w:r>
          </w:p>
        </w:tc>
        <w:tc>
          <w:tcPr>
            <w:tcW w:w="3919" w:type="pct"/>
            <w:tcBorders>
              <w:top w:val="nil"/>
              <w:left w:val="nil"/>
              <w:bottom w:val="single" w:color="auto" w:sz="4" w:space="0"/>
              <w:right w:val="single" w:color="auto" w:sz="4" w:space="0"/>
            </w:tcBorders>
            <w:noWrap/>
            <w:vAlign w:val="center"/>
          </w:tcPr>
          <w:p w14:paraId="2F12E17F">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rPr>
              <w:t>、未督促服务单位文明施工，扣1分/次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4E74C002">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restart"/>
            <w:tcBorders>
              <w:top w:val="single" w:color="auto" w:sz="4" w:space="0"/>
              <w:left w:val="nil"/>
              <w:right w:val="single" w:color="auto" w:sz="4" w:space="0"/>
            </w:tcBorders>
            <w:noWrap/>
            <w:vAlign w:val="center"/>
          </w:tcPr>
          <w:p w14:paraId="0C81A2BF">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413B180F">
        <w:tblPrEx>
          <w:tblCellMar>
            <w:top w:w="0" w:type="dxa"/>
            <w:left w:w="108" w:type="dxa"/>
            <w:bottom w:w="0" w:type="dxa"/>
            <w:right w:w="108" w:type="dxa"/>
          </w:tblCellMar>
        </w:tblPrEx>
        <w:trPr>
          <w:trHeight w:val="188" w:hRule="atLeast"/>
        </w:trPr>
        <w:tc>
          <w:tcPr>
            <w:tcW w:w="191" w:type="pct"/>
            <w:vMerge w:val="continue"/>
            <w:tcBorders>
              <w:top w:val="single" w:color="auto" w:sz="4" w:space="0"/>
              <w:left w:val="single" w:color="auto" w:sz="4" w:space="0"/>
              <w:bottom w:val="single" w:color="000000" w:sz="4" w:space="0"/>
              <w:right w:val="single" w:color="auto" w:sz="4" w:space="0"/>
            </w:tcBorders>
            <w:noWrap/>
            <w:vAlign w:val="center"/>
          </w:tcPr>
          <w:p w14:paraId="59394BF5">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c>
          <w:tcPr>
            <w:tcW w:w="361" w:type="pct"/>
            <w:vMerge w:val="continue"/>
            <w:tcBorders>
              <w:top w:val="single" w:color="auto" w:sz="4" w:space="0"/>
              <w:left w:val="single" w:color="auto" w:sz="4" w:space="0"/>
              <w:bottom w:val="single" w:color="000000" w:sz="4" w:space="0"/>
              <w:right w:val="single" w:color="auto" w:sz="4" w:space="0"/>
            </w:tcBorders>
            <w:noWrap w:val="0"/>
            <w:vAlign w:val="center"/>
          </w:tcPr>
          <w:p w14:paraId="06334142">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1D9CCAA7">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、现场监理发现施工人员违反《关于加强长沙市道路交通管理设施占道施工交通安全管理工作的指导意见》等规定要求，未督促施工单位立即整改，消除安全隐患，扣2分/次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5D28BEA5">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right w:val="single" w:color="auto" w:sz="4" w:space="0"/>
            </w:tcBorders>
            <w:noWrap/>
            <w:vAlign w:val="center"/>
          </w:tcPr>
          <w:p w14:paraId="6C1DD7F0">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50CE646E">
        <w:tblPrEx>
          <w:tblCellMar>
            <w:top w:w="0" w:type="dxa"/>
            <w:left w:w="108" w:type="dxa"/>
            <w:bottom w:w="0" w:type="dxa"/>
            <w:right w:w="108" w:type="dxa"/>
          </w:tblCellMar>
        </w:tblPrEx>
        <w:trPr>
          <w:trHeight w:val="188" w:hRule="atLeast"/>
        </w:trPr>
        <w:tc>
          <w:tcPr>
            <w:tcW w:w="191" w:type="pct"/>
            <w:vMerge w:val="continue"/>
            <w:tcBorders>
              <w:top w:val="single" w:color="auto" w:sz="4" w:space="0"/>
              <w:left w:val="single" w:color="auto" w:sz="4" w:space="0"/>
              <w:bottom w:val="single" w:color="000000" w:sz="4" w:space="0"/>
              <w:right w:val="single" w:color="auto" w:sz="4" w:space="0"/>
            </w:tcBorders>
            <w:noWrap w:val="0"/>
            <w:vAlign w:val="center"/>
          </w:tcPr>
          <w:p w14:paraId="27A63469">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single" w:color="auto" w:sz="4" w:space="0"/>
              <w:left w:val="single" w:color="auto" w:sz="4" w:space="0"/>
              <w:bottom w:val="single" w:color="000000" w:sz="4" w:space="0"/>
              <w:right w:val="single" w:color="auto" w:sz="4" w:space="0"/>
            </w:tcBorders>
            <w:noWrap w:val="0"/>
            <w:vAlign w:val="center"/>
          </w:tcPr>
          <w:p w14:paraId="028B865D">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731F6248">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rPr>
              <w:t>、未及时发现服务单位存在的较大安全隐患或安全问题，扣3分/次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327A187A">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right w:val="single" w:color="auto" w:sz="4" w:space="0"/>
            </w:tcBorders>
            <w:noWrap/>
            <w:vAlign w:val="center"/>
          </w:tcPr>
          <w:p w14:paraId="61ECF3B7">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4FEEDE54">
        <w:trPr>
          <w:trHeight w:val="188" w:hRule="atLeast"/>
        </w:trPr>
        <w:tc>
          <w:tcPr>
            <w:tcW w:w="191" w:type="pct"/>
            <w:vMerge w:val="continue"/>
            <w:tcBorders>
              <w:top w:val="single" w:color="auto" w:sz="4" w:space="0"/>
              <w:left w:val="single" w:color="auto" w:sz="4" w:space="0"/>
              <w:bottom w:val="single" w:color="000000" w:sz="4" w:space="0"/>
              <w:right w:val="single" w:color="auto" w:sz="4" w:space="0"/>
            </w:tcBorders>
            <w:noWrap w:val="0"/>
            <w:vAlign w:val="center"/>
          </w:tcPr>
          <w:p w14:paraId="49795394">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single" w:color="auto" w:sz="4" w:space="0"/>
              <w:left w:val="single" w:color="auto" w:sz="4" w:space="0"/>
              <w:bottom w:val="single" w:color="000000" w:sz="4" w:space="0"/>
              <w:right w:val="single" w:color="auto" w:sz="4" w:space="0"/>
            </w:tcBorders>
            <w:noWrap w:val="0"/>
            <w:vAlign w:val="center"/>
          </w:tcPr>
          <w:p w14:paraId="63A21B54">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2D5C9D5C">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、因现场监理不到位，发生重大安全事故，扣完20分</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2C2C1F0B">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right w:val="single" w:color="auto" w:sz="4" w:space="0"/>
            </w:tcBorders>
            <w:noWrap/>
            <w:vAlign w:val="center"/>
          </w:tcPr>
          <w:p w14:paraId="504EAB16">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19D8752A">
        <w:tblPrEx>
          <w:tblCellMar>
            <w:top w:w="0" w:type="dxa"/>
            <w:left w:w="108" w:type="dxa"/>
            <w:bottom w:w="0" w:type="dxa"/>
            <w:right w:w="108" w:type="dxa"/>
          </w:tblCellMar>
        </w:tblPrEx>
        <w:trPr>
          <w:trHeight w:val="188" w:hRule="atLeast"/>
        </w:trPr>
        <w:tc>
          <w:tcPr>
            <w:tcW w:w="191" w:type="pct"/>
            <w:vMerge w:val="continue"/>
            <w:tcBorders>
              <w:top w:val="single" w:color="auto" w:sz="4" w:space="0"/>
              <w:left w:val="single" w:color="auto" w:sz="4" w:space="0"/>
              <w:bottom w:val="single" w:color="000000" w:sz="4" w:space="0"/>
              <w:right w:val="single" w:color="auto" w:sz="4" w:space="0"/>
            </w:tcBorders>
            <w:noWrap w:val="0"/>
            <w:vAlign w:val="center"/>
          </w:tcPr>
          <w:p w14:paraId="2D19E55B">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single" w:color="auto" w:sz="4" w:space="0"/>
              <w:left w:val="single" w:color="auto" w:sz="4" w:space="0"/>
              <w:bottom w:val="single" w:color="000000" w:sz="4" w:space="0"/>
              <w:right w:val="single" w:color="auto" w:sz="4" w:space="0"/>
            </w:tcBorders>
            <w:noWrap w:val="0"/>
            <w:vAlign w:val="center"/>
          </w:tcPr>
          <w:p w14:paraId="5EBA042A">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66769019">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rPr>
              <w:t>、未严格遵守保密规定,泄露警务秘密，扣完20分</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63E7EFFB">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bottom w:val="single" w:color="auto" w:sz="4" w:space="0"/>
              <w:right w:val="single" w:color="auto" w:sz="4" w:space="0"/>
            </w:tcBorders>
            <w:noWrap/>
            <w:vAlign w:val="center"/>
          </w:tcPr>
          <w:p w14:paraId="55CD6C65">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7F2B761A">
        <w:tblPrEx>
          <w:tblCellMar>
            <w:top w:w="0" w:type="dxa"/>
            <w:left w:w="108" w:type="dxa"/>
            <w:bottom w:w="0" w:type="dxa"/>
            <w:right w:w="108" w:type="dxa"/>
          </w:tblCellMar>
        </w:tblPrEx>
        <w:trPr>
          <w:trHeight w:val="188" w:hRule="atLeast"/>
        </w:trPr>
        <w:tc>
          <w:tcPr>
            <w:tcW w:w="191" w:type="pct"/>
            <w:vMerge w:val="restart"/>
            <w:tcBorders>
              <w:top w:val="nil"/>
              <w:left w:val="single" w:color="auto" w:sz="4" w:space="0"/>
              <w:bottom w:val="single" w:color="000000" w:sz="4" w:space="0"/>
              <w:right w:val="single" w:color="auto" w:sz="4" w:space="0"/>
            </w:tcBorders>
            <w:noWrap/>
            <w:vAlign w:val="center"/>
          </w:tcPr>
          <w:p w14:paraId="00662CCE">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5</w:t>
            </w:r>
          </w:p>
        </w:tc>
        <w:tc>
          <w:tcPr>
            <w:tcW w:w="361" w:type="pct"/>
            <w:vMerge w:val="restart"/>
            <w:tcBorders>
              <w:top w:val="nil"/>
              <w:left w:val="single" w:color="auto" w:sz="4" w:space="0"/>
              <w:bottom w:val="single" w:color="000000" w:sz="4" w:space="0"/>
              <w:right w:val="single" w:color="auto" w:sz="4" w:space="0"/>
            </w:tcBorders>
            <w:noWrap w:val="0"/>
            <w:vAlign w:val="center"/>
          </w:tcPr>
          <w:p w14:paraId="1AF8139B">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资料管理（10分</w:t>
            </w:r>
          </w:p>
        </w:tc>
        <w:tc>
          <w:tcPr>
            <w:tcW w:w="3919" w:type="pct"/>
            <w:tcBorders>
              <w:top w:val="nil"/>
              <w:left w:val="nil"/>
              <w:bottom w:val="single" w:color="auto" w:sz="4" w:space="0"/>
              <w:right w:val="single" w:color="auto" w:sz="4" w:space="0"/>
            </w:tcBorders>
            <w:noWrap/>
            <w:vAlign w:val="center"/>
          </w:tcPr>
          <w:p w14:paraId="33CD2B2A">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1、监理周报、月报、例会纪要不及时,内容不准确，扣1分/次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02AC8BD4">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restart"/>
            <w:tcBorders>
              <w:top w:val="nil"/>
              <w:left w:val="nil"/>
              <w:right w:val="single" w:color="auto" w:sz="4" w:space="0"/>
            </w:tcBorders>
            <w:noWrap/>
            <w:vAlign w:val="center"/>
          </w:tcPr>
          <w:p w14:paraId="03080ACF">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5BE9AB17">
        <w:tblPrEx>
          <w:tblCellMar>
            <w:top w:w="0" w:type="dxa"/>
            <w:left w:w="108" w:type="dxa"/>
            <w:bottom w:w="0" w:type="dxa"/>
            <w:right w:w="108" w:type="dxa"/>
          </w:tblCellMar>
        </w:tblPrEx>
        <w:trPr>
          <w:trHeight w:val="188" w:hRule="atLeast"/>
        </w:trPr>
        <w:tc>
          <w:tcPr>
            <w:tcW w:w="191" w:type="pct"/>
            <w:vMerge w:val="continue"/>
            <w:tcBorders>
              <w:top w:val="nil"/>
              <w:left w:val="single" w:color="auto" w:sz="4" w:space="0"/>
              <w:bottom w:val="single" w:color="000000" w:sz="4" w:space="0"/>
              <w:right w:val="single" w:color="auto" w:sz="4" w:space="0"/>
            </w:tcBorders>
            <w:noWrap w:val="0"/>
            <w:vAlign w:val="center"/>
          </w:tcPr>
          <w:p w14:paraId="61A09F37">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nil"/>
              <w:left w:val="single" w:color="auto" w:sz="4" w:space="0"/>
              <w:bottom w:val="single" w:color="000000" w:sz="4" w:space="0"/>
              <w:right w:val="single" w:color="auto" w:sz="4" w:space="0"/>
            </w:tcBorders>
            <w:noWrap w:val="0"/>
            <w:vAlign w:val="center"/>
          </w:tcPr>
          <w:p w14:paraId="11ADF5E4">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7D0A4989">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2、现场监理记录不完善，监理日志缺失或不合格的，扣2分/次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3E238F52">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right w:val="single" w:color="auto" w:sz="4" w:space="0"/>
            </w:tcBorders>
            <w:noWrap/>
            <w:vAlign w:val="center"/>
          </w:tcPr>
          <w:p w14:paraId="17B1DED1">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1FF1BCB1">
        <w:tblPrEx>
          <w:tblCellMar>
            <w:top w:w="0" w:type="dxa"/>
            <w:left w:w="108" w:type="dxa"/>
            <w:bottom w:w="0" w:type="dxa"/>
            <w:right w:w="108" w:type="dxa"/>
          </w:tblCellMar>
        </w:tblPrEx>
        <w:trPr>
          <w:trHeight w:val="188" w:hRule="atLeast"/>
        </w:trPr>
        <w:tc>
          <w:tcPr>
            <w:tcW w:w="191" w:type="pct"/>
            <w:vMerge w:val="continue"/>
            <w:tcBorders>
              <w:top w:val="nil"/>
              <w:left w:val="single" w:color="auto" w:sz="4" w:space="0"/>
              <w:bottom w:val="single" w:color="000000" w:sz="4" w:space="0"/>
              <w:right w:val="single" w:color="auto" w:sz="4" w:space="0"/>
            </w:tcBorders>
            <w:noWrap w:val="0"/>
            <w:vAlign w:val="center"/>
          </w:tcPr>
          <w:p w14:paraId="2B7323D8">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61" w:type="pct"/>
            <w:vMerge w:val="continue"/>
            <w:tcBorders>
              <w:top w:val="nil"/>
              <w:left w:val="single" w:color="auto" w:sz="4" w:space="0"/>
              <w:bottom w:val="single" w:color="000000" w:sz="4" w:space="0"/>
              <w:right w:val="single" w:color="auto" w:sz="4" w:space="0"/>
            </w:tcBorders>
            <w:noWrap w:val="0"/>
            <w:vAlign w:val="center"/>
          </w:tcPr>
          <w:p w14:paraId="52AC651C">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p>
        </w:tc>
        <w:tc>
          <w:tcPr>
            <w:tcW w:w="3919" w:type="pct"/>
            <w:tcBorders>
              <w:top w:val="nil"/>
              <w:left w:val="nil"/>
              <w:bottom w:val="single" w:color="auto" w:sz="4" w:space="0"/>
              <w:right w:val="single" w:color="auto" w:sz="4" w:space="0"/>
            </w:tcBorders>
            <w:noWrap/>
            <w:vAlign w:val="center"/>
          </w:tcPr>
          <w:p w14:paraId="18921989">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3、项目验收材料严重不合格的，扣</w:t>
            </w: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分/次</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en-US" w:eastAsia="zh-CN" w:bidi="ar"/>
              </w:rPr>
              <w:t>扣完为止。</w:t>
            </w:r>
          </w:p>
        </w:tc>
        <w:tc>
          <w:tcPr>
            <w:tcW w:w="264" w:type="pct"/>
            <w:tcBorders>
              <w:top w:val="nil"/>
              <w:left w:val="nil"/>
              <w:bottom w:val="single" w:color="auto" w:sz="4" w:space="0"/>
              <w:right w:val="single" w:color="auto" w:sz="4" w:space="0"/>
            </w:tcBorders>
            <w:noWrap/>
            <w:vAlign w:val="center"/>
          </w:tcPr>
          <w:p w14:paraId="1052D251">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c>
          <w:tcPr>
            <w:tcW w:w="264" w:type="pct"/>
            <w:vMerge w:val="continue"/>
            <w:tcBorders>
              <w:left w:val="nil"/>
              <w:bottom w:val="single" w:color="auto" w:sz="4" w:space="0"/>
              <w:right w:val="single" w:color="auto" w:sz="4" w:space="0"/>
            </w:tcBorders>
            <w:noWrap/>
            <w:vAlign w:val="center"/>
          </w:tcPr>
          <w:p w14:paraId="31D95640">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宋体" w:hAnsi="宋体" w:eastAsia="宋体" w:cs="宋体"/>
                <w:color w:val="auto"/>
                <w:kern w:val="0"/>
                <w:sz w:val="21"/>
                <w:szCs w:val="21"/>
              </w:rPr>
            </w:pPr>
          </w:p>
        </w:tc>
      </w:tr>
      <w:tr w14:paraId="26D68F4A">
        <w:tblPrEx>
          <w:tblCellMar>
            <w:top w:w="0" w:type="dxa"/>
            <w:left w:w="108" w:type="dxa"/>
            <w:bottom w:w="0" w:type="dxa"/>
            <w:right w:w="108" w:type="dxa"/>
          </w:tblCellMar>
        </w:tblPrEx>
        <w:trPr>
          <w:trHeight w:val="346" w:hRule="atLeast"/>
        </w:trPr>
        <w:tc>
          <w:tcPr>
            <w:tcW w:w="191" w:type="pct"/>
            <w:tcBorders>
              <w:top w:val="nil"/>
              <w:left w:val="single" w:color="auto" w:sz="4" w:space="0"/>
              <w:bottom w:val="single" w:color="auto" w:sz="4" w:space="0"/>
              <w:right w:val="single" w:color="auto" w:sz="4" w:space="0"/>
            </w:tcBorders>
            <w:noWrap/>
            <w:vAlign w:val="center"/>
          </w:tcPr>
          <w:p w14:paraId="107478DF">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c>
          <w:tcPr>
            <w:tcW w:w="361" w:type="pct"/>
            <w:tcBorders>
              <w:top w:val="nil"/>
              <w:left w:val="nil"/>
              <w:bottom w:val="single" w:color="auto" w:sz="4" w:space="0"/>
              <w:right w:val="single" w:color="auto" w:sz="4" w:space="0"/>
            </w:tcBorders>
            <w:noWrap/>
            <w:vAlign w:val="center"/>
          </w:tcPr>
          <w:p w14:paraId="7610DC80">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0" w:firstLineChars="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合计</w:t>
            </w:r>
          </w:p>
        </w:tc>
        <w:tc>
          <w:tcPr>
            <w:tcW w:w="3919" w:type="pct"/>
            <w:tcBorders>
              <w:top w:val="nil"/>
              <w:left w:val="nil"/>
              <w:bottom w:val="single" w:color="auto" w:sz="4" w:space="0"/>
              <w:right w:val="single" w:color="auto" w:sz="4" w:space="0"/>
            </w:tcBorders>
            <w:noWrap/>
            <w:vAlign w:val="center"/>
          </w:tcPr>
          <w:p w14:paraId="4A148408">
            <w:pPr>
              <w:keepNext w:val="0"/>
              <w:keepLines w:val="0"/>
              <w:pageBreakBefore w:val="0"/>
              <w:widowControl/>
              <w:kinsoku/>
              <w:wordWrap/>
              <w:overflowPunct/>
              <w:topLinePunct w:val="0"/>
              <w:autoSpaceDE/>
              <w:autoSpaceDN/>
              <w:bidi w:val="0"/>
              <w:adjustRightInd w:val="0"/>
              <w:snapToGrid w:val="0"/>
              <w:spacing w:line="240" w:lineRule="auto"/>
              <w:ind w:right="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c>
          <w:tcPr>
            <w:tcW w:w="528" w:type="pct"/>
            <w:gridSpan w:val="2"/>
            <w:tcBorders>
              <w:top w:val="nil"/>
              <w:left w:val="nil"/>
              <w:bottom w:val="single" w:color="auto" w:sz="4" w:space="0"/>
              <w:right w:val="single" w:color="auto" w:sz="4" w:space="0"/>
            </w:tcBorders>
            <w:noWrap/>
            <w:vAlign w:val="center"/>
          </w:tcPr>
          <w:p w14:paraId="2031D34D">
            <w:pPr>
              <w:keepNext w:val="0"/>
              <w:keepLines w:val="0"/>
              <w:pageBreakBefore w:val="0"/>
              <w:widowControl/>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color w:val="auto"/>
                <w:kern w:val="0"/>
                <w:sz w:val="21"/>
                <w:szCs w:val="21"/>
              </w:rPr>
            </w:pPr>
          </w:p>
        </w:tc>
      </w:tr>
    </w:tbl>
    <w:p w14:paraId="269649A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default"/>
          <w:color w:val="auto"/>
          <w:lang w:val="en-US" w:eastAsia="zh-CN"/>
        </w:rPr>
        <w:sectPr>
          <w:pgSz w:w="11906" w:h="16838"/>
          <w:pgMar w:top="1270" w:right="1576" w:bottom="1270" w:left="1576" w:header="851" w:footer="992" w:gutter="0"/>
          <w:pgNumType w:fmt="decimal"/>
          <w:cols w:space="720" w:num="1"/>
          <w:docGrid w:type="lines" w:linePitch="312" w:charSpace="0"/>
        </w:sectPr>
      </w:pPr>
      <w:r>
        <w:rPr>
          <w:rFonts w:hint="eastAsia" w:ascii="宋体" w:hAnsi="宋体" w:eastAsia="宋体" w:cs="宋体"/>
          <w:color w:val="auto"/>
          <w:sz w:val="21"/>
          <w:szCs w:val="21"/>
          <w:lang w:val="en-US" w:eastAsia="zh-CN"/>
        </w:rPr>
        <w:t>考核单位：               考核人：                 考核时间：</w:t>
      </w:r>
    </w:p>
    <w:p w14:paraId="78AC1E82">
      <w:pPr>
        <w:rPr>
          <w:color w:val="auto"/>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2"/>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978AB">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7DD2B2">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w:t>
                          </w:r>
                          <w:r>
                            <w:rPr>
                              <w:rFonts w:ascii="Calibri" w:hAnsi="Calibri" w:eastAsia="宋体" w:cs="Times New Roman"/>
                              <w:kern w:val="2"/>
                              <w:sz w:val="18"/>
                              <w:szCs w:val="24"/>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17DD2B2">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w:t>
                    </w:r>
                    <w:r>
                      <w:rPr>
                        <w:rFonts w:ascii="Calibri" w:hAnsi="Calibri" w:eastAsia="宋体" w:cs="Times New Roman"/>
                        <w:kern w:val="2"/>
                        <w:sz w:val="18"/>
                        <w:szCs w:val="24"/>
                        <w:lang w:val="en-US" w:eastAsia="zh-CN" w:bidi="ar-S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0E18BE"/>
    <w:rsid w:val="300E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2025-04-17T06:27:00Z</dcterms:created>
  <dc:creator>国联招标</dc:creator>
  <cp:lastModifiedBy>国联招标</cp:lastModifiedBy>
  <dcterms:modified xsi:type="dcterms:W3CDTF">2025-04-17T06:30:22Z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80DDE21B074347FE9AEBEE98B1D6C994_11</vt:lpwstr>
  </property>
  <property fmtid="{D5CDD505-2E9C-101B-9397-08002B2CF9AE}" pid="4" name="KSOTemplateDocerSaveRecord">
    <vt:lpwstr>eyJoZGlkIjoiMDkyNGU3YmUyYTdkYjkyMTE3MjlkNzI0ZDIwOWNhYTAifQ==</vt:lpwstr>
  </property>
</Properties>
</file>