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版本号：N512022202500002120250328001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“帅府粮仓”粮经统筹示范区二期总体规划设计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N5120222025000021</w:t>
      </w:r>
    </w:p>
    <w:p>
      <w:pPr>
        <w:pStyle w:val="null3"/>
        <w:jc w:val="center"/>
        <w:outlineLvl w:val="2"/>
      </w:pPr>
      <w:r>
        <w:rPr>
          <w:rFonts w:ascii="仿宋_GB2312" w:hAnsi="仿宋_GB2312" w:cs="仿宋_GB2312" w:eastAsia="仿宋_GB2312"/>
          <w:sz w:val="28"/>
          <w:b/>
        </w:rPr>
        <w:t>乐至县劳动镇人民政府</w:t>
      </w:r>
    </w:p>
    <w:p>
      <w:pPr>
        <w:pStyle w:val="null3"/>
        <w:jc w:val="center"/>
        <w:outlineLvl w:val="2"/>
      </w:pPr>
      <w:r>
        <w:rPr>
          <w:rFonts w:ascii="仿宋_GB2312" w:hAnsi="仿宋_GB2312" w:cs="仿宋_GB2312" w:eastAsia="仿宋_GB2312"/>
          <w:sz w:val="28"/>
          <w:b/>
        </w:rPr>
        <w:t>四川铂睿招标代理有限公司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四川铂睿招标代理有限公司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乐至县劳动镇人民政府</w:t>
      </w:r>
      <w:r>
        <w:rPr>
          <w:rFonts w:ascii="仿宋_GB2312" w:hAnsi="仿宋_GB2312" w:cs="仿宋_GB2312" w:eastAsia="仿宋_GB2312"/>
        </w:rPr>
        <w:t xml:space="preserve"> 委托，拟对 </w:t>
      </w:r>
      <w:r>
        <w:rPr>
          <w:rFonts w:ascii="仿宋_GB2312" w:hAnsi="仿宋_GB2312" w:cs="仿宋_GB2312" w:eastAsia="仿宋_GB2312"/>
        </w:rPr>
        <w:t>“帅府粮仓”粮经统筹示范区二期总体规划设计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资阳市乐至县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N5120222025000021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“帅府粮仓”粮经统筹示范区二期总体规划设计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乐至县劳动镇“帅府粮仓”乡村振兴项目（二期）整体策划及概念规划采购项目，项目投资建设内容主要包括乐至稻渔种养产业园建设项目、薛苞古镇整体提升项目、景区周边建设地块打造项目、整体景观打造等。项目整体策划及概念规划服务内 容包括整体策划定位、规划布局、道路交通规划、景观体系及节点打造、主要功能建筑布局、人居环境提升等。</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乐至县劳动镇人民政府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四川省资阳市乐至县劳动镇将军路1号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13982925101</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四川铂睿招标代理有限公司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资阳市雁江区娇子大道广电大厦14楼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19983020356 028-26129696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原《国家计委关于印发〈招标代理服务费收费标准管理暂行办法〉的通知》（计价格[2002]1980号）和《国家发展改革委办公厅关于招标代理服务费有关问题的通知》（发改办价格[2003]857号）的有关规定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乐至县劳动镇人民政府</w:t>
      </w:r>
      <w:r>
        <w:rPr>
          <w:rFonts w:ascii="仿宋_GB2312" w:hAnsi="仿宋_GB2312" w:cs="仿宋_GB2312" w:eastAsia="仿宋_GB2312"/>
        </w:rPr>
        <w:t xml:space="preserve"> 和 </w:t>
      </w:r>
      <w:r>
        <w:rPr>
          <w:rFonts w:ascii="仿宋_GB2312" w:hAnsi="仿宋_GB2312" w:cs="仿宋_GB2312" w:eastAsia="仿宋_GB2312"/>
        </w:rPr>
        <w:t>四川铂睿招标代理有限公司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乐至县劳动镇人民政府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四川铂睿招标代理有限公司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按照相关法律条规的要求、采购文件要求和响应文件、承诺、签订的合同的内容进行验收。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承诺、签订的合同。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财政部关于进一步加强政府采购需求和履约验收管理的指导意见》（财库〔2016〕205号）的要求、采购文件要求、供应商的响应文件、承诺、签订的合同、和国家及行业相关规范标准进行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乐至县劳动镇人民政府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四川铂睿招标代理有限公司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四川铂睿招标代理有限公司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联系人：宋女士</w:t>
      </w:r>
    </w:p>
    <w:p>
      <w:pPr>
        <w:pStyle w:val="null3"/>
        <w:jc w:val="left"/>
      </w:pPr>
      <w:r>
        <w:rPr>
          <w:rFonts w:ascii="仿宋_GB2312" w:hAnsi="仿宋_GB2312" w:cs="仿宋_GB2312" w:eastAsia="仿宋_GB2312"/>
        </w:rPr>
        <w:t>联系电话：028-26129696</w:t>
      </w:r>
    </w:p>
    <w:p>
      <w:pPr>
        <w:pStyle w:val="null3"/>
        <w:jc w:val="left"/>
      </w:pPr>
      <w:r>
        <w:rPr>
          <w:rFonts w:ascii="仿宋_GB2312" w:hAnsi="仿宋_GB2312" w:cs="仿宋_GB2312" w:eastAsia="仿宋_GB2312"/>
        </w:rPr>
        <w:t>地址：资阳市雁江区娇子大道广电大厦14楼</w:t>
      </w:r>
    </w:p>
    <w:p>
      <w:pPr>
        <w:pStyle w:val="null3"/>
        <w:jc w:val="left"/>
      </w:pPr>
      <w:r>
        <w:rPr>
          <w:rFonts w:ascii="仿宋_GB2312" w:hAnsi="仿宋_GB2312" w:cs="仿宋_GB2312" w:eastAsia="仿宋_GB2312"/>
        </w:rPr>
        <w:t>邮编：641300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C13010000 区域规划和设计服务</w:t>
            </w:r>
          </w:p>
        </w:tc>
        <w:tc>
          <w:tcPr>
            <w:tcW w:type="dxa" w:w="821"/>
          </w:tcPr>
          <w:p>
            <w:pPr>
              <w:pStyle w:val="null3"/>
              <w:jc w:val="left"/>
            </w:pPr>
            <w:r>
              <w:rPr>
                <w:rFonts w:ascii="仿宋_GB2312" w:hAnsi="仿宋_GB2312" w:cs="仿宋_GB2312" w:eastAsia="仿宋_GB2312"/>
              </w:rPr>
              <w:t>“帅府粮仓”粮经统筹示范区二期总体规划设计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1,800,000.00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“帅府粮仓”粮经统筹示范区二期总体规划设计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1,800,000.00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标的名称：“帅府粮仓”粮经统筹示范区二期总体规划设计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“帅府粮仓”粮经统筹示范区二期总体规划设计</w:t>
            </w:r>
          </w:p>
        </w:tc>
        <w:tc>
          <w:tcPr>
            <w:tcW w:type="dxa" w:w="5814"/>
          </w:tcPr>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项目概述</w:t>
            </w:r>
          </w:p>
          <w:p>
            <w:pPr>
              <w:pStyle w:val="null3"/>
              <w:ind w:firstLine="420"/>
              <w:jc w:val="left"/>
            </w:pPr>
            <w:r>
              <w:rPr>
                <w:rFonts w:ascii="仿宋_GB2312" w:hAnsi="仿宋_GB2312" w:cs="仿宋_GB2312" w:eastAsia="仿宋_GB2312"/>
                <w:sz w:val="21"/>
              </w:rPr>
              <w:t>本项目为乐至县劳动镇</w:t>
            </w:r>
            <w:r>
              <w:rPr>
                <w:rFonts w:ascii="仿宋_GB2312" w:hAnsi="仿宋_GB2312" w:cs="仿宋_GB2312" w:eastAsia="仿宋_GB2312"/>
                <w:sz w:val="21"/>
              </w:rPr>
              <w:t>“帅府粮仓”乡村振兴项目（二期）整体策划及概念规划采购项目，项目投资建设内容主要包括乐至稻渔种养产业园建设项目、薛苞古镇整体提升项目、景区周边建设地块打造项目、整体景观打造等。项目整体策划及概念规划服务内容包括整体策划定位、规划布局、道路交通规划、景观体系及节点打造、主要功能建筑布局、人居环境提升等。</w:t>
            </w:r>
          </w:p>
          <w:p>
            <w:pPr>
              <w:pStyle w:val="null3"/>
              <w:ind w:firstLine="420"/>
              <w:jc w:val="left"/>
            </w:pPr>
            <w:r>
              <w:rPr>
                <w:rFonts w:ascii="仿宋_GB2312" w:hAnsi="仿宋_GB2312" w:cs="仿宋_GB2312" w:eastAsia="仿宋_GB2312"/>
                <w:sz w:val="21"/>
              </w:rPr>
              <w:t>二、服务内容及要求（实质性要求）</w:t>
            </w:r>
          </w:p>
          <w:p>
            <w:pPr>
              <w:pStyle w:val="null3"/>
              <w:ind w:firstLine="420"/>
              <w:jc w:val="left"/>
            </w:pPr>
            <w:r>
              <w:rPr>
                <w:rFonts w:ascii="仿宋_GB2312" w:hAnsi="仿宋_GB2312" w:cs="仿宋_GB2312" w:eastAsia="仿宋_GB2312"/>
                <w:sz w:val="21"/>
              </w:rPr>
              <w:t>1、规划范围</w:t>
            </w:r>
          </w:p>
          <w:p>
            <w:pPr>
              <w:pStyle w:val="null3"/>
              <w:ind w:firstLine="420"/>
              <w:jc w:val="left"/>
            </w:pPr>
            <w:r>
              <w:rPr>
                <w:rFonts w:ascii="仿宋_GB2312" w:hAnsi="仿宋_GB2312" w:cs="仿宋_GB2312" w:eastAsia="仿宋_GB2312"/>
                <w:sz w:val="21"/>
              </w:rPr>
              <w:t>项目位于乐至县劳动镇，涉及</w:t>
            </w:r>
            <w:r>
              <w:rPr>
                <w:rFonts w:ascii="仿宋_GB2312" w:hAnsi="仿宋_GB2312" w:cs="仿宋_GB2312" w:eastAsia="仿宋_GB2312"/>
                <w:sz w:val="21"/>
              </w:rPr>
              <w:t>5村（社区），规划面积13平方公里，其中核心区面积6000亩。</w:t>
            </w:r>
          </w:p>
          <w:p>
            <w:pPr>
              <w:pStyle w:val="null3"/>
              <w:ind w:firstLine="420"/>
              <w:jc w:val="left"/>
            </w:pPr>
            <w:r>
              <w:rPr>
                <w:rFonts w:ascii="仿宋_GB2312" w:hAnsi="仿宋_GB2312" w:cs="仿宋_GB2312" w:eastAsia="仿宋_GB2312"/>
                <w:sz w:val="21"/>
              </w:rPr>
              <w:t>2、工作内容</w:t>
            </w:r>
          </w:p>
          <w:p>
            <w:pPr>
              <w:pStyle w:val="null3"/>
              <w:ind w:firstLine="420"/>
              <w:jc w:val="left"/>
            </w:pPr>
            <w:r>
              <w:rPr>
                <w:rFonts w:ascii="仿宋_GB2312" w:hAnsi="仿宋_GB2312" w:cs="仿宋_GB2312" w:eastAsia="仿宋_GB2312"/>
                <w:sz w:val="21"/>
              </w:rPr>
              <w:t>对乐至县劳动镇</w:t>
            </w:r>
            <w:r>
              <w:rPr>
                <w:rFonts w:ascii="仿宋_GB2312" w:hAnsi="仿宋_GB2312" w:cs="仿宋_GB2312" w:eastAsia="仿宋_GB2312"/>
                <w:sz w:val="21"/>
              </w:rPr>
              <w:t>“天府粮仓”乡村振兴项目进行总体策划，并对核心区进行项目整体规划，对现状产业基础、发展条件进行综合评价与分析，提出整体产业发展、业态布局等，最终服务内容以采购人要求为准。</w:t>
            </w:r>
          </w:p>
          <w:p>
            <w:pPr>
              <w:pStyle w:val="null3"/>
              <w:ind w:firstLine="420"/>
              <w:jc w:val="left"/>
            </w:pPr>
            <w:r>
              <w:rPr>
                <w:rFonts w:ascii="仿宋_GB2312" w:hAnsi="仿宋_GB2312" w:cs="仿宋_GB2312" w:eastAsia="仿宋_GB2312"/>
                <w:sz w:val="21"/>
              </w:rPr>
              <w:t>3、技术要求</w:t>
            </w:r>
          </w:p>
          <w:p>
            <w:pPr>
              <w:pStyle w:val="null3"/>
              <w:ind w:firstLine="420"/>
              <w:jc w:val="left"/>
            </w:pPr>
            <w:r>
              <w:rPr>
                <w:rFonts w:ascii="仿宋_GB2312" w:hAnsi="仿宋_GB2312" w:cs="仿宋_GB2312" w:eastAsia="仿宋_GB2312"/>
                <w:sz w:val="21"/>
              </w:rPr>
              <w:t>3.1、基础条件调研及分析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1）周边实地情况勘查调研</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2）区位分析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3）自然条件分析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4）社会与经济状况分析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5）农业产业发展现状分析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6）文化发展现状分析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7）土地利用现状分析</w:t>
            </w:r>
          </w:p>
          <w:p>
            <w:pPr>
              <w:pStyle w:val="null3"/>
              <w:ind w:firstLine="420"/>
              <w:jc w:val="left"/>
            </w:pPr>
            <w:r>
              <w:rPr>
                <w:rFonts w:ascii="仿宋_GB2312" w:hAnsi="仿宋_GB2312" w:cs="仿宋_GB2312" w:eastAsia="仿宋_GB2312"/>
                <w:sz w:val="21"/>
              </w:rPr>
              <w:t>3.2、市场研究与分析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1）关联政策研究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2）周边资源研究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3）旅游市场分析</w:t>
            </w:r>
          </w:p>
          <w:p>
            <w:pPr>
              <w:pStyle w:val="null3"/>
              <w:ind w:firstLine="420"/>
              <w:jc w:val="left"/>
            </w:pPr>
            <w:r>
              <w:rPr>
                <w:rFonts w:ascii="仿宋_GB2312" w:hAnsi="仿宋_GB2312" w:cs="仿宋_GB2312" w:eastAsia="仿宋_GB2312"/>
                <w:sz w:val="21"/>
              </w:rPr>
              <w:t>3.3、项目总体定位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1）指导思想</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2）战略定位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3）发展目标</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4）总体发展思路</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5）发展模型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6）实施路径</w:t>
            </w:r>
          </w:p>
          <w:p>
            <w:pPr>
              <w:pStyle w:val="null3"/>
              <w:ind w:firstLine="420"/>
              <w:jc w:val="left"/>
            </w:pPr>
            <w:r>
              <w:rPr>
                <w:rFonts w:ascii="仿宋_GB2312" w:hAnsi="仿宋_GB2312" w:cs="仿宋_GB2312" w:eastAsia="仿宋_GB2312"/>
                <w:sz w:val="21"/>
              </w:rPr>
              <w:t>3.4、总体规划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1）总体设计布局</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2）功能结构规划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3）重点项目落位规划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4）交通系统规划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5）配套设施体系规划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6）建筑风貌设计引导</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7）景观风貌设计引导</w:t>
            </w:r>
          </w:p>
          <w:p>
            <w:pPr>
              <w:pStyle w:val="null3"/>
              <w:ind w:firstLine="420"/>
              <w:jc w:val="left"/>
            </w:pPr>
            <w:r>
              <w:rPr>
                <w:rFonts w:ascii="仿宋_GB2312" w:hAnsi="仿宋_GB2312" w:cs="仿宋_GB2312" w:eastAsia="仿宋_GB2312"/>
                <w:sz w:val="21"/>
              </w:rPr>
              <w:t>3.5、各组团详细规划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1）各组团布局规划</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2）各组团打造意向图</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3）各组团主要业态策划及落位</w:t>
            </w:r>
          </w:p>
          <w:p>
            <w:pPr>
              <w:pStyle w:val="null3"/>
              <w:ind w:firstLine="420"/>
              <w:jc w:val="left"/>
            </w:pPr>
            <w:r>
              <w:rPr>
                <w:rFonts w:ascii="仿宋_GB2312" w:hAnsi="仿宋_GB2312" w:cs="仿宋_GB2312" w:eastAsia="仿宋_GB2312"/>
                <w:sz w:val="21"/>
              </w:rPr>
              <w:t>3.6、运营管理模型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1）运作模式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2）运营策略</w:t>
            </w:r>
          </w:p>
          <w:p>
            <w:pPr>
              <w:pStyle w:val="null3"/>
              <w:ind w:firstLine="420"/>
              <w:jc w:val="left"/>
            </w:pPr>
            <w:r>
              <w:rPr>
                <w:rFonts w:ascii="仿宋_GB2312" w:hAnsi="仿宋_GB2312" w:cs="仿宋_GB2312" w:eastAsia="仿宋_GB2312"/>
                <w:sz w:val="21"/>
              </w:rPr>
              <w:t>3.7、投资估算及开发时序建议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1）项目开发时序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2）分期打造说明</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3）项目清单及投资估算</w:t>
            </w:r>
          </w:p>
          <w:p>
            <w:pPr>
              <w:pStyle w:val="null3"/>
              <w:ind w:firstLine="420"/>
              <w:jc w:val="left"/>
            </w:pPr>
            <w:r>
              <w:rPr>
                <w:rFonts w:ascii="仿宋_GB2312" w:hAnsi="仿宋_GB2312" w:cs="仿宋_GB2312" w:eastAsia="仿宋_GB2312"/>
                <w:sz w:val="21"/>
              </w:rPr>
              <w:t>4、成果要求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“帅府粮仓”粮经统筹示范区二期总体规划设计》3套纸质文本和1套电子文档（PDF格式一套）。</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自合同签订之日起300日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（1）严格按照政府采购相关法律法规以及 《财政部关于进一步加强政府釆购需求和履约验收管理的指导意见》（财库（2016） 205号）的要求进行验收。（2）验收标准：按国家有关规定、招标文件的服务要求、投标文件及承诺进行验收。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1、成交供应商签订合同后，设计方交付设计图纸后，根据上级拨付资金情况，达到付款条件起30日内，支付合同总金额的20.00%</w:t>
            </w:r>
          </w:p>
          <w:p>
            <w:pPr>
              <w:pStyle w:val="null3"/>
              <w:jc w:val="left"/>
            </w:pPr>
            <w:r>
              <w:rPr>
                <w:rFonts w:ascii="仿宋_GB2312" w:hAnsi="仿宋_GB2312" w:cs="仿宋_GB2312" w:eastAsia="仿宋_GB2312"/>
              </w:rPr>
              <w:t>2、图纸经业主单位审定合格后，根据上级拨付资金情况，达到付款条件起30日内，支付合同总金额的30.00%</w:t>
            </w:r>
          </w:p>
          <w:p>
            <w:pPr>
              <w:pStyle w:val="null3"/>
              <w:jc w:val="left"/>
            </w:pPr>
            <w:r>
              <w:rPr>
                <w:rFonts w:ascii="仿宋_GB2312" w:hAnsi="仿宋_GB2312" w:cs="仿宋_GB2312" w:eastAsia="仿宋_GB2312"/>
              </w:rPr>
              <w:t>3、项目验收合格后，根据上级拨付资金情况，达到付款条件起30日内，支付合同总金额的50.00%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 中标（成交）供应商和采购人双方必须遵守本项目采购需求中的各项规定，保证本项目的正常履行。2.如因中标（成交）供应商工作人员在履行职务过程中的疏忽、失职、过错等故意或者过失原因给采购人造成损失或侵害，包括但不限于采购人本身的财产损失、由此而导致的采购人对任何第三方的法律责任，中标（成交）供应商对此均应承担全部的赔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注：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文件”。具备第①-④项具有同等效力，供应商可根据自身实际情况选择提供其中任意一项）。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提供2023年度以来任一年度经审计的财务报告扫描件（包含审计报告和审计报告中所涉及的财务报表和报表附注）；②提供2023年度以来任一年度供应商内部的财务报表扫描件（至少包含资产负债表、利润表、现金流量表）；③提供距文件递交截止日一年内银行出具的资信证明（扫描件）；④供应商注册时间至文件递交截止日不足一年的，提供公司章程（扫描件）；⑤供应商为事业单位或其他组织（不具备法人条件的组织，如合伙组织、个体工商户、农村承包经营户等）或自然人时，可只提供承诺函〕。供应商需在使用投标(响应)客户端编制响应文件时，按要求填写《投标（响应）函》完成承诺并进行电子签章。（注：具备健全的财务会计制度的证明材料中第①-⑤项具有同等效力，投标人可根据自身实际情况选择提供其中任意一项）</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磋商文件规定的其他实质性要求。</w:t>
            </w:r>
          </w:p>
        </w:tc>
        <w:tc>
          <w:tcPr>
            <w:tcW w:type="dxa" w:w="3322"/>
          </w:tcPr>
          <w:p>
            <w:pPr>
              <w:pStyle w:val="null3"/>
              <w:jc w:val="left"/>
            </w:pPr>
            <w:r>
              <w:rPr>
                <w:rFonts w:ascii="仿宋_GB2312" w:hAnsi="仿宋_GB2312" w:cs="仿宋_GB2312" w:eastAsia="仿宋_GB2312"/>
              </w:rPr>
              <w:t>磋商文件规定的其他实质性要求。</w:t>
            </w:r>
          </w:p>
        </w:tc>
        <w:tc>
          <w:tcPr>
            <w:tcW w:type="dxa" w:w="1910"/>
          </w:tcPr>
          <w:p>
            <w:pPr>
              <w:pStyle w:val="null3"/>
              <w:jc w:val="left"/>
            </w:pPr>
            <w:r>
              <w:rPr>
                <w:rFonts w:ascii="仿宋_GB2312" w:hAnsi="仿宋_GB2312" w:cs="仿宋_GB2312" w:eastAsia="仿宋_GB2312"/>
              </w:rPr>
              <w:t>响应文件封面,投标人认为应提供的其他相关证明材料.docx,中小企业声明函,残疾人福利性单位声明函,供应商应提交的相关证明材料,服务应答表,报价表,投标（响应）函,服务方案.docx,监狱企业的证明文件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技术要求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详细评审85.00分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初步思路</w:t>
            </w:r>
          </w:p>
        </w:tc>
        <w:tc>
          <w:tcPr>
            <w:tcW w:type="dxa" w:w="2575"/>
          </w:tcPr>
          <w:p>
            <w:pPr>
              <w:pStyle w:val="null3"/>
              <w:jc w:val="left"/>
            </w:pPr>
            <w:r>
              <w:rPr>
                <w:rFonts w:ascii="仿宋_GB2312" w:hAnsi="仿宋_GB2312" w:cs="仿宋_GB2312" w:eastAsia="仿宋_GB2312"/>
              </w:rPr>
              <w:t>根据供应商提供的针对本项目的初步思路进行评分：①现状分析、②趋势分析、③指导思想与原则、④重点建设内容、⑤重点项目、⑥规划布局、⑦分期规划、⑧项目清单及投资估算。以上内容齐全、符合本项目需求和实际情况的得40分，每有一项内容缺失扣5分，每一项内容存在缺陷扣2.5分，扣完为止。（注：缺陷是指：项目名称、实施地点、涉及的规范、标准与本项目要求不一致；内容仅有框架或标题或缺少关键环节，没有具体实施方法；前后内容不一致。）</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p>
            <w:pPr>
              <w:pStyle w:val="null3"/>
              <w:jc w:val="left"/>
            </w:pPr>
            <w:r>
              <w:rPr>
                <w:rFonts w:ascii="仿宋_GB2312" w:hAnsi="仿宋_GB2312" w:cs="仿宋_GB2312" w:eastAsia="仿宋_GB2312"/>
              </w:rPr>
              <w:t>投标人认为应提供的其他相关证明材料.docx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供应商提供的针对本项目的实施方案进行评分：①技术路线、②时间进度、③编制标准、④成果要求。以上内容齐全、符合本项目需求和实际情况的得20分，每有一项内容缺失扣5分，每一项内容存在缺陷扣2.5分，扣完为止。（注：缺陷是指：项目名称、实施地点、涉及的规范、标准与本项目要求不一致；内容仅有框架或标题或缺少关键环节，没有具体实施方法；前后内容不一致。）</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p>
            <w:pPr>
              <w:pStyle w:val="null3"/>
              <w:jc w:val="left"/>
            </w:pPr>
            <w:r>
              <w:rPr>
                <w:rFonts w:ascii="仿宋_GB2312" w:hAnsi="仿宋_GB2312" w:cs="仿宋_GB2312" w:eastAsia="仿宋_GB2312"/>
              </w:rPr>
              <w:t>投标人认为应提供的其他相关证明材料.docx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保障措施及后期服务</w:t>
            </w:r>
          </w:p>
        </w:tc>
        <w:tc>
          <w:tcPr>
            <w:tcW w:type="dxa" w:w="2575"/>
          </w:tcPr>
          <w:p>
            <w:pPr>
              <w:pStyle w:val="null3"/>
              <w:jc w:val="left"/>
            </w:pPr>
            <w:r>
              <w:rPr>
                <w:rFonts w:ascii="仿宋_GB2312" w:hAnsi="仿宋_GB2312" w:cs="仿宋_GB2312" w:eastAsia="仿宋_GB2312"/>
              </w:rPr>
              <w:t>根据供应商提供的针对本项目的保障措施及后期服务进行评分：①组织管理、②人才支撑、③政策保障、④科技支撑、⑤后期服务体系。以上内容齐全、符合本项目需求和实际情况的得15分，每有一项内容缺失扣3分，每一项内容存在缺陷扣1.5分，扣完为止。（注：缺陷是指：项目名称、实施地点、涉及的规范、标准与本项目要求不一致；内容仅有框架或标题或缺少关键环节，没有具体实施方法；前后内容不一致。）</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p>
            <w:pPr>
              <w:pStyle w:val="null3"/>
              <w:jc w:val="left"/>
            </w:pPr>
            <w:r>
              <w:rPr>
                <w:rFonts w:ascii="仿宋_GB2312" w:hAnsi="仿宋_GB2312" w:cs="仿宋_GB2312" w:eastAsia="仿宋_GB2312"/>
              </w:rPr>
              <w:t>投标人认为应提供的其他相关证明材料.docx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1.策划团队人员中每配备1名具有国土空间规划或城乡规划或园林或市政工程类专业中级及以上职称得2分；本项最高得4分。 注：以上人员不重复计算得分，人员提供职称证书和在职证明复印件并加盖供应商鲜章。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服务方案.docx</w:t>
            </w:r>
          </w:p>
          <w:p>
            <w:pPr>
              <w:pStyle w:val="null3"/>
              <w:jc w:val="left"/>
            </w:pPr>
            <w:r>
              <w:rPr>
                <w:rFonts w:ascii="仿宋_GB2312" w:hAnsi="仿宋_GB2312" w:cs="仿宋_GB2312" w:eastAsia="仿宋_GB2312"/>
              </w:rPr>
              <w:t>投标人认为应提供的其他相关证明材料.docx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投标人提供2022年1月1日以来具有类似项目业绩的，每个业绩得2分，本项满分6分。 注：提供采购合同复印件或中标（成交）通知书复印件并加盖供应商鲜章。</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服务方案.docx</w:t>
            </w:r>
          </w:p>
          <w:p>
            <w:pPr>
              <w:pStyle w:val="null3"/>
              <w:jc w:val="left"/>
            </w:pPr>
            <w:r>
              <w:rPr>
                <w:rFonts w:ascii="仿宋_GB2312" w:hAnsi="仿宋_GB2312" w:cs="仿宋_GB2312" w:eastAsia="仿宋_GB2312"/>
              </w:rPr>
              <w:t>投标人认为应提供的其他相关证明材料.docx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满足磋商文件要求且最后报价最低的供应商的价格为磋商基准价，其价格分为满分。其他供应商的价格分统一按照下列公式计算：磋商报价得分=(磋商基准价/最后磋商报价)×15%×100；</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详见附件：投标人认为应提供的其他相关证明材料.docx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