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版本号：N511722202500003620250410001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宣汉县2024年牧区良种补贴项目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N5117222025000036</w:t>
      </w:r>
    </w:p>
    <w:p>
      <w:pPr>
        <w:pStyle w:val="null3"/>
        <w:jc w:val="left"/>
        <w:outlineLvl w:val="2"/>
      </w:pPr>
      <w:r>
        <w:rPr>
          <w:rFonts w:ascii="仿宋_GB2312" w:hAnsi="仿宋_GB2312" w:cs="仿宋_GB2312" w:eastAsia="仿宋_GB2312"/>
          <w:sz w:val="28"/>
          <w:b/>
        </w:rPr>
        <w:t>宣汉县农业农村局</w:t>
      </w:r>
    </w:p>
    <w:p>
      <w:pPr>
        <w:pStyle w:val="null3"/>
        <w:jc w:val="center"/>
        <w:outlineLvl w:val="2"/>
      </w:pPr>
      <w:r>
        <w:rPr>
          <w:rFonts w:ascii="仿宋_GB2312" w:hAnsi="仿宋_GB2312" w:cs="仿宋_GB2312" w:eastAsia="仿宋_GB2312"/>
          <w:sz w:val="28"/>
          <w:b/>
        </w:rPr>
        <w:t>达州亿纳项目管理有限公司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达州亿纳项目管理有限公司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宣汉县农业农村局</w:t>
      </w:r>
      <w:r>
        <w:rPr>
          <w:rFonts w:ascii="仿宋_GB2312" w:hAnsi="仿宋_GB2312" w:cs="仿宋_GB2312" w:eastAsia="仿宋_GB2312"/>
        </w:rPr>
        <w:t xml:space="preserve"> 委托，拟对 </w:t>
      </w:r>
      <w:r>
        <w:rPr>
          <w:rFonts w:ascii="仿宋_GB2312" w:hAnsi="仿宋_GB2312" w:cs="仿宋_GB2312" w:eastAsia="仿宋_GB2312"/>
        </w:rPr>
        <w:t>宣汉县2024年牧区良种补贴项目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达州市宣汉县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N5117222025000036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宣汉县2024年牧区良种补贴项目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促进畜牧产业健康发展，改良配种能繁母牛19500头。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1、1.具有省级以上畜牧兽医行政主管部门颁发的《种畜禽生产经营许可证》（有效期内）。 2.种公牛站所在地县级以上兽医主管部门颁发的《动物防疫条件合格证》（有限期内）。（描述：1.提供省级以上畜牧兽医行政主管部门颁发的《种畜禽生产经营许可证》（有效期内）。 2.提供种公牛站所在地县级以上兽医主管部门颁发的《动物防疫条件合格证》（有限期内）。 ）</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宣汉县农业农村局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宣汉县蒲江街道石岭大道422号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王睿</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0818-5221695</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达州亿纳项目管理有限公司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宣汉县西商农博园A7栋4楼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向女士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0818-5999666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采购包1：390,000.00元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代理服务费收费标准：参照原国家计委《招标代理服务收费管理暂行办法》（国家计委计价〔2002〕1980号）规定的收费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宣汉县农业农村局</w:t>
      </w:r>
      <w:r>
        <w:rPr>
          <w:rFonts w:ascii="仿宋_GB2312" w:hAnsi="仿宋_GB2312" w:cs="仿宋_GB2312" w:eastAsia="仿宋_GB2312"/>
        </w:rPr>
        <w:t xml:space="preserve"> 和 </w:t>
      </w:r>
      <w:r>
        <w:rPr>
          <w:rFonts w:ascii="仿宋_GB2312" w:hAnsi="仿宋_GB2312" w:cs="仿宋_GB2312" w:eastAsia="仿宋_GB2312"/>
        </w:rPr>
        <w:t>达州亿纳项目管理有限公司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宣汉县农业农村局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达州亿纳项目管理有限公司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三、供应商根据更正公告、更正信息要求，下载更正后的谈判文件，进行响应文件编制。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成交供应商在交货后5日内提出验收申请，采购人在接到 成交供应商验收申请后</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结果合格的，成交供应商凭验收报告办理相关手续；验收结果不合格的将不予支付采购资金，并且报本项目同级财政部门按照政府采购法律法规及《四川省公共资源交易领域严重失信联合惩戒实施办法》（川发改信用规〔2019〕405号）、《关于对政府采购领域严重违法失信主体开展联合惩戒的合 作备忘录》（发改财金〔2018〕1614号）等有关规定给予行政处罚或者以失信行为 记入诚信档案。</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对本项目的“采购内容及技术要求”进行验收。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对本项目的“商务要求”进行验收。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1、验收主体:履约验收由采购人自行验收，验收方案采购人可根据实际情况自行编写或参照采购合同执行。 2、验收时间、方式及程序:成交供应商在交货后5日内提出验收申请，采购人在接到成交供应商验收申请后5日内自行组织验收。3、验收内容:对本项目的“3.2.技术要求”“3.3.服务要求”进行验收。 4、验收标准:严格按照《财政部关于进一步加强政府采购需求和履约验收管理的指导意见》(财库(2016)205号)的要求进行验收。5、验收结果合格的，成交供应商凭验收报告办理相关手续;验收结果不合格的将不予支付采购资金，并且报本项目同级财政部门按照政府采购法律法规及《四川省公共资源交易领域严重失信联合惩戒实施办法》(川发改信用规(2019)405号)、《关于对政府采购领域严重违法失信主体开展联合惩戒的合作备忘录》(发改财金(2018)1614号)等有关规定给予行政处罚或者以失信行为记入诚信档案。</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宣汉县农业农村局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达州亿纳项目管理有限公司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达州亿纳项目管理有限公司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联系人：向女士</w:t>
      </w:r>
    </w:p>
    <w:p>
      <w:pPr>
        <w:pStyle w:val="null3"/>
        <w:jc w:val="left"/>
      </w:pPr>
      <w:r>
        <w:rPr>
          <w:rFonts w:ascii="仿宋_GB2312" w:hAnsi="仿宋_GB2312" w:cs="仿宋_GB2312" w:eastAsia="仿宋_GB2312"/>
        </w:rPr>
        <w:t>联系电话：0818-5999666</w:t>
      </w:r>
    </w:p>
    <w:p>
      <w:pPr>
        <w:pStyle w:val="null3"/>
        <w:jc w:val="left"/>
      </w:pPr>
      <w:r>
        <w:rPr>
          <w:rFonts w:ascii="仿宋_GB2312" w:hAnsi="仿宋_GB2312" w:cs="仿宋_GB2312" w:eastAsia="仿宋_GB2312"/>
        </w:rPr>
        <w:t>地址：宣汉县西商农博园A7栋4楼</w:t>
      </w:r>
    </w:p>
    <w:p>
      <w:pPr>
        <w:pStyle w:val="null3"/>
        <w:jc w:val="left"/>
      </w:pPr>
      <w:r>
        <w:rPr>
          <w:rFonts w:ascii="仿宋_GB2312" w:hAnsi="仿宋_GB2312" w:cs="仿宋_GB2312" w:eastAsia="仿宋_GB2312"/>
        </w:rPr>
        <w:t>邮编：636150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（一）对可以质疑的谈判文件提出质疑的，为收到谈判文件之日或者谈判文件公告期限届满之日；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ind w:firstLine="480"/>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390,000.00</w:t>
      </w:r>
    </w:p>
    <w:p>
      <w:pPr>
        <w:pStyle w:val="null3"/>
        <w:jc w:val="left"/>
      </w:pPr>
      <w:r>
        <w:rPr>
          <w:rFonts w:ascii="仿宋_GB2312" w:hAnsi="仿宋_GB2312" w:cs="仿宋_GB2312" w:eastAsia="仿宋_GB2312"/>
        </w:rPr>
        <w:t>采购包最高限价（元）: 370,500.00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西门塔尔种公牛精液</w:t>
            </w:r>
          </w:p>
        </w:tc>
        <w:tc>
          <w:tcPr>
            <w:tcW w:type="dxa" w:w="821"/>
          </w:tcPr>
          <w:p>
            <w:pPr>
              <w:pStyle w:val="null3"/>
              <w:jc w:val="right"/>
            </w:pPr>
            <w:r>
              <w:rPr>
                <w:rFonts w:ascii="仿宋_GB2312" w:hAnsi="仿宋_GB2312" w:cs="仿宋_GB2312" w:eastAsia="仿宋_GB2312"/>
              </w:rPr>
              <w:t>39,000.00（份）</w:t>
            </w:r>
          </w:p>
        </w:tc>
        <w:tc>
          <w:tcPr>
            <w:tcW w:type="dxa" w:w="821"/>
          </w:tcPr>
          <w:p>
            <w:pPr>
              <w:pStyle w:val="null3"/>
              <w:jc w:val="right"/>
            </w:pPr>
            <w:r>
              <w:rPr>
                <w:rFonts w:ascii="仿宋_GB2312" w:hAnsi="仿宋_GB2312" w:cs="仿宋_GB2312" w:eastAsia="仿宋_GB2312"/>
              </w:rPr>
              <w:t>370,500.00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西门塔尔种公牛精液</w:t>
            </w:r>
          </w:p>
        </w:tc>
        <w:tc>
          <w:tcPr>
            <w:tcW w:type="dxa" w:w="1138"/>
          </w:tcPr>
          <w:p>
            <w:pPr>
              <w:pStyle w:val="null3"/>
              <w:jc w:val="center"/>
            </w:pPr>
            <w:r>
              <w:rPr>
                <w:rFonts w:ascii="仿宋_GB2312" w:hAnsi="仿宋_GB2312" w:cs="仿宋_GB2312" w:eastAsia="仿宋_GB2312"/>
              </w:rPr>
              <w:t>39,000.00（份）</w:t>
            </w:r>
          </w:p>
        </w:tc>
        <w:tc>
          <w:tcPr>
            <w:tcW w:type="dxa" w:w="1365"/>
          </w:tcPr>
          <w:p>
            <w:pPr>
              <w:pStyle w:val="null3"/>
              <w:jc w:val="center"/>
            </w:pPr>
            <w:r>
              <w:rPr>
                <w:rFonts w:ascii="仿宋_GB2312" w:hAnsi="仿宋_GB2312" w:cs="仿宋_GB2312" w:eastAsia="仿宋_GB2312"/>
              </w:rPr>
              <w:t>370,500.00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西门塔尔种公牛精液</w:t>
            </w:r>
          </w:p>
        </w:tc>
        <w:tc>
          <w:tcPr>
            <w:tcW w:type="dxa" w:w="2492"/>
          </w:tcPr>
          <w:p>
            <w:pPr>
              <w:pStyle w:val="null3"/>
              <w:jc w:val="left"/>
            </w:pPr>
            <w:r>
              <w:rPr>
                <w:rFonts w:ascii="仿宋_GB2312" w:hAnsi="仿宋_GB2312" w:cs="仿宋_GB2312" w:eastAsia="仿宋_GB2312"/>
              </w:rPr>
              <w:t>西门塔尔种公牛精液</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标的名称：西门塔尔种公牛精液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西门塔尔种公牛精液</w:t>
            </w:r>
          </w:p>
        </w:tc>
        <w:tc>
          <w:tcPr>
            <w:tcW w:type="dxa" w:w="5814"/>
          </w:tcPr>
          <w:p>
            <w:pPr>
              <w:pStyle w:val="null3"/>
              <w:ind w:firstLine="480"/>
              <w:jc w:val="both"/>
            </w:pPr>
            <w:r>
              <w:rPr>
                <w:rFonts w:ascii="仿宋_GB2312" w:hAnsi="仿宋_GB2312" w:cs="仿宋_GB2312" w:eastAsia="仿宋_GB2312"/>
                <w:sz w:val="24"/>
              </w:rPr>
              <w:t>1.供应商提供的种公牛应为农业农村部（全国畜牧总站）《2024年中国肉用及乳肉兼用种公牛遗传评估概要》收录的西门塔尔种公牛。（投标文件中须提供上述概要，并明确标明入选种公牛的的编号和生产性能及所在页码并加盖公章)。</w:t>
            </w:r>
            <w:r>
              <w:br/>
            </w:r>
            <w:r>
              <w:rPr>
                <w:rFonts w:ascii="仿宋_GB2312" w:hAnsi="仿宋_GB2312" w:cs="仿宋_GB2312" w:eastAsia="仿宋_GB2312"/>
                <w:sz w:val="24"/>
              </w:rPr>
              <w:t xml:space="preserve"> 2.提供投标种公牛体型外貌为特级，三代系谱清晰。(提供三代系谱复印件和冻精种公牛图片并加盖公章） </w:t>
            </w:r>
            <w:r>
              <w:br/>
            </w:r>
            <w:r>
              <w:rPr>
                <w:rFonts w:ascii="仿宋_GB2312" w:hAnsi="仿宋_GB2312" w:cs="仿宋_GB2312" w:eastAsia="仿宋_GB2312"/>
                <w:sz w:val="24"/>
              </w:rPr>
              <w:t xml:space="preserve"> 3.供应商提供的冻精应符合国家标准（GB4143-2022）,需出具国家权威认证部门提供的产品质量检测报告。外包装完整符合销售要求。冻精包装规格为：细管，剂量≥0.19毫升；精液标识清楚：生产日期、牛号；精液活力≥40%，前进运动精子数≥600万个，畸形率≤20%，菌落总数≤500CFU/剂。</w:t>
            </w:r>
            <w:r>
              <w:br/>
            </w:r>
            <w:r>
              <w:rPr>
                <w:rFonts w:ascii="仿宋_GB2312" w:hAnsi="仿宋_GB2312" w:cs="仿宋_GB2312" w:eastAsia="仿宋_GB2312"/>
                <w:sz w:val="24"/>
              </w:rPr>
              <w:t xml:space="preserve"> 4.供应商提供的供精种公牛无传染性疾病，无隐性遗传疾病或缺陷。提供所在地县级及以上动物疫病预防控制中心（或具备检测资质的第三方）出具的最近三个月种公牛口蹄疫免疫抗体检测报告及结核、布病病原学检测阴性报告（须有竞标种公牛）。</w:t>
            </w:r>
          </w:p>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业主指定地点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 所有货物交货完成并验收合格后，成交供应商须向采购人出具合法有效完整的完税发票及凭证资料，达到付款条件起15日内，支付合同总金额的100.00%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文件的规定的要求进行验收。须符合国家有关规定、谈判文件的质量要求和技术指标、成交供应商的响应文件及承诺以及合同条 款。</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验收合格后一年。</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1.1甲乙双方必须遵守本合同并执行合同中的各项规定，保证本合同的正常履行。1.2如因乙方工作人员在履行职务过程中的疏忽、失职、过错等故意或者过失原因给甲方造成损失或侵害，但不限于甲方本身的财产损失、由此而导致的甲方对任何第三方的法律责任等，乙方对此均应承担全部的赔偿责任。2.解决争议的方法:合同履行期间，若双方发生争议，可协商或由有关部门调解解决，协商或调解不成的，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除实质性要求项其余均可</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下述任一证明材料即可:①可提供2023或2024年度经审计的财务报告复印件(包含审计报告和审计报告中所涉及的财务报表和报表附注);②可提供2023或2024年度供应商内部的财务报表复印件(至少包含资产负债表);③可提供截至响应文件递交截止日一年内银行出具的资信证明(复印件);④供应商注册时间截至响应文件递交截止日不足一年的，也可提供加盖工商备案主管部门印章的⑤提供具有健全的财务会计制度的承诺函。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1.具有省级以上畜牧兽医行政主管部门颁发的《种畜禽生产经营许可证》（有效期内）。 2.种公牛站所在地县级以上兽医主管部门颁发的《动物防疫条件合格证》（有限期内）。</w:t>
            </w:r>
          </w:p>
        </w:tc>
        <w:tc>
          <w:tcPr>
            <w:tcW w:type="dxa" w:w="3322"/>
          </w:tcPr>
          <w:p>
            <w:pPr>
              <w:pStyle w:val="null3"/>
              <w:jc w:val="left"/>
            </w:pPr>
            <w:r>
              <w:rPr>
                <w:rFonts w:ascii="仿宋_GB2312" w:hAnsi="仿宋_GB2312" w:cs="仿宋_GB2312" w:eastAsia="仿宋_GB2312"/>
              </w:rPr>
              <w:t>1.提供省级以上畜牧兽医行政主管部门颁发的《种畜禽生产经营许可证》（有效期内）。 2.提供种公牛站所在地县级以上兽医主管部门颁发的《动物防疫条件合格证》（有限期内）。</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响应文件封面,供应商认为需要提供的其他证明材料,产品技术参数响应表,中小企业声明函,残疾人福利性单位声明函,供应商应提交的相关证明材料,具有健全财务会计制度的证明材料,服务应答表,报价表,投标（响应）函,监狱企业的证明文件</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注：供应商报价低于最高限价50%或者低于其他有效供应商报价算术平均价40%的，谈判小组可以认为该供应商“报价明显低于其他实质性响应的供应商报价”。）</w:t>
            </w:r>
          </w:p>
        </w:tc>
        <w:tc>
          <w:tcPr>
            <w:tcW w:type="dxa" w:w="1910"/>
          </w:tcPr>
          <w:p>
            <w:pPr>
              <w:pStyle w:val="null3"/>
              <w:jc w:val="left"/>
            </w:pPr>
            <w:r>
              <w:rPr>
                <w:rFonts w:ascii="仿宋_GB2312" w:hAnsi="仿宋_GB2312" w:cs="仿宋_GB2312" w:eastAsia="仿宋_GB2312"/>
              </w:rPr>
              <w:t>响应文件封面,供应商认为需要提供的其他证明材料,产品技术参数响应表,中小企业声明函,残疾人福利性单位声明函,供应商应提交的相关证明材料,具有健全财务会计制度的证明材料,服务应答表,报价表,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二、谈判小组所有成员集中与单一供应商对技术、服务、合同条款等内容分别进行一轮或多轮的谈判。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评审结束后，谈判小组应当进行复核，特别要对拟推荐为成交供应商的、报价最低的、响应文件被认定为无效的进行重点复核。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详见附件：供应商认为需要提供的其他证明材料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《谈判文件》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