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89369">
      <w:pP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   </w:t>
      </w:r>
    </w:p>
    <w:p w14:paraId="310BE54F">
      <w:pPr>
        <w:pStyle w:val="19"/>
        <w:rPr>
          <w:rFonts w:hint="eastAsia" w:asciiTheme="minorEastAsia" w:hAnsiTheme="minorEastAsia" w:eastAsiaTheme="minorEastAsia" w:cstheme="minorEastAsia"/>
          <w:color w:val="auto"/>
          <w:highlight w:val="none"/>
        </w:rPr>
      </w:pPr>
    </w:p>
    <w:p w14:paraId="3068CA16">
      <w:pPr>
        <w:rPr>
          <w:rFonts w:hint="eastAsia" w:asciiTheme="minorEastAsia" w:hAnsiTheme="minorEastAsia" w:eastAsiaTheme="minorEastAsia" w:cstheme="minorEastAsia"/>
          <w:color w:val="auto"/>
          <w:sz w:val="32"/>
          <w:szCs w:val="32"/>
          <w:highlight w:val="none"/>
        </w:rPr>
      </w:pPr>
    </w:p>
    <w:p w14:paraId="3F1D8549">
      <w:pPr>
        <w:rPr>
          <w:rFonts w:hint="eastAsia" w:asciiTheme="minorEastAsia" w:hAnsiTheme="minorEastAsia" w:eastAsiaTheme="minorEastAsia" w:cstheme="minorEastAsia"/>
          <w:color w:val="auto"/>
          <w:sz w:val="32"/>
          <w:szCs w:val="32"/>
          <w:highlight w:val="none"/>
        </w:rPr>
      </w:pPr>
    </w:p>
    <w:p w14:paraId="6A8F0C72">
      <w:pPr>
        <w:pStyle w:val="13"/>
        <w:spacing w:line="480" w:lineRule="auto"/>
        <w:jc w:val="center"/>
        <w:rPr>
          <w:rFonts w:hint="eastAsia" w:asciiTheme="minorEastAsia" w:hAnsiTheme="minorEastAsia" w:eastAsiaTheme="minorEastAsia" w:cstheme="minorEastAsia"/>
          <w:b/>
          <w:color w:val="auto"/>
          <w:sz w:val="84"/>
          <w:szCs w:val="84"/>
          <w:highlight w:val="none"/>
        </w:rPr>
      </w:pPr>
      <w:r>
        <w:rPr>
          <w:rFonts w:hint="eastAsia" w:asciiTheme="minorEastAsia" w:hAnsiTheme="minorEastAsia" w:eastAsiaTheme="minorEastAsia" w:cstheme="minorEastAsia"/>
          <w:b/>
          <w:color w:val="auto"/>
          <w:sz w:val="84"/>
          <w:szCs w:val="84"/>
          <w:highlight w:val="none"/>
        </w:rPr>
        <w:t>竞争性磋商</w:t>
      </w:r>
    </w:p>
    <w:p w14:paraId="0CDD63D5">
      <w:pPr>
        <w:pStyle w:val="13"/>
        <w:spacing w:line="480" w:lineRule="auto"/>
        <w:jc w:val="center"/>
        <w:rPr>
          <w:rFonts w:hint="eastAsia" w:asciiTheme="minorEastAsia" w:hAnsiTheme="minorEastAsia" w:eastAsiaTheme="minorEastAsia" w:cstheme="minorEastAsia"/>
          <w:b/>
          <w:color w:val="auto"/>
          <w:sz w:val="84"/>
          <w:szCs w:val="84"/>
          <w:highlight w:val="none"/>
        </w:rPr>
      </w:pPr>
      <w:r>
        <w:rPr>
          <w:rFonts w:hint="eastAsia" w:asciiTheme="minorEastAsia" w:hAnsiTheme="minorEastAsia" w:eastAsiaTheme="minorEastAsia" w:cstheme="minorEastAsia"/>
          <w:b/>
          <w:color w:val="auto"/>
          <w:sz w:val="84"/>
          <w:szCs w:val="84"/>
          <w:highlight w:val="none"/>
        </w:rPr>
        <w:t>采购文件</w:t>
      </w:r>
    </w:p>
    <w:p w14:paraId="244BA3DE">
      <w:pPr>
        <w:pStyle w:val="13"/>
        <w:adjustRightInd w:val="0"/>
        <w:snapToGrid w:val="0"/>
        <w:spacing w:before="156" w:beforeLines="50" w:line="360" w:lineRule="auto"/>
        <w:ind w:left="846" w:leftChars="403" w:firstLine="157" w:firstLineChars="4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w:t>
      </w:r>
    </w:p>
    <w:p w14:paraId="04DA4C0D">
      <w:pPr>
        <w:pStyle w:val="13"/>
        <w:adjustRightInd w:val="0"/>
        <w:snapToGrid w:val="0"/>
        <w:spacing w:before="156" w:beforeLines="50" w:line="360" w:lineRule="auto"/>
        <w:ind w:left="846" w:leftChars="403" w:firstLine="157" w:firstLineChars="49"/>
        <w:rPr>
          <w:rFonts w:hint="eastAsia" w:asciiTheme="minorEastAsia" w:hAnsiTheme="minorEastAsia" w:eastAsiaTheme="minorEastAsia" w:cstheme="minorEastAsia"/>
          <w:b/>
          <w:color w:val="auto"/>
          <w:sz w:val="32"/>
          <w:szCs w:val="32"/>
          <w:highlight w:val="none"/>
        </w:rPr>
      </w:pPr>
    </w:p>
    <w:p w14:paraId="45A43E61">
      <w:pPr>
        <w:pStyle w:val="13"/>
        <w:adjustRightInd w:val="0"/>
        <w:snapToGrid w:val="0"/>
        <w:spacing w:before="156" w:beforeLines="50" w:line="360" w:lineRule="auto"/>
        <w:ind w:left="846" w:leftChars="403" w:firstLine="157" w:firstLineChars="49"/>
        <w:rPr>
          <w:rFonts w:hint="eastAsia" w:asciiTheme="minorEastAsia" w:hAnsiTheme="minorEastAsia" w:eastAsiaTheme="minorEastAsia" w:cstheme="minorEastAsia"/>
          <w:b/>
          <w:color w:val="auto"/>
          <w:sz w:val="32"/>
          <w:szCs w:val="32"/>
          <w:highlight w:val="none"/>
        </w:rPr>
      </w:pPr>
    </w:p>
    <w:p w14:paraId="48F9D6CB">
      <w:pPr>
        <w:pStyle w:val="13"/>
        <w:adjustRightInd w:val="0"/>
        <w:snapToGrid w:val="0"/>
        <w:spacing w:line="360" w:lineRule="auto"/>
        <w:ind w:left="638" w:leftChars="304"/>
        <w:rPr>
          <w:rFonts w:hint="eastAsia" w:asciiTheme="minorEastAsia" w:hAnsiTheme="minorEastAsia" w:eastAsiaTheme="minorEastAsia" w:cstheme="minorEastAsia"/>
          <w:color w:val="auto"/>
          <w:sz w:val="32"/>
          <w:szCs w:val="32"/>
          <w:highlight w:val="none"/>
          <w:u w:val="single"/>
          <w:lang w:eastAsia="zh-CN"/>
        </w:rPr>
      </w:pPr>
      <w:bookmarkStart w:id="0" w:name="OLE_LINK17"/>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single"/>
          <w:lang w:eastAsia="zh-CN"/>
        </w:rPr>
        <w:t>园区土方调配总体规划及2025年建设项目土方平衡设计专题研究项目</w:t>
      </w:r>
    </w:p>
    <w:p w14:paraId="33B2157E">
      <w:pPr>
        <w:pStyle w:val="13"/>
        <w:adjustRightInd w:val="0"/>
        <w:snapToGrid w:val="0"/>
        <w:spacing w:line="360" w:lineRule="auto"/>
        <w:ind w:left="638" w:leftChars="304"/>
        <w:rPr>
          <w:rFonts w:hint="eastAsia" w:asciiTheme="minorEastAsia" w:hAnsiTheme="minorEastAsia" w:eastAsiaTheme="minorEastAsia" w:cstheme="minorEastAsia"/>
          <w:color w:val="auto"/>
          <w:sz w:val="32"/>
          <w:szCs w:val="32"/>
          <w:highlight w:val="none"/>
          <w:u w:val="single"/>
          <w:lang w:eastAsia="zh-CN"/>
        </w:rPr>
      </w:pPr>
      <w:r>
        <w:rPr>
          <w:rFonts w:hint="eastAsia" w:asciiTheme="minorEastAsia" w:hAnsiTheme="minorEastAsia" w:eastAsiaTheme="minorEastAsia" w:cstheme="minorEastAsia"/>
          <w:color w:val="auto"/>
          <w:sz w:val="32"/>
          <w:szCs w:val="32"/>
          <w:highlight w:val="none"/>
        </w:rPr>
        <w:t>采   购   人：</w:t>
      </w:r>
      <w:r>
        <w:rPr>
          <w:rFonts w:hint="eastAsia" w:hAnsi="宋体" w:cs="宋体" w:eastAsiaTheme="minorEastAsia"/>
          <w:color w:val="auto"/>
          <w:sz w:val="32"/>
          <w:szCs w:val="32"/>
          <w:highlight w:val="none"/>
          <w:u w:val="single"/>
          <w:lang w:eastAsia="zh-CN"/>
        </w:rPr>
        <w:t>长沙金霞新城城市发展有限公司</w:t>
      </w:r>
    </w:p>
    <w:bookmarkEnd w:id="0"/>
    <w:p w14:paraId="51EF6441">
      <w:pPr>
        <w:pStyle w:val="13"/>
        <w:adjustRightInd w:val="0"/>
        <w:snapToGrid w:val="0"/>
        <w:spacing w:line="360" w:lineRule="auto"/>
        <w:ind w:firstLine="640" w:firstLineChars="2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  购 编 号：</w:t>
      </w:r>
      <w:r>
        <w:rPr>
          <w:rFonts w:hint="eastAsia" w:asciiTheme="minorEastAsia" w:hAnsiTheme="minorEastAsia" w:eastAsiaTheme="minorEastAsia" w:cstheme="minorEastAsia"/>
          <w:color w:val="auto"/>
          <w:sz w:val="32"/>
          <w:szCs w:val="32"/>
          <w:highlight w:val="none"/>
          <w:u w:val="single"/>
          <w:lang w:eastAsia="zh-CN"/>
        </w:rPr>
        <w:t>KFCG-F202504180004</w:t>
      </w:r>
    </w:p>
    <w:p w14:paraId="67E5F783">
      <w:pPr>
        <w:pStyle w:val="13"/>
        <w:adjustRightInd w:val="0"/>
        <w:snapToGrid w:val="0"/>
        <w:spacing w:line="360" w:lineRule="auto"/>
        <w:ind w:firstLine="640" w:firstLineChars="200"/>
        <w:rPr>
          <w:rFonts w:hint="eastAsia" w:asciiTheme="minorEastAsia" w:hAnsiTheme="minorEastAsia" w:eastAsiaTheme="minorEastAsia" w:cstheme="minorEastAsia"/>
          <w:color w:val="auto"/>
          <w:sz w:val="32"/>
          <w:szCs w:val="32"/>
          <w:highlight w:val="none"/>
          <w:u w:val="single"/>
          <w:lang w:eastAsia="zh-CN"/>
        </w:rPr>
      </w:pPr>
      <w:r>
        <w:rPr>
          <w:rFonts w:hint="eastAsia" w:asciiTheme="minorEastAsia" w:hAnsiTheme="minorEastAsia" w:eastAsiaTheme="minorEastAsia" w:cstheme="minorEastAsia"/>
          <w:color w:val="auto"/>
          <w:sz w:val="32"/>
          <w:szCs w:val="32"/>
          <w:highlight w:val="none"/>
        </w:rPr>
        <w:t>委托代理编号：</w:t>
      </w:r>
      <w:r>
        <w:rPr>
          <w:rFonts w:hint="eastAsia" w:asciiTheme="minorEastAsia" w:hAnsiTheme="minorEastAsia" w:eastAsiaTheme="minorEastAsia" w:cstheme="minorEastAsia"/>
          <w:color w:val="auto"/>
          <w:sz w:val="32"/>
          <w:szCs w:val="32"/>
          <w:highlight w:val="none"/>
          <w:u w:val="single"/>
          <w:lang w:eastAsia="zh-CN"/>
        </w:rPr>
        <w:t>ZCZB-CG(F)-2025016</w:t>
      </w:r>
    </w:p>
    <w:p w14:paraId="7C555DFD">
      <w:pPr>
        <w:pStyle w:val="13"/>
        <w:adjustRightInd w:val="0"/>
        <w:snapToGrid w:val="0"/>
        <w:spacing w:before="156" w:beforeLines="50" w:line="360" w:lineRule="auto"/>
        <w:ind w:firstLine="640" w:firstLineChars="2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u w:val="single"/>
        </w:rPr>
        <w:t>中采联合招标有限公司</w:t>
      </w:r>
    </w:p>
    <w:p w14:paraId="7203A759">
      <w:pPr>
        <w:pStyle w:val="13"/>
        <w:adjustRightInd w:val="0"/>
        <w:snapToGrid w:val="0"/>
        <w:spacing w:line="360" w:lineRule="auto"/>
        <w:jc w:val="center"/>
        <w:rPr>
          <w:rFonts w:hint="eastAsia" w:asciiTheme="minorEastAsia" w:hAnsiTheme="minorEastAsia" w:eastAsiaTheme="minorEastAsia" w:cstheme="minorEastAsia"/>
          <w:b/>
          <w:color w:val="auto"/>
          <w:sz w:val="32"/>
          <w:highlight w:val="none"/>
        </w:rPr>
      </w:pPr>
    </w:p>
    <w:p w14:paraId="1137E5AA">
      <w:pPr>
        <w:pStyle w:val="13"/>
        <w:adjustRightInd w:val="0"/>
        <w:snapToGrid w:val="0"/>
        <w:spacing w:line="360" w:lineRule="auto"/>
        <w:jc w:val="center"/>
        <w:rPr>
          <w:rFonts w:hint="eastAsia" w:asciiTheme="minorEastAsia" w:hAnsiTheme="minorEastAsia" w:eastAsiaTheme="minorEastAsia" w:cstheme="minorEastAsia"/>
          <w:b/>
          <w:color w:val="auto"/>
          <w:sz w:val="32"/>
          <w:highlight w:val="none"/>
        </w:rPr>
      </w:pPr>
    </w:p>
    <w:p w14:paraId="287266A1">
      <w:pPr>
        <w:pStyle w:val="13"/>
        <w:adjustRightInd w:val="0"/>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u w:val="single"/>
        </w:rPr>
        <w:t>2025</w:t>
      </w:r>
      <w:r>
        <w:rPr>
          <w:rFonts w:hint="eastAsia" w:asciiTheme="minorEastAsia" w:hAnsiTheme="minorEastAsia" w:eastAsiaTheme="minorEastAsia" w:cstheme="minorEastAsia"/>
          <w:b/>
          <w:color w:val="auto"/>
          <w:sz w:val="32"/>
          <w:highlight w:val="none"/>
        </w:rPr>
        <w:t>年</w:t>
      </w:r>
      <w:r>
        <w:rPr>
          <w:rFonts w:hint="eastAsia" w:asciiTheme="minorEastAsia" w:hAnsiTheme="minorEastAsia" w:eastAsiaTheme="minorEastAsia" w:cstheme="minorEastAsia"/>
          <w:b/>
          <w:color w:val="auto"/>
          <w:sz w:val="32"/>
          <w:highlight w:val="none"/>
          <w:u w:val="single"/>
          <w:lang w:val="en-US" w:eastAsia="zh-CN"/>
        </w:rPr>
        <w:t>04</w:t>
      </w:r>
      <w:r>
        <w:rPr>
          <w:rFonts w:hint="eastAsia" w:asciiTheme="minorEastAsia" w:hAnsiTheme="minorEastAsia" w:eastAsiaTheme="minorEastAsia" w:cstheme="minorEastAsia"/>
          <w:b/>
          <w:color w:val="auto"/>
          <w:sz w:val="32"/>
          <w:highlight w:val="none"/>
        </w:rPr>
        <w:t>月</w:t>
      </w:r>
    </w:p>
    <w:p w14:paraId="47D7E6FC">
      <w:pPr>
        <w:pStyle w:val="13"/>
        <w:adjustRightInd w:val="0"/>
        <w:snapToGrid w:val="0"/>
        <w:spacing w:line="360" w:lineRule="auto"/>
        <w:jc w:val="center"/>
        <w:rPr>
          <w:rFonts w:hint="eastAsia" w:asciiTheme="minorEastAsia" w:hAnsiTheme="minorEastAsia" w:eastAsiaTheme="minorEastAsia" w:cstheme="minorEastAsia"/>
          <w:b/>
          <w:color w:val="auto"/>
          <w:sz w:val="32"/>
          <w:highlight w:val="none"/>
        </w:rPr>
      </w:pPr>
    </w:p>
    <w:p w14:paraId="46A5D712">
      <w:pPr>
        <w:pStyle w:val="13"/>
        <w:adjustRightInd w:val="0"/>
        <w:snapToGrid w:val="0"/>
        <w:spacing w:line="360" w:lineRule="auto"/>
        <w:jc w:val="center"/>
        <w:rPr>
          <w:rFonts w:hint="eastAsia" w:asciiTheme="minorEastAsia" w:hAnsiTheme="minorEastAsia" w:eastAsiaTheme="minorEastAsia" w:cstheme="minorEastAsia"/>
          <w:b/>
          <w:color w:val="auto"/>
          <w:sz w:val="32"/>
          <w:highlight w:val="none"/>
        </w:rPr>
        <w:sectPr>
          <w:headerReference r:id="rId3" w:type="default"/>
          <w:footerReference r:id="rId4" w:type="default"/>
          <w:pgSz w:w="11906" w:h="16838"/>
          <w:pgMar w:top="1440" w:right="1179" w:bottom="1440" w:left="1179" w:header="851" w:footer="992" w:gutter="0"/>
          <w:pgNumType w:start="1"/>
          <w:cols w:space="720" w:num="1"/>
          <w:docGrid w:type="lines" w:linePitch="312" w:charSpace="0"/>
        </w:sectPr>
      </w:pPr>
    </w:p>
    <w:p w14:paraId="157B9B03">
      <w:pPr>
        <w:pStyle w:val="13"/>
        <w:adjustRightInd w:val="0"/>
        <w:snapToGrid w:val="0"/>
        <w:spacing w:line="360" w:lineRule="auto"/>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sz w:val="32"/>
          <w:highlight w:val="none"/>
        </w:rPr>
        <w:t>目  录</w:t>
      </w:r>
    </w:p>
    <w:p w14:paraId="41F68813">
      <w:pPr>
        <w:pStyle w:val="13"/>
        <w:adjustRightInd w:val="0"/>
        <w:snapToGrid w:val="0"/>
        <w:spacing w:line="360" w:lineRule="auto"/>
        <w:rPr>
          <w:rFonts w:hint="eastAsia" w:asciiTheme="minorEastAsia" w:hAnsiTheme="minorEastAsia" w:eastAsiaTheme="minorEastAsia" w:cstheme="minorEastAsia"/>
          <w:b/>
          <w:color w:val="auto"/>
          <w:sz w:val="24"/>
          <w:szCs w:val="24"/>
          <w:highlight w:val="none"/>
        </w:rPr>
      </w:pPr>
    </w:p>
    <w:p w14:paraId="29CF0D68">
      <w:pPr>
        <w:pStyle w:val="13"/>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第一章  磋商邀请</w:t>
      </w:r>
    </w:p>
    <w:p w14:paraId="074213B8">
      <w:pPr>
        <w:pStyle w:val="13"/>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磋商须知</w:t>
      </w:r>
    </w:p>
    <w:p w14:paraId="0CFB3185">
      <w:pPr>
        <w:tabs>
          <w:tab w:val="left" w:pos="1440"/>
        </w:tabs>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磋商须知前附表</w:t>
      </w:r>
    </w:p>
    <w:p w14:paraId="1BA76D39">
      <w:pPr>
        <w:tabs>
          <w:tab w:val="left" w:pos="1440"/>
        </w:tabs>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磋商须知正文</w:t>
      </w:r>
    </w:p>
    <w:p w14:paraId="0115D623">
      <w:pPr>
        <w:tabs>
          <w:tab w:val="left" w:pos="1440"/>
        </w:tabs>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一、说明</w:t>
      </w:r>
    </w:p>
    <w:p w14:paraId="3DC4B98F">
      <w:pPr>
        <w:tabs>
          <w:tab w:val="left" w:pos="1440"/>
        </w:tabs>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r>
        <w:rPr>
          <w:rFonts w:hint="eastAsia" w:asciiTheme="minorEastAsia" w:hAnsiTheme="minorEastAsia" w:eastAsiaTheme="minorEastAsia" w:cstheme="minorEastAsia"/>
          <w:bCs/>
          <w:color w:val="auto"/>
          <w:szCs w:val="21"/>
          <w:highlight w:val="none"/>
        </w:rPr>
        <w:t>磋商</w:t>
      </w:r>
      <w:r>
        <w:rPr>
          <w:rFonts w:hint="eastAsia" w:asciiTheme="minorEastAsia" w:hAnsiTheme="minorEastAsia" w:eastAsiaTheme="minorEastAsia" w:cstheme="minorEastAsia"/>
          <w:color w:val="auto"/>
          <w:szCs w:val="21"/>
          <w:highlight w:val="none"/>
        </w:rPr>
        <w:t>文件</w:t>
      </w:r>
    </w:p>
    <w:p w14:paraId="3F0F694F">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三、响应文件</w:t>
      </w:r>
    </w:p>
    <w:p w14:paraId="4D47D025">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四、响应文件的递交</w:t>
      </w:r>
    </w:p>
    <w:p w14:paraId="5708EA1D">
      <w:pPr>
        <w:adjustRightInd w:val="0"/>
        <w:snapToGrid w:val="0"/>
        <w:spacing w:line="360" w:lineRule="auto"/>
        <w:ind w:firstLine="630" w:firstLineChars="3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五、</w:t>
      </w:r>
      <w:r>
        <w:rPr>
          <w:rFonts w:hint="eastAsia" w:asciiTheme="minorEastAsia" w:hAnsiTheme="minorEastAsia" w:eastAsiaTheme="minorEastAsia" w:cstheme="minorEastAsia"/>
          <w:color w:val="auto"/>
          <w:szCs w:val="21"/>
          <w:highlight w:val="none"/>
        </w:rPr>
        <w:t>响应文件</w:t>
      </w:r>
      <w:r>
        <w:rPr>
          <w:rFonts w:hint="eastAsia" w:asciiTheme="minorEastAsia" w:hAnsiTheme="minorEastAsia" w:eastAsiaTheme="minorEastAsia" w:cstheme="minorEastAsia"/>
          <w:bCs/>
          <w:color w:val="auto"/>
          <w:szCs w:val="21"/>
          <w:highlight w:val="none"/>
        </w:rPr>
        <w:t>的</w:t>
      </w:r>
      <w:r>
        <w:rPr>
          <w:rFonts w:hint="eastAsia" w:asciiTheme="minorEastAsia" w:hAnsiTheme="minorEastAsia" w:eastAsiaTheme="minorEastAsia" w:cstheme="minorEastAsia"/>
          <w:color w:val="auto"/>
          <w:szCs w:val="21"/>
          <w:highlight w:val="none"/>
        </w:rPr>
        <w:t>磋商与评审</w:t>
      </w:r>
    </w:p>
    <w:p w14:paraId="0C0A501A">
      <w:pPr>
        <w:adjustRightInd w:val="0"/>
        <w:snapToGrid w:val="0"/>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六、成交结果信息公布与授予合同</w:t>
      </w:r>
    </w:p>
    <w:p w14:paraId="02AFA8B3">
      <w:pPr>
        <w:adjustRightInd w:val="0"/>
        <w:snapToGrid w:val="0"/>
        <w:spacing w:line="360" w:lineRule="auto"/>
        <w:ind w:firstLine="630" w:firstLineChars="3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七、其他规定</w:t>
      </w:r>
    </w:p>
    <w:p w14:paraId="27E797CC">
      <w:pPr>
        <w:adjustRightInd w:val="0"/>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第三章  采购合同格式</w:t>
      </w:r>
    </w:p>
    <w:p w14:paraId="7AB72C7F">
      <w:pPr>
        <w:adjustRightInd w:val="0"/>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第四章  采购需求</w:t>
      </w:r>
    </w:p>
    <w:p w14:paraId="60330E9A">
      <w:pPr>
        <w:pStyle w:val="13"/>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第五章  </w:t>
      </w:r>
      <w:r>
        <w:rPr>
          <w:rFonts w:hint="eastAsia" w:asciiTheme="minorEastAsia" w:hAnsiTheme="minorEastAsia" w:eastAsiaTheme="minorEastAsia" w:cstheme="minorEastAsia"/>
          <w:b/>
          <w:color w:val="auto"/>
          <w:sz w:val="24"/>
          <w:highlight w:val="none"/>
        </w:rPr>
        <w:t>响应文件组成</w:t>
      </w:r>
    </w:p>
    <w:p w14:paraId="21C41D90">
      <w:pPr>
        <w:spacing w:line="360" w:lineRule="exact"/>
        <w:rPr>
          <w:rFonts w:hint="eastAsia" w:asciiTheme="minorEastAsia" w:hAnsiTheme="minorEastAsia" w:eastAsiaTheme="minorEastAsia" w:cstheme="minorEastAsia"/>
          <w:b/>
          <w:color w:val="auto"/>
          <w:sz w:val="24"/>
          <w:highlight w:val="none"/>
        </w:rPr>
      </w:pPr>
    </w:p>
    <w:p w14:paraId="7BAEDB33">
      <w:pPr>
        <w:spacing w:line="360" w:lineRule="exact"/>
        <w:rPr>
          <w:rFonts w:hint="eastAsia" w:asciiTheme="minorEastAsia" w:hAnsiTheme="minorEastAsia" w:eastAsiaTheme="minorEastAsia" w:cstheme="minorEastAsia"/>
          <w:b/>
          <w:color w:val="auto"/>
          <w:sz w:val="24"/>
          <w:highlight w:val="none"/>
        </w:rPr>
      </w:pPr>
    </w:p>
    <w:p w14:paraId="7E1C3513">
      <w:pPr>
        <w:spacing w:line="360" w:lineRule="exact"/>
        <w:rPr>
          <w:rFonts w:hint="eastAsia" w:asciiTheme="minorEastAsia" w:hAnsiTheme="minorEastAsia" w:eastAsiaTheme="minorEastAsia" w:cstheme="minorEastAsia"/>
          <w:b/>
          <w:color w:val="auto"/>
          <w:sz w:val="24"/>
          <w:highlight w:val="none"/>
        </w:rPr>
      </w:pPr>
    </w:p>
    <w:p w14:paraId="1B2D1C5B">
      <w:pPr>
        <w:spacing w:line="360" w:lineRule="exact"/>
        <w:rPr>
          <w:rFonts w:hint="eastAsia" w:asciiTheme="minorEastAsia" w:hAnsiTheme="minorEastAsia" w:eastAsiaTheme="minorEastAsia" w:cstheme="minorEastAsia"/>
          <w:b/>
          <w:color w:val="auto"/>
          <w:sz w:val="24"/>
          <w:highlight w:val="none"/>
        </w:rPr>
      </w:pPr>
    </w:p>
    <w:p w14:paraId="2CA58BAD">
      <w:pPr>
        <w:spacing w:line="360" w:lineRule="exact"/>
        <w:rPr>
          <w:rFonts w:hint="eastAsia" w:asciiTheme="minorEastAsia" w:hAnsiTheme="minorEastAsia" w:eastAsiaTheme="minorEastAsia" w:cstheme="minorEastAsia"/>
          <w:b/>
          <w:color w:val="auto"/>
          <w:sz w:val="24"/>
          <w:highlight w:val="none"/>
        </w:rPr>
      </w:pPr>
    </w:p>
    <w:p w14:paraId="65EC43A9">
      <w:pPr>
        <w:jc w:val="center"/>
        <w:rPr>
          <w:rFonts w:hint="eastAsia" w:asciiTheme="minorEastAsia" w:hAnsiTheme="minorEastAsia" w:eastAsiaTheme="minorEastAsia" w:cstheme="minorEastAsia"/>
          <w:color w:val="auto"/>
          <w:sz w:val="32"/>
          <w:szCs w:val="32"/>
          <w:highlight w:val="none"/>
        </w:rPr>
      </w:pPr>
    </w:p>
    <w:p w14:paraId="33ECA61A">
      <w:pPr>
        <w:jc w:val="center"/>
        <w:rPr>
          <w:rFonts w:hint="eastAsia" w:asciiTheme="minorEastAsia" w:hAnsiTheme="minorEastAsia" w:eastAsiaTheme="minorEastAsia" w:cstheme="minorEastAsia"/>
          <w:color w:val="auto"/>
          <w:sz w:val="32"/>
          <w:szCs w:val="32"/>
          <w:highlight w:val="none"/>
        </w:rPr>
      </w:pPr>
    </w:p>
    <w:p w14:paraId="18AD0904">
      <w:pPr>
        <w:jc w:val="center"/>
        <w:rPr>
          <w:rFonts w:hint="eastAsia" w:asciiTheme="minorEastAsia" w:hAnsiTheme="minorEastAsia" w:eastAsiaTheme="minorEastAsia" w:cstheme="minorEastAsia"/>
          <w:color w:val="auto"/>
          <w:sz w:val="32"/>
          <w:szCs w:val="32"/>
          <w:highlight w:val="none"/>
        </w:rPr>
      </w:pPr>
    </w:p>
    <w:p w14:paraId="413FA290">
      <w:pPr>
        <w:jc w:val="center"/>
        <w:rPr>
          <w:rFonts w:hint="eastAsia" w:asciiTheme="minorEastAsia" w:hAnsiTheme="minorEastAsia" w:eastAsiaTheme="minorEastAsia" w:cstheme="minorEastAsia"/>
          <w:color w:val="auto"/>
          <w:sz w:val="32"/>
          <w:szCs w:val="32"/>
          <w:highlight w:val="none"/>
        </w:rPr>
      </w:pPr>
    </w:p>
    <w:p w14:paraId="414C4C6C">
      <w:pPr>
        <w:jc w:val="center"/>
        <w:rPr>
          <w:rFonts w:hint="eastAsia" w:asciiTheme="minorEastAsia" w:hAnsiTheme="minorEastAsia" w:eastAsiaTheme="minorEastAsia" w:cstheme="minorEastAsia"/>
          <w:color w:val="auto"/>
          <w:sz w:val="32"/>
          <w:szCs w:val="32"/>
          <w:highlight w:val="none"/>
        </w:rPr>
      </w:pPr>
    </w:p>
    <w:p w14:paraId="271CAA78">
      <w:pPr>
        <w:rPr>
          <w:rFonts w:hint="eastAsia" w:asciiTheme="minorEastAsia" w:hAnsiTheme="minorEastAsia" w:eastAsiaTheme="minorEastAsia" w:cstheme="minorEastAsia"/>
          <w:color w:val="auto"/>
          <w:sz w:val="32"/>
          <w:szCs w:val="32"/>
          <w:highlight w:val="none"/>
        </w:rPr>
      </w:pPr>
    </w:p>
    <w:p w14:paraId="65975AD3">
      <w:pPr>
        <w:jc w:val="center"/>
        <w:rPr>
          <w:rFonts w:hint="eastAsia" w:asciiTheme="minorEastAsia" w:hAnsiTheme="minorEastAsia" w:eastAsiaTheme="minorEastAsia" w:cstheme="minorEastAsia"/>
          <w:b/>
          <w:color w:val="auto"/>
          <w:sz w:val="32"/>
          <w:szCs w:val="32"/>
          <w:highlight w:val="none"/>
        </w:rPr>
        <w:sectPr>
          <w:footerReference r:id="rId5" w:type="default"/>
          <w:pgSz w:w="11906" w:h="16838"/>
          <w:pgMar w:top="1440" w:right="1179" w:bottom="1440" w:left="1179" w:header="851" w:footer="992" w:gutter="0"/>
          <w:pgNumType w:start="1"/>
          <w:cols w:space="720" w:num="1"/>
          <w:docGrid w:type="lines" w:linePitch="312" w:charSpace="0"/>
        </w:sectPr>
      </w:pPr>
    </w:p>
    <w:p w14:paraId="3D2BF7EC">
      <w:pPr>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 w:val="32"/>
          <w:szCs w:val="32"/>
          <w:highlight w:val="none"/>
        </w:rPr>
        <w:t>第一章  磋商邀请</w:t>
      </w:r>
    </w:p>
    <w:p w14:paraId="5AD2DB92">
      <w:pPr>
        <w:adjustRightInd w:val="0"/>
        <w:snapToGrid w:val="0"/>
        <w:spacing w:line="360" w:lineRule="auto"/>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中采联合招标有限公司</w:t>
      </w:r>
      <w:r>
        <w:rPr>
          <w:rFonts w:hint="eastAsia" w:asciiTheme="minorEastAsia" w:hAnsiTheme="minorEastAsia" w:eastAsiaTheme="minorEastAsia" w:cstheme="minorEastAsia"/>
          <w:color w:val="auto"/>
          <w:szCs w:val="21"/>
          <w:highlight w:val="none"/>
        </w:rPr>
        <w:t>受</w:t>
      </w:r>
      <w:r>
        <w:rPr>
          <w:rFonts w:hint="eastAsia" w:asciiTheme="minorEastAsia" w:hAnsiTheme="minorEastAsia" w:eastAsiaTheme="minorEastAsia" w:cstheme="minorEastAsia"/>
          <w:color w:val="auto"/>
          <w:szCs w:val="21"/>
          <w:highlight w:val="none"/>
          <w:u w:val="single"/>
          <w:lang w:eastAsia="zh-CN"/>
        </w:rPr>
        <w:t>长沙金霞新城城市发展有限公司</w:t>
      </w:r>
      <w:r>
        <w:rPr>
          <w:rFonts w:hint="eastAsia" w:asciiTheme="minorEastAsia" w:hAnsiTheme="minorEastAsia" w:eastAsiaTheme="minorEastAsia" w:cstheme="minorEastAsia"/>
          <w:color w:val="auto"/>
          <w:szCs w:val="21"/>
          <w:highlight w:val="none"/>
        </w:rPr>
        <w:t>的委托，对</w:t>
      </w:r>
      <w:r>
        <w:rPr>
          <w:rFonts w:hint="eastAsia" w:asciiTheme="minorEastAsia" w:hAnsiTheme="minorEastAsia" w:eastAsiaTheme="minorEastAsia" w:cstheme="minorEastAsia"/>
          <w:color w:val="auto"/>
          <w:szCs w:val="21"/>
          <w:highlight w:val="none"/>
          <w:u w:val="single"/>
          <w:lang w:eastAsia="zh-CN"/>
        </w:rPr>
        <w:t>园区土方调配总体规划及2025年建设项目土方平衡设计专题研究项目</w:t>
      </w:r>
      <w:r>
        <w:rPr>
          <w:rFonts w:hint="eastAsia" w:asciiTheme="minorEastAsia" w:hAnsiTheme="minorEastAsia" w:eastAsiaTheme="minorEastAsia" w:cstheme="minorEastAsia"/>
          <w:color w:val="auto"/>
          <w:szCs w:val="21"/>
          <w:highlight w:val="none"/>
        </w:rPr>
        <w:t>进行竞争性磋商采购，现采用发布公告方式，邀请符合资格条件的供应商参与竞争性磋商采购活动。</w:t>
      </w:r>
    </w:p>
    <w:p w14:paraId="663E4AC6">
      <w:pPr>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一、采购项目基本概况</w:t>
      </w:r>
    </w:p>
    <w:p w14:paraId="7EC78CDB">
      <w:pPr>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1、采购项目名称：</w:t>
      </w:r>
      <w:r>
        <w:rPr>
          <w:rFonts w:hint="eastAsia" w:asciiTheme="minorEastAsia" w:hAnsiTheme="minorEastAsia" w:eastAsiaTheme="minorEastAsia" w:cstheme="minorEastAsia"/>
          <w:color w:val="auto"/>
          <w:szCs w:val="21"/>
          <w:highlight w:val="none"/>
          <w:lang w:eastAsia="zh-CN"/>
        </w:rPr>
        <w:t>园区土方调配总体规划及2025年建设项目土方平衡设计专题研究项目</w:t>
      </w:r>
    </w:p>
    <w:p w14:paraId="4873A239">
      <w:pPr>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2、采 购 编 号：</w:t>
      </w:r>
      <w:r>
        <w:rPr>
          <w:rFonts w:hint="eastAsia" w:asciiTheme="minorEastAsia" w:hAnsiTheme="minorEastAsia" w:eastAsiaTheme="minorEastAsia" w:cstheme="minorEastAsia"/>
          <w:color w:val="auto"/>
          <w:szCs w:val="21"/>
          <w:highlight w:val="none"/>
          <w:lang w:eastAsia="zh-CN"/>
        </w:rPr>
        <w:t>KFCG-F202504180004</w:t>
      </w:r>
    </w:p>
    <w:p w14:paraId="17233781">
      <w:pPr>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3、委托代理编号：</w:t>
      </w:r>
      <w:r>
        <w:rPr>
          <w:rFonts w:hint="eastAsia" w:asciiTheme="minorEastAsia" w:hAnsiTheme="minorEastAsia" w:eastAsiaTheme="minorEastAsia" w:cstheme="minorEastAsia"/>
          <w:color w:val="auto"/>
          <w:szCs w:val="21"/>
          <w:highlight w:val="none"/>
          <w:lang w:eastAsia="zh-CN"/>
        </w:rPr>
        <w:t>ZCZB-CG(F)-2025016</w:t>
      </w:r>
    </w:p>
    <w:p w14:paraId="3D151EB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4、采购项目标的、数量及简要规格描述或项目基本概况介绍：详见磋商文件采购需求。</w:t>
      </w:r>
    </w:p>
    <w:p w14:paraId="6E472312">
      <w:pPr>
        <w:adjustRightInd w:val="0"/>
        <w:snapToGrid w:val="0"/>
        <w:spacing w:line="360" w:lineRule="auto"/>
        <w:outlineLvl w:val="0"/>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color w:val="auto"/>
          <w:szCs w:val="21"/>
          <w:highlight w:val="none"/>
        </w:rPr>
        <w:t>二、采购项目预算：</w:t>
      </w:r>
      <w:r>
        <w:rPr>
          <w:rFonts w:hint="eastAsia" w:asciiTheme="minorEastAsia" w:hAnsiTheme="minorEastAsia" w:eastAsiaTheme="minorEastAsia" w:cstheme="minorEastAsia"/>
          <w:bCs/>
          <w:color w:val="auto"/>
          <w:szCs w:val="21"/>
          <w:highlight w:val="none"/>
          <w:lang w:eastAsia="zh-CN"/>
        </w:rPr>
        <w:t>744000元</w:t>
      </w:r>
    </w:p>
    <w:p w14:paraId="3A196146">
      <w:pPr>
        <w:adjustRightInd w:val="0"/>
        <w:snapToGrid w:val="0"/>
        <w:spacing w:line="360" w:lineRule="auto"/>
        <w:ind w:firstLine="422" w:firstLineChars="200"/>
        <w:outlineLvl w:val="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color w:val="auto"/>
          <w:szCs w:val="21"/>
          <w:highlight w:val="none"/>
        </w:rPr>
        <w:t>项目最高限价：</w:t>
      </w:r>
      <w:r>
        <w:rPr>
          <w:rFonts w:hint="eastAsia" w:asciiTheme="minorEastAsia" w:hAnsiTheme="minorEastAsia" w:eastAsiaTheme="minorEastAsia" w:cstheme="minorEastAsia"/>
          <w:bCs/>
          <w:color w:val="auto"/>
          <w:szCs w:val="21"/>
          <w:highlight w:val="none"/>
          <w:lang w:eastAsia="zh-CN"/>
        </w:rPr>
        <w:t>744000元</w:t>
      </w:r>
    </w:p>
    <w:p w14:paraId="7AB59E75">
      <w:pPr>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三、供应商资格条件：</w:t>
      </w:r>
    </w:p>
    <w:p w14:paraId="248CDB2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1、基本资格条件：供应商应符合《中华人民共和国政府采购法》第二十二条第一款规定的供应商条件，并提供以下资料：</w:t>
      </w:r>
    </w:p>
    <w:p w14:paraId="4AC02954">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人提交企业法人营业执照副本复印件(或者法人登记证书）（供应商具有实行了“三证合一”或“五证合一”登记制度改革的新证，视同为持有工商营业执照、组织机构代码证，符合基本资格条件的相关条款。供应商如是“三证合一”或“五证合一”，请自行说明）；</w:t>
      </w:r>
    </w:p>
    <w:p w14:paraId="48FE6444">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宋体" w:hAnsi="宋体" w:cs="宋体"/>
          <w:color w:val="auto"/>
          <w:szCs w:val="21"/>
          <w:highlight w:val="none"/>
        </w:rPr>
        <w:t>提交《湖南省政府采购供应商资格承诺函》；</w:t>
      </w:r>
    </w:p>
    <w:p w14:paraId="62595BFE">
      <w:pPr>
        <w:adjustRightInd w:val="0"/>
        <w:snapToGrid w:val="0"/>
        <w:spacing w:line="360" w:lineRule="auto"/>
        <w:rPr>
          <w:rFonts w:hint="eastAsia" w:ascii="宋体" w:hAnsi="宋体" w:cs="宋体"/>
          <w:color w:val="auto"/>
          <w:szCs w:val="21"/>
          <w:highlight w:val="none"/>
        </w:rPr>
      </w:pPr>
      <w:bookmarkStart w:id="1" w:name="OLE_LINK11"/>
      <w:r>
        <w:rPr>
          <w:rFonts w:hint="eastAsia" w:asciiTheme="minorEastAsia" w:hAnsiTheme="minorEastAsia" w:eastAsiaTheme="minorEastAsia" w:cstheme="minorEastAsia"/>
          <w:color w:val="auto"/>
          <w:szCs w:val="21"/>
          <w:highlight w:val="none"/>
        </w:rPr>
        <w:t>（3）</w:t>
      </w:r>
      <w:bookmarkStart w:id="2" w:name="OLE_LINK18"/>
      <w:r>
        <w:rPr>
          <w:rFonts w:hint="eastAsia" w:ascii="宋体" w:hAnsi="宋体" w:cs="宋体"/>
          <w:color w:val="auto"/>
          <w:szCs w:val="21"/>
          <w:highlight w:val="none"/>
        </w:rPr>
        <w:t>法人提交法定代表人身份证明原件或者法定代表人授权委托书原件及提供被授权人在投标单位近三个月（2025年01月-2025年03月）</w:t>
      </w:r>
      <w:r>
        <w:rPr>
          <w:rFonts w:hint="eastAsia" w:ascii="宋体" w:hAnsi="宋体" w:cs="宋体"/>
          <w:color w:val="auto"/>
          <w:szCs w:val="21"/>
          <w:highlight w:val="none"/>
          <w:lang w:val="en-US" w:eastAsia="zh-CN"/>
        </w:rPr>
        <w:t>其中一个月的</w:t>
      </w:r>
      <w:r>
        <w:rPr>
          <w:rFonts w:hint="eastAsia" w:ascii="宋体" w:hAnsi="宋体" w:cs="宋体"/>
          <w:color w:val="auto"/>
          <w:szCs w:val="21"/>
          <w:highlight w:val="none"/>
        </w:rPr>
        <w:t>社保证明并附法定代表人身份证明原件；自然人提交身份证复印件；</w:t>
      </w:r>
      <w:bookmarkEnd w:id="2"/>
    </w:p>
    <w:bookmarkEnd w:id="1"/>
    <w:p w14:paraId="192B109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（4）其他说明。(非法人组织参与投标需提供的相关证明材料)。</w:t>
      </w:r>
    </w:p>
    <w:p w14:paraId="1437056D">
      <w:pPr>
        <w:adjustRightInd w:val="0"/>
        <w:snapToGrid w:val="0"/>
        <w:spacing w:line="360" w:lineRule="auto"/>
        <w:rPr>
          <w:rFonts w:hint="eastAsia" w:ascii="宋体" w:hAnsi="宋体"/>
          <w:color w:val="auto"/>
          <w:kern w:val="0"/>
          <w:sz w:val="22"/>
          <w:szCs w:val="20"/>
          <w:highlight w:val="none"/>
        </w:rPr>
      </w:pPr>
      <w:r>
        <w:rPr>
          <w:rFonts w:hint="eastAsia" w:asciiTheme="minorEastAsia" w:hAnsiTheme="minorEastAsia" w:eastAsiaTheme="minorEastAsia" w:cstheme="minorEastAsia"/>
          <w:color w:val="auto"/>
          <w:szCs w:val="21"/>
          <w:highlight w:val="none"/>
        </w:rPr>
        <w:t>2、供应商特定资格条件：</w:t>
      </w:r>
      <w:bookmarkStart w:id="3" w:name="OLE_LINK16"/>
      <w:bookmarkStart w:id="4" w:name="OLE_LINK4"/>
      <w:r>
        <w:rPr>
          <w:rFonts w:hint="eastAsia" w:ascii="宋体"/>
          <w:color w:val="auto"/>
          <w:kern w:val="0"/>
          <w:sz w:val="21"/>
          <w:szCs w:val="21"/>
          <w:highlight w:val="none"/>
          <w:lang w:val="en-US" w:eastAsia="zh-CN"/>
        </w:rPr>
        <w:t>无</w:t>
      </w:r>
    </w:p>
    <w:bookmarkEnd w:id="3"/>
    <w:bookmarkEnd w:id="4"/>
    <w:p w14:paraId="63288EA7">
      <w:pPr>
        <w:adjustRightInd w:val="0"/>
        <w:snapToGrid w:val="0"/>
        <w:spacing w:line="360" w:lineRule="auto"/>
        <w:ind w:firstLine="0" w:firstLineChars="0"/>
        <w:rPr>
          <w:rFonts w:hint="eastAsia" w:ascii="宋体" w:hAnsi="宋体"/>
          <w:color w:val="auto"/>
          <w:szCs w:val="21"/>
          <w:highlight w:val="none"/>
        </w:rPr>
      </w:pPr>
      <w:r>
        <w:rPr>
          <w:rFonts w:hint="eastAsia" w:asciiTheme="minorEastAsia" w:hAnsiTheme="minorEastAsia" w:eastAsiaTheme="minorEastAsia" w:cstheme="minorEastAsia"/>
          <w:color w:val="auto"/>
          <w:szCs w:val="21"/>
          <w:highlight w:val="none"/>
        </w:rPr>
        <w:t>3、本项目</w:t>
      </w:r>
      <w:r>
        <w:rPr>
          <w:rFonts w:hint="eastAsia" w:asciiTheme="minorEastAsia" w:hAnsiTheme="minorEastAsia" w:eastAsiaTheme="minorEastAsia" w:cstheme="minorEastAsia"/>
          <w:color w:val="auto"/>
          <w:szCs w:val="21"/>
          <w:highlight w:val="none"/>
          <w:lang w:val="en-US" w:eastAsia="zh-CN"/>
        </w:rPr>
        <w:t>不</w:t>
      </w:r>
      <w:r>
        <w:rPr>
          <w:rFonts w:hint="eastAsia" w:asciiTheme="minorEastAsia" w:hAnsiTheme="minorEastAsia" w:eastAsiaTheme="minorEastAsia" w:cstheme="minorEastAsia"/>
          <w:color w:val="auto"/>
          <w:szCs w:val="21"/>
          <w:highlight w:val="none"/>
        </w:rPr>
        <w:t>接受联合体投标。</w:t>
      </w:r>
      <w:bookmarkStart w:id="5" w:name="OLE_LINK5"/>
    </w:p>
    <w:bookmarkEnd w:id="5"/>
    <w:p w14:paraId="4451EABC">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四、获取磋商文件的时间、地点、方式</w:t>
      </w:r>
    </w:p>
    <w:p w14:paraId="15A6F93A">
      <w:pPr>
        <w:adjustRightInd w:val="0"/>
        <w:snapToGrid w:val="0"/>
        <w:spacing w:line="360" w:lineRule="auto"/>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1、凡有意参加磋商采购活动的，请于</w:t>
      </w:r>
      <w:r>
        <w:rPr>
          <w:rFonts w:hint="eastAsia" w:asciiTheme="minorEastAsia" w:hAnsiTheme="minorEastAsia" w:eastAsiaTheme="minorEastAsia" w:cstheme="minorEastAsia"/>
          <w:color w:val="auto"/>
          <w:szCs w:val="21"/>
          <w:highlight w:val="none"/>
          <w:u w:val="single"/>
          <w:lang w:eastAsia="zh-CN"/>
        </w:rPr>
        <w:t>2025年4月</w:t>
      </w:r>
      <w:r>
        <w:rPr>
          <w:rFonts w:hint="eastAsia" w:asciiTheme="minorEastAsia" w:hAnsiTheme="minorEastAsia" w:eastAsiaTheme="minorEastAsia" w:cstheme="minorEastAsia"/>
          <w:color w:val="auto"/>
          <w:szCs w:val="21"/>
          <w:highlight w:val="none"/>
          <w:u w:val="single"/>
          <w:lang w:val="en-US" w:eastAsia="zh-CN"/>
        </w:rPr>
        <w:t>18</w:t>
      </w:r>
      <w:r>
        <w:rPr>
          <w:rFonts w:hint="eastAsia" w:asciiTheme="minorEastAsia" w:hAnsiTheme="minorEastAsia" w:eastAsiaTheme="minorEastAsia" w:cstheme="minorEastAsia"/>
          <w:color w:val="auto"/>
          <w:szCs w:val="21"/>
          <w:highlight w:val="none"/>
          <w:u w:val="single"/>
          <w:lang w:eastAsia="zh-CN"/>
        </w:rPr>
        <w:t>日</w:t>
      </w:r>
      <w:r>
        <w:rPr>
          <w:rFonts w:hint="eastAsia" w:asciiTheme="minorEastAsia" w:hAnsiTheme="minorEastAsia" w:eastAsiaTheme="minorEastAsia" w:cstheme="minorEastAsia"/>
          <w:color w:val="auto"/>
          <w:szCs w:val="21"/>
          <w:highlight w:val="none"/>
        </w:rPr>
        <w:t xml:space="preserve">起至 </w:t>
      </w:r>
      <w:r>
        <w:rPr>
          <w:rFonts w:hint="eastAsia" w:asciiTheme="minorEastAsia" w:hAnsiTheme="minorEastAsia" w:eastAsiaTheme="minorEastAsia" w:cstheme="minorEastAsia"/>
          <w:color w:val="auto"/>
          <w:szCs w:val="21"/>
          <w:highlight w:val="none"/>
          <w:u w:val="single"/>
          <w:lang w:eastAsia="zh-CN"/>
        </w:rPr>
        <w:t>2025年4月</w:t>
      </w:r>
      <w:r>
        <w:rPr>
          <w:rFonts w:hint="eastAsia" w:asciiTheme="minorEastAsia" w:hAnsiTheme="minorEastAsia" w:eastAsiaTheme="minorEastAsia" w:cstheme="minorEastAsia"/>
          <w:color w:val="auto"/>
          <w:szCs w:val="21"/>
          <w:highlight w:val="none"/>
          <w:u w:val="single"/>
          <w:lang w:val="en-US" w:eastAsia="zh-CN"/>
        </w:rPr>
        <w:t>25</w:t>
      </w:r>
      <w:r>
        <w:rPr>
          <w:rFonts w:hint="eastAsia" w:asciiTheme="minorEastAsia" w:hAnsiTheme="minorEastAsia" w:eastAsiaTheme="minorEastAsia" w:cstheme="minorEastAsia"/>
          <w:color w:val="auto"/>
          <w:szCs w:val="21"/>
          <w:highlight w:val="none"/>
          <w:u w:val="single"/>
          <w:lang w:eastAsia="zh-CN"/>
        </w:rPr>
        <w:t>日</w:t>
      </w:r>
      <w:r>
        <w:rPr>
          <w:rFonts w:hint="eastAsia" w:asciiTheme="minorEastAsia" w:hAnsiTheme="minorEastAsia" w:eastAsiaTheme="minorEastAsia" w:cstheme="minorEastAsia"/>
          <w:color w:val="auto"/>
          <w:szCs w:val="21"/>
          <w:highlight w:val="none"/>
        </w:rPr>
        <w:t>(节假日除外)，每日上午 9：00 至 12：00 、下午 14：00 至 17：00 (北京时间)，</w:t>
      </w:r>
      <w:r>
        <w:rPr>
          <w:rFonts w:hint="eastAsia" w:asciiTheme="minorEastAsia" w:hAnsiTheme="minorEastAsia" w:eastAsiaTheme="minorEastAsia" w:cstheme="minorEastAsia"/>
          <w:b/>
          <w:bCs/>
          <w:color w:val="auto"/>
          <w:szCs w:val="21"/>
          <w:highlight w:val="none"/>
        </w:rPr>
        <w:t>持营业执照复印件、法定代表人身份证明或授权委托书(附法定代表人身份证明)、个人身份证</w:t>
      </w:r>
      <w:r>
        <w:rPr>
          <w:rFonts w:hint="eastAsia" w:asciiTheme="minorEastAsia" w:hAnsiTheme="minorEastAsia" w:eastAsiaTheme="minorEastAsia" w:cstheme="minorEastAsia"/>
          <w:color w:val="auto"/>
          <w:szCs w:val="21"/>
          <w:highlight w:val="none"/>
        </w:rPr>
        <w:t>到</w:t>
      </w:r>
      <w:r>
        <w:rPr>
          <w:rFonts w:hint="eastAsia" w:asciiTheme="minorEastAsia" w:hAnsiTheme="minorEastAsia" w:eastAsiaTheme="minorEastAsia" w:cstheme="minorEastAsia"/>
          <w:color w:val="auto"/>
          <w:szCs w:val="21"/>
          <w:highlight w:val="none"/>
          <w:u w:val="single"/>
        </w:rPr>
        <w:t>长沙市开福区芙蓉中路一段88号天健壹平方英里H栋24楼</w:t>
      </w:r>
      <w:r>
        <w:rPr>
          <w:rFonts w:hint="eastAsia" w:asciiTheme="minorEastAsia" w:hAnsiTheme="minorEastAsia" w:eastAsiaTheme="minorEastAsia" w:cstheme="minorEastAsia"/>
          <w:color w:val="auto"/>
          <w:szCs w:val="21"/>
          <w:highlight w:val="none"/>
        </w:rPr>
        <w:t>获取磋商文件。</w:t>
      </w:r>
      <w:r>
        <w:rPr>
          <w:rFonts w:hint="eastAsia" w:asciiTheme="minorEastAsia" w:hAnsiTheme="minorEastAsia" w:eastAsiaTheme="minorEastAsia" w:cstheme="minorEastAsia"/>
          <w:b/>
          <w:bCs/>
          <w:color w:val="auto"/>
          <w:szCs w:val="21"/>
          <w:highlight w:val="none"/>
          <w:lang w:val="en-US" w:eastAsia="zh-CN"/>
        </w:rPr>
        <w:t>未按此要求获取磋商文件的供应商提交的响应文件将被拒收。</w:t>
      </w:r>
    </w:p>
    <w:p w14:paraId="41B3F21F">
      <w:pPr>
        <w:adjustRightInd w:val="0"/>
        <w:snapToGrid w:val="0"/>
        <w:spacing w:line="360" w:lineRule="auto"/>
        <w:jc w:val="left"/>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2、磋商文件每份人民币0元。</w:t>
      </w:r>
    </w:p>
    <w:p w14:paraId="2F5C771D">
      <w:pPr>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五、响应文件提交的截止时间、开启时间及地点</w:t>
      </w:r>
    </w:p>
    <w:p w14:paraId="095263F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1、提交首次响应文件的截止时间为</w:t>
      </w:r>
      <w:r>
        <w:rPr>
          <w:rFonts w:hint="eastAsia" w:asciiTheme="minorEastAsia" w:hAnsiTheme="minorEastAsia" w:eastAsiaTheme="minorEastAsia" w:cstheme="minorEastAsia"/>
          <w:color w:val="auto"/>
          <w:szCs w:val="21"/>
          <w:highlight w:val="none"/>
          <w:u w:val="single"/>
          <w:lang w:eastAsia="zh-CN"/>
        </w:rPr>
        <w:t>2025年4月</w:t>
      </w:r>
      <w:r>
        <w:rPr>
          <w:rFonts w:hint="eastAsia" w:asciiTheme="minorEastAsia" w:hAnsiTheme="minorEastAsia" w:eastAsiaTheme="minorEastAsia" w:cstheme="minorEastAsia"/>
          <w:color w:val="auto"/>
          <w:szCs w:val="21"/>
          <w:highlight w:val="none"/>
          <w:u w:val="single"/>
          <w:lang w:val="en-US" w:eastAsia="zh-CN"/>
        </w:rPr>
        <w:t>29</w:t>
      </w:r>
      <w:r>
        <w:rPr>
          <w:rFonts w:hint="eastAsia" w:asciiTheme="minorEastAsia" w:hAnsiTheme="minorEastAsia" w:eastAsiaTheme="minorEastAsia" w:cstheme="minorEastAsia"/>
          <w:color w:val="auto"/>
          <w:szCs w:val="21"/>
          <w:highlight w:val="none"/>
          <w:u w:val="single"/>
          <w:lang w:eastAsia="zh-CN"/>
        </w:rPr>
        <w:t>日</w:t>
      </w:r>
      <w:r>
        <w:rPr>
          <w:rFonts w:hint="eastAsia" w:asciiTheme="minorEastAsia" w:hAnsiTheme="minorEastAsia" w:eastAsiaTheme="minorEastAsia" w:cstheme="minorEastAsia"/>
          <w:color w:val="auto"/>
          <w:szCs w:val="21"/>
          <w:highlight w:val="none"/>
          <w:u w:val="single"/>
        </w:rPr>
        <w:t>14</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lang w:val="en-US" w:eastAsia="zh-CN"/>
        </w:rPr>
        <w:t>0</w:t>
      </w:r>
      <w:r>
        <w:rPr>
          <w:rFonts w:hint="eastAsia" w:asciiTheme="minorEastAsia" w:hAnsiTheme="minorEastAsia" w:eastAsiaTheme="minorEastAsia" w:cstheme="minorEastAsia"/>
          <w:color w:val="auto"/>
          <w:szCs w:val="21"/>
          <w:highlight w:val="none"/>
          <w:u w:val="single"/>
        </w:rPr>
        <w:t>0</w:t>
      </w:r>
      <w:r>
        <w:rPr>
          <w:rFonts w:hint="eastAsia" w:asciiTheme="minorEastAsia" w:hAnsiTheme="minorEastAsia" w:eastAsiaTheme="minorEastAsia" w:cstheme="minorEastAsia"/>
          <w:color w:val="auto"/>
          <w:szCs w:val="21"/>
          <w:highlight w:val="none"/>
        </w:rPr>
        <w:t>分（北京时间），地点为</w:t>
      </w:r>
      <w:r>
        <w:rPr>
          <w:rFonts w:hint="eastAsia" w:asciiTheme="minorEastAsia" w:hAnsiTheme="minorEastAsia" w:eastAsiaTheme="minorEastAsia" w:cstheme="minorEastAsia"/>
          <w:color w:val="auto"/>
          <w:szCs w:val="21"/>
          <w:highlight w:val="none"/>
          <w:u w:val="single"/>
        </w:rPr>
        <w:t>长沙市开福区芙蓉中路一段88号天健壹平方英里H栋24楼</w:t>
      </w:r>
      <w:r>
        <w:rPr>
          <w:rFonts w:hint="eastAsia" w:asciiTheme="minorEastAsia" w:hAnsiTheme="minorEastAsia" w:eastAsiaTheme="minorEastAsia" w:cstheme="minorEastAsia"/>
          <w:color w:val="auto"/>
          <w:szCs w:val="21"/>
          <w:highlight w:val="none"/>
        </w:rPr>
        <w:t>。在截止时间后送达的响应文件为无效文件，采购人、采购代理机构或者磋商小组应当拒收。</w:t>
      </w:r>
    </w:p>
    <w:p w14:paraId="38D09DD8">
      <w:pPr>
        <w:tabs>
          <w:tab w:val="left" w:pos="360"/>
        </w:tabs>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2、首次响应文件的开启时间及地点与提交首次响应文件的截止时间及地点为同一时间及地点。</w:t>
      </w:r>
    </w:p>
    <w:p w14:paraId="36442F07">
      <w:pPr>
        <w:spacing w:after="120"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kern w:val="0"/>
          <w:szCs w:val="21"/>
          <w:highlight w:val="none"/>
        </w:rPr>
        <w:t>注：</w:t>
      </w:r>
      <w:bookmarkStart w:id="6" w:name="OLE_LINK12"/>
      <w:r>
        <w:rPr>
          <w:rFonts w:hint="eastAsia" w:asciiTheme="minorEastAsia" w:hAnsiTheme="minorEastAsia" w:eastAsiaTheme="minorEastAsia" w:cstheme="minorEastAsia"/>
          <w:b/>
          <w:bCs/>
          <w:color w:val="auto"/>
          <w:kern w:val="0"/>
          <w:szCs w:val="21"/>
          <w:highlight w:val="none"/>
        </w:rPr>
        <w:t>本项目为国有企业服务采购项目的非政府采购项目，现参照政府采购程序进行采购，由采购人负责项目的监管及相关问题的处理，采购人可根据项目实际情况确定商务条款、相关评审办法等。</w:t>
      </w:r>
      <w:bookmarkEnd w:id="6"/>
    </w:p>
    <w:p w14:paraId="70CCE4ED">
      <w:pPr>
        <w:tabs>
          <w:tab w:val="left" w:pos="360"/>
        </w:tabs>
        <w:adjustRightInd w:val="0"/>
        <w:snapToGrid w:val="0"/>
        <w:spacing w:line="360" w:lineRule="auto"/>
        <w:rPr>
          <w:rFonts w:hint="eastAsia" w:asciiTheme="minorEastAsia" w:hAnsiTheme="minorEastAsia" w:eastAsiaTheme="minorEastAsia" w:cstheme="minorEastAsia"/>
          <w:color w:val="auto"/>
          <w:szCs w:val="21"/>
          <w:highlight w:val="none"/>
        </w:rPr>
      </w:pPr>
    </w:p>
    <w:p w14:paraId="7F773993">
      <w:pPr>
        <w:adjustRightInd w:val="0"/>
        <w:snapToGrid w:val="0"/>
        <w:spacing w:line="360" w:lineRule="auto"/>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六、采购项目联系人姓名和电话</w:t>
      </w:r>
    </w:p>
    <w:p w14:paraId="1BE8C8BF">
      <w:pPr>
        <w:tabs>
          <w:tab w:val="left" w:pos="360"/>
        </w:tabs>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采 购 人：</w:t>
      </w:r>
      <w:r>
        <w:rPr>
          <w:rFonts w:hint="eastAsia" w:asciiTheme="minorEastAsia" w:hAnsiTheme="minorEastAsia" w:eastAsiaTheme="minorEastAsia" w:cstheme="minorEastAsia"/>
          <w:color w:val="auto"/>
          <w:szCs w:val="21"/>
          <w:highlight w:val="none"/>
          <w:lang w:eastAsia="zh-CN"/>
        </w:rPr>
        <w:t>长沙金霞新城城市发展有限公司</w:t>
      </w:r>
    </w:p>
    <w:p w14:paraId="4C6A031B">
      <w:pPr>
        <w:tabs>
          <w:tab w:val="left" w:pos="360"/>
        </w:tabs>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 系 人：</w:t>
      </w:r>
      <w:r>
        <w:rPr>
          <w:rFonts w:hint="eastAsia" w:ascii="宋体" w:hAnsi="宋体" w:cs="宋体"/>
          <w:color w:val="auto"/>
          <w:highlight w:val="none"/>
        </w:rPr>
        <w:t>程女士</w:t>
      </w:r>
    </w:p>
    <w:p w14:paraId="1A05F3BC">
      <w:pPr>
        <w:tabs>
          <w:tab w:val="left" w:pos="360"/>
        </w:tabs>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r>
        <w:rPr>
          <w:rFonts w:hint="eastAsia" w:ascii="宋体" w:hAnsi="宋体" w:cs="宋体"/>
          <w:color w:val="auto"/>
          <w:szCs w:val="21"/>
          <w:highlight w:val="none"/>
        </w:rPr>
        <w:t>0731-88311535</w:t>
      </w:r>
    </w:p>
    <w:p w14:paraId="71642D5D">
      <w:pPr>
        <w:pStyle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地    址：</w:t>
      </w:r>
      <w:r>
        <w:rPr>
          <w:rFonts w:hint="eastAsia" w:ascii="宋体" w:hAnsi="宋体" w:cs="宋体"/>
          <w:color w:val="auto"/>
          <w:highlight w:val="none"/>
        </w:rPr>
        <w:t>金霞保税电商大厦2楼</w:t>
      </w:r>
    </w:p>
    <w:p w14:paraId="2B2D4039">
      <w:pPr>
        <w:adjustRightInd w:val="0"/>
        <w:snapToGrid w:val="0"/>
        <w:spacing w:line="360" w:lineRule="auto"/>
        <w:ind w:firstLine="220" w:firstLineChars="200"/>
        <w:rPr>
          <w:rFonts w:hint="eastAsia" w:asciiTheme="minorEastAsia" w:hAnsiTheme="minorEastAsia" w:eastAsiaTheme="minorEastAsia" w:cstheme="minorEastAsia"/>
          <w:color w:val="auto"/>
          <w:sz w:val="11"/>
          <w:szCs w:val="11"/>
          <w:highlight w:val="none"/>
        </w:rPr>
      </w:pPr>
    </w:p>
    <w:p w14:paraId="020592D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采购代理机构：中采联合招标有限公司         </w:t>
      </w:r>
    </w:p>
    <w:p w14:paraId="2ADFFF0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 系 人：</w:t>
      </w:r>
      <w:bookmarkStart w:id="7" w:name="OLE_LINK1"/>
      <w:r>
        <w:rPr>
          <w:rFonts w:hint="eastAsia" w:asciiTheme="minorEastAsia" w:hAnsiTheme="minorEastAsia" w:eastAsiaTheme="minorEastAsia" w:cstheme="minorEastAsia"/>
          <w:color w:val="auto"/>
          <w:szCs w:val="21"/>
          <w:highlight w:val="none"/>
        </w:rPr>
        <w:t>彭笑、肖艳、鲁帆、陈素、漆泽仁、黎亮</w:t>
      </w:r>
      <w:bookmarkEnd w:id="7"/>
    </w:p>
    <w:p w14:paraId="6E487C99">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话：0731-85162085</w:t>
      </w:r>
    </w:p>
    <w:p w14:paraId="6DE0F97B">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bookmarkStart w:id="8" w:name="OLE_LINK3"/>
      <w:bookmarkStart w:id="9" w:name="OLE_LINK2"/>
      <w:r>
        <w:rPr>
          <w:rFonts w:hint="eastAsia" w:asciiTheme="minorEastAsia" w:hAnsiTheme="minorEastAsia" w:eastAsiaTheme="minorEastAsia" w:cstheme="minorEastAsia"/>
          <w:color w:val="auto"/>
          <w:szCs w:val="21"/>
          <w:highlight w:val="none"/>
        </w:rPr>
        <w:t>长沙市开福区芙蓉中路一段88号天健壹平方英里H栋24楼</w:t>
      </w:r>
      <w:bookmarkEnd w:id="8"/>
    </w:p>
    <w:bookmarkEnd w:id="9"/>
    <w:p w14:paraId="6ACFE648">
      <w:pPr>
        <w:adjustRightInd w:val="0"/>
        <w:snapToGrid w:val="0"/>
        <w:spacing w:line="360" w:lineRule="auto"/>
        <w:ind w:firstLine="200" w:firstLineChars="200"/>
        <w:rPr>
          <w:rFonts w:hint="eastAsia" w:asciiTheme="minorEastAsia" w:hAnsiTheme="minorEastAsia" w:eastAsiaTheme="minorEastAsia" w:cstheme="minorEastAsia"/>
          <w:bCs/>
          <w:color w:val="auto"/>
          <w:sz w:val="10"/>
          <w:szCs w:val="10"/>
          <w:highlight w:val="none"/>
        </w:rPr>
      </w:pPr>
    </w:p>
    <w:p w14:paraId="44C24913">
      <w:pPr>
        <w:pStyle w:val="30"/>
        <w:ind w:firstLine="422"/>
        <w:rPr>
          <w:rFonts w:hint="eastAsia" w:asciiTheme="minorEastAsia" w:hAnsiTheme="minorEastAsia" w:eastAsiaTheme="minorEastAsia" w:cstheme="minorEastAsia"/>
          <w:b/>
          <w:color w:val="auto"/>
          <w:szCs w:val="21"/>
          <w:highlight w:val="none"/>
        </w:rPr>
      </w:pPr>
    </w:p>
    <w:p w14:paraId="6C7A2D8C">
      <w:pPr>
        <w:pStyle w:val="30"/>
        <w:ind w:firstLine="422"/>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32"/>
          <w:szCs w:val="32"/>
          <w:highlight w:val="none"/>
        </w:rPr>
        <w:t>第二章 磋商须知</w:t>
      </w:r>
    </w:p>
    <w:p w14:paraId="26325749">
      <w:pPr>
        <w:pStyle w:val="1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磋商须知前附表</w:t>
      </w:r>
    </w:p>
    <w:p w14:paraId="744B5612">
      <w:pPr>
        <w:pStyle w:val="1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 请在方框□内划√选择，在“条款号”内限选一项。（本项目采用的条款用“</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eq \o\ac(□,√)</w:instrTex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t>”标示）</w:t>
      </w: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52"/>
        <w:gridCol w:w="1905"/>
        <w:gridCol w:w="5271"/>
      </w:tblGrid>
      <w:tr w14:paraId="758B4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tblHeader/>
          <w:jc w:val="center"/>
        </w:trPr>
        <w:tc>
          <w:tcPr>
            <w:tcW w:w="1852" w:type="dxa"/>
            <w:vAlign w:val="center"/>
          </w:tcPr>
          <w:p w14:paraId="0931E67B">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905" w:type="dxa"/>
            <w:vAlign w:val="center"/>
          </w:tcPr>
          <w:p w14:paraId="5A63AC90">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条款名称</w:t>
            </w:r>
          </w:p>
        </w:tc>
        <w:tc>
          <w:tcPr>
            <w:tcW w:w="5271" w:type="dxa"/>
            <w:vAlign w:val="center"/>
          </w:tcPr>
          <w:p w14:paraId="3CDFECC6">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编列内容规定</w:t>
            </w:r>
          </w:p>
        </w:tc>
      </w:tr>
      <w:tr w14:paraId="3B0F3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9028" w:type="dxa"/>
            <w:gridSpan w:val="3"/>
            <w:vAlign w:val="center"/>
          </w:tcPr>
          <w:p w14:paraId="7B3BAAAA">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一、说明</w:t>
            </w:r>
          </w:p>
        </w:tc>
      </w:tr>
      <w:tr w14:paraId="0A816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52B59B87">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第二章第1.1款</w:t>
            </w:r>
          </w:p>
        </w:tc>
        <w:tc>
          <w:tcPr>
            <w:tcW w:w="1905" w:type="dxa"/>
            <w:vAlign w:val="center"/>
          </w:tcPr>
          <w:p w14:paraId="1C1C64B5">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采购项目</w:t>
            </w:r>
          </w:p>
        </w:tc>
        <w:tc>
          <w:tcPr>
            <w:tcW w:w="5271" w:type="dxa"/>
            <w:vAlign w:val="center"/>
          </w:tcPr>
          <w:p w14:paraId="0850455B">
            <w:pPr>
              <w:adjustRightInd w:val="0"/>
              <w:snapToGrid w:val="0"/>
              <w:spacing w:line="360"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园区土方调配总体规划及2025年建设项目土方平衡设计专题研究项目</w:t>
            </w:r>
          </w:p>
        </w:tc>
      </w:tr>
      <w:tr w14:paraId="53F11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2051313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第二章第2.1款</w:t>
            </w:r>
          </w:p>
        </w:tc>
        <w:tc>
          <w:tcPr>
            <w:tcW w:w="1905" w:type="dxa"/>
            <w:vAlign w:val="center"/>
          </w:tcPr>
          <w:p w14:paraId="65DB094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w:t>
            </w:r>
          </w:p>
        </w:tc>
        <w:tc>
          <w:tcPr>
            <w:tcW w:w="5271" w:type="dxa"/>
            <w:vAlign w:val="center"/>
          </w:tcPr>
          <w:p w14:paraId="1EFF4534">
            <w:pPr>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lang w:eastAsia="zh-CN"/>
              </w:rPr>
              <w:t>长沙金霞新城城市发展有限公司</w:t>
            </w:r>
          </w:p>
          <w:p w14:paraId="420EAB04">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宋体" w:hAnsi="宋体" w:cs="宋体"/>
                <w:color w:val="auto"/>
                <w:highlight w:val="none"/>
              </w:rPr>
              <w:t>金霞保税电商大厦2楼</w:t>
            </w:r>
          </w:p>
          <w:p w14:paraId="47C38B19">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宋体" w:hAnsi="宋体" w:cs="宋体"/>
                <w:color w:val="auto"/>
                <w:szCs w:val="21"/>
                <w:highlight w:val="none"/>
              </w:rPr>
              <w:t>0731-88311535</w:t>
            </w:r>
          </w:p>
          <w:p w14:paraId="33BC2556">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联系人：程女士</w:t>
            </w:r>
          </w:p>
        </w:tc>
      </w:tr>
      <w:tr w14:paraId="19859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627C9B9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第二章第2.2款</w:t>
            </w:r>
          </w:p>
        </w:tc>
        <w:tc>
          <w:tcPr>
            <w:tcW w:w="1905" w:type="dxa"/>
            <w:vAlign w:val="center"/>
          </w:tcPr>
          <w:p w14:paraId="616A278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采购代理机构</w:t>
            </w:r>
          </w:p>
        </w:tc>
        <w:tc>
          <w:tcPr>
            <w:tcW w:w="5271" w:type="dxa"/>
            <w:vAlign w:val="center"/>
          </w:tcPr>
          <w:p w14:paraId="407A616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名称：中采联合招标有限公司         </w:t>
            </w:r>
          </w:p>
          <w:p w14:paraId="31F832B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地址：长沙市开福区芙蓉中路一段88号天健壹平方英里H栋24楼</w:t>
            </w:r>
          </w:p>
          <w:p w14:paraId="19BF79F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电话：0731-85162085</w:t>
            </w:r>
          </w:p>
          <w:p w14:paraId="61B5E10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联系人：彭笑、肖艳、鲁帆、陈素、漆泽仁、黎亮</w:t>
            </w:r>
          </w:p>
        </w:tc>
      </w:tr>
      <w:tr w14:paraId="14C72B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52" w:type="dxa"/>
            <w:vAlign w:val="center"/>
          </w:tcPr>
          <w:p w14:paraId="35FE1C0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第二章第2.3款</w:t>
            </w:r>
          </w:p>
        </w:tc>
        <w:tc>
          <w:tcPr>
            <w:tcW w:w="1905" w:type="dxa"/>
            <w:vAlign w:val="center"/>
          </w:tcPr>
          <w:p w14:paraId="70855ABB">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供应商的</w:t>
            </w:r>
            <w:r>
              <w:rPr>
                <w:rFonts w:hint="eastAsia" w:asciiTheme="minorEastAsia" w:hAnsiTheme="minorEastAsia" w:eastAsiaTheme="minorEastAsia" w:cstheme="minorEastAsia"/>
                <w:color w:val="auto"/>
                <w:szCs w:val="21"/>
                <w:highlight w:val="none"/>
              </w:rPr>
              <w:t>邀请方式</w:t>
            </w:r>
          </w:p>
        </w:tc>
        <w:tc>
          <w:tcPr>
            <w:tcW w:w="5271" w:type="dxa"/>
            <w:vAlign w:val="center"/>
          </w:tcPr>
          <w:p w14:paraId="46F6A84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发布公告</w:t>
            </w:r>
          </w:p>
          <w:p w14:paraId="7FA183E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从省级以上财政部门建立的供应商库中随机抽取</w:t>
            </w:r>
          </w:p>
          <w:p w14:paraId="724D266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采购人和评审专家分别书面推荐的方式</w:t>
            </w:r>
          </w:p>
        </w:tc>
      </w:tr>
      <w:tr w14:paraId="082C75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2" w:hRule="atLeast"/>
          <w:jc w:val="center"/>
        </w:trPr>
        <w:tc>
          <w:tcPr>
            <w:tcW w:w="1852" w:type="dxa"/>
            <w:vAlign w:val="center"/>
          </w:tcPr>
          <w:p w14:paraId="37D66E1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第二章第3.1款</w:t>
            </w:r>
          </w:p>
        </w:tc>
        <w:tc>
          <w:tcPr>
            <w:tcW w:w="1905" w:type="dxa"/>
            <w:vAlign w:val="center"/>
          </w:tcPr>
          <w:p w14:paraId="38494443">
            <w:pPr>
              <w:adjustRightInd w:val="0"/>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供应商</w:t>
            </w:r>
            <w:r>
              <w:rPr>
                <w:rFonts w:hint="eastAsia" w:asciiTheme="minorEastAsia" w:hAnsiTheme="minorEastAsia" w:eastAsiaTheme="minorEastAsia" w:cstheme="minorEastAsia"/>
                <w:color w:val="auto"/>
                <w:szCs w:val="21"/>
                <w:highlight w:val="none"/>
              </w:rPr>
              <w:t>资格条件</w:t>
            </w:r>
          </w:p>
        </w:tc>
        <w:tc>
          <w:tcPr>
            <w:tcW w:w="5271" w:type="dxa"/>
            <w:vAlign w:val="center"/>
          </w:tcPr>
          <w:p w14:paraId="6DCCA01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1、基本资格条件：供应商应符合《中华人民共和国政府采购法》第二十二条第一款规定的供应商条件，并提供以下资料：</w:t>
            </w:r>
          </w:p>
          <w:p w14:paraId="5E27A0A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人提交企业法人营业执照副本复印件(或者法人登记证书）（供应商具有实行了“三证合一”或“五证合一”登记制度改革的新证，视同为持有工商营业执照、组织机构代码证，符合基本资格条件的相关条款。供应商如是“三证合一”或“五证合一”，请自行说明）；</w:t>
            </w:r>
          </w:p>
          <w:p w14:paraId="314BD76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宋体" w:hAnsi="宋体" w:cs="宋体"/>
                <w:color w:val="auto"/>
                <w:szCs w:val="21"/>
                <w:highlight w:val="none"/>
              </w:rPr>
              <w:t>提交《湖南省政府采购供应商资格承诺函》；</w:t>
            </w:r>
          </w:p>
          <w:p w14:paraId="459359FE">
            <w:pPr>
              <w:adjustRightInd w:val="0"/>
              <w:snapToGrid w:val="0"/>
              <w:spacing w:line="360" w:lineRule="auto"/>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宋体" w:hAnsi="宋体" w:cs="宋体"/>
                <w:color w:val="auto"/>
                <w:szCs w:val="21"/>
                <w:highlight w:val="none"/>
              </w:rPr>
              <w:t>法人提交法定代表人身份证明原件或者法定代表人授权委托书原件及提供被授权人在投标单位近三个月（2025年01月-2025年03月）</w:t>
            </w:r>
            <w:r>
              <w:rPr>
                <w:rFonts w:hint="eastAsia" w:ascii="宋体" w:hAnsi="宋体" w:cs="宋体"/>
                <w:color w:val="auto"/>
                <w:szCs w:val="21"/>
                <w:highlight w:val="none"/>
                <w:lang w:val="en-US" w:eastAsia="zh-CN"/>
              </w:rPr>
              <w:t>其中一个月的</w:t>
            </w:r>
            <w:r>
              <w:rPr>
                <w:rFonts w:hint="eastAsia" w:ascii="宋体" w:hAnsi="宋体" w:cs="宋体"/>
                <w:color w:val="auto"/>
                <w:szCs w:val="21"/>
                <w:highlight w:val="none"/>
              </w:rPr>
              <w:t>社保证明并附法定代表人身份证明原件；自然人提交身份证复印件；</w:t>
            </w:r>
          </w:p>
          <w:p w14:paraId="40F03B5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（4）其他说明。(非法人组织参与投标需提供的相关证明材料)。</w:t>
            </w:r>
          </w:p>
          <w:p w14:paraId="5B2253A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2、供应商特定资格条件：</w:t>
            </w:r>
          </w:p>
          <w:p w14:paraId="4EF0D51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宋体"/>
                <w:color w:val="auto"/>
                <w:kern w:val="0"/>
                <w:sz w:val="22"/>
                <w:szCs w:val="18"/>
                <w:highlight w:val="none"/>
                <w:lang w:val="en-US" w:eastAsia="zh-CN"/>
              </w:rPr>
              <w:t>无</w:t>
            </w:r>
            <w:r>
              <w:rPr>
                <w:rFonts w:hint="eastAsia" w:ascii="宋体" w:hAnsi="宋体"/>
                <w:color w:val="auto"/>
                <w:kern w:val="0"/>
                <w:sz w:val="22"/>
                <w:szCs w:val="20"/>
                <w:highlight w:val="none"/>
              </w:rPr>
              <w:t>。</w:t>
            </w:r>
          </w:p>
        </w:tc>
      </w:tr>
      <w:tr w14:paraId="23940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52" w:type="dxa"/>
            <w:vAlign w:val="center"/>
          </w:tcPr>
          <w:p w14:paraId="2C926FE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第二章第6.1款</w:t>
            </w:r>
          </w:p>
        </w:tc>
        <w:tc>
          <w:tcPr>
            <w:tcW w:w="1905" w:type="dxa"/>
            <w:vAlign w:val="center"/>
          </w:tcPr>
          <w:p w14:paraId="08DC9D89">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联合体形式</w:t>
            </w:r>
          </w:p>
        </w:tc>
        <w:tc>
          <w:tcPr>
            <w:tcW w:w="5271" w:type="dxa"/>
            <w:vAlign w:val="center"/>
          </w:tcPr>
          <w:p w14:paraId="12943A5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不接受</w:t>
            </w:r>
          </w:p>
          <w:p w14:paraId="25C8CE0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接受</w:t>
            </w:r>
          </w:p>
        </w:tc>
      </w:tr>
      <w:tr w14:paraId="1DE56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852" w:type="dxa"/>
            <w:vAlign w:val="center"/>
          </w:tcPr>
          <w:p w14:paraId="01E23A9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第二章第6.2款</w:t>
            </w:r>
          </w:p>
        </w:tc>
        <w:tc>
          <w:tcPr>
            <w:tcW w:w="1905" w:type="dxa"/>
            <w:vAlign w:val="center"/>
          </w:tcPr>
          <w:p w14:paraId="5EEF0A9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对联合体各方的要求</w:t>
            </w:r>
          </w:p>
        </w:tc>
        <w:tc>
          <w:tcPr>
            <w:tcW w:w="5271" w:type="dxa"/>
            <w:vAlign w:val="center"/>
          </w:tcPr>
          <w:p w14:paraId="1375811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05709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852" w:type="dxa"/>
            <w:vAlign w:val="center"/>
          </w:tcPr>
          <w:p w14:paraId="05B7D80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第二章第7.1款</w:t>
            </w:r>
          </w:p>
        </w:tc>
        <w:tc>
          <w:tcPr>
            <w:tcW w:w="1905" w:type="dxa"/>
            <w:vAlign w:val="center"/>
          </w:tcPr>
          <w:p w14:paraId="78E7225C">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现场勘察</w:t>
            </w:r>
          </w:p>
        </w:tc>
        <w:tc>
          <w:tcPr>
            <w:tcW w:w="5271" w:type="dxa"/>
            <w:vAlign w:val="center"/>
          </w:tcPr>
          <w:p w14:paraId="561E2EDD">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采购人不组织</w:t>
            </w:r>
          </w:p>
          <w:p w14:paraId="5EF8AF79">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采购人组织，时间：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u w:val="single"/>
              </w:rPr>
              <w:t xml:space="preserve">    </w:t>
            </w:r>
          </w:p>
        </w:tc>
      </w:tr>
      <w:tr w14:paraId="592C9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52" w:type="dxa"/>
            <w:vAlign w:val="center"/>
          </w:tcPr>
          <w:p w14:paraId="4A765608">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第二章第9.1款</w:t>
            </w:r>
          </w:p>
        </w:tc>
        <w:tc>
          <w:tcPr>
            <w:tcW w:w="1905" w:type="dxa"/>
            <w:vAlign w:val="center"/>
          </w:tcPr>
          <w:p w14:paraId="38CF45E0">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采购强制采购：</w:t>
            </w:r>
          </w:p>
          <w:p w14:paraId="02B87B78">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1、强制采购的节能产品；</w:t>
            </w:r>
          </w:p>
          <w:p w14:paraId="7A655CF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2、其他。</w:t>
            </w:r>
          </w:p>
        </w:tc>
        <w:tc>
          <w:tcPr>
            <w:tcW w:w="5271" w:type="dxa"/>
            <w:vAlign w:val="center"/>
          </w:tcPr>
          <w:p w14:paraId="1DAB8C28">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本采购项目不适用。</w:t>
            </w:r>
          </w:p>
        </w:tc>
      </w:tr>
      <w:tr w14:paraId="4E36B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1852" w:type="dxa"/>
            <w:vAlign w:val="center"/>
          </w:tcPr>
          <w:p w14:paraId="1E75E736">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第二章第9.2款</w:t>
            </w:r>
          </w:p>
        </w:tc>
        <w:tc>
          <w:tcPr>
            <w:tcW w:w="1905" w:type="dxa"/>
            <w:vAlign w:val="center"/>
          </w:tcPr>
          <w:p w14:paraId="2C33B74B">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采购优先采购：</w:t>
            </w:r>
          </w:p>
          <w:p w14:paraId="570B8652">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(1)非标记★符号的节能产品；</w:t>
            </w:r>
          </w:p>
          <w:p w14:paraId="702CDBF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(2)环境标志产品；</w:t>
            </w:r>
          </w:p>
          <w:p w14:paraId="03FF8D5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kern w:val="0"/>
                <w:szCs w:val="21"/>
                <w:highlight w:val="none"/>
              </w:rPr>
              <w:t>支持</w:t>
            </w:r>
            <w:r>
              <w:rPr>
                <w:rFonts w:hint="eastAsia" w:asciiTheme="minorEastAsia" w:hAnsiTheme="minorEastAsia" w:eastAsiaTheme="minorEastAsia" w:cstheme="minorEastAsia"/>
                <w:color w:val="auto"/>
                <w:szCs w:val="21"/>
                <w:highlight w:val="none"/>
              </w:rPr>
              <w:t>中小</w:t>
            </w:r>
            <w:r>
              <w:rPr>
                <w:rFonts w:hint="eastAsia" w:asciiTheme="minorEastAsia" w:hAnsiTheme="minorEastAsia" w:eastAsiaTheme="minorEastAsia" w:cstheme="minorEastAsia"/>
                <w:color w:val="auto"/>
                <w:szCs w:val="21"/>
                <w:highlight w:val="none"/>
                <w:lang w:eastAsia="zh-Hans"/>
              </w:rPr>
              <w:t>微</w:t>
            </w:r>
            <w:r>
              <w:rPr>
                <w:rFonts w:hint="eastAsia" w:asciiTheme="minorEastAsia" w:hAnsiTheme="minorEastAsia" w:eastAsiaTheme="minorEastAsia" w:cstheme="minorEastAsia"/>
                <w:color w:val="auto"/>
                <w:szCs w:val="21"/>
                <w:highlight w:val="none"/>
              </w:rPr>
              <w:t>企业发展；</w:t>
            </w:r>
          </w:p>
          <w:p w14:paraId="7DDD1631">
            <w:pPr>
              <w:adjustRightInd w:val="0"/>
              <w:snapToGrid w:val="0"/>
              <w:spacing w:line="360" w:lineRule="auto"/>
              <w:rPr>
                <w:rFonts w:hint="eastAsia" w:asciiTheme="minorEastAsia" w:hAnsiTheme="minorEastAsia" w:eastAsiaTheme="minorEastAsia" w:cstheme="minorEastAsia"/>
                <w:color w:val="auto"/>
                <w:szCs w:val="21"/>
                <w:highlight w:val="none"/>
              </w:rPr>
            </w:pPr>
          </w:p>
        </w:tc>
        <w:tc>
          <w:tcPr>
            <w:tcW w:w="5271" w:type="dxa"/>
            <w:vAlign w:val="center"/>
          </w:tcPr>
          <w:p w14:paraId="25A957B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1、采购产品为《节能产品采购品目清单》内非标记★符号的，分别给予技术和价格项标准总分值4%-8%的加分。本项目具体加分比例分别为 ：技术</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%、价格</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6C97533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2、采购产品为《环境标志产品采购品目清单》内的，分别给予技术和价格项标准总分值4%-8%的加分。本项目具体加分比例分别为 ：技术</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%、价格</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p w14:paraId="046013E4">
            <w:pPr>
              <w:adjustRightInd w:val="0"/>
              <w:snapToGrid w:val="0"/>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3、非专门面向中小微企业采购</w:t>
            </w:r>
          </w:p>
          <w:p w14:paraId="74E7BA36">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且符合采购促进中小企业发展相关规定的（监狱企业、残疾人福利企业视同小微企业）：</w:t>
            </w:r>
          </w:p>
          <w:p w14:paraId="78DFA625">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（1）给予小型和微型企业、福利和监狱企业产品的价格给予10%-20%的扣除，用扣除后的价格参与评审，本项目具体扣除比例为</w:t>
            </w:r>
            <w:r>
              <w:rPr>
                <w:rFonts w:hint="eastAsia" w:asciiTheme="minorEastAsia" w:hAnsiTheme="minorEastAsia" w:eastAsiaTheme="minorEastAsia" w:cstheme="minorEastAsia"/>
                <w:color w:val="auto"/>
                <w:highlight w:val="none"/>
                <w:u w:val="single"/>
              </w:rPr>
              <w:t xml:space="preserve"> 10 </w:t>
            </w:r>
            <w:r>
              <w:rPr>
                <w:rFonts w:hint="eastAsia" w:asciiTheme="minorEastAsia" w:hAnsiTheme="minorEastAsia" w:eastAsiaTheme="minorEastAsia" w:cstheme="minorEastAsia"/>
                <w:color w:val="auto"/>
                <w:highlight w:val="none"/>
              </w:rPr>
              <w:t>％，不重复享受政策。</w:t>
            </w:r>
          </w:p>
          <w:p w14:paraId="36F5D573">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（2）给予联合体4%-6%的价格扣除，用扣除后的价格参与评审，本项目具体扣除比例为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100A67EF">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（3）支持监狱企业：</w:t>
            </w:r>
          </w:p>
          <w:p w14:paraId="7A41F66A">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①、监狱企业视同小型、微型企业；</w:t>
            </w:r>
          </w:p>
          <w:p w14:paraId="4F97425C">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②、监狱企业参加采购活动时，应当提供由省级以上监狱管理局、戒毒管理局(含新疆生产建设兵团)出具的属于监狱企业的证明文件。</w:t>
            </w:r>
          </w:p>
          <w:p w14:paraId="78D99504">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（4）根据《政府采购促进中小企业发展管理办法》（财库﹝2020﹞46 号）文件规定，本项目</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专门面向中小企业采购，所属行业为</w:t>
            </w:r>
            <w:r>
              <w:rPr>
                <w:rFonts w:hint="eastAsia" w:asciiTheme="minorEastAsia" w:hAnsiTheme="minorEastAsia" w:eastAsiaTheme="minorEastAsia" w:cstheme="minorEastAsia"/>
                <w:color w:val="auto"/>
                <w:highlight w:val="none"/>
                <w:u w:val="single"/>
              </w:rPr>
              <w:t xml:space="preserve">  /  </w:t>
            </w:r>
            <w:r>
              <w:rPr>
                <w:rFonts w:hint="eastAsia" w:asciiTheme="minorEastAsia" w:hAnsiTheme="minorEastAsia" w:eastAsiaTheme="minorEastAsia" w:cstheme="minorEastAsia"/>
                <w:color w:val="auto"/>
                <w:highlight w:val="none"/>
              </w:rPr>
              <w:t>。</w:t>
            </w:r>
          </w:p>
        </w:tc>
      </w:tr>
      <w:tr w14:paraId="58E90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jc w:val="center"/>
        </w:trPr>
        <w:tc>
          <w:tcPr>
            <w:tcW w:w="1852" w:type="dxa"/>
            <w:vMerge w:val="restart"/>
            <w:tcBorders>
              <w:top w:val="single" w:color="auto" w:sz="4" w:space="0"/>
            </w:tcBorders>
            <w:vAlign w:val="center"/>
          </w:tcPr>
          <w:p w14:paraId="2386FD82">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第二章第9.6款</w:t>
            </w:r>
          </w:p>
        </w:tc>
        <w:tc>
          <w:tcPr>
            <w:tcW w:w="1905" w:type="dxa"/>
            <w:tcBorders>
              <w:top w:val="single" w:color="auto" w:sz="4" w:space="0"/>
              <w:bottom w:val="single" w:color="auto" w:sz="4" w:space="0"/>
            </w:tcBorders>
            <w:vAlign w:val="center"/>
          </w:tcPr>
          <w:p w14:paraId="0CB82F9C">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采购支持中小企业融资</w:t>
            </w:r>
          </w:p>
        </w:tc>
        <w:tc>
          <w:tcPr>
            <w:tcW w:w="5271" w:type="dxa"/>
            <w:tcBorders>
              <w:top w:val="single" w:color="auto" w:sz="4" w:space="0"/>
              <w:bottom w:val="single" w:color="auto" w:sz="4" w:space="0"/>
            </w:tcBorders>
            <w:vAlign w:val="center"/>
          </w:tcPr>
          <w:p w14:paraId="11071CD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有融资需求的，可向本附表附页1所列银行咨询或登陆中国湖南政府采购网查询。</w:t>
            </w:r>
          </w:p>
        </w:tc>
      </w:tr>
      <w:tr w14:paraId="1C74C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7" w:hRule="atLeast"/>
          <w:jc w:val="center"/>
        </w:trPr>
        <w:tc>
          <w:tcPr>
            <w:tcW w:w="1852" w:type="dxa"/>
            <w:vMerge w:val="continue"/>
            <w:vAlign w:val="center"/>
          </w:tcPr>
          <w:p w14:paraId="7DBE42CB">
            <w:pPr>
              <w:rPr>
                <w:rFonts w:hint="eastAsia" w:asciiTheme="minorEastAsia" w:hAnsiTheme="minorEastAsia" w:eastAsiaTheme="minorEastAsia" w:cstheme="minorEastAsia"/>
                <w:color w:val="auto"/>
                <w:szCs w:val="21"/>
                <w:highlight w:val="none"/>
              </w:rPr>
            </w:pPr>
          </w:p>
        </w:tc>
        <w:tc>
          <w:tcPr>
            <w:tcW w:w="1905" w:type="dxa"/>
            <w:vAlign w:val="center"/>
          </w:tcPr>
          <w:p w14:paraId="0715735D">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采购信用担保</w:t>
            </w:r>
          </w:p>
        </w:tc>
        <w:tc>
          <w:tcPr>
            <w:tcW w:w="5271" w:type="dxa"/>
            <w:vAlign w:val="center"/>
          </w:tcPr>
          <w:p w14:paraId="5CF775F3">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有履约担保或融资担保需求的，可向本附表附页2所列担保机构咨询或登陆中国湖南政府采购网查询，格式见附页3。</w:t>
            </w:r>
          </w:p>
        </w:tc>
      </w:tr>
      <w:tr w14:paraId="2DC08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9028" w:type="dxa"/>
            <w:gridSpan w:val="3"/>
            <w:vAlign w:val="center"/>
          </w:tcPr>
          <w:p w14:paraId="476FF96C">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二、磋商文件</w:t>
            </w:r>
          </w:p>
        </w:tc>
      </w:tr>
      <w:tr w14:paraId="6E13F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52" w:type="dxa"/>
            <w:vAlign w:val="center"/>
          </w:tcPr>
          <w:p w14:paraId="4DF641F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第二章第10.2款</w:t>
            </w:r>
          </w:p>
        </w:tc>
        <w:tc>
          <w:tcPr>
            <w:tcW w:w="1905" w:type="dxa"/>
            <w:vAlign w:val="center"/>
          </w:tcPr>
          <w:p w14:paraId="7B4D4E6F">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磋商文件的可能实质性变动内容</w:t>
            </w:r>
          </w:p>
        </w:tc>
        <w:tc>
          <w:tcPr>
            <w:tcW w:w="5271" w:type="dxa"/>
            <w:vAlign w:val="center"/>
          </w:tcPr>
          <w:p w14:paraId="5FC6F0E2">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在磋商过程中，磋商文件的技术、商务要求以及合同草案条款可能发生实质性变动，由磋商小组根据磋商情况确定。如有变动，磋商小组将书面告知供应商。供应商书面回复和进行响应承诺。</w:t>
            </w:r>
          </w:p>
        </w:tc>
      </w:tr>
      <w:tr w14:paraId="07B75D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852" w:type="dxa"/>
            <w:vAlign w:val="center"/>
          </w:tcPr>
          <w:p w14:paraId="0E3708E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第二章第11.1款</w:t>
            </w:r>
          </w:p>
        </w:tc>
        <w:tc>
          <w:tcPr>
            <w:tcW w:w="1905" w:type="dxa"/>
            <w:vAlign w:val="center"/>
          </w:tcPr>
          <w:p w14:paraId="705D0371">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提供磋商文件期限</w:t>
            </w:r>
          </w:p>
        </w:tc>
        <w:tc>
          <w:tcPr>
            <w:tcW w:w="5271" w:type="dxa"/>
            <w:vAlign w:val="center"/>
          </w:tcPr>
          <w:p w14:paraId="3B5A067A">
            <w:pPr>
              <w:adjustRightInd w:val="0"/>
              <w:snapToGrid w:val="0"/>
              <w:spacing w:line="360" w:lineRule="auto"/>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2025年4月</w:t>
            </w:r>
            <w:r>
              <w:rPr>
                <w:rFonts w:hint="eastAsia" w:asciiTheme="minorEastAsia" w:hAnsiTheme="minorEastAsia" w:eastAsiaTheme="minorEastAsia" w:cstheme="minorEastAsia"/>
                <w:color w:val="auto"/>
                <w:szCs w:val="21"/>
                <w:highlight w:val="none"/>
                <w:lang w:val="en-US" w:eastAsia="zh-CN"/>
              </w:rPr>
              <w:t>18</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rPr>
              <w:t>起至</w:t>
            </w:r>
            <w:r>
              <w:rPr>
                <w:rFonts w:hint="eastAsia" w:asciiTheme="minorEastAsia" w:hAnsiTheme="minorEastAsia" w:eastAsiaTheme="minorEastAsia" w:cstheme="minorEastAsia"/>
                <w:color w:val="auto"/>
                <w:szCs w:val="21"/>
                <w:highlight w:val="none"/>
                <w:lang w:eastAsia="zh-CN"/>
              </w:rPr>
              <w:t>2025年4月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lang w:eastAsia="zh-CN"/>
              </w:rPr>
              <w:t>日</w:t>
            </w:r>
          </w:p>
        </w:tc>
      </w:tr>
      <w:tr w14:paraId="13EDF2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852" w:type="dxa"/>
            <w:vAlign w:val="center"/>
          </w:tcPr>
          <w:p w14:paraId="2079705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第二章第11.2款</w:t>
            </w:r>
          </w:p>
        </w:tc>
        <w:tc>
          <w:tcPr>
            <w:tcW w:w="1905" w:type="dxa"/>
            <w:vAlign w:val="center"/>
          </w:tcPr>
          <w:p w14:paraId="6DD6E742">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领取或购买磋商文件时应提供的资料</w:t>
            </w:r>
          </w:p>
        </w:tc>
        <w:tc>
          <w:tcPr>
            <w:tcW w:w="5271" w:type="dxa"/>
            <w:vAlign w:val="center"/>
          </w:tcPr>
          <w:p w14:paraId="6872B746">
            <w:pPr>
              <w:adjustRightInd w:val="0"/>
              <w:snapToGrid w:val="0"/>
              <w:spacing w:line="360" w:lineRule="auto"/>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持营业执照复印件、法定代表人身份证明或授权委托书(附法定代表人身份证明)、个人身份证。</w:t>
            </w:r>
          </w:p>
        </w:tc>
      </w:tr>
      <w:tr w14:paraId="27A22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852" w:type="dxa"/>
            <w:vAlign w:val="center"/>
          </w:tcPr>
          <w:p w14:paraId="2A823AD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第二章第12.1款</w:t>
            </w:r>
          </w:p>
        </w:tc>
        <w:tc>
          <w:tcPr>
            <w:tcW w:w="1905" w:type="dxa"/>
            <w:vAlign w:val="center"/>
          </w:tcPr>
          <w:p w14:paraId="611946D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提交首次响应文件的截止时间</w:t>
            </w:r>
          </w:p>
        </w:tc>
        <w:tc>
          <w:tcPr>
            <w:tcW w:w="5271" w:type="dxa"/>
            <w:vAlign w:val="center"/>
          </w:tcPr>
          <w:p w14:paraId="21BE968C">
            <w:pPr>
              <w:adjustRightInd w:val="0"/>
              <w:snapToGrid w:val="0"/>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u w:val="single"/>
                <w:lang w:eastAsia="zh-CN"/>
              </w:rPr>
              <w:t>2025年4月</w:t>
            </w:r>
            <w:r>
              <w:rPr>
                <w:rFonts w:hint="eastAsia" w:asciiTheme="minorEastAsia" w:hAnsiTheme="minorEastAsia" w:eastAsiaTheme="minorEastAsia" w:cstheme="minorEastAsia"/>
                <w:b/>
                <w:bCs/>
                <w:color w:val="auto"/>
                <w:szCs w:val="21"/>
                <w:highlight w:val="none"/>
                <w:u w:val="single"/>
                <w:lang w:val="en-US" w:eastAsia="zh-CN"/>
              </w:rPr>
              <w:t>29</w:t>
            </w:r>
            <w:r>
              <w:rPr>
                <w:rFonts w:hint="eastAsia" w:asciiTheme="minorEastAsia" w:hAnsiTheme="minorEastAsia" w:eastAsiaTheme="minorEastAsia" w:cstheme="minorEastAsia"/>
                <w:b/>
                <w:bCs/>
                <w:color w:val="auto"/>
                <w:szCs w:val="21"/>
                <w:highlight w:val="none"/>
                <w:u w:val="single"/>
                <w:lang w:eastAsia="zh-CN"/>
              </w:rPr>
              <w:t>日</w:t>
            </w:r>
            <w:r>
              <w:rPr>
                <w:rFonts w:hint="eastAsia" w:asciiTheme="minorEastAsia" w:hAnsiTheme="minorEastAsia" w:eastAsiaTheme="minorEastAsia" w:cstheme="minorEastAsia"/>
                <w:b/>
                <w:bCs/>
                <w:color w:val="auto"/>
                <w:szCs w:val="21"/>
                <w:highlight w:val="none"/>
                <w:u w:val="single"/>
              </w:rPr>
              <w:t>14时</w:t>
            </w:r>
            <w:r>
              <w:rPr>
                <w:rFonts w:hint="eastAsia" w:asciiTheme="minorEastAsia" w:hAnsiTheme="minorEastAsia" w:eastAsiaTheme="minorEastAsia" w:cstheme="minorEastAsia"/>
                <w:b/>
                <w:bCs/>
                <w:color w:val="auto"/>
                <w:szCs w:val="21"/>
                <w:highlight w:val="none"/>
                <w:u w:val="single"/>
                <w:lang w:val="en-US" w:eastAsia="zh-CN"/>
              </w:rPr>
              <w:t>0</w:t>
            </w:r>
            <w:r>
              <w:rPr>
                <w:rFonts w:hint="eastAsia" w:asciiTheme="minorEastAsia" w:hAnsiTheme="minorEastAsia" w:eastAsiaTheme="minorEastAsia" w:cstheme="minorEastAsia"/>
                <w:b/>
                <w:bCs/>
                <w:color w:val="auto"/>
                <w:szCs w:val="21"/>
                <w:highlight w:val="none"/>
                <w:u w:val="single"/>
              </w:rPr>
              <w:t>0分</w:t>
            </w:r>
            <w:r>
              <w:rPr>
                <w:rFonts w:hint="eastAsia" w:asciiTheme="minorEastAsia" w:hAnsiTheme="minorEastAsia" w:eastAsiaTheme="minorEastAsia" w:cstheme="minorEastAsia"/>
                <w:b/>
                <w:bCs/>
                <w:color w:val="auto"/>
                <w:szCs w:val="21"/>
                <w:highlight w:val="none"/>
              </w:rPr>
              <w:t>(北京时间)</w:t>
            </w:r>
          </w:p>
        </w:tc>
      </w:tr>
      <w:tr w14:paraId="45C1E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9028" w:type="dxa"/>
            <w:gridSpan w:val="3"/>
            <w:vAlign w:val="center"/>
          </w:tcPr>
          <w:p w14:paraId="13693278">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三、响应文件的编写</w:t>
            </w:r>
          </w:p>
        </w:tc>
      </w:tr>
      <w:tr w14:paraId="5FFC70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852" w:type="dxa"/>
            <w:vAlign w:val="center"/>
          </w:tcPr>
          <w:p w14:paraId="3A4986D9">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第二章第16.4款</w:t>
            </w:r>
          </w:p>
        </w:tc>
        <w:tc>
          <w:tcPr>
            <w:tcW w:w="1905" w:type="dxa"/>
            <w:vAlign w:val="center"/>
          </w:tcPr>
          <w:p w14:paraId="31C7027B">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采购项目预算</w:t>
            </w:r>
          </w:p>
        </w:tc>
        <w:tc>
          <w:tcPr>
            <w:tcW w:w="5271" w:type="dxa"/>
            <w:vAlign w:val="center"/>
          </w:tcPr>
          <w:p w14:paraId="12303F63">
            <w:pPr>
              <w:adjustRightInd w:val="0"/>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w:t>
            </w:r>
            <w:r>
              <w:rPr>
                <w:rFonts w:hint="eastAsia" w:asciiTheme="minorEastAsia" w:hAnsiTheme="minorEastAsia" w:eastAsiaTheme="minorEastAsia" w:cstheme="minorEastAsia"/>
                <w:color w:val="auto"/>
                <w:szCs w:val="21"/>
                <w:highlight w:val="none"/>
                <w:lang w:eastAsia="zh-CN"/>
              </w:rPr>
              <w:t>744000元</w:t>
            </w:r>
            <w:r>
              <w:rPr>
                <w:rFonts w:hint="eastAsia" w:asciiTheme="minorEastAsia" w:hAnsiTheme="minorEastAsia" w:eastAsiaTheme="minorEastAsia" w:cstheme="minorEastAsia"/>
                <w:color w:val="auto"/>
                <w:szCs w:val="21"/>
                <w:highlight w:val="none"/>
              </w:rPr>
              <w:t>，超出最高限价投标无效。</w:t>
            </w:r>
          </w:p>
        </w:tc>
      </w:tr>
      <w:tr w14:paraId="65BB6D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1852" w:type="dxa"/>
            <w:vAlign w:val="center"/>
          </w:tcPr>
          <w:p w14:paraId="728574F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第二章第19.1款</w:t>
            </w:r>
          </w:p>
        </w:tc>
        <w:tc>
          <w:tcPr>
            <w:tcW w:w="1905" w:type="dxa"/>
            <w:vAlign w:val="center"/>
          </w:tcPr>
          <w:p w14:paraId="04E4F00A">
            <w:pPr>
              <w:adjustRightInd w:val="0"/>
              <w:snapToGrid w:val="0"/>
              <w:spacing w:line="360" w:lineRule="auto"/>
              <w:ind w:left="-533" w:leftChars="-254" w:firstLine="533" w:firstLineChars="25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5271" w:type="dxa"/>
            <w:vAlign w:val="center"/>
          </w:tcPr>
          <w:p w14:paraId="5DD96E0C">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不要求提供</w:t>
            </w:r>
          </w:p>
          <w:p w14:paraId="795FA7F5">
            <w:pPr>
              <w:adjustRightInd w:val="0"/>
              <w:snapToGrid w:val="0"/>
              <w:spacing w:before="156" w:beforeLines="50" w:line="360" w:lineRule="auto"/>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eq \o\ac(</w:instrText>
            </w:r>
            <w:r>
              <w:rPr>
                <w:rFonts w:hint="eastAsia" w:asciiTheme="minorEastAsia" w:hAnsiTheme="minorEastAsia" w:eastAsiaTheme="minorEastAsia" w:cstheme="minorEastAsia"/>
                <w:color w:val="auto"/>
                <w:position w:val="-2"/>
                <w:szCs w:val="21"/>
                <w:highlight w:val="none"/>
              </w:rPr>
              <w:instrText xml:space="preserve">□</w:instrText>
            </w:r>
            <w:r>
              <w:rPr>
                <w:rFonts w:hint="eastAsia" w:asciiTheme="minorEastAsia" w:hAnsiTheme="minorEastAsia" w:eastAsiaTheme="minorEastAsia" w:cstheme="minorEastAsia"/>
                <w:color w:val="auto"/>
                <w:szCs w:val="21"/>
                <w:highlight w:val="none"/>
              </w:rPr>
              <w:instrText xml:space="preserve">)</w:instrTex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 xml:space="preserve"> 要求提供：</w:t>
            </w:r>
          </w:p>
        </w:tc>
      </w:tr>
      <w:tr w14:paraId="79425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6273C8D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第二章第20.1款</w:t>
            </w:r>
          </w:p>
        </w:tc>
        <w:tc>
          <w:tcPr>
            <w:tcW w:w="1905" w:type="dxa"/>
            <w:vAlign w:val="center"/>
          </w:tcPr>
          <w:p w14:paraId="0EEC304E">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响应文件有效期</w:t>
            </w:r>
          </w:p>
        </w:tc>
        <w:tc>
          <w:tcPr>
            <w:tcW w:w="5271" w:type="dxa"/>
            <w:vAlign w:val="center"/>
          </w:tcPr>
          <w:p w14:paraId="1605D829">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90 日（日历日）</w:t>
            </w:r>
          </w:p>
        </w:tc>
      </w:tr>
      <w:tr w14:paraId="430009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01EC68D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第二章第21.1款</w:t>
            </w:r>
          </w:p>
        </w:tc>
        <w:tc>
          <w:tcPr>
            <w:tcW w:w="1905" w:type="dxa"/>
            <w:vAlign w:val="center"/>
          </w:tcPr>
          <w:p w14:paraId="657F0A7F">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响应</w:t>
            </w:r>
            <w:r>
              <w:rPr>
                <w:rFonts w:hint="eastAsia" w:asciiTheme="minorEastAsia" w:hAnsiTheme="minorEastAsia" w:eastAsiaTheme="minorEastAsia" w:cstheme="minorEastAsia"/>
                <w:color w:val="auto"/>
                <w:szCs w:val="21"/>
                <w:highlight w:val="none"/>
              </w:rPr>
              <w:t>文件副本份数</w:t>
            </w:r>
          </w:p>
        </w:tc>
        <w:tc>
          <w:tcPr>
            <w:tcW w:w="5271" w:type="dxa"/>
            <w:vAlign w:val="center"/>
          </w:tcPr>
          <w:p w14:paraId="55C296C9">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正本一份，副本三份，电子标书一份（U盘）</w:t>
            </w:r>
          </w:p>
          <w:p w14:paraId="251F7609">
            <w:pPr>
              <w:pStyle w:val="32"/>
              <w:ind w:lef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（电子文件应当为其响应文件正本签章后的彩色扫描件，格式为PDF，并标注供应商名称</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rPr>
              <w:t>）</w:t>
            </w:r>
          </w:p>
        </w:tc>
      </w:tr>
      <w:tr w14:paraId="47B2FB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9028" w:type="dxa"/>
            <w:gridSpan w:val="3"/>
            <w:vAlign w:val="center"/>
          </w:tcPr>
          <w:p w14:paraId="7366BECF">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四、响应文件的递交</w:t>
            </w:r>
          </w:p>
        </w:tc>
      </w:tr>
      <w:tr w14:paraId="16DDCC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 w:hRule="atLeast"/>
          <w:jc w:val="center"/>
        </w:trPr>
        <w:tc>
          <w:tcPr>
            <w:tcW w:w="1852" w:type="dxa"/>
            <w:vAlign w:val="center"/>
          </w:tcPr>
          <w:p w14:paraId="386D9B5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第二章第22.2款</w:t>
            </w:r>
          </w:p>
        </w:tc>
        <w:tc>
          <w:tcPr>
            <w:tcW w:w="1905" w:type="dxa"/>
            <w:vAlign w:val="center"/>
          </w:tcPr>
          <w:p w14:paraId="5FEC8E93">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封套上应载明的信息</w:t>
            </w:r>
          </w:p>
        </w:tc>
        <w:tc>
          <w:tcPr>
            <w:tcW w:w="5271" w:type="dxa"/>
            <w:vAlign w:val="center"/>
          </w:tcPr>
          <w:p w14:paraId="11268BED">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（项目名称）响应文件 </w:t>
            </w:r>
          </w:p>
          <w:p w14:paraId="0ED2B381">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委托代理编号：</w:t>
            </w:r>
            <w:r>
              <w:rPr>
                <w:rFonts w:hint="eastAsia" w:asciiTheme="minorEastAsia" w:hAnsiTheme="minorEastAsia" w:eastAsiaTheme="minorEastAsia" w:cstheme="minorEastAsia"/>
                <w:color w:val="auto"/>
                <w:szCs w:val="21"/>
                <w:highlight w:val="none"/>
                <w:u w:val="single"/>
              </w:rPr>
              <w:t xml:space="preserve">                </w:t>
            </w:r>
          </w:p>
          <w:p w14:paraId="443D1C6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
          <w:p w14:paraId="777677C6">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时</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分之前不得启封</w:t>
            </w:r>
          </w:p>
        </w:tc>
      </w:tr>
      <w:tr w14:paraId="69DA22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55EE03A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第二章第24.1款</w:t>
            </w:r>
          </w:p>
        </w:tc>
        <w:tc>
          <w:tcPr>
            <w:tcW w:w="1905" w:type="dxa"/>
            <w:vAlign w:val="center"/>
          </w:tcPr>
          <w:p w14:paraId="270F17CE">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响应文件的递交地点</w:t>
            </w:r>
          </w:p>
        </w:tc>
        <w:tc>
          <w:tcPr>
            <w:tcW w:w="5271" w:type="dxa"/>
            <w:vAlign w:val="center"/>
          </w:tcPr>
          <w:p w14:paraId="0910F02A">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长沙市开福区芙蓉中路一段88号天健壹平方英里H栋24楼</w:t>
            </w:r>
          </w:p>
        </w:tc>
      </w:tr>
      <w:tr w14:paraId="132C4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9028" w:type="dxa"/>
            <w:gridSpan w:val="3"/>
            <w:vAlign w:val="center"/>
          </w:tcPr>
          <w:p w14:paraId="7076A887">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五、响应文件的磋商与评审</w:t>
            </w:r>
          </w:p>
        </w:tc>
      </w:tr>
      <w:tr w14:paraId="747BA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2481352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第二章第31.2款</w:t>
            </w:r>
          </w:p>
        </w:tc>
        <w:tc>
          <w:tcPr>
            <w:tcW w:w="1905" w:type="dxa"/>
            <w:vAlign w:val="center"/>
          </w:tcPr>
          <w:p w14:paraId="0BE21642">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评审因素和标准</w:t>
            </w:r>
          </w:p>
        </w:tc>
        <w:tc>
          <w:tcPr>
            <w:tcW w:w="5271" w:type="dxa"/>
            <w:vAlign w:val="center"/>
          </w:tcPr>
          <w:p w14:paraId="7B7C8EB5">
            <w:pPr>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见附页4</w:t>
            </w:r>
          </w:p>
        </w:tc>
      </w:tr>
      <w:tr w14:paraId="309E6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45C74EC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第二章第31.3款</w:t>
            </w:r>
          </w:p>
        </w:tc>
        <w:tc>
          <w:tcPr>
            <w:tcW w:w="1905" w:type="dxa"/>
            <w:vAlign w:val="center"/>
          </w:tcPr>
          <w:p w14:paraId="0A2694B2">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最后报价</w:t>
            </w:r>
            <w:r>
              <w:rPr>
                <w:rFonts w:hint="eastAsia" w:asciiTheme="minorEastAsia" w:hAnsiTheme="minorEastAsia" w:eastAsiaTheme="minorEastAsia" w:cstheme="minorEastAsia"/>
                <w:color w:val="auto"/>
                <w:szCs w:val="21"/>
                <w:highlight w:val="none"/>
              </w:rPr>
              <w:t>调整</w:t>
            </w:r>
          </w:p>
        </w:tc>
        <w:tc>
          <w:tcPr>
            <w:tcW w:w="5271" w:type="dxa"/>
            <w:vAlign w:val="center"/>
          </w:tcPr>
          <w:p w14:paraId="05232711">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采购支持中小</w:t>
            </w:r>
            <w:r>
              <w:rPr>
                <w:rFonts w:hint="eastAsia" w:asciiTheme="minorEastAsia" w:hAnsiTheme="minorEastAsia" w:eastAsiaTheme="minorEastAsia" w:cstheme="minorEastAsia"/>
                <w:bCs/>
                <w:color w:val="auto"/>
                <w:kern w:val="0"/>
                <w:szCs w:val="21"/>
                <w:highlight w:val="none"/>
                <w:lang w:eastAsia="zh-Hans"/>
              </w:rPr>
              <w:t>微</w:t>
            </w:r>
            <w:r>
              <w:rPr>
                <w:rFonts w:hint="eastAsia" w:asciiTheme="minorEastAsia" w:hAnsiTheme="minorEastAsia" w:eastAsiaTheme="minorEastAsia" w:cstheme="minorEastAsia"/>
                <w:bCs/>
                <w:color w:val="auto"/>
                <w:kern w:val="0"/>
                <w:szCs w:val="21"/>
                <w:highlight w:val="none"/>
              </w:rPr>
              <w:t>企业发展</w:t>
            </w:r>
            <w:r>
              <w:rPr>
                <w:rFonts w:hint="eastAsia" w:asciiTheme="minorEastAsia" w:hAnsiTheme="minorEastAsia" w:eastAsiaTheme="minorEastAsia" w:cstheme="minorEastAsia"/>
                <w:color w:val="auto"/>
                <w:szCs w:val="21"/>
                <w:highlight w:val="none"/>
              </w:rPr>
              <w:t>（1.货物类供应商和产品制造商应同时满足中小微企业的条件；2.残疾人福利企业、监狱企业视同小型和微型企业）</w:t>
            </w:r>
            <w:r>
              <w:rPr>
                <w:rFonts w:hint="eastAsia" w:asciiTheme="minorEastAsia" w:hAnsiTheme="minorEastAsia" w:eastAsiaTheme="minorEastAsia" w:cstheme="minorEastAsia"/>
                <w:bCs/>
                <w:color w:val="auto"/>
                <w:kern w:val="0"/>
                <w:szCs w:val="21"/>
                <w:highlight w:val="none"/>
              </w:rPr>
              <w:t>：</w:t>
            </w:r>
            <w:r>
              <w:rPr>
                <w:rFonts w:hint="eastAsia" w:asciiTheme="minorEastAsia" w:hAnsiTheme="minorEastAsia" w:eastAsiaTheme="minorEastAsia" w:cstheme="minorEastAsia"/>
                <w:color w:val="auto"/>
                <w:szCs w:val="21"/>
                <w:highlight w:val="none"/>
              </w:rPr>
              <w:t>小型或微型企业，</w:t>
            </w:r>
            <w:r>
              <w:rPr>
                <w:rFonts w:hint="eastAsia" w:asciiTheme="minorEastAsia" w:hAnsiTheme="minorEastAsia" w:eastAsiaTheme="minorEastAsia" w:cstheme="minorEastAsia"/>
                <w:color w:val="auto"/>
                <w:kern w:val="0"/>
                <w:szCs w:val="21"/>
                <w:highlight w:val="none"/>
              </w:rPr>
              <w:t>价格</w:t>
            </w:r>
            <w:r>
              <w:rPr>
                <w:rFonts w:hint="eastAsia" w:asciiTheme="minorEastAsia" w:hAnsiTheme="minorEastAsia" w:eastAsiaTheme="minorEastAsia" w:cstheme="minorEastAsia"/>
                <w:color w:val="auto"/>
                <w:szCs w:val="21"/>
                <w:highlight w:val="none"/>
              </w:rPr>
              <w:t>扣除比例为</w:t>
            </w:r>
            <w:r>
              <w:rPr>
                <w:rFonts w:hint="eastAsia" w:asciiTheme="minorEastAsia" w:hAnsiTheme="minorEastAsia" w:eastAsiaTheme="minorEastAsia" w:cstheme="minorEastAsia"/>
                <w:color w:val="auto"/>
                <w:szCs w:val="21"/>
                <w:highlight w:val="none"/>
                <w:u w:val="single"/>
              </w:rPr>
              <w:t xml:space="preserve"> 10 </w:t>
            </w:r>
            <w:r>
              <w:rPr>
                <w:rFonts w:hint="eastAsia" w:asciiTheme="minorEastAsia" w:hAnsiTheme="minorEastAsia" w:eastAsiaTheme="minorEastAsia" w:cstheme="minorEastAsia"/>
                <w:color w:val="auto"/>
                <w:szCs w:val="21"/>
                <w:highlight w:val="none"/>
              </w:rPr>
              <w:t>％；中型企业，</w:t>
            </w:r>
            <w:r>
              <w:rPr>
                <w:rFonts w:hint="eastAsia" w:asciiTheme="minorEastAsia" w:hAnsiTheme="minorEastAsia" w:eastAsiaTheme="minorEastAsia" w:cstheme="minorEastAsia"/>
                <w:color w:val="auto"/>
                <w:kern w:val="0"/>
                <w:szCs w:val="21"/>
                <w:highlight w:val="none"/>
              </w:rPr>
              <w:t>价格</w:t>
            </w:r>
            <w:r>
              <w:rPr>
                <w:rFonts w:hint="eastAsia" w:asciiTheme="minorEastAsia" w:hAnsiTheme="minorEastAsia" w:eastAsiaTheme="minorEastAsia" w:cstheme="minorEastAsia"/>
                <w:color w:val="auto"/>
                <w:szCs w:val="21"/>
                <w:highlight w:val="none"/>
              </w:rPr>
              <w:t xml:space="preserve">扣除比例为 </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％；联合体投标的，价格扣除比例为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%。评审时，用扣除后的最后报价计算价格分。</w:t>
            </w:r>
          </w:p>
        </w:tc>
      </w:tr>
      <w:tr w14:paraId="5E6548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028" w:type="dxa"/>
            <w:gridSpan w:val="3"/>
            <w:vAlign w:val="center"/>
          </w:tcPr>
          <w:p w14:paraId="47B0A2E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六、成交结果信息公布与授予合同</w:t>
            </w:r>
          </w:p>
        </w:tc>
      </w:tr>
      <w:tr w14:paraId="60944B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6E901B7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第二章第37.1款、</w:t>
            </w:r>
          </w:p>
        </w:tc>
        <w:tc>
          <w:tcPr>
            <w:tcW w:w="1905" w:type="dxa"/>
            <w:vAlign w:val="center"/>
          </w:tcPr>
          <w:p w14:paraId="297B0BB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发布媒体</w:t>
            </w:r>
          </w:p>
        </w:tc>
        <w:tc>
          <w:tcPr>
            <w:tcW w:w="5271" w:type="dxa"/>
            <w:vAlign w:val="center"/>
          </w:tcPr>
          <w:p w14:paraId="707C15DB">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长沙市政府采购网</w:t>
            </w:r>
          </w:p>
          <w:p w14:paraId="635F783B">
            <w:pPr>
              <w:adjustRightInd w:val="0"/>
              <w:snapToGrid w:val="0"/>
              <w:spacing w:line="360" w:lineRule="auto"/>
              <w:rPr>
                <w:rFonts w:hint="eastAsia" w:asciiTheme="minorEastAsia" w:hAnsiTheme="minorEastAsia" w:eastAsiaTheme="minorEastAsia" w:cstheme="minorEastAsia"/>
                <w:color w:val="auto"/>
                <w:szCs w:val="21"/>
                <w:highlight w:val="none"/>
                <w:u w:val="single"/>
              </w:rPr>
            </w:pPr>
            <w:r>
              <w:rPr>
                <w:color w:val="auto"/>
                <w:highlight w:val="none"/>
              </w:rPr>
              <w:fldChar w:fldCharType="begin"/>
            </w:r>
            <w:r>
              <w:rPr>
                <w:color w:val="auto"/>
                <w:highlight w:val="none"/>
              </w:rPr>
              <w:instrText xml:space="preserve"> HYPERLINK "http://changs.ccgp-hunan.gov.cn" </w:instrText>
            </w:r>
            <w:r>
              <w:rPr>
                <w:color w:val="auto"/>
                <w:highlight w:val="none"/>
              </w:rPr>
              <w:fldChar w:fldCharType="separate"/>
            </w:r>
            <w:r>
              <w:rPr>
                <w:rStyle w:val="28"/>
                <w:rFonts w:hint="eastAsia" w:asciiTheme="minorEastAsia" w:hAnsiTheme="minorEastAsia" w:eastAsiaTheme="minorEastAsia" w:cstheme="minorEastAsia"/>
                <w:color w:val="auto"/>
                <w:szCs w:val="21"/>
                <w:highlight w:val="none"/>
              </w:rPr>
              <w:t>http://changs.ccgp-hunan.gov.cn</w:t>
            </w:r>
            <w:r>
              <w:rPr>
                <w:rStyle w:val="28"/>
                <w:rFonts w:hint="eastAsia" w:asciiTheme="minorEastAsia" w:hAnsiTheme="minorEastAsia" w:eastAsiaTheme="minorEastAsia" w:cstheme="minorEastAsia"/>
                <w:color w:val="auto"/>
                <w:szCs w:val="21"/>
                <w:highlight w:val="none"/>
              </w:rPr>
              <w:fldChar w:fldCharType="end"/>
            </w:r>
          </w:p>
        </w:tc>
      </w:tr>
      <w:tr w14:paraId="099D78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3410D10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第二章第39.3款</w:t>
            </w:r>
          </w:p>
        </w:tc>
        <w:tc>
          <w:tcPr>
            <w:tcW w:w="1905" w:type="dxa"/>
            <w:vAlign w:val="center"/>
          </w:tcPr>
          <w:p w14:paraId="042EB037">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履约担保</w:t>
            </w:r>
          </w:p>
        </w:tc>
        <w:tc>
          <w:tcPr>
            <w:tcW w:w="5271" w:type="dxa"/>
            <w:vAlign w:val="center"/>
          </w:tcPr>
          <w:p w14:paraId="0E2ADED6">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 xml:space="preserve"> 不要求提供</w:t>
            </w:r>
          </w:p>
          <w:p w14:paraId="1DB37BB4">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要求提供，履约担保的金额为：</w:t>
            </w:r>
            <w:r>
              <w:rPr>
                <w:rFonts w:hint="eastAsia" w:asciiTheme="minorEastAsia" w:hAnsiTheme="minorEastAsia" w:eastAsiaTheme="minorEastAsia" w:cstheme="minorEastAsia"/>
                <w:color w:val="auto"/>
                <w:szCs w:val="21"/>
                <w:highlight w:val="none"/>
                <w:u w:val="single"/>
              </w:rPr>
              <w:t xml:space="preserve">     </w:t>
            </w:r>
          </w:p>
        </w:tc>
      </w:tr>
      <w:tr w14:paraId="6B2F00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9028" w:type="dxa"/>
            <w:gridSpan w:val="3"/>
            <w:vAlign w:val="center"/>
          </w:tcPr>
          <w:p w14:paraId="792713C9">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七、其他规定</w:t>
            </w:r>
          </w:p>
        </w:tc>
      </w:tr>
      <w:tr w14:paraId="2B7D46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852" w:type="dxa"/>
            <w:tcBorders>
              <w:right w:val="single" w:color="auto" w:sz="4" w:space="0"/>
            </w:tcBorders>
            <w:vAlign w:val="center"/>
          </w:tcPr>
          <w:p w14:paraId="052B7499">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第二章第41.1款</w:t>
            </w:r>
          </w:p>
        </w:tc>
        <w:tc>
          <w:tcPr>
            <w:tcW w:w="1905" w:type="dxa"/>
            <w:tcBorders>
              <w:left w:val="single" w:color="auto" w:sz="4" w:space="0"/>
              <w:right w:val="single" w:color="auto" w:sz="4" w:space="0"/>
            </w:tcBorders>
            <w:vAlign w:val="center"/>
          </w:tcPr>
          <w:p w14:paraId="6F24D756">
            <w:pPr>
              <w:adjustRightInd w:val="0"/>
              <w:snapToGrid w:val="0"/>
              <w:spacing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采购代理服务费</w:t>
            </w:r>
          </w:p>
        </w:tc>
        <w:tc>
          <w:tcPr>
            <w:tcW w:w="5271" w:type="dxa"/>
            <w:tcBorders>
              <w:left w:val="single" w:color="auto" w:sz="4" w:space="0"/>
            </w:tcBorders>
            <w:vAlign w:val="center"/>
          </w:tcPr>
          <w:p w14:paraId="73660290">
            <w:pPr>
              <w:adjustRightInd w:val="0"/>
              <w:snapToGrid w:val="0"/>
              <w:spacing w:line="360" w:lineRule="auto"/>
              <w:rPr>
                <w:rFonts w:hint="eastAsia" w:asciiTheme="minorEastAsia" w:hAnsiTheme="minorEastAsia" w:eastAsiaTheme="minorEastAsia" w:cstheme="minorEastAsia"/>
                <w:b/>
                <w:color w:val="auto"/>
                <w:szCs w:val="21"/>
                <w:highlight w:val="none"/>
              </w:rPr>
            </w:pPr>
            <w:bookmarkStart w:id="10" w:name="OLE_LINK6"/>
            <w:r>
              <w:rPr>
                <w:rFonts w:hint="eastAsia" w:asciiTheme="minorEastAsia" w:hAnsiTheme="minorEastAsia" w:eastAsiaTheme="minorEastAsia" w:cstheme="minorEastAsia"/>
                <w:color w:val="auto"/>
                <w:szCs w:val="21"/>
                <w:highlight w:val="none"/>
              </w:rPr>
              <w:t>按委托代理协议约定由成交供应商在领取成交通知书时一次性支付采购代理服务费</w:t>
            </w:r>
            <w:r>
              <w:rPr>
                <w:rFonts w:hint="eastAsia" w:asciiTheme="minorEastAsia" w:hAnsiTheme="minorEastAsia" w:eastAsiaTheme="minorEastAsia" w:cstheme="minorEastAsia"/>
                <w:color w:val="auto"/>
                <w:szCs w:val="21"/>
                <w:highlight w:val="none"/>
                <w:lang w:val="en-US" w:eastAsia="zh-CN"/>
              </w:rPr>
              <w:t>10825</w:t>
            </w:r>
            <w:r>
              <w:rPr>
                <w:rFonts w:hint="eastAsia" w:asciiTheme="minorEastAsia" w:hAnsiTheme="minorEastAsia" w:eastAsiaTheme="minorEastAsia" w:cstheme="minorEastAsia"/>
                <w:color w:val="auto"/>
                <w:szCs w:val="21"/>
                <w:highlight w:val="none"/>
              </w:rPr>
              <w:t>.00元</w:t>
            </w:r>
            <w:r>
              <w:rPr>
                <w:rFonts w:hint="eastAsia" w:ascii="宋体" w:hAnsi="宋体" w:cs="宋体"/>
                <w:color w:val="auto"/>
                <w:szCs w:val="21"/>
                <w:highlight w:val="none"/>
              </w:rPr>
              <w:t>。</w:t>
            </w:r>
            <w:bookmarkEnd w:id="10"/>
          </w:p>
        </w:tc>
      </w:tr>
      <w:tr w14:paraId="43408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852" w:type="dxa"/>
            <w:vAlign w:val="center"/>
          </w:tcPr>
          <w:p w14:paraId="7FF7FE2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第二章第42.1款</w:t>
            </w:r>
          </w:p>
        </w:tc>
        <w:tc>
          <w:tcPr>
            <w:tcW w:w="1905" w:type="dxa"/>
            <w:vAlign w:val="center"/>
          </w:tcPr>
          <w:p w14:paraId="67DF32A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其他规定</w:t>
            </w:r>
          </w:p>
        </w:tc>
        <w:tc>
          <w:tcPr>
            <w:tcW w:w="5271" w:type="dxa"/>
            <w:vAlign w:val="center"/>
          </w:tcPr>
          <w:p w14:paraId="78A63781">
            <w:pPr>
              <w:adjustRightInd w:val="0"/>
              <w:snapToGrid w:val="0"/>
              <w:spacing w:before="156" w:beforeLines="50" w:line="34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对列入失信被执行人、重大税收违法案件当事人名单、政府采购严重违法失信行为记录名单的供应商，应当拒绝其参与采购活动。两个以上的自然人、法人或者其他组织组成一个联合体，以一个供应商的身份共同参加采购活动的，应当对所有联合体成员进行信用记录查询，联合体成员存在不良信用记录的，视同联合体存在不良信用记录。</w:t>
            </w:r>
          </w:p>
          <w:p w14:paraId="1BAC5B1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1、对信用信息查询的查询渠道：信用中国网站（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www.creditchina.gov.cn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www.ccgp.gov.cn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）、湖南信用网（</w:t>
            </w:r>
            <w:r>
              <w:rPr>
                <w:color w:val="auto"/>
                <w:highlight w:val="none"/>
              </w:rPr>
              <w:fldChar w:fldCharType="begin"/>
            </w:r>
            <w:r>
              <w:rPr>
                <w:color w:val="auto"/>
                <w:highlight w:val="none"/>
              </w:rPr>
              <w:instrText xml:space="preserve"> HYPERLINK "http://www.hncredit.gov.cn"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www.hncredit.gov.cn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）、湖南省政府采购网（</w:t>
            </w:r>
            <w:r>
              <w:rPr>
                <w:color w:val="auto"/>
                <w:highlight w:val="none"/>
              </w:rPr>
              <w:fldChar w:fldCharType="begin"/>
            </w:r>
            <w:r>
              <w:rPr>
                <w:color w:val="auto"/>
                <w:highlight w:val="none"/>
              </w:rPr>
              <w:instrText xml:space="preserve"> HYPERLINK "http://www.ccgp-hunan.gov.cn" </w:instrText>
            </w:r>
            <w:r>
              <w:rPr>
                <w:color w:val="auto"/>
                <w:highlight w:val="none"/>
              </w:rPr>
              <w:fldChar w:fldCharType="separate"/>
            </w:r>
            <w:r>
              <w:rPr>
                <w:rFonts w:hint="eastAsia" w:asciiTheme="minorEastAsia" w:hAnsiTheme="minorEastAsia" w:eastAsiaTheme="minorEastAsia" w:cstheme="minorEastAsia"/>
                <w:color w:val="auto"/>
                <w:szCs w:val="21"/>
                <w:highlight w:val="none"/>
              </w:rPr>
              <w:t>www.ccgp-hunan.gov.cn</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p>
          <w:p w14:paraId="3E2EFAFD">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2、信用信息查询的截止时间：至本项目提交响应文件截止时间止。</w:t>
            </w:r>
          </w:p>
          <w:p w14:paraId="2B5F84E4">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3、信用信息查询记录的具体方式：采购人或采购代理机构在开标前，在规定的查询渠道进行查询。</w:t>
            </w:r>
          </w:p>
          <w:p w14:paraId="0A79F586">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信用信息查询记录证据留存的具体方式：查询记录的网上打印件。</w:t>
            </w:r>
          </w:p>
          <w:p w14:paraId="03CCCF3B">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4、信用信息查询记录证据留存的具体方式：查询记录的网上打印件。</w:t>
            </w:r>
          </w:p>
          <w:p w14:paraId="6336AABA">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5、信用信息的使用规则：查询后交由磋商小组评定。</w:t>
            </w:r>
          </w:p>
        </w:tc>
      </w:tr>
    </w:tbl>
    <w:p w14:paraId="1D71C9CF">
      <w:pPr>
        <w:rPr>
          <w:rFonts w:hint="eastAsia" w:asciiTheme="minorEastAsia" w:hAnsiTheme="minorEastAsia" w:eastAsiaTheme="minorEastAsia" w:cstheme="minorEastAsia"/>
          <w:color w:val="auto"/>
          <w:sz w:val="24"/>
          <w:highlight w:val="none"/>
        </w:rPr>
      </w:pPr>
    </w:p>
    <w:p w14:paraId="3157C53E">
      <w:pPr>
        <w:rPr>
          <w:rFonts w:hint="eastAsia" w:asciiTheme="minorEastAsia" w:hAnsiTheme="minorEastAsia" w:eastAsiaTheme="minorEastAsia" w:cstheme="minorEastAsia"/>
          <w:color w:val="auto"/>
          <w:sz w:val="24"/>
          <w:highlight w:val="none"/>
        </w:rPr>
      </w:pPr>
    </w:p>
    <w:p w14:paraId="0F36BA76">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br w:type="page"/>
      </w:r>
      <w:r>
        <w:rPr>
          <w:rFonts w:hint="eastAsia" w:asciiTheme="minorEastAsia" w:hAnsiTheme="minorEastAsia" w:eastAsiaTheme="minorEastAsia" w:cstheme="minorEastAsia"/>
          <w:b/>
          <w:bCs/>
          <w:color w:val="auto"/>
          <w:szCs w:val="21"/>
          <w:highlight w:val="none"/>
        </w:rPr>
        <w:t>附页1</w:t>
      </w:r>
    </w:p>
    <w:p w14:paraId="419BF9AA">
      <w:pPr>
        <w:adjustRightInd w:val="0"/>
        <w:snapToGrid w:val="0"/>
        <w:spacing w:line="36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rPr>
        <w:t>湖南省政府采购支持中小</w:t>
      </w:r>
      <w:r>
        <w:rPr>
          <w:rFonts w:hint="eastAsia" w:asciiTheme="minorEastAsia" w:hAnsiTheme="minorEastAsia" w:eastAsiaTheme="minorEastAsia" w:cstheme="minorEastAsia"/>
          <w:b/>
          <w:bCs/>
          <w:color w:val="auto"/>
          <w:kern w:val="0"/>
          <w:sz w:val="28"/>
          <w:szCs w:val="28"/>
          <w:highlight w:val="none"/>
          <w:lang w:eastAsia="zh-Hans"/>
        </w:rPr>
        <w:t>微</w:t>
      </w:r>
      <w:r>
        <w:rPr>
          <w:rFonts w:hint="eastAsia" w:asciiTheme="minorEastAsia" w:hAnsiTheme="minorEastAsia" w:eastAsiaTheme="minorEastAsia" w:cstheme="minorEastAsia"/>
          <w:b/>
          <w:bCs/>
          <w:color w:val="auto"/>
          <w:kern w:val="0"/>
          <w:sz w:val="28"/>
          <w:szCs w:val="28"/>
          <w:highlight w:val="none"/>
        </w:rPr>
        <w:t>企业融资合作银行及联系人名单</w:t>
      </w:r>
    </w:p>
    <w:tbl>
      <w:tblPr>
        <w:tblStyle w:val="23"/>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080"/>
        <w:gridCol w:w="3060"/>
        <w:gridCol w:w="2340"/>
      </w:tblGrid>
      <w:tr w14:paraId="225A5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700" w:type="dxa"/>
            <w:vAlign w:val="center"/>
          </w:tcPr>
          <w:p w14:paraId="17C5BC76">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kern w:val="0"/>
                <w:szCs w:val="21"/>
                <w:highlight w:val="none"/>
              </w:rPr>
              <w:t>银行名称</w:t>
            </w:r>
          </w:p>
        </w:tc>
        <w:tc>
          <w:tcPr>
            <w:tcW w:w="1080" w:type="dxa"/>
            <w:vAlign w:val="center"/>
          </w:tcPr>
          <w:p w14:paraId="17DBBC35">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kern w:val="0"/>
                <w:szCs w:val="21"/>
                <w:highlight w:val="none"/>
              </w:rPr>
              <w:t>联系人</w:t>
            </w:r>
          </w:p>
        </w:tc>
        <w:tc>
          <w:tcPr>
            <w:tcW w:w="3060" w:type="dxa"/>
            <w:vAlign w:val="center"/>
          </w:tcPr>
          <w:p w14:paraId="63CFFFB7">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kern w:val="0"/>
                <w:szCs w:val="21"/>
                <w:highlight w:val="none"/>
              </w:rPr>
              <w:t>职 务</w:t>
            </w:r>
          </w:p>
        </w:tc>
        <w:tc>
          <w:tcPr>
            <w:tcW w:w="2340" w:type="dxa"/>
            <w:vAlign w:val="center"/>
          </w:tcPr>
          <w:p w14:paraId="3D91EDBE">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kern w:val="0"/>
                <w:szCs w:val="21"/>
                <w:highlight w:val="none"/>
              </w:rPr>
              <w:t>联系电话</w:t>
            </w:r>
          </w:p>
        </w:tc>
      </w:tr>
      <w:tr w14:paraId="185104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vAlign w:val="center"/>
          </w:tcPr>
          <w:p w14:paraId="7F0EAFCD">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交通银行湖南省分行</w:t>
            </w:r>
          </w:p>
        </w:tc>
        <w:tc>
          <w:tcPr>
            <w:tcW w:w="1080" w:type="dxa"/>
            <w:vAlign w:val="center"/>
          </w:tcPr>
          <w:p w14:paraId="717B562A">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刘  波</w:t>
            </w:r>
          </w:p>
        </w:tc>
        <w:tc>
          <w:tcPr>
            <w:tcW w:w="3060" w:type="dxa"/>
            <w:vAlign w:val="center"/>
          </w:tcPr>
          <w:p w14:paraId="23A56B7E">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名城支行客户经理</w:t>
            </w:r>
          </w:p>
        </w:tc>
        <w:tc>
          <w:tcPr>
            <w:tcW w:w="2340" w:type="dxa"/>
            <w:vAlign w:val="center"/>
          </w:tcPr>
          <w:p w14:paraId="1C197959">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13874998873</w:t>
            </w:r>
          </w:p>
        </w:tc>
      </w:tr>
      <w:tr w14:paraId="2F894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700" w:type="dxa"/>
            <w:vAlign w:val="center"/>
          </w:tcPr>
          <w:p w14:paraId="771833B0">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交通银行湖南省分行</w:t>
            </w:r>
          </w:p>
        </w:tc>
        <w:tc>
          <w:tcPr>
            <w:tcW w:w="1080" w:type="dxa"/>
            <w:vAlign w:val="center"/>
          </w:tcPr>
          <w:p w14:paraId="7683CEA3">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肖勇光</w:t>
            </w:r>
          </w:p>
        </w:tc>
        <w:tc>
          <w:tcPr>
            <w:tcW w:w="3060" w:type="dxa"/>
            <w:vAlign w:val="center"/>
          </w:tcPr>
          <w:p w14:paraId="399B2C0A">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分行高级经理</w:t>
            </w:r>
          </w:p>
        </w:tc>
        <w:tc>
          <w:tcPr>
            <w:tcW w:w="2340" w:type="dxa"/>
            <w:vAlign w:val="center"/>
          </w:tcPr>
          <w:p w14:paraId="10F559F9">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13755192647</w:t>
            </w:r>
          </w:p>
        </w:tc>
      </w:tr>
      <w:tr w14:paraId="55F4B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4156CF51">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中国民生银行长沙分行</w:t>
            </w:r>
          </w:p>
        </w:tc>
        <w:tc>
          <w:tcPr>
            <w:tcW w:w="1080" w:type="dxa"/>
            <w:vAlign w:val="center"/>
          </w:tcPr>
          <w:p w14:paraId="3A5C3B21">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黄飞燕</w:t>
            </w:r>
          </w:p>
        </w:tc>
        <w:tc>
          <w:tcPr>
            <w:tcW w:w="3060" w:type="dxa"/>
            <w:vAlign w:val="center"/>
          </w:tcPr>
          <w:p w14:paraId="7F553F9F">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营业部总经理</w:t>
            </w:r>
          </w:p>
        </w:tc>
        <w:tc>
          <w:tcPr>
            <w:tcW w:w="2340" w:type="dxa"/>
            <w:vAlign w:val="center"/>
          </w:tcPr>
          <w:p w14:paraId="0476A06A">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13308463468</w:t>
            </w:r>
          </w:p>
        </w:tc>
      </w:tr>
      <w:tr w14:paraId="4BCD2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28A2CE76">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中国民生银行长沙分行</w:t>
            </w:r>
          </w:p>
        </w:tc>
        <w:tc>
          <w:tcPr>
            <w:tcW w:w="1080" w:type="dxa"/>
            <w:vAlign w:val="center"/>
          </w:tcPr>
          <w:p w14:paraId="08D74D2D">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蒋寒奇</w:t>
            </w:r>
          </w:p>
        </w:tc>
        <w:tc>
          <w:tcPr>
            <w:tcW w:w="3060" w:type="dxa"/>
            <w:vAlign w:val="center"/>
          </w:tcPr>
          <w:p w14:paraId="46B875B0">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营业部中小企业客户经理</w:t>
            </w:r>
          </w:p>
        </w:tc>
        <w:tc>
          <w:tcPr>
            <w:tcW w:w="2340" w:type="dxa"/>
            <w:vAlign w:val="center"/>
          </w:tcPr>
          <w:p w14:paraId="2D87BF93">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13548982975</w:t>
            </w:r>
          </w:p>
        </w:tc>
      </w:tr>
      <w:tr w14:paraId="4868F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2700" w:type="dxa"/>
            <w:vAlign w:val="center"/>
          </w:tcPr>
          <w:p w14:paraId="195E9720">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兴业银行长沙分行</w:t>
            </w:r>
          </w:p>
        </w:tc>
        <w:tc>
          <w:tcPr>
            <w:tcW w:w="1080" w:type="dxa"/>
            <w:vAlign w:val="center"/>
          </w:tcPr>
          <w:p w14:paraId="5CD86676">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刘栅延</w:t>
            </w:r>
          </w:p>
        </w:tc>
        <w:tc>
          <w:tcPr>
            <w:tcW w:w="3060" w:type="dxa"/>
            <w:vAlign w:val="center"/>
          </w:tcPr>
          <w:p w14:paraId="74DFB3C7">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支行行长</w:t>
            </w:r>
          </w:p>
        </w:tc>
        <w:tc>
          <w:tcPr>
            <w:tcW w:w="2340" w:type="dxa"/>
            <w:vAlign w:val="center"/>
          </w:tcPr>
          <w:p w14:paraId="4500BD3F">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13337316405</w:t>
            </w:r>
          </w:p>
        </w:tc>
      </w:tr>
      <w:tr w14:paraId="0A1E6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2700" w:type="dxa"/>
            <w:vAlign w:val="center"/>
          </w:tcPr>
          <w:p w14:paraId="7F26E38C">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兴业银行长沙分行</w:t>
            </w:r>
          </w:p>
        </w:tc>
        <w:tc>
          <w:tcPr>
            <w:tcW w:w="1080" w:type="dxa"/>
            <w:vAlign w:val="center"/>
          </w:tcPr>
          <w:p w14:paraId="11F46A6C">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蒋修远</w:t>
            </w:r>
          </w:p>
        </w:tc>
        <w:tc>
          <w:tcPr>
            <w:tcW w:w="3060" w:type="dxa"/>
            <w:vAlign w:val="center"/>
          </w:tcPr>
          <w:p w14:paraId="68A36EC0">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支行客户经理</w:t>
            </w:r>
          </w:p>
        </w:tc>
        <w:tc>
          <w:tcPr>
            <w:tcW w:w="2340" w:type="dxa"/>
            <w:vAlign w:val="center"/>
          </w:tcPr>
          <w:p w14:paraId="60DC9A75">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18607310422</w:t>
            </w:r>
          </w:p>
        </w:tc>
      </w:tr>
      <w:tr w14:paraId="26A01E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2700" w:type="dxa"/>
            <w:vAlign w:val="center"/>
          </w:tcPr>
          <w:p w14:paraId="4C005E53">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中国光大银行长沙分行</w:t>
            </w:r>
          </w:p>
        </w:tc>
        <w:tc>
          <w:tcPr>
            <w:tcW w:w="1080" w:type="dxa"/>
            <w:vAlign w:val="center"/>
          </w:tcPr>
          <w:p w14:paraId="452F7CBB">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邓永胜</w:t>
            </w:r>
          </w:p>
        </w:tc>
        <w:tc>
          <w:tcPr>
            <w:tcW w:w="3060" w:type="dxa"/>
            <w:vAlign w:val="center"/>
          </w:tcPr>
          <w:p w14:paraId="49D0DEF6">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岳麓支行副行长</w:t>
            </w:r>
          </w:p>
        </w:tc>
        <w:tc>
          <w:tcPr>
            <w:tcW w:w="2340" w:type="dxa"/>
            <w:vAlign w:val="center"/>
          </w:tcPr>
          <w:p w14:paraId="6D0652B7">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13617319650</w:t>
            </w:r>
          </w:p>
        </w:tc>
      </w:tr>
      <w:tr w14:paraId="63A1AB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2700" w:type="dxa"/>
            <w:vAlign w:val="center"/>
          </w:tcPr>
          <w:p w14:paraId="67ACF3F1">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中信银行长沙分行</w:t>
            </w:r>
          </w:p>
        </w:tc>
        <w:tc>
          <w:tcPr>
            <w:tcW w:w="1080" w:type="dxa"/>
            <w:vAlign w:val="center"/>
          </w:tcPr>
          <w:p w14:paraId="711758FD">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蔡学军</w:t>
            </w:r>
          </w:p>
        </w:tc>
        <w:tc>
          <w:tcPr>
            <w:tcW w:w="3060" w:type="dxa"/>
            <w:vAlign w:val="center"/>
          </w:tcPr>
          <w:p w14:paraId="27BDC617">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公司银行部负责人</w:t>
            </w:r>
          </w:p>
        </w:tc>
        <w:tc>
          <w:tcPr>
            <w:tcW w:w="2340" w:type="dxa"/>
            <w:vAlign w:val="center"/>
          </w:tcPr>
          <w:p w14:paraId="366534A7">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13055167195</w:t>
            </w:r>
          </w:p>
        </w:tc>
      </w:tr>
      <w:tr w14:paraId="3AF8CB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700" w:type="dxa"/>
            <w:vAlign w:val="center"/>
          </w:tcPr>
          <w:p w14:paraId="4C398C39">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中信银行长沙分行</w:t>
            </w:r>
          </w:p>
        </w:tc>
        <w:tc>
          <w:tcPr>
            <w:tcW w:w="1080" w:type="dxa"/>
            <w:vAlign w:val="center"/>
          </w:tcPr>
          <w:p w14:paraId="56C53F92">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宋学农</w:t>
            </w:r>
          </w:p>
        </w:tc>
        <w:tc>
          <w:tcPr>
            <w:tcW w:w="3060" w:type="dxa"/>
            <w:vAlign w:val="center"/>
          </w:tcPr>
          <w:p w14:paraId="6824AE36">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银行部综合管理部副总经理</w:t>
            </w:r>
          </w:p>
        </w:tc>
        <w:tc>
          <w:tcPr>
            <w:tcW w:w="2340" w:type="dxa"/>
            <w:vAlign w:val="center"/>
          </w:tcPr>
          <w:p w14:paraId="623C3637">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0731-845822141</w:t>
            </w:r>
          </w:p>
        </w:tc>
      </w:tr>
    </w:tbl>
    <w:p w14:paraId="75AB6532">
      <w:pPr>
        <w:pStyle w:val="22"/>
        <w:ind w:left="0" w:leftChars="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长沙市政府采购支持中小</w:t>
      </w:r>
      <w:r>
        <w:rPr>
          <w:rFonts w:hint="eastAsia" w:asciiTheme="minorEastAsia" w:hAnsiTheme="minorEastAsia" w:eastAsiaTheme="minorEastAsia" w:cstheme="minorEastAsia"/>
          <w:b/>
          <w:bCs/>
          <w:color w:val="auto"/>
          <w:sz w:val="28"/>
          <w:szCs w:val="28"/>
          <w:highlight w:val="none"/>
          <w:lang w:eastAsia="zh-Hans"/>
        </w:rPr>
        <w:t>微</w:t>
      </w:r>
      <w:r>
        <w:rPr>
          <w:rFonts w:hint="eastAsia" w:asciiTheme="minorEastAsia" w:hAnsiTheme="minorEastAsia" w:eastAsiaTheme="minorEastAsia" w:cstheme="minorEastAsia"/>
          <w:b/>
          <w:bCs/>
          <w:color w:val="auto"/>
          <w:sz w:val="28"/>
          <w:szCs w:val="28"/>
          <w:highlight w:val="none"/>
        </w:rPr>
        <w:t>企业融资合作银行及联系人名单</w:t>
      </w:r>
    </w:p>
    <w:tbl>
      <w:tblPr>
        <w:tblStyle w:val="23"/>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9"/>
        <w:gridCol w:w="1155"/>
        <w:gridCol w:w="3285"/>
        <w:gridCol w:w="2601"/>
      </w:tblGrid>
      <w:tr w14:paraId="36E8E7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2139" w:type="dxa"/>
            <w:vAlign w:val="center"/>
          </w:tcPr>
          <w:p w14:paraId="4B5620D4">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银行名称</w:t>
            </w:r>
          </w:p>
        </w:tc>
        <w:tc>
          <w:tcPr>
            <w:tcW w:w="1155" w:type="dxa"/>
            <w:vAlign w:val="center"/>
          </w:tcPr>
          <w:p w14:paraId="423653FC">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联系人</w:t>
            </w:r>
          </w:p>
        </w:tc>
        <w:tc>
          <w:tcPr>
            <w:tcW w:w="3285" w:type="dxa"/>
            <w:vAlign w:val="center"/>
          </w:tcPr>
          <w:p w14:paraId="3940C4C3">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职 务</w:t>
            </w:r>
          </w:p>
        </w:tc>
        <w:tc>
          <w:tcPr>
            <w:tcW w:w="2601" w:type="dxa"/>
            <w:vAlign w:val="center"/>
          </w:tcPr>
          <w:p w14:paraId="04C93AFE">
            <w:pPr>
              <w:adjustRightInd w:val="0"/>
              <w:snapToGrid w:val="0"/>
              <w:spacing w:before="156" w:beforeLines="50" w:line="36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联系电话</w:t>
            </w:r>
          </w:p>
        </w:tc>
      </w:tr>
      <w:tr w14:paraId="0CA937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39" w:type="dxa"/>
            <w:vAlign w:val="center"/>
          </w:tcPr>
          <w:p w14:paraId="1FF4FA8D">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交通银行湖南省分行</w:t>
            </w:r>
          </w:p>
        </w:tc>
        <w:tc>
          <w:tcPr>
            <w:tcW w:w="1155" w:type="dxa"/>
            <w:vAlign w:val="center"/>
          </w:tcPr>
          <w:p w14:paraId="143CAD5F">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谢俊峰</w:t>
            </w:r>
          </w:p>
        </w:tc>
        <w:tc>
          <w:tcPr>
            <w:tcW w:w="3285" w:type="dxa"/>
            <w:vAlign w:val="center"/>
          </w:tcPr>
          <w:p w14:paraId="76D3C730">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湘江中路支行公司业务管理经理</w:t>
            </w:r>
          </w:p>
        </w:tc>
        <w:tc>
          <w:tcPr>
            <w:tcW w:w="2601" w:type="dxa"/>
            <w:vAlign w:val="center"/>
          </w:tcPr>
          <w:p w14:paraId="358D66B0">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84919503；13687320956</w:t>
            </w:r>
          </w:p>
        </w:tc>
      </w:tr>
      <w:tr w14:paraId="7F2A0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139" w:type="dxa"/>
            <w:vAlign w:val="center"/>
          </w:tcPr>
          <w:p w14:paraId="52BB0B6A">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光大银行长沙分行</w:t>
            </w:r>
          </w:p>
        </w:tc>
        <w:tc>
          <w:tcPr>
            <w:tcW w:w="1155" w:type="dxa"/>
            <w:vAlign w:val="center"/>
          </w:tcPr>
          <w:p w14:paraId="6CB1D32C">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唐红英</w:t>
            </w:r>
          </w:p>
        </w:tc>
        <w:tc>
          <w:tcPr>
            <w:tcW w:w="3285" w:type="dxa"/>
            <w:vAlign w:val="center"/>
          </w:tcPr>
          <w:p w14:paraId="7CFF2DE0">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溁湾支行行长</w:t>
            </w:r>
          </w:p>
        </w:tc>
        <w:tc>
          <w:tcPr>
            <w:tcW w:w="2601" w:type="dxa"/>
            <w:vAlign w:val="center"/>
          </w:tcPr>
          <w:p w14:paraId="648FE3FB">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89907253；18673166920</w:t>
            </w:r>
          </w:p>
        </w:tc>
      </w:tr>
      <w:tr w14:paraId="3B3A06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139" w:type="dxa"/>
            <w:vAlign w:val="center"/>
          </w:tcPr>
          <w:p w14:paraId="0B3D7893">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建设银行湖南省分行</w:t>
            </w:r>
          </w:p>
        </w:tc>
        <w:tc>
          <w:tcPr>
            <w:tcW w:w="1155" w:type="dxa"/>
            <w:vAlign w:val="center"/>
          </w:tcPr>
          <w:p w14:paraId="504748B0">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颜国恒</w:t>
            </w:r>
          </w:p>
        </w:tc>
        <w:tc>
          <w:tcPr>
            <w:tcW w:w="3285" w:type="dxa"/>
            <w:vAlign w:val="center"/>
          </w:tcPr>
          <w:p w14:paraId="59BC64FF">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芙蓉中路支行</w:t>
            </w:r>
          </w:p>
        </w:tc>
        <w:tc>
          <w:tcPr>
            <w:tcW w:w="2601" w:type="dxa"/>
            <w:vAlign w:val="center"/>
          </w:tcPr>
          <w:p w14:paraId="2B7B7B68">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88665238；13574801920</w:t>
            </w:r>
          </w:p>
        </w:tc>
      </w:tr>
      <w:tr w14:paraId="36B2A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139" w:type="dxa"/>
            <w:vAlign w:val="center"/>
          </w:tcPr>
          <w:p w14:paraId="3C151535">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农业银行湖南省分行</w:t>
            </w:r>
          </w:p>
        </w:tc>
        <w:tc>
          <w:tcPr>
            <w:tcW w:w="1155" w:type="dxa"/>
            <w:vAlign w:val="center"/>
          </w:tcPr>
          <w:p w14:paraId="0FDB6008">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李 宁</w:t>
            </w:r>
          </w:p>
        </w:tc>
        <w:tc>
          <w:tcPr>
            <w:tcW w:w="3285" w:type="dxa"/>
            <w:vAlign w:val="center"/>
          </w:tcPr>
          <w:p w14:paraId="6DFFDB36">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天心区支行副行长</w:t>
            </w:r>
          </w:p>
        </w:tc>
        <w:tc>
          <w:tcPr>
            <w:tcW w:w="2601" w:type="dxa"/>
            <w:vAlign w:val="center"/>
          </w:tcPr>
          <w:p w14:paraId="0B898B53">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85114839；13975813058</w:t>
            </w:r>
          </w:p>
        </w:tc>
      </w:tr>
      <w:tr w14:paraId="226FE3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139" w:type="dxa"/>
            <w:vAlign w:val="center"/>
          </w:tcPr>
          <w:p w14:paraId="7ECDC3E1">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中国银行湖南省分行</w:t>
            </w:r>
          </w:p>
        </w:tc>
        <w:tc>
          <w:tcPr>
            <w:tcW w:w="1155" w:type="dxa"/>
            <w:vAlign w:val="center"/>
          </w:tcPr>
          <w:p w14:paraId="36E0934A">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刘 毅</w:t>
            </w:r>
          </w:p>
        </w:tc>
        <w:tc>
          <w:tcPr>
            <w:tcW w:w="3285" w:type="dxa"/>
            <w:vAlign w:val="center"/>
          </w:tcPr>
          <w:p w14:paraId="607F3DCC">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丽臣路支行行长</w:t>
            </w:r>
          </w:p>
        </w:tc>
        <w:tc>
          <w:tcPr>
            <w:tcW w:w="2601" w:type="dxa"/>
            <w:vAlign w:val="center"/>
          </w:tcPr>
          <w:p w14:paraId="0C7292A1">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82741897；13808436058</w:t>
            </w:r>
          </w:p>
        </w:tc>
      </w:tr>
      <w:tr w14:paraId="1AC4B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2139" w:type="dxa"/>
            <w:vAlign w:val="center"/>
          </w:tcPr>
          <w:p w14:paraId="3989140F">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长沙银行</w:t>
            </w:r>
          </w:p>
        </w:tc>
        <w:tc>
          <w:tcPr>
            <w:tcW w:w="1155" w:type="dxa"/>
            <w:vAlign w:val="center"/>
          </w:tcPr>
          <w:p w14:paraId="5AD3460F">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廖 科</w:t>
            </w:r>
          </w:p>
        </w:tc>
        <w:tc>
          <w:tcPr>
            <w:tcW w:w="3285" w:type="dxa"/>
            <w:vAlign w:val="center"/>
          </w:tcPr>
          <w:p w14:paraId="763399A5">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金城支行公司业务部总经理</w:t>
            </w:r>
          </w:p>
        </w:tc>
        <w:tc>
          <w:tcPr>
            <w:tcW w:w="2601" w:type="dxa"/>
            <w:vAlign w:val="center"/>
          </w:tcPr>
          <w:p w14:paraId="349A33DF">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84413595；13707319275</w:t>
            </w:r>
          </w:p>
        </w:tc>
      </w:tr>
      <w:tr w14:paraId="1050DD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0" w:hRule="atLeast"/>
        </w:trPr>
        <w:tc>
          <w:tcPr>
            <w:tcW w:w="2139" w:type="dxa"/>
            <w:vAlign w:val="center"/>
          </w:tcPr>
          <w:p w14:paraId="08EA5199">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邮政银行长沙分行</w:t>
            </w:r>
          </w:p>
        </w:tc>
        <w:tc>
          <w:tcPr>
            <w:tcW w:w="1155" w:type="dxa"/>
            <w:vAlign w:val="center"/>
          </w:tcPr>
          <w:p w14:paraId="20490F69">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严春燕</w:t>
            </w:r>
          </w:p>
        </w:tc>
        <w:tc>
          <w:tcPr>
            <w:tcW w:w="3285" w:type="dxa"/>
            <w:vAlign w:val="center"/>
          </w:tcPr>
          <w:p w14:paraId="2DE0E4CB">
            <w:pPr>
              <w:adjustRightInd w:val="0"/>
              <w:snapToGrid w:val="0"/>
              <w:spacing w:before="156" w:beforeLines="50"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岳麓支行副行长</w:t>
            </w:r>
          </w:p>
        </w:tc>
        <w:tc>
          <w:tcPr>
            <w:tcW w:w="2601" w:type="dxa"/>
            <w:vAlign w:val="center"/>
          </w:tcPr>
          <w:p w14:paraId="27B61BAF">
            <w:pPr>
              <w:adjustRightInd w:val="0"/>
              <w:snapToGrid w:val="0"/>
              <w:spacing w:before="156" w:beforeLines="50"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85579459；13875864330</w:t>
            </w:r>
          </w:p>
        </w:tc>
      </w:tr>
    </w:tbl>
    <w:p w14:paraId="094FF697">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br w:type="page"/>
      </w:r>
      <w:r>
        <w:rPr>
          <w:rFonts w:hint="eastAsia" w:asciiTheme="minorEastAsia" w:hAnsiTheme="minorEastAsia" w:eastAsiaTheme="minorEastAsia" w:cstheme="minorEastAsia"/>
          <w:b/>
          <w:bCs/>
          <w:color w:val="auto"/>
          <w:szCs w:val="21"/>
          <w:highlight w:val="none"/>
        </w:rPr>
        <w:t>附页2</w:t>
      </w:r>
    </w:p>
    <w:p w14:paraId="5BB3B135">
      <w:pPr>
        <w:adjustRightInd w:val="0"/>
        <w:snapToGrid w:val="0"/>
        <w:spacing w:line="360" w:lineRule="auto"/>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rPr>
        <w:t>湖南省政府采购信用担保试点工作的</w:t>
      </w:r>
      <w:r>
        <w:rPr>
          <w:rFonts w:hint="eastAsia" w:asciiTheme="minorEastAsia" w:hAnsiTheme="minorEastAsia" w:eastAsiaTheme="minorEastAsia" w:cstheme="minorEastAsia"/>
          <w:b/>
          <w:color w:val="auto"/>
          <w:sz w:val="28"/>
          <w:szCs w:val="28"/>
          <w:highlight w:val="none"/>
        </w:rPr>
        <w:t>信用担保机构名单</w:t>
      </w:r>
    </w:p>
    <w:tbl>
      <w:tblPr>
        <w:tblStyle w:val="23"/>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780"/>
      </w:tblGrid>
      <w:tr w14:paraId="547C7A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4320" w:type="dxa"/>
            <w:vAlign w:val="center"/>
          </w:tcPr>
          <w:p w14:paraId="17A21A7E">
            <w:pPr>
              <w:adjustRightInd w:val="0"/>
              <w:snapToGrid w:val="0"/>
              <w:spacing w:line="2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rPr>
              <w:t>信用担保机构</w:t>
            </w:r>
          </w:p>
        </w:tc>
        <w:tc>
          <w:tcPr>
            <w:tcW w:w="1080" w:type="dxa"/>
            <w:vAlign w:val="center"/>
          </w:tcPr>
          <w:p w14:paraId="40DF1E41">
            <w:pPr>
              <w:adjustRightInd w:val="0"/>
              <w:snapToGrid w:val="0"/>
              <w:spacing w:line="2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rPr>
              <w:t>联系人</w:t>
            </w:r>
          </w:p>
        </w:tc>
        <w:tc>
          <w:tcPr>
            <w:tcW w:w="3780" w:type="dxa"/>
            <w:vAlign w:val="center"/>
          </w:tcPr>
          <w:p w14:paraId="4A986C38">
            <w:pPr>
              <w:adjustRightInd w:val="0"/>
              <w:snapToGrid w:val="0"/>
              <w:spacing w:line="240" w:lineRule="exact"/>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rPr>
              <w:t>联系电话</w:t>
            </w:r>
          </w:p>
        </w:tc>
      </w:tr>
      <w:tr w14:paraId="15A12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4320" w:type="dxa"/>
            <w:vAlign w:val="center"/>
          </w:tcPr>
          <w:p w14:paraId="46768E19">
            <w:pPr>
              <w:adjustRightInd w:val="0"/>
              <w:snapToGrid w:val="0"/>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中国投资担保公司</w:t>
            </w:r>
          </w:p>
        </w:tc>
        <w:tc>
          <w:tcPr>
            <w:tcW w:w="1080" w:type="dxa"/>
            <w:vAlign w:val="center"/>
          </w:tcPr>
          <w:p w14:paraId="4D36403B">
            <w:pPr>
              <w:adjustRightInd w:val="0"/>
              <w:snapToGrid w:val="0"/>
              <w:spacing w:line="360" w:lineRule="auto"/>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何  嘉</w:t>
            </w:r>
          </w:p>
        </w:tc>
        <w:tc>
          <w:tcPr>
            <w:tcW w:w="3780" w:type="dxa"/>
            <w:vAlign w:val="center"/>
          </w:tcPr>
          <w:p w14:paraId="354AE788">
            <w:pPr>
              <w:adjustRightInd w:val="0"/>
              <w:snapToGrid w:val="0"/>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010-88822659/13718642233</w:t>
            </w:r>
          </w:p>
        </w:tc>
      </w:tr>
      <w:tr w14:paraId="3C92C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320" w:type="dxa"/>
            <w:vAlign w:val="center"/>
          </w:tcPr>
          <w:p w14:paraId="6344E50C">
            <w:pPr>
              <w:adjustRightInd w:val="0"/>
              <w:snapToGrid w:val="0"/>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湖南省中小企业信用担保有限责任公司</w:t>
            </w:r>
          </w:p>
        </w:tc>
        <w:tc>
          <w:tcPr>
            <w:tcW w:w="1080" w:type="dxa"/>
            <w:vAlign w:val="center"/>
          </w:tcPr>
          <w:p w14:paraId="6513E79B">
            <w:pPr>
              <w:adjustRightInd w:val="0"/>
              <w:snapToGrid w:val="0"/>
              <w:spacing w:line="360" w:lineRule="auto"/>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蔡建雄</w:t>
            </w:r>
          </w:p>
        </w:tc>
        <w:tc>
          <w:tcPr>
            <w:tcW w:w="3780" w:type="dxa"/>
            <w:vAlign w:val="center"/>
          </w:tcPr>
          <w:p w14:paraId="47A914E0">
            <w:pPr>
              <w:adjustRightInd w:val="0"/>
              <w:snapToGrid w:val="0"/>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0731-84172390-201/15573193555</w:t>
            </w:r>
          </w:p>
        </w:tc>
      </w:tr>
      <w:tr w14:paraId="3EE27F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trPr>
        <w:tc>
          <w:tcPr>
            <w:tcW w:w="4320" w:type="dxa"/>
            <w:vAlign w:val="center"/>
          </w:tcPr>
          <w:p w14:paraId="6501E400">
            <w:pPr>
              <w:adjustRightInd w:val="0"/>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湖南农业信用担保有限公司</w:t>
            </w:r>
          </w:p>
        </w:tc>
        <w:tc>
          <w:tcPr>
            <w:tcW w:w="1080" w:type="dxa"/>
            <w:vAlign w:val="center"/>
          </w:tcPr>
          <w:p w14:paraId="1494C22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彭  球</w:t>
            </w:r>
          </w:p>
          <w:p w14:paraId="29E8DFBB">
            <w:pPr>
              <w:adjustRightInd w:val="0"/>
              <w:snapToGrid w:val="0"/>
              <w:spacing w:line="360" w:lineRule="auto"/>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邓霞英</w:t>
            </w:r>
          </w:p>
        </w:tc>
        <w:tc>
          <w:tcPr>
            <w:tcW w:w="3780" w:type="dxa"/>
            <w:vAlign w:val="center"/>
          </w:tcPr>
          <w:p w14:paraId="65DBDE0D">
            <w:pPr>
              <w:adjustRightInd w:val="0"/>
              <w:snapToGrid w:val="0"/>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0731-89761702/13875980906 0731-89761706/13574125851</w:t>
            </w:r>
          </w:p>
        </w:tc>
      </w:tr>
    </w:tbl>
    <w:p w14:paraId="52D03BD1">
      <w:pPr>
        <w:adjustRightInd w:val="0"/>
        <w:snapToGrid w:val="0"/>
        <w:spacing w:line="360" w:lineRule="auto"/>
        <w:rPr>
          <w:rFonts w:hint="eastAsia" w:asciiTheme="minorEastAsia" w:hAnsiTheme="minorEastAsia" w:eastAsiaTheme="minorEastAsia" w:cstheme="minorEastAsia"/>
          <w:b/>
          <w:color w:val="auto"/>
          <w:szCs w:val="21"/>
          <w:highlight w:val="none"/>
        </w:rPr>
        <w:sectPr>
          <w:footerReference r:id="rId6" w:type="default"/>
          <w:pgSz w:w="11906" w:h="16838"/>
          <w:pgMar w:top="1440" w:right="1179" w:bottom="1440" w:left="1179" w:header="851" w:footer="992" w:gutter="0"/>
          <w:pgNumType w:start="1"/>
          <w:cols w:space="720" w:num="1"/>
          <w:docGrid w:type="lines" w:linePitch="312" w:charSpace="0"/>
        </w:sectPr>
      </w:pPr>
    </w:p>
    <w:p w14:paraId="7E0D9CB1">
      <w:pPr>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附页3    </w:t>
      </w:r>
    </w:p>
    <w:p w14:paraId="6B411C19">
      <w:pPr>
        <w:adjustRightInd w:val="0"/>
        <w:snapToGrid w:val="0"/>
        <w:spacing w:line="360" w:lineRule="auto"/>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采购履约担保函</w:t>
      </w:r>
    </w:p>
    <w:p w14:paraId="3BDFD734">
      <w:pPr>
        <w:adjustRightInd w:val="0"/>
        <w:snapToGrid w:val="0"/>
        <w:spacing w:line="360" w:lineRule="auto"/>
        <w:ind w:firstLine="6510" w:firstLineChars="31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编号：</w:t>
      </w:r>
      <w:r>
        <w:rPr>
          <w:rFonts w:hint="eastAsia" w:asciiTheme="minorEastAsia" w:hAnsiTheme="minorEastAsia" w:eastAsiaTheme="minorEastAsia" w:cstheme="minorEastAsia"/>
          <w:color w:val="auto"/>
          <w:kern w:val="0"/>
          <w:szCs w:val="21"/>
          <w:highlight w:val="none"/>
          <w:u w:val="single"/>
        </w:rPr>
        <w:t xml:space="preserve">              </w:t>
      </w:r>
    </w:p>
    <w:p w14:paraId="154FC3EE">
      <w:pPr>
        <w:adjustRightInd w:val="0"/>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（采购人）： </w:t>
      </w:r>
    </w:p>
    <w:p w14:paraId="301C335D">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鉴于你方与</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（以下简称供应商）于</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日签定编号为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采购合同》（以下简称主合同），且依据该合同的约定，供应商应在</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日前向你方交纳履约保证金，且可以履约担保函的形式交纳履约保证金。应供应商的申请，我方以保证的方式向你方提供如下履约保证金担保：</w:t>
      </w:r>
    </w:p>
    <w:p w14:paraId="44EB4F93">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一、保证责任的情形及保证金额</w:t>
      </w:r>
    </w:p>
    <w:p w14:paraId="12589D9C">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（一）在供应商出现下列情形之一时，我方承担保证责任：</w:t>
      </w:r>
    </w:p>
    <w:p w14:paraId="6CA33007">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1．将中标项目转让给他人，或者在投标文件中未说明，且未经采购人同意，将中标项目分包给他人的；</w:t>
      </w:r>
    </w:p>
    <w:p w14:paraId="4B766BE3">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2．主合同约定的应当缴纳履约保证金的情形: </w:t>
      </w:r>
    </w:p>
    <w:p w14:paraId="1915BA4F">
      <w:pPr>
        <w:adjustRightInd w:val="0"/>
        <w:snapToGrid w:val="0"/>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（1）未按主合同约定的质量、数量和期限供应货物/提供服务/完成工程的； </w:t>
      </w:r>
    </w:p>
    <w:p w14:paraId="7199302E">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w:t>
      </w:r>
    </w:p>
    <w:p w14:paraId="1CDA397E">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（二）我方的保证范围是主合同约定的合同价款总额的</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%数额为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元（大写</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），币种为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。（即主合同履约保证金金额）</w:t>
      </w:r>
    </w:p>
    <w:p w14:paraId="7ADC5616">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二、保证的方式及保证期间 </w:t>
      </w:r>
    </w:p>
    <w:p w14:paraId="71DF767C">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我方保证的方式为：连带责任保证。 </w:t>
      </w:r>
    </w:p>
    <w:p w14:paraId="24D173DA">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我方保证的期间为：自本合同生效之日起至供应商按照主合同约定的供货/完工期限届满后</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日内。</w:t>
      </w:r>
    </w:p>
    <w:p w14:paraId="12562EF7">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如果供应商未按主合同约定向贵方供应货物/提供服务/完成工程的，由我方在保证金额内向你方支付上述款项。 </w:t>
      </w:r>
    </w:p>
    <w:p w14:paraId="0F547920">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三、承担保证责任的程序</w:t>
      </w:r>
    </w:p>
    <w:p w14:paraId="36B7675D">
      <w:pPr>
        <w:adjustRightInd w:val="0"/>
        <w:snapToGrid w:val="0"/>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14:paraId="3505311B">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如果你方与供应商因货物质量问题产生争议，你方还需同时提供</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部门出具的质量检测报告，或经诉讼（仲裁）程序裁决后的裁决书、调解书，本保证人即按照检测结果或裁决书、调解书决定是否承担保证责任。</w:t>
      </w:r>
    </w:p>
    <w:p w14:paraId="233995E1">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2．我方收到你方的书面索赔通知及相应证明材料，在</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工作日内进行核定后按照本保函的承诺承担保证责任。</w:t>
      </w:r>
    </w:p>
    <w:p w14:paraId="73378DA3">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四、保证责任的终止</w:t>
      </w:r>
    </w:p>
    <w:p w14:paraId="35418932">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2E391B0E">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2．我方按照本保函向你方履行了保证责任后，自我方向你方支付款项（支付款项从我方账户划出）之日起，保证责任即终止。</w:t>
      </w:r>
    </w:p>
    <w:p w14:paraId="5FCFC465">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3．按照法律法规的规定或出现应终止我方保证责任的其它情形的，我方在本保函项下的保证责任亦终止。</w:t>
      </w:r>
    </w:p>
    <w:p w14:paraId="40AE4E81">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7A066F58">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五、免责条款</w:t>
      </w:r>
    </w:p>
    <w:p w14:paraId="63EA83EB">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1．因你方违反主合同约定致使供应商不能履行义务的，我方不承担保证责任。</w:t>
      </w:r>
    </w:p>
    <w:p w14:paraId="36D3BF70">
      <w:pPr>
        <w:adjustRightInd w:val="0"/>
        <w:snapToGrid w:val="0"/>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2．依照法律法规的规定或你方与供应商的另行约定，全部或者部分免除供应商应缴纳的保证金义务的，我方亦免除相应的保证责任。</w:t>
      </w:r>
    </w:p>
    <w:p w14:paraId="74640932">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3．因不可抗力造成供应商不能履行供货义务的，我方不承担保证责任。</w:t>
      </w:r>
    </w:p>
    <w:p w14:paraId="3CC1B761">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六、争议的解决</w:t>
      </w:r>
    </w:p>
    <w:p w14:paraId="6EA4D396">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因本保函发生的纠纷，由你我双方协商解决，协商不成的，通过诉讼程序解决，诉讼管辖地法院为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法院。</w:t>
      </w:r>
    </w:p>
    <w:p w14:paraId="4456090B">
      <w:pPr>
        <w:adjustRightInd w:val="0"/>
        <w:snapToGrid w:val="0"/>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七、保函的生效 </w:t>
      </w:r>
    </w:p>
    <w:p w14:paraId="33A5C609">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本保函自我方加盖公章之日起生效。 </w:t>
      </w:r>
    </w:p>
    <w:p w14:paraId="79AB1557">
      <w:pPr>
        <w:tabs>
          <w:tab w:val="left" w:pos="2850"/>
        </w:tabs>
        <w:adjustRightInd w:val="0"/>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 xml:space="preserve">          保证人：（公章） </w:t>
      </w:r>
    </w:p>
    <w:p w14:paraId="335EB526">
      <w:pPr>
        <w:adjustRightInd w:val="0"/>
        <w:snapToGrid w:val="0"/>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 xml:space="preserve"> 年</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月</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日</w:t>
      </w:r>
    </w:p>
    <w:p w14:paraId="53584719">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color w:val="auto"/>
          <w:szCs w:val="21"/>
          <w:highlight w:val="none"/>
        </w:rPr>
        <w:t>附页4</w:t>
      </w:r>
    </w:p>
    <w:p w14:paraId="7CAC712E">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评审因素和标准</w:t>
      </w:r>
    </w:p>
    <w:tbl>
      <w:tblPr>
        <w:tblStyle w:val="23"/>
        <w:tblpPr w:leftFromText="180" w:rightFromText="180" w:vertAnchor="text" w:horzAnchor="page" w:tblpX="1515" w:tblpY="208"/>
        <w:tblOverlap w:val="never"/>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166"/>
        <w:gridCol w:w="734"/>
        <w:gridCol w:w="6209"/>
      </w:tblGrid>
      <w:tr w14:paraId="078E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84" w:type="dxa"/>
            <w:vAlign w:val="center"/>
          </w:tcPr>
          <w:p w14:paraId="735EA16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类别</w:t>
            </w:r>
          </w:p>
        </w:tc>
        <w:tc>
          <w:tcPr>
            <w:tcW w:w="1166" w:type="dxa"/>
            <w:vAlign w:val="center"/>
          </w:tcPr>
          <w:p w14:paraId="791E2CB6">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p w14:paraId="2CEA0C6D">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内容</w:t>
            </w:r>
          </w:p>
        </w:tc>
        <w:tc>
          <w:tcPr>
            <w:tcW w:w="734" w:type="dxa"/>
            <w:vAlign w:val="center"/>
          </w:tcPr>
          <w:p w14:paraId="5781D3C1">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6209" w:type="dxa"/>
            <w:vAlign w:val="center"/>
          </w:tcPr>
          <w:p w14:paraId="6B81E270">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w:t>
            </w:r>
          </w:p>
        </w:tc>
      </w:tr>
      <w:tr w14:paraId="3A0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84" w:type="dxa"/>
            <w:vAlign w:val="center"/>
          </w:tcPr>
          <w:p w14:paraId="6D3E8684">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p w14:paraId="60EE8EB1">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6EE74884">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30</w:t>
            </w:r>
            <w:r>
              <w:rPr>
                <w:rFonts w:hint="eastAsia" w:ascii="宋体" w:hAnsi="宋体" w:eastAsia="宋体" w:cs="宋体"/>
                <w:color w:val="auto"/>
                <w:sz w:val="22"/>
                <w:szCs w:val="22"/>
                <w:highlight w:val="none"/>
              </w:rPr>
              <w:t>分</w:t>
            </w:r>
          </w:p>
        </w:tc>
        <w:tc>
          <w:tcPr>
            <w:tcW w:w="1166" w:type="dxa"/>
            <w:vAlign w:val="center"/>
          </w:tcPr>
          <w:p w14:paraId="718FB001">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p>
          <w:p w14:paraId="0C038AA0">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w:t>
            </w:r>
          </w:p>
        </w:tc>
        <w:tc>
          <w:tcPr>
            <w:tcW w:w="734" w:type="dxa"/>
            <w:vAlign w:val="center"/>
          </w:tcPr>
          <w:p w14:paraId="51A758A7">
            <w:pPr>
              <w:pStyle w:val="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30</w:t>
            </w:r>
            <w:r>
              <w:rPr>
                <w:rFonts w:hint="eastAsia" w:ascii="宋体" w:hAnsi="宋体" w:eastAsia="宋体" w:cs="宋体"/>
                <w:color w:val="auto"/>
                <w:sz w:val="22"/>
                <w:szCs w:val="22"/>
                <w:highlight w:val="none"/>
              </w:rPr>
              <w:t>分</w:t>
            </w:r>
          </w:p>
        </w:tc>
        <w:tc>
          <w:tcPr>
            <w:tcW w:w="6209" w:type="dxa"/>
            <w:vAlign w:val="center"/>
          </w:tcPr>
          <w:p w14:paraId="60881EEC">
            <w:pPr>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以经评委会一致认定满足</w:t>
            </w:r>
            <w:r>
              <w:rPr>
                <w:rFonts w:hint="eastAsia" w:ascii="宋体" w:hAnsi="宋体" w:eastAsia="宋体" w:cs="宋体"/>
                <w:bCs/>
                <w:color w:val="auto"/>
                <w:sz w:val="22"/>
                <w:szCs w:val="22"/>
                <w:highlight w:val="none"/>
                <w:lang w:val="en-US" w:eastAsia="zh-CN"/>
              </w:rPr>
              <w:t>磋商</w:t>
            </w:r>
            <w:r>
              <w:rPr>
                <w:rFonts w:hint="eastAsia" w:ascii="宋体" w:hAnsi="宋体" w:eastAsia="宋体" w:cs="宋体"/>
                <w:bCs/>
                <w:color w:val="auto"/>
                <w:sz w:val="22"/>
                <w:szCs w:val="22"/>
                <w:highlight w:val="none"/>
              </w:rPr>
              <w:t>文件要求,且经评审后的最低投标报价为评标基准价，其价格得分计</w:t>
            </w:r>
            <w:r>
              <w:rPr>
                <w:rFonts w:hint="eastAsia" w:ascii="宋体" w:hAnsi="宋体" w:eastAsia="宋体" w:cs="宋体"/>
                <w:bCs/>
                <w:color w:val="auto"/>
                <w:sz w:val="22"/>
                <w:szCs w:val="22"/>
                <w:highlight w:val="none"/>
                <w:lang w:eastAsia="zh-CN"/>
              </w:rPr>
              <w:t>3</w:t>
            </w:r>
            <w:r>
              <w:rPr>
                <w:rFonts w:hint="eastAsia" w:ascii="宋体" w:hAnsi="宋体" w:eastAsia="宋体" w:cs="宋体"/>
                <w:bCs/>
                <w:color w:val="auto"/>
                <w:sz w:val="22"/>
                <w:szCs w:val="22"/>
                <w:highlight w:val="none"/>
              </w:rPr>
              <w:t>0分。其他投标人的价格得分统一按公式计算：报价得分＝（评标基准价÷投标报价）×投标报价权值（四舍五入保留2位小数）。</w:t>
            </w:r>
          </w:p>
          <w:p w14:paraId="33442784">
            <w:pPr>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1）因落实政府采购政策进行价格调整的，以调整后的价格计算评标基准价和投标报价；</w:t>
            </w:r>
          </w:p>
          <w:p w14:paraId="22B7C766">
            <w:pPr>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可将其作为无效投标处理。</w:t>
            </w:r>
          </w:p>
        </w:tc>
      </w:tr>
      <w:tr w14:paraId="7A4F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984" w:type="dxa"/>
            <w:vMerge w:val="restart"/>
            <w:vAlign w:val="center"/>
          </w:tcPr>
          <w:p w14:paraId="42D4566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w:t>
            </w:r>
          </w:p>
          <w:p w14:paraId="27793F6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01BFA7F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40</w:t>
            </w:r>
            <w:r>
              <w:rPr>
                <w:rFonts w:hint="eastAsia" w:ascii="宋体" w:hAnsi="宋体" w:eastAsia="宋体" w:cs="宋体"/>
                <w:color w:val="auto"/>
                <w:sz w:val="22"/>
                <w:szCs w:val="22"/>
                <w:highlight w:val="none"/>
              </w:rPr>
              <w:t>分</w:t>
            </w:r>
          </w:p>
        </w:tc>
        <w:tc>
          <w:tcPr>
            <w:tcW w:w="1166" w:type="dxa"/>
            <w:vAlign w:val="center"/>
          </w:tcPr>
          <w:p w14:paraId="4B08FBBD">
            <w:pPr>
              <w:jc w:val="center"/>
              <w:rPr>
                <w:rFonts w:hint="eastAsia" w:ascii="宋体" w:hAnsi="宋体" w:eastAsia="宋体" w:cs="宋体"/>
                <w:color w:val="auto"/>
                <w:highlight w:val="none"/>
              </w:rPr>
            </w:pPr>
            <w:r>
              <w:rPr>
                <w:rFonts w:hint="eastAsia" w:ascii="宋体" w:hAnsi="宋体" w:eastAsia="宋体" w:cs="宋体"/>
                <w:color w:val="auto"/>
                <w:highlight w:val="none"/>
              </w:rPr>
              <w:t>对项目</w:t>
            </w:r>
          </w:p>
          <w:p w14:paraId="4906121F">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的理解</w:t>
            </w:r>
          </w:p>
        </w:tc>
        <w:tc>
          <w:tcPr>
            <w:tcW w:w="734" w:type="dxa"/>
            <w:vAlign w:val="center"/>
          </w:tcPr>
          <w:p w14:paraId="7FCD0B9E">
            <w:pPr>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8</w:t>
            </w:r>
          </w:p>
        </w:tc>
        <w:tc>
          <w:tcPr>
            <w:tcW w:w="6209" w:type="dxa"/>
            <w:vAlign w:val="center"/>
          </w:tcPr>
          <w:p w14:paraId="7F60A9D5">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投标人针对本项目的解读与理解进行评审，内容至少包括：①项目背景分析；②对项目现状的了解情况；③项目的必要性及采购需求的理解分析；④计划设定的工作目标等内容。对项目理解深刻、认识全面、描述准确的计</w:t>
            </w:r>
            <w:r>
              <w:rPr>
                <w:rFonts w:hint="eastAsia" w:ascii="宋体" w:hAnsi="宋体" w:eastAsia="宋体" w:cs="宋体"/>
                <w:color w:val="auto"/>
                <w:sz w:val="21"/>
                <w:highlight w:val="none"/>
                <w:lang w:eastAsia="zh-CN"/>
              </w:rPr>
              <w:t>8</w:t>
            </w:r>
            <w:r>
              <w:rPr>
                <w:rFonts w:hint="eastAsia" w:ascii="宋体" w:hAnsi="宋体" w:eastAsia="宋体" w:cs="宋体"/>
                <w:color w:val="auto"/>
                <w:sz w:val="21"/>
                <w:highlight w:val="none"/>
              </w:rPr>
              <w:t>分，有缺漏项的每处扣</w:t>
            </w:r>
            <w:r>
              <w:rPr>
                <w:rFonts w:hint="eastAsia" w:ascii="宋体" w:hAnsi="宋体" w:eastAsia="宋体" w:cs="宋体"/>
                <w:color w:val="auto"/>
                <w:sz w:val="21"/>
                <w:highlight w:val="none"/>
                <w:lang w:eastAsia="zh-CN"/>
              </w:rPr>
              <w:t>2</w:t>
            </w:r>
            <w:r>
              <w:rPr>
                <w:rFonts w:hint="eastAsia" w:ascii="宋体" w:hAnsi="宋体" w:eastAsia="宋体" w:cs="宋体"/>
                <w:color w:val="auto"/>
                <w:sz w:val="21"/>
                <w:highlight w:val="none"/>
              </w:rPr>
              <w:t>分；不合理、不完善的每处扣</w:t>
            </w:r>
            <w:r>
              <w:rPr>
                <w:rFonts w:hint="eastAsia" w:ascii="宋体" w:hAnsi="宋体" w:eastAsia="宋体" w:cs="宋体"/>
                <w:color w:val="auto"/>
                <w:sz w:val="21"/>
                <w:highlight w:val="none"/>
                <w:lang w:eastAsia="zh-CN"/>
              </w:rPr>
              <w:t>1</w:t>
            </w:r>
            <w:r>
              <w:rPr>
                <w:rFonts w:hint="eastAsia" w:ascii="宋体" w:hAnsi="宋体" w:eastAsia="宋体" w:cs="宋体"/>
                <w:color w:val="auto"/>
                <w:sz w:val="21"/>
                <w:highlight w:val="none"/>
              </w:rPr>
              <w:t>分，扣完为止，未提供的不计分。</w:t>
            </w:r>
          </w:p>
          <w:p w14:paraId="66B0DDE3">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【方案不合理、不完善指照搬采购需求、未贴合采购需求、不符合项目实际情况、对项目整体理解一般、与项目实际要求相悖、表述笼统或前后不一致等情况。】</w:t>
            </w:r>
          </w:p>
        </w:tc>
      </w:tr>
      <w:tr w14:paraId="28BD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984" w:type="dxa"/>
            <w:vMerge w:val="continue"/>
            <w:vAlign w:val="center"/>
          </w:tcPr>
          <w:p w14:paraId="302F7156">
            <w:pPr>
              <w:jc w:val="center"/>
              <w:rPr>
                <w:rFonts w:hint="eastAsia" w:ascii="宋体" w:hAnsi="宋体" w:eastAsia="宋体" w:cs="宋体"/>
                <w:color w:val="auto"/>
                <w:sz w:val="24"/>
                <w:highlight w:val="none"/>
              </w:rPr>
            </w:pPr>
          </w:p>
        </w:tc>
        <w:tc>
          <w:tcPr>
            <w:tcW w:w="1166" w:type="dxa"/>
            <w:vAlign w:val="center"/>
          </w:tcPr>
          <w:p w14:paraId="7EC7CCA2">
            <w:pPr>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编制工作技术路线和方法</w:t>
            </w:r>
          </w:p>
        </w:tc>
        <w:tc>
          <w:tcPr>
            <w:tcW w:w="734" w:type="dxa"/>
            <w:vAlign w:val="center"/>
          </w:tcPr>
          <w:p w14:paraId="07310F7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16</w:t>
            </w:r>
          </w:p>
        </w:tc>
        <w:tc>
          <w:tcPr>
            <w:tcW w:w="6209" w:type="dxa"/>
            <w:vAlign w:val="center"/>
          </w:tcPr>
          <w:p w14:paraId="36E22F7E">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投标人提供的编制工作技术路线和方法进行评审，包括但不限于①总体技术路线；②主要研究内容；③实施计划；④研究方法等内容。所选择的技术路线符合项目现状，工作服务流程思路清晰合理、布局结构严谨且完全满足实际需要的计</w:t>
            </w:r>
            <w:r>
              <w:rPr>
                <w:rFonts w:hint="eastAsia" w:ascii="宋体" w:hAnsi="宋体" w:eastAsia="宋体" w:cs="宋体"/>
                <w:color w:val="auto"/>
                <w:sz w:val="21"/>
                <w:highlight w:val="none"/>
                <w:lang w:eastAsia="zh-CN"/>
              </w:rPr>
              <w:t>16</w:t>
            </w:r>
            <w:r>
              <w:rPr>
                <w:rFonts w:hint="eastAsia" w:ascii="宋体" w:hAnsi="宋体" w:eastAsia="宋体" w:cs="宋体"/>
                <w:color w:val="auto"/>
                <w:sz w:val="21"/>
                <w:highlight w:val="none"/>
              </w:rPr>
              <w:t>分，有缺漏项的每处扣</w:t>
            </w: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分；不合理、不完善的每处扣</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分，扣完为止，未提供的不计分。</w:t>
            </w:r>
          </w:p>
          <w:p w14:paraId="03C6BAA9">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【方案不合理、不完善指照搬采购需求、未贴合采购需求、不符合项目实际情况、对项目整体理解一般、与项目实际要求相悖、表述笼统或前后不一致等情况。】</w:t>
            </w:r>
          </w:p>
        </w:tc>
      </w:tr>
      <w:tr w14:paraId="237D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84" w:type="dxa"/>
            <w:vMerge w:val="continue"/>
            <w:vAlign w:val="center"/>
          </w:tcPr>
          <w:p w14:paraId="5398228B">
            <w:pPr>
              <w:jc w:val="center"/>
              <w:rPr>
                <w:rFonts w:hint="eastAsia" w:ascii="宋体" w:hAnsi="宋体" w:eastAsia="宋体" w:cs="宋体"/>
                <w:color w:val="auto"/>
                <w:sz w:val="24"/>
                <w:highlight w:val="none"/>
              </w:rPr>
            </w:pPr>
          </w:p>
        </w:tc>
        <w:tc>
          <w:tcPr>
            <w:tcW w:w="1166" w:type="dxa"/>
            <w:vAlign w:val="center"/>
          </w:tcPr>
          <w:p w14:paraId="40D224F5">
            <w:pPr>
              <w:jc w:val="center"/>
              <w:rPr>
                <w:rFonts w:hint="eastAsia" w:ascii="宋体" w:hAnsi="宋体" w:eastAsia="宋体" w:cs="宋体"/>
                <w:color w:val="auto"/>
                <w:highlight w:val="none"/>
              </w:rPr>
            </w:pPr>
            <w:r>
              <w:rPr>
                <w:rFonts w:hint="eastAsia" w:ascii="宋体" w:hAnsi="宋体" w:eastAsia="宋体" w:cs="宋体"/>
                <w:color w:val="auto"/>
                <w:highlight w:val="none"/>
              </w:rPr>
              <w:t>重点、难点分析</w:t>
            </w:r>
          </w:p>
        </w:tc>
        <w:tc>
          <w:tcPr>
            <w:tcW w:w="734" w:type="dxa"/>
            <w:vAlign w:val="center"/>
          </w:tcPr>
          <w:p w14:paraId="2A6ADE1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2</w:t>
            </w:r>
          </w:p>
        </w:tc>
        <w:tc>
          <w:tcPr>
            <w:tcW w:w="6209" w:type="dxa"/>
            <w:vAlign w:val="center"/>
          </w:tcPr>
          <w:p w14:paraId="66788512">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根据投标人提供的重点、难点分析方案进行评审，包括但不限于①对项目的重点进行分析；②对项目开展的难点进行分析；③提出合理化建议等内容。</w:t>
            </w:r>
          </w:p>
          <w:p w14:paraId="42F6FE0C">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能针对项目进行系统分析、归纳，能以问题导向提出符合项目实际的解决思路及合理化建议，可整体、全面、准确把握本项目的重点、难点，相关分析系统透彻，建议合理且可行性强的计</w:t>
            </w:r>
            <w:r>
              <w:rPr>
                <w:rFonts w:hint="eastAsia" w:ascii="宋体" w:hAnsi="宋体" w:eastAsia="宋体" w:cs="宋体"/>
                <w:color w:val="auto"/>
                <w:sz w:val="21"/>
                <w:highlight w:val="none"/>
                <w:lang w:eastAsia="zh-CN"/>
              </w:rPr>
              <w:t>12</w:t>
            </w:r>
            <w:r>
              <w:rPr>
                <w:rFonts w:hint="eastAsia" w:ascii="宋体" w:hAnsi="宋体" w:eastAsia="宋体" w:cs="宋体"/>
                <w:color w:val="auto"/>
                <w:sz w:val="21"/>
                <w:highlight w:val="none"/>
              </w:rPr>
              <w:t>分，有缺漏项的每处扣</w:t>
            </w: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分；不合理、不完善的每处扣</w:t>
            </w:r>
            <w:r>
              <w:rPr>
                <w:rFonts w:hint="eastAsia" w:ascii="宋体" w:hAnsi="宋体" w:eastAsia="宋体" w:cs="宋体"/>
                <w:color w:val="auto"/>
                <w:sz w:val="21"/>
                <w:highlight w:val="none"/>
                <w:lang w:eastAsia="zh-CN"/>
              </w:rPr>
              <w:t>2</w:t>
            </w:r>
            <w:r>
              <w:rPr>
                <w:rFonts w:hint="eastAsia" w:ascii="宋体" w:hAnsi="宋体" w:eastAsia="宋体" w:cs="宋体"/>
                <w:color w:val="auto"/>
                <w:sz w:val="21"/>
                <w:highlight w:val="none"/>
              </w:rPr>
              <w:t>分，扣完为止，未提供的不计分。</w:t>
            </w:r>
          </w:p>
          <w:p w14:paraId="5AE7FF9E">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【方案不合理、不完善指照搬采购需求、未贴合采购需求、不符合项目实际情况、对项目整体理解一般、与项目实际要求相悖、表述笼统或前后不一致等情况。】</w:t>
            </w:r>
          </w:p>
        </w:tc>
      </w:tr>
      <w:tr w14:paraId="679C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4" w:type="dxa"/>
            <w:vMerge w:val="continue"/>
            <w:vAlign w:val="center"/>
          </w:tcPr>
          <w:p w14:paraId="369EA391">
            <w:pPr>
              <w:jc w:val="center"/>
              <w:rPr>
                <w:rFonts w:hint="eastAsia" w:ascii="宋体" w:hAnsi="宋体" w:eastAsia="宋体" w:cs="宋体"/>
                <w:color w:val="auto"/>
                <w:sz w:val="24"/>
                <w:highlight w:val="none"/>
              </w:rPr>
            </w:pPr>
          </w:p>
        </w:tc>
        <w:tc>
          <w:tcPr>
            <w:tcW w:w="1166" w:type="dxa"/>
            <w:vAlign w:val="center"/>
          </w:tcPr>
          <w:p w14:paraId="10940AE7">
            <w:pPr>
              <w:pStyle w:val="62"/>
              <w:jc w:val="center"/>
              <w:rPr>
                <w:rFonts w:hint="eastAsia" w:ascii="宋体" w:hAnsi="宋体" w:eastAsia="宋体" w:cs="宋体"/>
                <w:color w:val="auto"/>
                <w:szCs w:val="21"/>
                <w:highlight w:val="none"/>
              </w:rPr>
            </w:pPr>
            <w:r>
              <w:rPr>
                <w:rFonts w:hint="eastAsia" w:ascii="宋体" w:hAnsi="宋体" w:eastAsia="宋体" w:cs="宋体"/>
                <w:color w:val="auto"/>
                <w:sz w:val="21"/>
                <w:highlight w:val="none"/>
              </w:rPr>
              <w:t>质量保证</w:t>
            </w:r>
          </w:p>
        </w:tc>
        <w:tc>
          <w:tcPr>
            <w:tcW w:w="734" w:type="dxa"/>
            <w:vAlign w:val="center"/>
          </w:tcPr>
          <w:p w14:paraId="11ABB1C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p>
        </w:tc>
        <w:tc>
          <w:tcPr>
            <w:tcW w:w="6209" w:type="dxa"/>
            <w:vAlign w:val="center"/>
          </w:tcPr>
          <w:p w14:paraId="495E1182">
            <w:pPr>
              <w:pStyle w:val="37"/>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投标人根据本项目特点和要求，提出切实可行的质量保证措施。方案完整、科学、合理的计</w:t>
            </w:r>
            <w:r>
              <w:rPr>
                <w:rFonts w:hint="eastAsia" w:ascii="宋体" w:hAnsi="宋体" w:eastAsia="宋体" w:cs="宋体"/>
                <w:color w:val="auto"/>
                <w:sz w:val="21"/>
                <w:highlight w:val="none"/>
                <w:lang w:eastAsia="zh-CN"/>
              </w:rPr>
              <w:t>4</w:t>
            </w:r>
            <w:r>
              <w:rPr>
                <w:rFonts w:hint="eastAsia" w:ascii="宋体" w:hAnsi="宋体" w:eastAsia="宋体" w:cs="宋体"/>
                <w:color w:val="auto"/>
                <w:sz w:val="21"/>
                <w:highlight w:val="none"/>
              </w:rPr>
              <w:t>分，一般的计</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分，</w:t>
            </w:r>
            <w:r>
              <w:rPr>
                <w:rFonts w:hint="eastAsia" w:ascii="宋体" w:hAnsi="宋体" w:eastAsia="宋体" w:cs="宋体"/>
                <w:color w:val="auto"/>
                <w:sz w:val="21"/>
                <w:highlight w:val="none"/>
                <w:lang w:val="en-US" w:eastAsia="zh-CN"/>
              </w:rPr>
              <w:t>差的计1分，</w:t>
            </w:r>
            <w:r>
              <w:rPr>
                <w:rFonts w:hint="eastAsia" w:ascii="宋体" w:hAnsi="宋体" w:eastAsia="宋体" w:cs="宋体"/>
                <w:color w:val="auto"/>
                <w:sz w:val="21"/>
                <w:highlight w:val="none"/>
              </w:rPr>
              <w:t>未提供方案不计分。</w:t>
            </w:r>
          </w:p>
        </w:tc>
      </w:tr>
      <w:tr w14:paraId="742A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984" w:type="dxa"/>
            <w:vMerge w:val="restart"/>
            <w:vAlign w:val="center"/>
          </w:tcPr>
          <w:p w14:paraId="0CBCCC65">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w:t>
            </w:r>
          </w:p>
          <w:p w14:paraId="341F4971">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w:t>
            </w:r>
          </w:p>
          <w:p w14:paraId="5E979015">
            <w:pPr>
              <w:jc w:val="center"/>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rPr>
              <w:t>30分</w:t>
            </w:r>
          </w:p>
        </w:tc>
        <w:tc>
          <w:tcPr>
            <w:tcW w:w="1166" w:type="dxa"/>
            <w:vAlign w:val="center"/>
          </w:tcPr>
          <w:p w14:paraId="43B6CE65">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w:t>
            </w:r>
          </w:p>
          <w:p w14:paraId="41A9EE8E">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负责人</w:t>
            </w:r>
          </w:p>
        </w:tc>
        <w:tc>
          <w:tcPr>
            <w:tcW w:w="734" w:type="dxa"/>
            <w:vAlign w:val="center"/>
          </w:tcPr>
          <w:p w14:paraId="411EA547">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6分</w:t>
            </w:r>
          </w:p>
        </w:tc>
        <w:tc>
          <w:tcPr>
            <w:tcW w:w="6209" w:type="dxa"/>
            <w:vAlign w:val="center"/>
          </w:tcPr>
          <w:p w14:paraId="748ED5AA">
            <w:pPr>
              <w:pStyle w:val="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拟任项目负责人</w:t>
            </w:r>
            <w:r>
              <w:rPr>
                <w:rFonts w:hint="eastAsia" w:ascii="宋体" w:hAnsi="宋体" w:eastAsia="宋体" w:cs="宋体"/>
                <w:color w:val="auto"/>
                <w:sz w:val="22"/>
                <w:szCs w:val="22"/>
                <w:highlight w:val="none"/>
                <w:lang w:val="en-US" w:eastAsia="zh-CN"/>
              </w:rPr>
              <w:t>同时</w:t>
            </w:r>
            <w:r>
              <w:rPr>
                <w:rFonts w:hint="eastAsia" w:ascii="宋体" w:hAnsi="宋体" w:eastAsia="宋体" w:cs="宋体"/>
                <w:color w:val="auto"/>
                <w:sz w:val="22"/>
                <w:szCs w:val="22"/>
                <w:highlight w:val="none"/>
              </w:rPr>
              <w:t>具备</w:t>
            </w:r>
            <w:r>
              <w:rPr>
                <w:rFonts w:hint="eastAsia" w:ascii="宋体" w:hAnsi="宋体" w:eastAsia="宋体" w:cs="宋体"/>
                <w:color w:val="auto"/>
                <w:sz w:val="22"/>
                <w:szCs w:val="22"/>
                <w:highlight w:val="none"/>
                <w:lang w:val="en-US" w:eastAsia="zh-CN"/>
              </w:rPr>
              <w:t>城乡规划类</w:t>
            </w:r>
            <w:r>
              <w:rPr>
                <w:rFonts w:hint="eastAsia" w:ascii="宋体" w:hAnsi="宋体" w:eastAsia="宋体" w:cs="宋体"/>
                <w:color w:val="auto"/>
                <w:sz w:val="22"/>
                <w:szCs w:val="22"/>
                <w:highlight w:val="none"/>
              </w:rPr>
              <w:t>高级工程师</w:t>
            </w:r>
            <w:r>
              <w:rPr>
                <w:rFonts w:hint="eastAsia" w:ascii="宋体" w:hAnsi="宋体" w:eastAsia="宋体" w:cs="宋体"/>
                <w:color w:val="auto"/>
                <w:sz w:val="22"/>
                <w:szCs w:val="22"/>
                <w:highlight w:val="none"/>
                <w:lang w:val="en-US" w:eastAsia="zh-CN"/>
              </w:rPr>
              <w:t>及以上</w:t>
            </w:r>
            <w:r>
              <w:rPr>
                <w:rFonts w:hint="eastAsia" w:ascii="宋体" w:hAnsi="宋体" w:eastAsia="宋体" w:cs="宋体"/>
                <w:color w:val="auto"/>
                <w:sz w:val="22"/>
                <w:szCs w:val="22"/>
                <w:highlight w:val="none"/>
              </w:rPr>
              <w:t>职称</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注册城乡规划师证书的计</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14:paraId="5BECCB2F">
            <w:pPr>
              <w:pStyle w:val="36"/>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注：提供注册证书复印件、项目负责人在投标单位的近半年内(2024年10月-2025年3月)任意连续3个月缴纳社保的证明并加盖投标人公章，否则不计分。</w:t>
            </w:r>
          </w:p>
        </w:tc>
      </w:tr>
      <w:tr w14:paraId="7DCC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984" w:type="dxa"/>
            <w:vMerge w:val="continue"/>
            <w:vAlign w:val="center"/>
          </w:tcPr>
          <w:p w14:paraId="4D9F75D3">
            <w:pPr>
              <w:jc w:val="center"/>
              <w:rPr>
                <w:rFonts w:hint="eastAsia" w:ascii="宋体" w:hAnsi="宋体" w:eastAsia="宋体" w:cs="宋体"/>
                <w:color w:val="auto"/>
                <w:sz w:val="24"/>
                <w:highlight w:val="none"/>
              </w:rPr>
            </w:pPr>
          </w:p>
        </w:tc>
        <w:tc>
          <w:tcPr>
            <w:tcW w:w="1166" w:type="dxa"/>
            <w:vAlign w:val="center"/>
          </w:tcPr>
          <w:p w14:paraId="40A4D7AC">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团队人员</w:t>
            </w:r>
          </w:p>
        </w:tc>
        <w:tc>
          <w:tcPr>
            <w:tcW w:w="734" w:type="dxa"/>
            <w:vAlign w:val="center"/>
          </w:tcPr>
          <w:p w14:paraId="334E07DA">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分</w:t>
            </w:r>
          </w:p>
        </w:tc>
        <w:tc>
          <w:tcPr>
            <w:tcW w:w="6209" w:type="dxa"/>
            <w:vAlign w:val="center"/>
          </w:tcPr>
          <w:p w14:paraId="7C80C3BF">
            <w:pPr>
              <w:pStyle w:val="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1.除项目负责人外，拟派本项目的团队成员中同时具有</w:t>
            </w:r>
            <w:r>
              <w:rPr>
                <w:rFonts w:hint="eastAsia" w:ascii="宋体" w:hAnsi="宋体" w:eastAsia="宋体" w:cs="宋体"/>
                <w:color w:val="auto"/>
                <w:sz w:val="22"/>
                <w:szCs w:val="22"/>
                <w:highlight w:val="none"/>
                <w:lang w:val="en-US" w:eastAsia="zh-CN"/>
              </w:rPr>
              <w:t>城乡规划</w:t>
            </w:r>
            <w:r>
              <w:rPr>
                <w:rFonts w:hint="eastAsia" w:ascii="宋体" w:hAnsi="宋体" w:eastAsia="宋体" w:cs="宋体"/>
                <w:color w:val="auto"/>
                <w:sz w:val="22"/>
                <w:szCs w:val="22"/>
                <w:highlight w:val="none"/>
              </w:rPr>
              <w:t>中级及以上职称和注册</w:t>
            </w:r>
            <w:r>
              <w:rPr>
                <w:rFonts w:hint="eastAsia" w:ascii="宋体" w:hAnsi="宋体" w:eastAsia="宋体" w:cs="宋体"/>
                <w:color w:val="auto"/>
                <w:sz w:val="22"/>
                <w:szCs w:val="22"/>
                <w:highlight w:val="none"/>
                <w:lang w:val="en-US" w:eastAsia="zh-CN"/>
              </w:rPr>
              <w:t>城乡</w:t>
            </w:r>
            <w:r>
              <w:rPr>
                <w:rFonts w:hint="eastAsia" w:ascii="宋体" w:hAnsi="宋体" w:eastAsia="宋体" w:cs="宋体"/>
                <w:color w:val="auto"/>
                <w:sz w:val="22"/>
                <w:szCs w:val="22"/>
                <w:highlight w:val="none"/>
              </w:rPr>
              <w:t>规划师</w:t>
            </w:r>
            <w:r>
              <w:rPr>
                <w:rFonts w:hint="eastAsia" w:ascii="宋体" w:hAnsi="宋体" w:eastAsia="宋体" w:cs="宋体"/>
                <w:color w:val="auto"/>
                <w:sz w:val="22"/>
                <w:szCs w:val="22"/>
                <w:highlight w:val="none"/>
                <w:lang w:val="en-US" w:eastAsia="zh-CN"/>
              </w:rPr>
              <w:t>证书</w:t>
            </w:r>
            <w:r>
              <w:rPr>
                <w:rFonts w:hint="eastAsia" w:ascii="宋体" w:hAnsi="宋体" w:eastAsia="宋体" w:cs="宋体"/>
                <w:color w:val="auto"/>
                <w:sz w:val="22"/>
                <w:szCs w:val="22"/>
                <w:highlight w:val="none"/>
              </w:rPr>
              <w:t>的，每人计2分，最高计6分。</w:t>
            </w:r>
          </w:p>
          <w:p w14:paraId="36F7043A">
            <w:pPr>
              <w:pStyle w:val="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拟派</w:t>
            </w:r>
            <w:r>
              <w:rPr>
                <w:rFonts w:hint="eastAsia" w:ascii="宋体" w:hAnsi="宋体" w:eastAsia="宋体" w:cs="宋体"/>
                <w:color w:val="auto"/>
                <w:sz w:val="22"/>
                <w:szCs w:val="22"/>
                <w:highlight w:val="none"/>
              </w:rPr>
              <w:t>团队</w:t>
            </w:r>
            <w:r>
              <w:rPr>
                <w:rFonts w:hint="eastAsia" w:ascii="宋体" w:hAnsi="宋体" w:eastAsia="宋体" w:cs="宋体"/>
                <w:color w:val="auto"/>
                <w:sz w:val="22"/>
                <w:szCs w:val="22"/>
                <w:highlight w:val="none"/>
                <w:lang w:val="en-US" w:eastAsia="zh-CN"/>
              </w:rPr>
              <w:t>成员具</w:t>
            </w:r>
            <w:r>
              <w:rPr>
                <w:rFonts w:hint="eastAsia" w:ascii="宋体" w:hAnsi="宋体" w:eastAsia="宋体" w:cs="宋体"/>
                <w:color w:val="auto"/>
                <w:sz w:val="22"/>
                <w:szCs w:val="22"/>
                <w:highlight w:val="none"/>
              </w:rPr>
              <w:t>有</w:t>
            </w:r>
            <w:r>
              <w:rPr>
                <w:rFonts w:hint="eastAsia" w:ascii="宋体" w:hAnsi="宋体" w:eastAsia="宋体" w:cs="宋体"/>
                <w:color w:val="auto"/>
                <w:sz w:val="22"/>
                <w:szCs w:val="22"/>
                <w:highlight w:val="none"/>
                <w:lang w:val="en-US" w:eastAsia="zh-CN"/>
              </w:rPr>
              <w:t>给排水专业、造价专业、岩土专业、道路工程专业其中任意一个专业的</w:t>
            </w:r>
            <w:r>
              <w:rPr>
                <w:rFonts w:hint="eastAsia" w:ascii="宋体" w:hAnsi="宋体" w:eastAsia="宋体" w:cs="宋体"/>
                <w:color w:val="auto"/>
                <w:sz w:val="22"/>
                <w:szCs w:val="22"/>
                <w:highlight w:val="none"/>
              </w:rPr>
              <w:t>中级及以上技术职称的,每人计</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分，最高计</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4513A1C">
            <w:pPr>
              <w:pStyle w:val="36"/>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注：同一人只能计一次分，提供拟团队成员</w:t>
            </w:r>
            <w:r>
              <w:rPr>
                <w:rFonts w:hint="eastAsia" w:ascii="宋体" w:hAnsi="宋体" w:eastAsia="宋体" w:cs="宋体"/>
                <w:b/>
                <w:bCs/>
                <w:color w:val="auto"/>
                <w:sz w:val="22"/>
                <w:szCs w:val="22"/>
                <w:highlight w:val="none"/>
              </w:rPr>
              <w:t>注册证书、职称证书</w:t>
            </w:r>
            <w:r>
              <w:rPr>
                <w:rFonts w:hint="eastAsia" w:ascii="宋体" w:hAnsi="宋体" w:eastAsia="宋体" w:cs="宋体"/>
                <w:b/>
                <w:bCs/>
                <w:color w:val="auto"/>
                <w:sz w:val="22"/>
                <w:szCs w:val="22"/>
                <w:highlight w:val="none"/>
                <w:lang w:val="en-US" w:eastAsia="zh-CN"/>
              </w:rPr>
              <w:t>并</w:t>
            </w:r>
            <w:r>
              <w:rPr>
                <w:rFonts w:hint="eastAsia" w:ascii="宋体" w:hAnsi="宋体" w:eastAsia="宋体" w:cs="宋体"/>
                <w:b/>
                <w:bCs/>
                <w:color w:val="auto"/>
                <w:sz w:val="22"/>
                <w:szCs w:val="22"/>
                <w:highlight w:val="none"/>
              </w:rPr>
              <w:t>加盖投标人公章,</w:t>
            </w:r>
            <w:r>
              <w:rPr>
                <w:rFonts w:hint="eastAsia" w:ascii="宋体" w:hAnsi="宋体" w:eastAsia="宋体" w:cs="宋体"/>
                <w:b/>
                <w:bCs/>
                <w:color w:val="auto"/>
                <w:sz w:val="22"/>
                <w:szCs w:val="22"/>
                <w:highlight w:val="none"/>
                <w:lang w:val="en-US" w:eastAsia="zh-CN"/>
              </w:rPr>
              <w:t>同时</w:t>
            </w:r>
            <w:r>
              <w:rPr>
                <w:rFonts w:hint="eastAsia" w:ascii="宋体" w:hAnsi="宋体" w:eastAsia="宋体" w:cs="宋体"/>
                <w:b/>
                <w:bCs/>
                <w:color w:val="auto"/>
                <w:sz w:val="22"/>
                <w:szCs w:val="22"/>
                <w:highlight w:val="none"/>
              </w:rPr>
              <w:t>提供以上人员在投标单位的近半年内(2024年10月-2025年3月)任意连续三个月缴纳社保的证明并加盖投标人公章，否则不计分。</w:t>
            </w:r>
          </w:p>
        </w:tc>
      </w:tr>
      <w:tr w14:paraId="784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84" w:type="dxa"/>
            <w:vMerge w:val="continue"/>
            <w:vAlign w:val="center"/>
          </w:tcPr>
          <w:p w14:paraId="57A84D4C">
            <w:pPr>
              <w:jc w:val="center"/>
              <w:rPr>
                <w:rFonts w:hint="eastAsia" w:ascii="宋体" w:hAnsi="宋体" w:eastAsia="宋体" w:cs="宋体"/>
                <w:color w:val="auto"/>
                <w:sz w:val="24"/>
                <w:highlight w:val="none"/>
              </w:rPr>
            </w:pPr>
          </w:p>
        </w:tc>
        <w:tc>
          <w:tcPr>
            <w:tcW w:w="1166" w:type="dxa"/>
            <w:vAlign w:val="center"/>
          </w:tcPr>
          <w:p w14:paraId="27F094EC">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类似业绩</w:t>
            </w:r>
          </w:p>
        </w:tc>
        <w:tc>
          <w:tcPr>
            <w:tcW w:w="734" w:type="dxa"/>
            <w:vAlign w:val="center"/>
          </w:tcPr>
          <w:p w14:paraId="15608DD7">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9分</w:t>
            </w:r>
          </w:p>
        </w:tc>
        <w:tc>
          <w:tcPr>
            <w:tcW w:w="6209" w:type="dxa"/>
            <w:vAlign w:val="center"/>
          </w:tcPr>
          <w:p w14:paraId="4B6AD057">
            <w:pPr>
              <w:pStyle w:val="3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投标人近5年（以提交投标文件截止时间前60个月内为有效）具有区（县）级区域城市竖向规划类或土石方平衡类或城市控制性详细规划类项目的类似业绩，每个计3分，最高计9分。</w:t>
            </w:r>
          </w:p>
          <w:p w14:paraId="08F7806F">
            <w:pPr>
              <w:pStyle w:val="36"/>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注：提供合同复印件或中标通知书复印件并加盖投标人公章，有效时间以合同中甲方签字日期或中标通知书上日期为准，否则不计分。</w:t>
            </w:r>
          </w:p>
        </w:tc>
      </w:tr>
      <w:tr w14:paraId="523D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984" w:type="dxa"/>
            <w:vMerge w:val="continue"/>
            <w:vAlign w:val="center"/>
          </w:tcPr>
          <w:p w14:paraId="2F868CF7">
            <w:pPr>
              <w:jc w:val="center"/>
              <w:rPr>
                <w:rFonts w:hint="eastAsia" w:ascii="宋体" w:hAnsi="宋体" w:eastAsia="宋体" w:cs="宋体"/>
                <w:color w:val="auto"/>
                <w:sz w:val="24"/>
                <w:highlight w:val="none"/>
              </w:rPr>
            </w:pPr>
          </w:p>
        </w:tc>
        <w:tc>
          <w:tcPr>
            <w:tcW w:w="1166" w:type="dxa"/>
            <w:vAlign w:val="center"/>
          </w:tcPr>
          <w:p w14:paraId="4E47B231">
            <w:pPr>
              <w:pStyle w:val="36"/>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认证证书</w:t>
            </w:r>
          </w:p>
        </w:tc>
        <w:tc>
          <w:tcPr>
            <w:tcW w:w="734" w:type="dxa"/>
            <w:vAlign w:val="center"/>
          </w:tcPr>
          <w:p w14:paraId="05CAE272">
            <w:pPr>
              <w:pStyle w:val="36"/>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tc>
        <w:tc>
          <w:tcPr>
            <w:tcW w:w="6209" w:type="dxa"/>
            <w:vAlign w:val="center"/>
          </w:tcPr>
          <w:p w14:paraId="6EE82064">
            <w:pPr>
              <w:pStyle w:val="3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eastAsia="zh-CN"/>
              </w:rPr>
              <w:t>人</w:t>
            </w:r>
            <w:r>
              <w:rPr>
                <w:rFonts w:hint="eastAsia" w:ascii="宋体" w:hAnsi="宋体" w:eastAsia="宋体" w:cs="宋体"/>
                <w:color w:val="auto"/>
                <w:sz w:val="22"/>
                <w:szCs w:val="22"/>
                <w:highlight w:val="none"/>
                <w:lang w:val="en-US" w:eastAsia="zh-CN"/>
              </w:rPr>
              <w:t>具有在有效期内的质量管理体系认证证书、环境管理体系认证证书、职业健康安全管理体系认证证书的，每提供一个计2分，最高计6分。</w:t>
            </w:r>
          </w:p>
          <w:p w14:paraId="7AC2B3C8">
            <w:pPr>
              <w:pStyle w:val="36"/>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注：</w:t>
            </w:r>
            <w:r>
              <w:rPr>
                <w:rFonts w:hint="eastAsia" w:ascii="宋体" w:hAnsi="宋体" w:eastAsia="宋体" w:cs="宋体"/>
                <w:b/>
                <w:bCs/>
                <w:color w:val="auto"/>
                <w:sz w:val="22"/>
                <w:szCs w:val="22"/>
                <w:highlight w:val="none"/>
              </w:rPr>
              <w:t>提供</w:t>
            </w:r>
            <w:r>
              <w:rPr>
                <w:rFonts w:hint="eastAsia" w:ascii="宋体" w:hAnsi="宋体" w:eastAsia="宋体" w:cs="宋体"/>
                <w:b/>
                <w:bCs/>
                <w:color w:val="auto"/>
                <w:sz w:val="22"/>
                <w:szCs w:val="22"/>
                <w:highlight w:val="none"/>
                <w:lang w:val="en-US" w:eastAsia="zh-CN"/>
              </w:rPr>
              <w:t>认证</w:t>
            </w:r>
            <w:r>
              <w:rPr>
                <w:rFonts w:hint="eastAsia" w:ascii="宋体" w:hAnsi="宋体" w:eastAsia="宋体" w:cs="宋体"/>
                <w:b/>
                <w:bCs/>
                <w:color w:val="auto"/>
                <w:sz w:val="22"/>
                <w:szCs w:val="22"/>
                <w:highlight w:val="none"/>
              </w:rPr>
              <w:t>证书并加盖投标单位</w:t>
            </w:r>
            <w:r>
              <w:rPr>
                <w:rFonts w:hint="eastAsia" w:ascii="宋体" w:hAnsi="宋体" w:eastAsia="宋体" w:cs="宋体"/>
                <w:b/>
                <w:bCs/>
                <w:color w:val="auto"/>
                <w:sz w:val="22"/>
                <w:szCs w:val="22"/>
                <w:highlight w:val="none"/>
                <w:lang w:val="en-US" w:eastAsia="zh-CN"/>
              </w:rPr>
              <w:t>复印件</w:t>
            </w:r>
            <w:r>
              <w:rPr>
                <w:rFonts w:hint="eastAsia" w:ascii="宋体" w:hAnsi="宋体" w:eastAsia="宋体" w:cs="宋体"/>
                <w:b/>
                <w:bCs/>
                <w:color w:val="auto"/>
                <w:sz w:val="22"/>
                <w:szCs w:val="22"/>
                <w:highlight w:val="none"/>
              </w:rPr>
              <w:t>公章</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否则不计分。</w:t>
            </w:r>
          </w:p>
        </w:tc>
      </w:tr>
      <w:tr w14:paraId="6182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93" w:type="dxa"/>
            <w:gridSpan w:val="4"/>
            <w:vAlign w:val="center"/>
          </w:tcPr>
          <w:p w14:paraId="1D5CED1C">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合计：100分</w:t>
            </w:r>
          </w:p>
        </w:tc>
      </w:tr>
    </w:tbl>
    <w:p w14:paraId="356466E3">
      <w:pPr>
        <w:pStyle w:val="17"/>
        <w:rPr>
          <w:rFonts w:asciiTheme="minorEastAsia" w:hAnsiTheme="minorEastAsia" w:eastAsiaTheme="minorEastAsia" w:cstheme="minorEastAsia"/>
          <w:color w:val="auto"/>
          <w:highlight w:val="none"/>
        </w:rPr>
      </w:pPr>
    </w:p>
    <w:p w14:paraId="24F81E57">
      <w:pPr>
        <w:spacing w:line="400" w:lineRule="exact"/>
        <w:jc w:val="center"/>
        <w:rPr>
          <w:rFonts w:hint="eastAsia" w:asciiTheme="minorEastAsia" w:hAnsiTheme="minorEastAsia" w:eastAsiaTheme="minorEastAsia" w:cstheme="minorEastAsia"/>
          <w:b/>
          <w:bCs/>
          <w:color w:val="auto"/>
          <w:sz w:val="28"/>
          <w:szCs w:val="28"/>
          <w:highlight w:val="none"/>
        </w:rPr>
      </w:pPr>
    </w:p>
    <w:p w14:paraId="7824E61D">
      <w:pPr>
        <w:pStyle w:val="32"/>
        <w:ind w:left="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bCs/>
          <w:color w:val="auto"/>
          <w:sz w:val="24"/>
          <w:highlight w:val="none"/>
        </w:rPr>
        <w:t>磋商须知正文</w:t>
      </w:r>
    </w:p>
    <w:p w14:paraId="3A9CDF8C">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一、说明</w:t>
      </w:r>
    </w:p>
    <w:p w14:paraId="2F38BED3">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1.适用范围</w:t>
      </w:r>
    </w:p>
    <w:p w14:paraId="2EFD6AA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本磋商文件仅适用于磋商须知前附表(以下简称</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中所叙述的采购项目。</w:t>
      </w:r>
    </w:p>
    <w:p w14:paraId="4AF0BBB7">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2.定义</w:t>
      </w:r>
    </w:p>
    <w:p w14:paraId="105E46C8">
      <w:pPr>
        <w:adjustRightInd w:val="0"/>
        <w:snapToGrid w:val="0"/>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2.1 本次采购的采购人名称、地址、电话、联系人见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14:paraId="0BCE1E55">
      <w:pPr>
        <w:adjustRightInd w:val="0"/>
        <w:snapToGrid w:val="0"/>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2.2 “采购代理机构”是指接受采购人委托，代理采购项目的集中采购机构和其他采购代理机构。本次采购的采购代理机构名称、地址、电话、联系人见</w:t>
      </w:r>
      <w:r>
        <w:rPr>
          <w:rFonts w:hint="eastAsia" w:asciiTheme="minorEastAsia" w:hAnsiTheme="minorEastAsia" w:eastAsiaTheme="minorEastAsia" w:cstheme="minorEastAsia"/>
          <w:b/>
          <w:color w:val="auto"/>
          <w:szCs w:val="21"/>
          <w:highlight w:val="none"/>
        </w:rPr>
        <w:t>磋商须知前附表。</w:t>
      </w:r>
    </w:p>
    <w:p w14:paraId="7D6E54C7">
      <w:pPr>
        <w:adjustRightInd w:val="0"/>
        <w:snapToGrid w:val="0"/>
        <w:spacing w:line="360" w:lineRule="auto"/>
        <w:ind w:firstLine="420" w:firstLineChars="200"/>
        <w:rPr>
          <w:rFonts w:hint="eastAsia" w:asciiTheme="minorEastAsia" w:hAnsiTheme="minorEastAsia" w:eastAsiaTheme="minorEastAsia" w:cstheme="minorEastAsia"/>
          <w:bCs/>
          <w:color w:val="auto"/>
          <w:kern w:val="36"/>
          <w:szCs w:val="21"/>
          <w:highlight w:val="none"/>
        </w:rPr>
      </w:pPr>
      <w:r>
        <w:rPr>
          <w:rFonts w:hint="eastAsia" w:asciiTheme="minorEastAsia" w:hAnsiTheme="minorEastAsia" w:eastAsiaTheme="minorEastAsia" w:cstheme="minorEastAsia"/>
          <w:color w:val="auto"/>
          <w:szCs w:val="21"/>
          <w:highlight w:val="none"/>
        </w:rPr>
        <w:t>2.3 “供应商”是指响应磋商文件要求、参加竞争性磋商采购的法人、其他组织或者自然人。本次采购项目</w:t>
      </w:r>
      <w:r>
        <w:rPr>
          <w:rFonts w:hint="eastAsia" w:asciiTheme="minorEastAsia" w:hAnsiTheme="minorEastAsia" w:eastAsiaTheme="minorEastAsia" w:cstheme="minorEastAsia"/>
          <w:color w:val="auto"/>
          <w:kern w:val="0"/>
          <w:szCs w:val="21"/>
          <w:highlight w:val="none"/>
        </w:rPr>
        <w:t>邀请</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kern w:val="0"/>
          <w:szCs w:val="21"/>
          <w:highlight w:val="none"/>
        </w:rPr>
        <w:t>供应商通过</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所述方式</w:t>
      </w:r>
      <w:r>
        <w:rPr>
          <w:rFonts w:hint="eastAsia" w:asciiTheme="minorEastAsia" w:hAnsiTheme="minorEastAsia" w:eastAsiaTheme="minorEastAsia" w:cstheme="minorEastAsia"/>
          <w:color w:val="auto"/>
          <w:kern w:val="0"/>
          <w:szCs w:val="21"/>
          <w:highlight w:val="none"/>
        </w:rPr>
        <w:t>，邀请符合资格条件的供应商提交响应文件（含资格证明资料），参与竞争性磋商采购活动。</w:t>
      </w:r>
    </w:p>
    <w:p w14:paraId="0CB75573">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2.4 “磋商小组”是指</w:t>
      </w:r>
      <w:r>
        <w:rPr>
          <w:rFonts w:hint="eastAsia" w:asciiTheme="minorEastAsia" w:hAnsiTheme="minorEastAsia" w:eastAsiaTheme="minorEastAsia" w:cstheme="minorEastAsia"/>
          <w:color w:val="auto"/>
          <w:kern w:val="0"/>
          <w:szCs w:val="21"/>
          <w:highlight w:val="none"/>
        </w:rPr>
        <w:t>依据财政部</w:t>
      </w:r>
      <w:r>
        <w:rPr>
          <w:rFonts w:hint="eastAsia" w:asciiTheme="minorEastAsia" w:hAnsiTheme="minorEastAsia" w:eastAsiaTheme="minorEastAsia" w:cstheme="minorEastAsia"/>
          <w:bCs/>
          <w:color w:val="auto"/>
          <w:kern w:val="36"/>
          <w:szCs w:val="21"/>
          <w:highlight w:val="none"/>
        </w:rPr>
        <w:t>《采购竞争性磋商采购方式管理暂行办法》有关规定组建，依法依规</w:t>
      </w:r>
      <w:r>
        <w:rPr>
          <w:rFonts w:hint="eastAsia" w:asciiTheme="minorEastAsia" w:hAnsiTheme="minorEastAsia" w:eastAsiaTheme="minorEastAsia" w:cstheme="minorEastAsia"/>
          <w:color w:val="auto"/>
          <w:kern w:val="0"/>
          <w:szCs w:val="21"/>
          <w:highlight w:val="none"/>
        </w:rPr>
        <w:t>履行其职责和义务的机构。</w:t>
      </w:r>
    </w:p>
    <w:p w14:paraId="7055D9B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 “货物”是指各种形态和种类的物品，包括原资料、燃料、设备、产品等。</w:t>
      </w:r>
    </w:p>
    <w:p w14:paraId="288D4EFE">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 “工程”是指建设工程，包括建筑物和构筑物的新建、改建、扩建、装修、拆除、修缮等。</w:t>
      </w:r>
    </w:p>
    <w:p w14:paraId="501C2B22">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 “服务”是指除货物和工程以外的其他采购对象。</w:t>
      </w:r>
    </w:p>
    <w:p w14:paraId="63AF8E6B">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 “节能产品”或者“环保产品”是指财政部发布的《节能产品政府采购品目清单》或者《环境标志产品政府采购品目清单》的产品。</w:t>
      </w:r>
    </w:p>
    <w:p w14:paraId="60F77B42">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 “进口产品”是指通过中国海关报关验放进入中国境内且产自关境外的产品，详见《关于政府采购进口产品管理有关问题的通知》(财库[2007]119号)。</w:t>
      </w:r>
    </w:p>
    <w:p w14:paraId="11406B65">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3.供应商的资格要求</w:t>
      </w:r>
    </w:p>
    <w:p w14:paraId="6F64C20D">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供应商应当符合</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中规定的资格条件要求。</w:t>
      </w:r>
    </w:p>
    <w:p w14:paraId="07756E0D">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3.2供应商</w:t>
      </w:r>
      <w:r>
        <w:rPr>
          <w:rFonts w:hint="eastAsia" w:asciiTheme="minorEastAsia" w:hAnsiTheme="minorEastAsia" w:eastAsiaTheme="minorEastAsia" w:cstheme="minorEastAsia"/>
          <w:color w:val="auto"/>
          <w:highlight w:val="none"/>
        </w:rPr>
        <w:t>为联合体形式的</w:t>
      </w:r>
      <w:r>
        <w:rPr>
          <w:rFonts w:hint="eastAsia" w:asciiTheme="minorEastAsia" w:hAnsiTheme="minorEastAsia" w:eastAsiaTheme="minorEastAsia" w:cstheme="minorEastAsia"/>
          <w:color w:val="auto"/>
          <w:szCs w:val="21"/>
          <w:highlight w:val="none"/>
        </w:rPr>
        <w:t xml:space="preserve">，除应满足本章第3.1款资格条件要求及第3.3款规定外，还应遵守以下规定： </w:t>
      </w:r>
    </w:p>
    <w:p w14:paraId="3F0BAFFB">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（1）联合体各方应按磋商文件提供的格式签订联合体协议书，明确联合体牵头人和各方权利义务(含承担工作及工作量比例)；</w:t>
      </w:r>
    </w:p>
    <w:p w14:paraId="3E6B000F">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（2）联合体中有同类资质的供应商按照联合体分工承担相同工作的，应当按照资质等级较低的供应商确定资质等级；</w:t>
      </w:r>
    </w:p>
    <w:p w14:paraId="29EE0B0E">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lang w:val="zh-CN"/>
        </w:rPr>
        <w:t>（3）以联合体形式参加采购活动的，联合体各方不得再单独参加或者与其他供应商另外组成联合体参加同一合同项下的采购活动。</w:t>
      </w:r>
    </w:p>
    <w:p w14:paraId="2C2AD62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 供应商不得存在下列情形之一：</w:t>
      </w:r>
    </w:p>
    <w:p w14:paraId="026572C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（l）与采购人、采购代理机构存在</w:t>
      </w:r>
      <w:r>
        <w:rPr>
          <w:rFonts w:hint="eastAsia" w:asciiTheme="minorEastAsia" w:hAnsiTheme="minorEastAsia" w:eastAsiaTheme="minorEastAsia" w:cstheme="minorEastAsia"/>
          <w:bCs/>
          <w:color w:val="auto"/>
          <w:szCs w:val="21"/>
          <w:highlight w:val="none"/>
        </w:rPr>
        <w:t>隶属关系或者其他利害关系</w:t>
      </w:r>
      <w:r>
        <w:rPr>
          <w:rFonts w:hint="eastAsia" w:asciiTheme="minorEastAsia" w:hAnsiTheme="minorEastAsia" w:eastAsiaTheme="minorEastAsia" w:cstheme="minorEastAsia"/>
          <w:color w:val="auto"/>
          <w:szCs w:val="21"/>
          <w:highlight w:val="none"/>
        </w:rPr>
        <w:t>。</w:t>
      </w:r>
    </w:p>
    <w:p w14:paraId="08F00386">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（2）与其他供应商的法定代表人（或者负责人）为同一人，或者与其他供应商存在控股、管理关系。</w:t>
      </w:r>
    </w:p>
    <w:p w14:paraId="7AC3E200">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受到刑事处罚，或者受到较大数额罚款、责令停产停业、在一至三年内禁止参加采购活动、暂扣或者吊销许可证、暂扣或者吊销执照等情形之一的行政处罚，或者存在</w:t>
      </w:r>
      <w:r>
        <w:rPr>
          <w:rFonts w:hint="eastAsia" w:asciiTheme="minorEastAsia" w:hAnsiTheme="minorEastAsia" w:eastAsiaTheme="minorEastAsia" w:cstheme="minorEastAsia"/>
          <w:color w:val="auto"/>
          <w:szCs w:val="21"/>
          <w:highlight w:val="none"/>
        </w:rPr>
        <w:t>财政部门认定的其他重大违法记录。</w:t>
      </w:r>
    </w:p>
    <w:p w14:paraId="47C22548">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4.参与磋商的费用 </w:t>
      </w:r>
    </w:p>
    <w:p w14:paraId="7E1D1F7B">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无论磋商的结果如何，供应商应自行承担所有与竞争性磋商采购活动有关的全部费用。</w:t>
      </w:r>
    </w:p>
    <w:p w14:paraId="3E4DBA34">
      <w:pPr>
        <w:pStyle w:val="13"/>
        <w:adjustRightInd w:val="0"/>
        <w:snapToGrid w:val="0"/>
        <w:spacing w:line="360"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color w:val="auto"/>
          <w:highlight w:val="none"/>
        </w:rPr>
        <w:t>5．</w:t>
      </w:r>
      <w:r>
        <w:rPr>
          <w:rFonts w:hint="eastAsia" w:asciiTheme="minorEastAsia" w:hAnsiTheme="minorEastAsia" w:eastAsiaTheme="minorEastAsia" w:cstheme="minorEastAsia"/>
          <w:b/>
          <w:bCs/>
          <w:color w:val="auto"/>
          <w:highlight w:val="none"/>
        </w:rPr>
        <w:t>授权委托</w:t>
      </w:r>
    </w:p>
    <w:p w14:paraId="46ED34E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5.1供应商代表为供应商法定代表人的，应具备法定代表人身份证明。供应商代表不是供应商法定代表人的，应具备法定代表人授权书，并附法定代表人身份证明。</w:t>
      </w:r>
    </w:p>
    <w:p w14:paraId="151478B6">
      <w:pPr>
        <w:pStyle w:val="13"/>
        <w:adjustRightInd w:val="0"/>
        <w:snapToGrid w:val="0"/>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6．联合体形式</w:t>
      </w:r>
    </w:p>
    <w:p w14:paraId="4D67A752">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6.1除</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中另有规定，本次磋商采购不接受为联合体形式的供应商。</w:t>
      </w:r>
    </w:p>
    <w:p w14:paraId="1C8AE063">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6.2供应商</w:t>
      </w:r>
      <w:r>
        <w:rPr>
          <w:rFonts w:hint="eastAsia" w:asciiTheme="minorEastAsia" w:hAnsiTheme="minorEastAsia" w:eastAsiaTheme="minorEastAsia" w:cstheme="minorEastAsia"/>
          <w:color w:val="auto"/>
          <w:highlight w:val="none"/>
        </w:rPr>
        <w:t>为联合体形式的</w:t>
      </w:r>
      <w:r>
        <w:rPr>
          <w:rFonts w:hint="eastAsia" w:asciiTheme="minorEastAsia" w:hAnsiTheme="minorEastAsia" w:eastAsiaTheme="minorEastAsia" w:cstheme="minorEastAsia"/>
          <w:color w:val="auto"/>
          <w:szCs w:val="21"/>
          <w:highlight w:val="none"/>
        </w:rPr>
        <w:t>，除应符合本章第3条规定外，还应遵守以下规定：</w:t>
      </w:r>
    </w:p>
    <w:p w14:paraId="16CF0983">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（l）联合体各方必须签订联合体协议书，明确联合体牵头人和各方的义务、工作、合同工作量比例；</w:t>
      </w:r>
    </w:p>
    <w:p w14:paraId="1FACAE60">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（2）联合体各方均应当符合本章第3.1</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规定的供应商基本资格条件；</w:t>
      </w:r>
    </w:p>
    <w:p w14:paraId="3EAA4CCD">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highlight w:val="none"/>
        </w:rPr>
        <w:t>除</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中另有规定，</w:t>
      </w:r>
      <w:r>
        <w:rPr>
          <w:rFonts w:hint="eastAsia" w:asciiTheme="minorEastAsia" w:hAnsiTheme="minorEastAsia" w:eastAsiaTheme="minorEastAsia" w:cstheme="minorEastAsia"/>
          <w:color w:val="auto"/>
          <w:szCs w:val="21"/>
          <w:highlight w:val="none"/>
        </w:rPr>
        <w:t>联合体各方中至少有一方应当符合本章第3.1</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规定的供应商特定资格条件；</w:t>
      </w:r>
    </w:p>
    <w:p w14:paraId="26512998">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kern w:val="0"/>
          <w:szCs w:val="21"/>
          <w:highlight w:val="none"/>
          <w:lang w:val="zh-CN"/>
        </w:rPr>
        <w:t>联合体各方不得再单独或与其他供应商组成新的联合体参加同一项目的采购活动。</w:t>
      </w:r>
    </w:p>
    <w:p w14:paraId="12B56CE3">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7.现场勘察</w:t>
      </w:r>
    </w:p>
    <w:p w14:paraId="551EEA93">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7.1供应商应按</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中规定</w:t>
      </w:r>
      <w:r>
        <w:rPr>
          <w:rFonts w:hint="eastAsia" w:asciiTheme="minorEastAsia" w:hAnsiTheme="minorEastAsia" w:eastAsiaTheme="minorEastAsia" w:cstheme="minorEastAsia"/>
          <w:color w:val="auto"/>
          <w:szCs w:val="21"/>
          <w:highlight w:val="none"/>
        </w:rPr>
        <w:t>对采购项目现场和周围环境的现场考察。</w:t>
      </w:r>
    </w:p>
    <w:p w14:paraId="1E19E66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7.2勘察现场的费用由供应商自己承担，勘察期间所发生的人身伤害及财产损失由供应商自己负责。</w:t>
      </w:r>
    </w:p>
    <w:p w14:paraId="62A84DC3">
      <w:pPr>
        <w:adjustRightInd w:val="0"/>
        <w:snapToGrid w:val="0"/>
        <w:spacing w:line="360" w:lineRule="auto"/>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7.3采购人不对供应商据此而做出的推论、理解和结论负责。一旦成交，供应商不得以任何借口，提出额外补偿，或延长合同期限的要求。</w:t>
      </w:r>
    </w:p>
    <w:p w14:paraId="6DBC1DF5">
      <w:pPr>
        <w:adjustRightInd w:val="0"/>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8.采购进口产品</w:t>
      </w:r>
    </w:p>
    <w:p w14:paraId="64D64453">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8.1除</w:t>
      </w:r>
      <w:r>
        <w:rPr>
          <w:rFonts w:hint="eastAsia" w:asciiTheme="minorEastAsia" w:hAnsiTheme="minorEastAsia" w:eastAsiaTheme="minorEastAsia" w:cstheme="minorEastAsia"/>
          <w:b/>
          <w:color w:val="auto"/>
          <w:szCs w:val="21"/>
          <w:highlight w:val="none"/>
        </w:rPr>
        <w:t>磋商文件前附表</w:t>
      </w:r>
      <w:r>
        <w:rPr>
          <w:rFonts w:hint="eastAsia" w:asciiTheme="minorEastAsia" w:hAnsiTheme="minorEastAsia" w:eastAsiaTheme="minorEastAsia" w:cstheme="minorEastAsia"/>
          <w:color w:val="auto"/>
          <w:szCs w:val="21"/>
          <w:highlight w:val="none"/>
        </w:rPr>
        <w:t>另有规定外，本项目</w:t>
      </w:r>
      <w:r>
        <w:rPr>
          <w:rFonts w:hint="eastAsia" w:asciiTheme="minorEastAsia" w:hAnsiTheme="minorEastAsia" w:eastAsiaTheme="minorEastAsia" w:cstheme="minorEastAsia"/>
          <w:color w:val="auto"/>
          <w:kern w:val="0"/>
          <w:szCs w:val="21"/>
          <w:highlight w:val="none"/>
        </w:rPr>
        <w:t>拒绝进口产品参加</w:t>
      </w:r>
      <w:r>
        <w:rPr>
          <w:rFonts w:hint="eastAsia" w:asciiTheme="minorEastAsia" w:hAnsiTheme="minorEastAsia" w:eastAsiaTheme="minorEastAsia" w:cstheme="minorEastAsia"/>
          <w:color w:val="auto"/>
          <w:szCs w:val="21"/>
          <w:highlight w:val="none"/>
        </w:rPr>
        <w:t>竞争性磋商采购活动</w:t>
      </w:r>
      <w:r>
        <w:rPr>
          <w:rFonts w:hint="eastAsia" w:asciiTheme="minorEastAsia" w:hAnsiTheme="minorEastAsia" w:eastAsiaTheme="minorEastAsia" w:cstheme="minorEastAsia"/>
          <w:color w:val="auto"/>
          <w:kern w:val="0"/>
          <w:szCs w:val="21"/>
          <w:highlight w:val="none"/>
        </w:rPr>
        <w:t>。</w:t>
      </w:r>
    </w:p>
    <w:p w14:paraId="0B081BF7">
      <w:pPr>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8.2</w:t>
      </w:r>
      <w:r>
        <w:rPr>
          <w:rFonts w:hint="eastAsia" w:asciiTheme="minorEastAsia" w:hAnsiTheme="minorEastAsia" w:eastAsiaTheme="minorEastAsia" w:cstheme="minorEastAsia"/>
          <w:color w:val="auto"/>
          <w:szCs w:val="21"/>
          <w:highlight w:val="none"/>
        </w:rPr>
        <w:t>本章第7.1</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w:t>
      </w:r>
      <w:r>
        <w:rPr>
          <w:rFonts w:hint="eastAsia" w:asciiTheme="minorEastAsia" w:hAnsiTheme="minorEastAsia" w:eastAsiaTheme="minorEastAsia" w:cstheme="minorEastAsia"/>
          <w:color w:val="auto"/>
          <w:kern w:val="0"/>
          <w:szCs w:val="21"/>
          <w:highlight w:val="none"/>
        </w:rPr>
        <w:t>同意购买进口产品的，</w:t>
      </w:r>
      <w:r>
        <w:rPr>
          <w:rFonts w:hint="eastAsia" w:asciiTheme="minorEastAsia" w:hAnsiTheme="minorEastAsia" w:eastAsiaTheme="minorEastAsia" w:cstheme="minorEastAsia"/>
          <w:color w:val="auto"/>
          <w:szCs w:val="21"/>
          <w:highlight w:val="none"/>
        </w:rPr>
        <w:t>本项目</w:t>
      </w:r>
      <w:r>
        <w:rPr>
          <w:rFonts w:hint="eastAsia" w:asciiTheme="minorEastAsia" w:hAnsiTheme="minorEastAsia" w:eastAsiaTheme="minorEastAsia" w:cstheme="minorEastAsia"/>
          <w:color w:val="auto"/>
          <w:kern w:val="0"/>
          <w:szCs w:val="21"/>
          <w:highlight w:val="none"/>
          <w:lang w:val="zh-CN"/>
        </w:rPr>
        <w:t>采购活动</w:t>
      </w:r>
      <w:r>
        <w:rPr>
          <w:rFonts w:hint="eastAsia" w:asciiTheme="minorEastAsia" w:hAnsiTheme="minorEastAsia" w:eastAsiaTheme="minorEastAsia" w:cstheme="minorEastAsia"/>
          <w:color w:val="auto"/>
          <w:kern w:val="0"/>
          <w:szCs w:val="21"/>
          <w:highlight w:val="none"/>
        </w:rPr>
        <w:t>不限制满足</w:t>
      </w:r>
      <w:r>
        <w:rPr>
          <w:rFonts w:hint="eastAsia" w:asciiTheme="minorEastAsia" w:hAnsiTheme="minorEastAsia" w:eastAsiaTheme="minorEastAsia" w:cstheme="minorEastAsia"/>
          <w:color w:val="auto"/>
          <w:szCs w:val="21"/>
          <w:highlight w:val="none"/>
        </w:rPr>
        <w:t>磋商文件要求</w:t>
      </w:r>
      <w:r>
        <w:rPr>
          <w:rFonts w:hint="eastAsia" w:asciiTheme="minorEastAsia" w:hAnsiTheme="minorEastAsia" w:eastAsiaTheme="minorEastAsia" w:cstheme="minorEastAsia"/>
          <w:color w:val="auto"/>
          <w:kern w:val="0"/>
          <w:szCs w:val="21"/>
          <w:highlight w:val="none"/>
        </w:rPr>
        <w:t>的国内产品参与</w:t>
      </w:r>
      <w:r>
        <w:rPr>
          <w:rFonts w:hint="eastAsia" w:asciiTheme="minorEastAsia" w:hAnsiTheme="minorEastAsia" w:eastAsiaTheme="minorEastAsia" w:cstheme="minorEastAsia"/>
          <w:color w:val="auto"/>
          <w:szCs w:val="21"/>
          <w:highlight w:val="none"/>
        </w:rPr>
        <w:t>竞争性磋商</w:t>
      </w:r>
      <w:r>
        <w:rPr>
          <w:rFonts w:hint="eastAsia" w:asciiTheme="minorEastAsia" w:hAnsiTheme="minorEastAsia" w:eastAsiaTheme="minorEastAsia" w:cstheme="minorEastAsia"/>
          <w:color w:val="auto"/>
          <w:kern w:val="0"/>
          <w:szCs w:val="21"/>
          <w:highlight w:val="none"/>
        </w:rPr>
        <w:t>。</w:t>
      </w:r>
    </w:p>
    <w:p w14:paraId="51259737">
      <w:pPr>
        <w:adjustRightInd w:val="0"/>
        <w:snapToGrid w:val="0"/>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9.</w:t>
      </w:r>
      <w:r>
        <w:rPr>
          <w:rFonts w:hint="eastAsia" w:asciiTheme="minorEastAsia" w:hAnsiTheme="minorEastAsia" w:eastAsiaTheme="minorEastAsia" w:cstheme="minorEastAsia"/>
          <w:b/>
          <w:color w:val="auto"/>
          <w:szCs w:val="21"/>
          <w:highlight w:val="none"/>
        </w:rPr>
        <w:t xml:space="preserve"> 采购政策支持</w:t>
      </w:r>
    </w:p>
    <w:p w14:paraId="2A26F392">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kern w:val="0"/>
          <w:highlight w:val="none"/>
        </w:rPr>
        <w:t>对列入财政部、国家发展改革委发布的《节能产品政府采购品目清单》且属于应当“强制采购的节能产品”，按照规定实行强制采购。实行政府采购强制采购的节能产品见</w:t>
      </w:r>
      <w:r>
        <w:rPr>
          <w:rFonts w:hint="eastAsia" w:asciiTheme="minorEastAsia" w:hAnsiTheme="minorEastAsia" w:eastAsiaTheme="minorEastAsia" w:cstheme="minorEastAsia"/>
          <w:b/>
          <w:color w:val="auto"/>
          <w:kern w:val="0"/>
          <w:szCs w:val="21"/>
          <w:highlight w:val="none"/>
        </w:rPr>
        <w:t>磋商文件前附表。</w:t>
      </w:r>
    </w:p>
    <w:p w14:paraId="335AF2AB">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rPr>
        <w:t>9.2对列入财政部、国家发展改革委发布的《节能产品政府采购品目清单》的“非强制采购节能产品”，财政部、环境保护部发布的《环境标志产品政府采购品目清单》的“环境标志产品”，以及中小</w:t>
      </w:r>
      <w:r>
        <w:rPr>
          <w:rFonts w:hint="eastAsia" w:asciiTheme="minorEastAsia" w:hAnsiTheme="minorEastAsia" w:eastAsiaTheme="minorEastAsia" w:cstheme="minorEastAsia"/>
          <w:color w:val="auto"/>
          <w:kern w:val="0"/>
          <w:highlight w:val="none"/>
          <w:lang w:eastAsia="zh-Hans"/>
        </w:rPr>
        <w:t>微</w:t>
      </w:r>
      <w:r>
        <w:rPr>
          <w:rFonts w:hint="eastAsia" w:asciiTheme="minorEastAsia" w:hAnsiTheme="minorEastAsia" w:eastAsiaTheme="minorEastAsia" w:cstheme="minorEastAsia"/>
          <w:color w:val="auto"/>
          <w:kern w:val="0"/>
          <w:highlight w:val="none"/>
        </w:rPr>
        <w:t>企业，实行优先采购，按照省级以上财政部门有关政策规定，评审时进行价格扣除。实行政府采购优先采购的优惠率见</w:t>
      </w:r>
      <w:r>
        <w:rPr>
          <w:rFonts w:hint="eastAsia" w:asciiTheme="minorEastAsia" w:hAnsiTheme="minorEastAsia" w:eastAsiaTheme="minorEastAsia" w:cstheme="minorEastAsia"/>
          <w:b/>
          <w:color w:val="auto"/>
          <w:kern w:val="0"/>
          <w:highlight w:val="none"/>
        </w:rPr>
        <w:t>磋商文件前附表。</w:t>
      </w:r>
    </w:p>
    <w:p w14:paraId="431C60AA">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9.3产品同时属于“非强制采购节能产品”、“环境标志产品”的，评审时只有其中一项能享受优先待遇(供应商自行选择，并在报价文件中并填报相关信息及数据)；中小</w:t>
      </w:r>
      <w:r>
        <w:rPr>
          <w:rFonts w:hint="eastAsia" w:asciiTheme="minorEastAsia" w:hAnsiTheme="minorEastAsia" w:eastAsiaTheme="minorEastAsia" w:cstheme="minorEastAsia"/>
          <w:color w:val="auto"/>
          <w:kern w:val="0"/>
          <w:szCs w:val="21"/>
          <w:highlight w:val="none"/>
          <w:lang w:eastAsia="zh-Hans"/>
        </w:rPr>
        <w:t>微</w:t>
      </w:r>
      <w:r>
        <w:rPr>
          <w:rFonts w:hint="eastAsia" w:asciiTheme="minorEastAsia" w:hAnsiTheme="minorEastAsia" w:eastAsiaTheme="minorEastAsia" w:cstheme="minorEastAsia"/>
          <w:color w:val="auto"/>
          <w:kern w:val="0"/>
          <w:szCs w:val="21"/>
          <w:highlight w:val="none"/>
        </w:rPr>
        <w:t>企业可以与同时属于“非强制采购节能产品”、“环境标志产品”中的一项重复计算。</w:t>
      </w:r>
    </w:p>
    <w:p w14:paraId="32B52BBB">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9.4同一项目中部分产品属于优先采购政策的，评审时只对该部分产品的报价实行价格扣除及加分。</w:t>
      </w:r>
    </w:p>
    <w:p w14:paraId="6B5B73D5">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9.5符合本章第9.1</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第9.2</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规定的，应提供相关证明资料。</w:t>
      </w:r>
    </w:p>
    <w:p w14:paraId="2E77967C">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9.6供应商有融资、担保需求的，具体办理流程可向</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所列金融机构和担保机构询问。</w:t>
      </w:r>
    </w:p>
    <w:p w14:paraId="3CD4E04C">
      <w:pPr>
        <w:adjustRightInd w:val="0"/>
        <w:snapToGrid w:val="0"/>
        <w:spacing w:line="360" w:lineRule="auto"/>
        <w:ind w:left="902" w:hanging="902" w:hangingChars="37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二、磋商文件</w:t>
      </w:r>
    </w:p>
    <w:p w14:paraId="4DADA7DD">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10．磋商文件的组成</w:t>
      </w:r>
    </w:p>
    <w:p w14:paraId="1A0DA47A">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10.1 磋商文件由下列文件组成：</w:t>
      </w:r>
    </w:p>
    <w:p w14:paraId="186B91F9">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第一章 磋商邀请</w:t>
      </w:r>
    </w:p>
    <w:p w14:paraId="71CBB307">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第二章 磋商须知</w:t>
      </w:r>
    </w:p>
    <w:p w14:paraId="2EA00EE0">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第三章 采购合同格式条款</w:t>
      </w:r>
    </w:p>
    <w:p w14:paraId="4D67809D">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第四章 采购需求</w:t>
      </w:r>
    </w:p>
    <w:p w14:paraId="16BDEDB1">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第五章 响应文件组成</w:t>
      </w:r>
    </w:p>
    <w:p w14:paraId="0F544CEF">
      <w:pPr>
        <w:pStyle w:val="13"/>
        <w:adjustRightInd w:val="0"/>
        <w:snapToGrid w:val="0"/>
        <w:spacing w:line="360" w:lineRule="auto"/>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10.2</w:t>
      </w:r>
      <w:r>
        <w:rPr>
          <w:rFonts w:hint="eastAsia" w:asciiTheme="minorEastAsia" w:hAnsiTheme="minorEastAsia" w:eastAsiaTheme="minorEastAsia" w:cstheme="minorEastAsia"/>
          <w:color w:val="auto"/>
          <w:kern w:val="0"/>
          <w:highlight w:val="none"/>
        </w:rPr>
        <w:t>磋商小组根据与供应商磋商情况可能实质性变动的内容，包括采购需求中的技术、服务要求以及合同条款，</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中明确。</w:t>
      </w:r>
    </w:p>
    <w:p w14:paraId="3018380E">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10.3</w:t>
      </w:r>
      <w:r>
        <w:rPr>
          <w:rFonts w:hint="eastAsia" w:asciiTheme="minorEastAsia" w:hAnsiTheme="minorEastAsia" w:eastAsiaTheme="minorEastAsia" w:cstheme="minorEastAsia"/>
          <w:color w:val="auto"/>
          <w:szCs w:val="21"/>
          <w:highlight w:val="none"/>
        </w:rPr>
        <w:t>供应商应仔细阅读</w:t>
      </w:r>
      <w:r>
        <w:rPr>
          <w:rFonts w:hint="eastAsia" w:asciiTheme="minorEastAsia" w:hAnsiTheme="minorEastAsia" w:eastAsiaTheme="minorEastAsia" w:cstheme="minorEastAsia"/>
          <w:bCs/>
          <w:color w:val="auto"/>
          <w:szCs w:val="21"/>
          <w:highlight w:val="none"/>
        </w:rPr>
        <w:t>磋商</w:t>
      </w:r>
      <w:r>
        <w:rPr>
          <w:rFonts w:hint="eastAsia" w:asciiTheme="minorEastAsia" w:hAnsiTheme="minorEastAsia" w:eastAsiaTheme="minorEastAsia" w:cstheme="minorEastAsia"/>
          <w:color w:val="auto"/>
          <w:szCs w:val="21"/>
          <w:highlight w:val="none"/>
        </w:rPr>
        <w:t>文件的全部内容，按照</w:t>
      </w:r>
      <w:r>
        <w:rPr>
          <w:rFonts w:hint="eastAsia" w:asciiTheme="minorEastAsia" w:hAnsiTheme="minorEastAsia" w:eastAsiaTheme="minorEastAsia" w:cstheme="minorEastAsia"/>
          <w:bCs/>
          <w:color w:val="auto"/>
          <w:szCs w:val="21"/>
          <w:highlight w:val="none"/>
        </w:rPr>
        <w:t>磋商</w:t>
      </w:r>
      <w:r>
        <w:rPr>
          <w:rFonts w:hint="eastAsia" w:asciiTheme="minorEastAsia" w:hAnsiTheme="minorEastAsia" w:eastAsiaTheme="minorEastAsia" w:cstheme="minorEastAsia"/>
          <w:color w:val="auto"/>
          <w:szCs w:val="21"/>
          <w:highlight w:val="none"/>
        </w:rPr>
        <w:t>文件要求编制响应文件。任何对</w:t>
      </w:r>
      <w:r>
        <w:rPr>
          <w:rFonts w:hint="eastAsia" w:asciiTheme="minorEastAsia" w:hAnsiTheme="minorEastAsia" w:eastAsiaTheme="minorEastAsia" w:cstheme="minorEastAsia"/>
          <w:bCs/>
          <w:color w:val="auto"/>
          <w:szCs w:val="21"/>
          <w:highlight w:val="none"/>
        </w:rPr>
        <w:t>磋商</w:t>
      </w:r>
      <w:r>
        <w:rPr>
          <w:rFonts w:hint="eastAsia" w:asciiTheme="minorEastAsia" w:hAnsiTheme="minorEastAsia" w:eastAsiaTheme="minorEastAsia" w:cstheme="minorEastAsia"/>
          <w:color w:val="auto"/>
          <w:szCs w:val="21"/>
          <w:highlight w:val="none"/>
        </w:rPr>
        <w:t>文件的忽略或误解不能作为响应文件存在缺陷或瑕疵的理由，其风险由供应商承担。</w:t>
      </w:r>
    </w:p>
    <w:p w14:paraId="2C2B32A6">
      <w:pPr>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11.</w:t>
      </w:r>
      <w:r>
        <w:rPr>
          <w:rFonts w:hint="eastAsia" w:asciiTheme="minorEastAsia" w:hAnsiTheme="minorEastAsia" w:eastAsiaTheme="minorEastAsia" w:cstheme="minorEastAsia"/>
          <w:b/>
          <w:color w:val="auto"/>
          <w:highlight w:val="none"/>
        </w:rPr>
        <w:t xml:space="preserve"> </w:t>
      </w:r>
      <w:r>
        <w:rPr>
          <w:rFonts w:hint="eastAsia" w:asciiTheme="minorEastAsia" w:hAnsiTheme="minorEastAsia" w:eastAsiaTheme="minorEastAsia" w:cstheme="minorEastAsia"/>
          <w:b/>
          <w:color w:val="auto"/>
          <w:szCs w:val="21"/>
          <w:highlight w:val="none"/>
        </w:rPr>
        <w:t>磋商文件的提供期限</w:t>
      </w:r>
    </w:p>
    <w:p w14:paraId="1042E1AD">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11.1磋商文件的提供期限自开始发出之日起不得少于五个工作日。具体提供期限见</w:t>
      </w:r>
      <w:r>
        <w:rPr>
          <w:rFonts w:hint="eastAsia" w:asciiTheme="minorEastAsia" w:hAnsiTheme="minorEastAsia" w:eastAsiaTheme="minorEastAsia" w:cstheme="minorEastAsia"/>
          <w:b/>
          <w:color w:val="auto"/>
          <w:szCs w:val="21"/>
          <w:highlight w:val="none"/>
        </w:rPr>
        <w:t>磋商文件前附表</w:t>
      </w:r>
      <w:r>
        <w:rPr>
          <w:rFonts w:hint="eastAsia" w:asciiTheme="minorEastAsia" w:hAnsiTheme="minorEastAsia" w:eastAsiaTheme="minorEastAsia" w:cstheme="minorEastAsia"/>
          <w:color w:val="auto"/>
          <w:szCs w:val="21"/>
          <w:highlight w:val="none"/>
        </w:rPr>
        <w:t>。</w:t>
      </w:r>
    </w:p>
    <w:p w14:paraId="70D8556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11.2供应商应持</w:t>
      </w:r>
      <w:r>
        <w:rPr>
          <w:rFonts w:hint="eastAsia" w:asciiTheme="minorEastAsia" w:hAnsiTheme="minorEastAsia" w:eastAsiaTheme="minorEastAsia" w:cstheme="minorEastAsia"/>
          <w:b/>
          <w:color w:val="auto"/>
          <w:szCs w:val="21"/>
          <w:highlight w:val="none"/>
        </w:rPr>
        <w:t>磋商文件前附表</w:t>
      </w:r>
      <w:r>
        <w:rPr>
          <w:rFonts w:hint="eastAsia" w:asciiTheme="minorEastAsia" w:hAnsiTheme="minorEastAsia" w:eastAsiaTheme="minorEastAsia" w:cstheme="minorEastAsia"/>
          <w:color w:val="auto"/>
          <w:szCs w:val="21"/>
          <w:highlight w:val="none"/>
        </w:rPr>
        <w:t>规定的资料领取或购买磋商文件。</w:t>
      </w:r>
    </w:p>
    <w:p w14:paraId="36505889">
      <w:pPr>
        <w:pStyle w:val="13"/>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12.</w:t>
      </w:r>
      <w:r>
        <w:rPr>
          <w:rFonts w:hint="eastAsia" w:asciiTheme="minorEastAsia" w:hAnsiTheme="minorEastAsia" w:eastAsiaTheme="minorEastAsia" w:cstheme="minorEastAsia"/>
          <w:b/>
          <w:color w:val="auto"/>
          <w:kern w:val="0"/>
          <w:highlight w:val="none"/>
        </w:rPr>
        <w:t>提交首次响应文件</w:t>
      </w:r>
      <w:r>
        <w:rPr>
          <w:rFonts w:hint="eastAsia" w:asciiTheme="minorEastAsia" w:hAnsiTheme="minorEastAsia" w:eastAsiaTheme="minorEastAsia" w:cstheme="minorEastAsia"/>
          <w:b/>
          <w:color w:val="auto"/>
          <w:highlight w:val="none"/>
        </w:rPr>
        <w:t>的</w:t>
      </w:r>
      <w:r>
        <w:rPr>
          <w:rFonts w:hint="eastAsia" w:asciiTheme="minorEastAsia" w:hAnsiTheme="minorEastAsia" w:eastAsiaTheme="minorEastAsia" w:cstheme="minorEastAsia"/>
          <w:b/>
          <w:color w:val="auto"/>
          <w:kern w:val="0"/>
          <w:highlight w:val="none"/>
        </w:rPr>
        <w:t>截止</w:t>
      </w:r>
      <w:r>
        <w:rPr>
          <w:rFonts w:hint="eastAsia" w:asciiTheme="minorEastAsia" w:hAnsiTheme="minorEastAsia" w:eastAsiaTheme="minorEastAsia" w:cstheme="minorEastAsia"/>
          <w:b/>
          <w:color w:val="auto"/>
          <w:highlight w:val="none"/>
        </w:rPr>
        <w:t>时间</w:t>
      </w:r>
    </w:p>
    <w:p w14:paraId="436141A2">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w:t>
      </w:r>
      <w:r>
        <w:rPr>
          <w:rFonts w:hint="eastAsia" w:asciiTheme="minorEastAsia" w:hAnsiTheme="minorEastAsia" w:eastAsiaTheme="minorEastAsia" w:cstheme="minorEastAsia"/>
          <w:color w:val="auto"/>
          <w:kern w:val="0"/>
          <w:highlight w:val="none"/>
        </w:rPr>
        <w:t>供应商提交首次响应文件截止</w:t>
      </w:r>
      <w:r>
        <w:rPr>
          <w:rFonts w:hint="eastAsia" w:asciiTheme="minorEastAsia" w:hAnsiTheme="minorEastAsia" w:eastAsiaTheme="minorEastAsia" w:cstheme="minorEastAsia"/>
          <w:color w:val="auto"/>
          <w:highlight w:val="none"/>
        </w:rPr>
        <w:t>时间见</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w:t>
      </w:r>
    </w:p>
    <w:p w14:paraId="051FB0BB">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13.磋商文件的澄清</w:t>
      </w:r>
      <w:r>
        <w:rPr>
          <w:rFonts w:hint="eastAsia" w:asciiTheme="minorEastAsia" w:hAnsiTheme="minorEastAsia" w:eastAsiaTheme="minorEastAsia" w:cstheme="minorEastAsia"/>
          <w:b/>
          <w:color w:val="auto"/>
          <w:kern w:val="0"/>
          <w:szCs w:val="21"/>
          <w:highlight w:val="none"/>
          <w:lang w:val="zh-CN"/>
        </w:rPr>
        <w:t>或者</w:t>
      </w:r>
      <w:r>
        <w:rPr>
          <w:rFonts w:hint="eastAsia" w:asciiTheme="minorEastAsia" w:hAnsiTheme="minorEastAsia" w:eastAsiaTheme="minorEastAsia" w:cstheme="minorEastAsia"/>
          <w:b/>
          <w:bCs/>
          <w:color w:val="auto"/>
          <w:szCs w:val="21"/>
          <w:highlight w:val="none"/>
        </w:rPr>
        <w:t>修改</w:t>
      </w:r>
    </w:p>
    <w:p w14:paraId="2BCBB759">
      <w:pPr>
        <w:adjustRightInd w:val="0"/>
        <w:snapToGrid w:val="0"/>
        <w:spacing w:line="360" w:lineRule="auto"/>
        <w:ind w:right="-105" w:rightChars="-5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13.1在</w:t>
      </w:r>
      <w:r>
        <w:rPr>
          <w:rFonts w:hint="eastAsia" w:asciiTheme="minorEastAsia" w:hAnsiTheme="minorEastAsia" w:eastAsiaTheme="minorEastAsia" w:cstheme="minorEastAsia"/>
          <w:color w:val="auto"/>
          <w:kern w:val="0"/>
          <w:szCs w:val="21"/>
          <w:highlight w:val="none"/>
        </w:rPr>
        <w:t xml:space="preserve">提交首次响应文件截止之日前，采购人、采购代理机构可以对已发出的磋商文件进行必要的澄清或者修改。 </w:t>
      </w:r>
    </w:p>
    <w:p w14:paraId="41459AC3">
      <w:pPr>
        <w:adjustRightInd w:val="0"/>
        <w:snapToGrid w:val="0"/>
        <w:spacing w:line="360" w:lineRule="auto"/>
        <w:ind w:right="-105" w:rightChars="-50"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13.2</w:t>
      </w:r>
      <w:r>
        <w:rPr>
          <w:rFonts w:hint="eastAsia" w:asciiTheme="minorEastAsia" w:hAnsiTheme="minorEastAsia" w:eastAsiaTheme="minorEastAsia" w:cstheme="minorEastAsia"/>
          <w:color w:val="auto"/>
          <w:kern w:val="0"/>
          <w:szCs w:val="21"/>
          <w:highlight w:val="none"/>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264F04FB">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w:t>
      </w:r>
      <w:r>
        <w:rPr>
          <w:rFonts w:hint="eastAsia" w:asciiTheme="minorEastAsia" w:hAnsiTheme="minorEastAsia" w:eastAsiaTheme="minorEastAsia" w:cstheme="minorEastAsia"/>
          <w:color w:val="auto"/>
          <w:kern w:val="0"/>
          <w:highlight w:val="none"/>
        </w:rPr>
        <w:t>提交首次响应文件截止时间前对磋商文件澄清或者修改内容，为磋商文件的组成部分。</w:t>
      </w:r>
    </w:p>
    <w:p w14:paraId="407ED85E">
      <w:pPr>
        <w:adjustRightInd w:val="0"/>
        <w:snapToGrid w:val="0"/>
        <w:spacing w:line="360" w:lineRule="auto"/>
        <w:ind w:left="902" w:hanging="902" w:hangingChars="37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三、响应文件</w:t>
      </w:r>
    </w:p>
    <w:p w14:paraId="5D3F570D">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14.一般要求</w:t>
      </w:r>
    </w:p>
    <w:p w14:paraId="61FB83CF">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 供应商应仔细阅读磋商文件的所有内容，按磋商文件的要求编制响应文件，并保证所提供的全部资料的真实性，以使其响应文件对磋商文件做出实质性的响应。</w:t>
      </w:r>
    </w:p>
    <w:p w14:paraId="08FC803B">
      <w:pPr>
        <w:adjustRightInd w:val="0"/>
        <w:snapToGrid w:val="0"/>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14.2 </w:t>
      </w:r>
      <w:r>
        <w:rPr>
          <w:rFonts w:hint="eastAsia" w:asciiTheme="minorEastAsia" w:hAnsiTheme="minorEastAsia" w:eastAsiaTheme="minorEastAsia" w:cstheme="minorEastAsia"/>
          <w:color w:val="auto"/>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14:paraId="59D01DB7">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 xml:space="preserve">14.3 </w:t>
      </w:r>
      <w:r>
        <w:rPr>
          <w:rFonts w:hint="eastAsia" w:asciiTheme="minorEastAsia" w:hAnsiTheme="minorEastAsia" w:eastAsiaTheme="minorEastAsia" w:cstheme="minorEastAsia"/>
          <w:color w:val="auto"/>
          <w:highlight w:val="none"/>
        </w:rPr>
        <w:t>计量单位应使用我国法定计量单位，未列明时应默认为我国法定计量单位。</w:t>
      </w:r>
    </w:p>
    <w:p w14:paraId="2010DDDC">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14.4 响应文件应采用书面形式，电报、传真、电子邮件形式的响应文件概不接受。</w:t>
      </w:r>
    </w:p>
    <w:p w14:paraId="421BF55F">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14.5 供应商应按磋商文件中提供的响应文件格式填写。</w:t>
      </w:r>
    </w:p>
    <w:p w14:paraId="45A11D0C">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15.</w:t>
      </w:r>
      <w:r>
        <w:rPr>
          <w:rFonts w:hint="eastAsia" w:asciiTheme="minorEastAsia" w:hAnsiTheme="minorEastAsia" w:eastAsiaTheme="minorEastAsia" w:cstheme="minorEastAsia"/>
          <w:b/>
          <w:color w:val="auto"/>
          <w:szCs w:val="21"/>
          <w:highlight w:val="none"/>
        </w:rPr>
        <w:t>响应文件</w:t>
      </w:r>
      <w:r>
        <w:rPr>
          <w:rFonts w:hint="eastAsia" w:asciiTheme="minorEastAsia" w:hAnsiTheme="minorEastAsia" w:eastAsiaTheme="minorEastAsia" w:cstheme="minorEastAsia"/>
          <w:b/>
          <w:bCs/>
          <w:color w:val="auto"/>
          <w:szCs w:val="21"/>
          <w:highlight w:val="none"/>
        </w:rPr>
        <w:t>的组成</w:t>
      </w:r>
    </w:p>
    <w:p w14:paraId="50E41F8A">
      <w:pPr>
        <w:adjustRightInd w:val="0"/>
        <w:snapToGrid w:val="0"/>
        <w:spacing w:line="360" w:lineRule="auto"/>
        <w:ind w:firstLine="420" w:firstLineChars="200"/>
        <w:jc w:val="left"/>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15.1 响应文件包括下列内容：</w:t>
      </w:r>
      <w:r>
        <w:rPr>
          <w:rFonts w:hint="eastAsia" w:asciiTheme="minorEastAsia" w:hAnsiTheme="minorEastAsia" w:eastAsiaTheme="minorEastAsia" w:cstheme="minorEastAsia"/>
          <w:color w:val="auto"/>
          <w:szCs w:val="21"/>
          <w:highlight w:val="none"/>
        </w:rPr>
        <w:t xml:space="preserve"> </w:t>
      </w:r>
    </w:p>
    <w:p w14:paraId="5A9AC43A">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（1）磋商响应声明</w:t>
      </w:r>
    </w:p>
    <w:p w14:paraId="7E66CFC4">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（2）供应商的资格证明文件</w:t>
      </w:r>
    </w:p>
    <w:p w14:paraId="493D8538">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（3）服务方案说明</w:t>
      </w:r>
    </w:p>
    <w:p w14:paraId="582C884A">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（4）技术/商务响应与偏离表</w:t>
      </w:r>
    </w:p>
    <w:p w14:paraId="3F755BA5">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（5）报价一览表及报价文件</w:t>
      </w:r>
    </w:p>
    <w:p w14:paraId="14499DD7">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（6）供应商认为需提供的其他资料</w:t>
      </w:r>
    </w:p>
    <w:p w14:paraId="6738ECDD">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（7）最后报价</w:t>
      </w:r>
    </w:p>
    <w:p w14:paraId="0DE3B720">
      <w:pPr>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15.2在磋商过程中，</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kern w:val="0"/>
          <w:szCs w:val="21"/>
          <w:highlight w:val="none"/>
        </w:rPr>
        <w:t>磋商小组</w:t>
      </w:r>
      <w:r>
        <w:rPr>
          <w:rFonts w:hint="eastAsia" w:asciiTheme="minorEastAsia" w:hAnsiTheme="minorEastAsia" w:eastAsiaTheme="minorEastAsia" w:cstheme="minorEastAsia"/>
          <w:bCs/>
          <w:color w:val="auto"/>
          <w:szCs w:val="21"/>
          <w:highlight w:val="none"/>
        </w:rPr>
        <w:t>书面形式要求</w:t>
      </w:r>
      <w:r>
        <w:rPr>
          <w:rFonts w:hint="eastAsia" w:asciiTheme="minorEastAsia" w:hAnsiTheme="minorEastAsia" w:eastAsiaTheme="minorEastAsia" w:cstheme="minorEastAsia"/>
          <w:color w:val="auto"/>
          <w:kern w:val="0"/>
          <w:szCs w:val="21"/>
          <w:highlight w:val="none"/>
        </w:rPr>
        <w:t>提交的</w:t>
      </w:r>
      <w:r>
        <w:rPr>
          <w:rFonts w:hint="eastAsia" w:asciiTheme="minorEastAsia" w:hAnsiTheme="minorEastAsia" w:eastAsiaTheme="minorEastAsia" w:cstheme="minorEastAsia"/>
          <w:color w:val="auto"/>
          <w:highlight w:val="none"/>
        </w:rPr>
        <w:t>最后报价(或者</w:t>
      </w:r>
      <w:r>
        <w:rPr>
          <w:rFonts w:hint="eastAsia" w:asciiTheme="minorEastAsia" w:hAnsiTheme="minorEastAsia" w:eastAsiaTheme="minorEastAsia" w:cstheme="minorEastAsia"/>
          <w:bCs/>
          <w:color w:val="auto"/>
          <w:szCs w:val="21"/>
          <w:highlight w:val="none"/>
        </w:rPr>
        <w:t>重</w:t>
      </w:r>
      <w:r>
        <w:rPr>
          <w:rFonts w:hint="eastAsia" w:asciiTheme="minorEastAsia" w:hAnsiTheme="minorEastAsia" w:eastAsiaTheme="minorEastAsia" w:cstheme="minorEastAsia"/>
          <w:color w:val="auto"/>
          <w:kern w:val="0"/>
          <w:szCs w:val="21"/>
          <w:highlight w:val="none"/>
        </w:rPr>
        <w:t>新提交的响应文件和</w:t>
      </w:r>
      <w:r>
        <w:rPr>
          <w:rFonts w:hint="eastAsia" w:asciiTheme="minorEastAsia" w:hAnsiTheme="minorEastAsia" w:eastAsiaTheme="minorEastAsia" w:cstheme="minorEastAsia"/>
          <w:color w:val="auto"/>
          <w:highlight w:val="none"/>
        </w:rPr>
        <w:t>最后报价)是</w:t>
      </w:r>
      <w:r>
        <w:rPr>
          <w:rFonts w:hint="eastAsia" w:asciiTheme="minorEastAsia" w:hAnsiTheme="minorEastAsia" w:eastAsiaTheme="minorEastAsia" w:cstheme="minorEastAsia"/>
          <w:color w:val="auto"/>
          <w:szCs w:val="21"/>
          <w:highlight w:val="none"/>
        </w:rPr>
        <w:t>响应文件</w:t>
      </w:r>
      <w:r>
        <w:rPr>
          <w:rFonts w:hint="eastAsia" w:asciiTheme="minorEastAsia" w:hAnsiTheme="minorEastAsia" w:eastAsiaTheme="minorEastAsia" w:cstheme="minorEastAsia"/>
          <w:color w:val="auto"/>
          <w:highlight w:val="none"/>
        </w:rPr>
        <w:t>的有效组成部分。</w:t>
      </w:r>
    </w:p>
    <w:p w14:paraId="73F4FC1F">
      <w:pPr>
        <w:adjustRightInd w:val="0"/>
        <w:snapToGrid w:val="0"/>
        <w:spacing w:line="360" w:lineRule="auto"/>
        <w:ind w:firstLine="420"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15.3</w:t>
      </w:r>
      <w:r>
        <w:rPr>
          <w:rFonts w:hint="eastAsia" w:asciiTheme="minorEastAsia" w:hAnsiTheme="minorEastAsia" w:eastAsiaTheme="minorEastAsia" w:cstheme="minorEastAsia"/>
          <w:color w:val="auto"/>
          <w:kern w:val="0"/>
          <w:szCs w:val="21"/>
          <w:highlight w:val="none"/>
        </w:rPr>
        <w:t>磋商文件规定可能发生实质性变动的，供应商应当在</w:t>
      </w:r>
      <w:r>
        <w:rPr>
          <w:rFonts w:hint="eastAsia" w:asciiTheme="minorEastAsia" w:hAnsiTheme="minorEastAsia" w:eastAsiaTheme="minorEastAsia" w:cstheme="minorEastAsia"/>
          <w:color w:val="auto"/>
          <w:highlight w:val="none"/>
        </w:rPr>
        <w:t>《技术/商务响应与偏离表》中对应内容注明。</w:t>
      </w:r>
    </w:p>
    <w:p w14:paraId="187925A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15.4</w:t>
      </w:r>
      <w:r>
        <w:rPr>
          <w:rFonts w:hint="eastAsia" w:asciiTheme="minorEastAsia" w:hAnsiTheme="minorEastAsia" w:eastAsiaTheme="minorEastAsia" w:cstheme="minorEastAsia"/>
          <w:color w:val="auto"/>
          <w:szCs w:val="21"/>
          <w:highlight w:val="none"/>
        </w:rPr>
        <w:t>根据《政府采购法》第四十二条的规定，供应商无论成交与否，其响应文件不予退还。</w:t>
      </w:r>
    </w:p>
    <w:p w14:paraId="7AA54868">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16.报价</w:t>
      </w:r>
    </w:p>
    <w:p w14:paraId="31D7C37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16.1供应商应当根据磋商文件要求和范围，以</w:t>
      </w:r>
      <w:r>
        <w:rPr>
          <w:rFonts w:hint="eastAsia" w:asciiTheme="minorEastAsia" w:hAnsiTheme="minorEastAsia" w:eastAsiaTheme="minorEastAsia" w:cstheme="minorEastAsia"/>
          <w:bCs/>
          <w:color w:val="auto"/>
          <w:szCs w:val="21"/>
          <w:highlight w:val="none"/>
        </w:rPr>
        <w:t>人民币</w:t>
      </w:r>
      <w:r>
        <w:rPr>
          <w:rFonts w:hint="eastAsia" w:asciiTheme="minorEastAsia" w:hAnsiTheme="minorEastAsia" w:eastAsiaTheme="minorEastAsia" w:cstheme="minorEastAsia"/>
          <w:color w:val="auto"/>
          <w:szCs w:val="21"/>
          <w:highlight w:val="none"/>
        </w:rPr>
        <w:t>报价，以元为单位，保留小数点后两位。</w:t>
      </w:r>
    </w:p>
    <w:p w14:paraId="3D7214C7">
      <w:pPr>
        <w:pStyle w:val="3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16.2供应商应按第五章 响应文件组成格式填写。</w:t>
      </w:r>
    </w:p>
    <w:p w14:paraId="5C93F5C0">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16.3响应文件中标明的价格在合同执行过程中是固定不变的，不得以任何理由予以变更。以可变动价格提交的报价将被认为是非实质响应而被拒绝。</w:t>
      </w:r>
    </w:p>
    <w:p w14:paraId="3347B053">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16.4</w:t>
      </w:r>
      <w:r>
        <w:rPr>
          <w:rFonts w:hint="eastAsia" w:asciiTheme="minorEastAsia" w:hAnsiTheme="minorEastAsia" w:eastAsiaTheme="minorEastAsia" w:cstheme="minorEastAsia"/>
          <w:color w:val="auto"/>
          <w:kern w:val="0"/>
          <w:highlight w:val="none"/>
          <w:lang w:val="zh-CN"/>
        </w:rPr>
        <w:t>供应商</w:t>
      </w:r>
      <w:r>
        <w:rPr>
          <w:rFonts w:hint="eastAsia" w:asciiTheme="minorEastAsia" w:hAnsiTheme="minorEastAsia" w:eastAsiaTheme="minorEastAsia" w:cstheme="minorEastAsia"/>
          <w:color w:val="auto"/>
          <w:highlight w:val="none"/>
        </w:rPr>
        <w:t>的报价不得超过采购项目预算，采购项目预算或其计算方法见</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w:t>
      </w:r>
    </w:p>
    <w:p w14:paraId="6044375E">
      <w:pPr>
        <w:pStyle w:val="13"/>
        <w:adjustRightInd w:val="0"/>
        <w:snapToGrid w:val="0"/>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17.供应商符合磋商文件规定的证明文件</w:t>
      </w:r>
    </w:p>
    <w:p w14:paraId="340CFB79">
      <w:pPr>
        <w:adjustRightInd w:val="0"/>
        <w:snapToGri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17.1供应商应提交满足本章第3.1款规定的资格条件要求的证明文件,该证明文件作为响应文件的一部分。</w:t>
      </w:r>
    </w:p>
    <w:p w14:paraId="71182121">
      <w:pPr>
        <w:adjustRightInd w:val="0"/>
        <w:snapToGri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17.2如果供应商为联合体，则应提交联合体各方资格证明文件、联合体协议。否则，在评审时将其视为无效响应。</w:t>
      </w:r>
    </w:p>
    <w:p w14:paraId="45BBD677">
      <w:pPr>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17.3 除</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另有规定外，供应商提供的货物及服务不是供应商制造或拥有的，则必须提供经销、或代理采购货物、或采购货物提供售后服务的证明文件。</w:t>
      </w:r>
    </w:p>
    <w:p w14:paraId="521F6739">
      <w:pPr>
        <w:adjustRightInd w:val="0"/>
        <w:snapToGrid w:val="0"/>
        <w:spacing w:before="156" w:beforeLines="50"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18．样品提供</w:t>
      </w:r>
    </w:p>
    <w:p w14:paraId="19C7E74D">
      <w:pPr>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18.1 </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szCs w:val="21"/>
          <w:highlight w:val="none"/>
        </w:rPr>
        <w:t>规定</w:t>
      </w:r>
      <w:r>
        <w:rPr>
          <w:rFonts w:hint="eastAsia" w:asciiTheme="minorEastAsia" w:hAnsiTheme="minorEastAsia" w:eastAsiaTheme="minorEastAsia" w:cstheme="minorEastAsia"/>
          <w:bCs/>
          <w:color w:val="auto"/>
          <w:highlight w:val="none"/>
        </w:rPr>
        <w:t>供应商</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highlight w:val="none"/>
        </w:rPr>
        <w:t>磋商</w:t>
      </w:r>
      <w:r>
        <w:rPr>
          <w:rFonts w:hint="eastAsia" w:asciiTheme="minorEastAsia" w:hAnsiTheme="minorEastAsia" w:eastAsiaTheme="minorEastAsia" w:cstheme="minorEastAsia"/>
          <w:color w:val="auto"/>
          <w:szCs w:val="21"/>
          <w:highlight w:val="none"/>
        </w:rPr>
        <w:t>时提供样品的，</w:t>
      </w:r>
      <w:r>
        <w:rPr>
          <w:rFonts w:hint="eastAsia" w:asciiTheme="minorEastAsia" w:hAnsiTheme="minorEastAsia" w:eastAsiaTheme="minorEastAsia" w:cstheme="minorEastAsia"/>
          <w:bCs/>
          <w:color w:val="auto"/>
          <w:highlight w:val="none"/>
        </w:rPr>
        <w:t>供应商</w:t>
      </w:r>
      <w:r>
        <w:rPr>
          <w:rFonts w:hint="eastAsia" w:asciiTheme="minorEastAsia" w:hAnsiTheme="minorEastAsia" w:eastAsiaTheme="minorEastAsia" w:cstheme="minorEastAsia"/>
          <w:color w:val="auto"/>
          <w:szCs w:val="21"/>
          <w:highlight w:val="none"/>
        </w:rPr>
        <w:t>有以下情形之一的，在评审时将其视为无效响应。</w:t>
      </w:r>
    </w:p>
    <w:p w14:paraId="25013689">
      <w:pPr>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（1）未在</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szCs w:val="21"/>
          <w:highlight w:val="none"/>
        </w:rPr>
        <w:t>规定的提交时间、地点提交的；</w:t>
      </w:r>
    </w:p>
    <w:p w14:paraId="3A95FD23">
      <w:pPr>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Cs/>
          <w:color w:val="auto"/>
          <w:highlight w:val="none"/>
        </w:rPr>
        <w:t>供应商</w:t>
      </w:r>
      <w:r>
        <w:rPr>
          <w:rFonts w:hint="eastAsia" w:asciiTheme="minorEastAsia" w:hAnsiTheme="minorEastAsia" w:eastAsiaTheme="minorEastAsia" w:cstheme="minorEastAsia"/>
          <w:color w:val="auto"/>
          <w:szCs w:val="21"/>
          <w:highlight w:val="none"/>
        </w:rPr>
        <w:t>提供的样品与响应文件中提供样品的型号、规格不一致的。</w:t>
      </w:r>
    </w:p>
    <w:p w14:paraId="271CF99D">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19.</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bCs/>
          <w:color w:val="auto"/>
          <w:szCs w:val="21"/>
          <w:highlight w:val="none"/>
        </w:rPr>
        <w:t>磋商保证金</w:t>
      </w:r>
    </w:p>
    <w:p w14:paraId="1DA0C3F8">
      <w:pPr>
        <w:adjustRightInd w:val="0"/>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本项目无需提供磋商保证金</w:t>
      </w:r>
    </w:p>
    <w:p w14:paraId="3B8AC2F5">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20.</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highlight w:val="none"/>
        </w:rPr>
        <w:t>响应文件</w:t>
      </w:r>
      <w:r>
        <w:rPr>
          <w:rFonts w:hint="eastAsia" w:asciiTheme="minorEastAsia" w:hAnsiTheme="minorEastAsia" w:eastAsiaTheme="minorEastAsia" w:cstheme="minorEastAsia"/>
          <w:b/>
          <w:color w:val="auto"/>
          <w:szCs w:val="21"/>
          <w:highlight w:val="none"/>
        </w:rPr>
        <w:t>有效期</w:t>
      </w:r>
    </w:p>
    <w:p w14:paraId="5565FDE1">
      <w:pPr>
        <w:adjustRightInd w:val="0"/>
        <w:snapToGrid w:val="0"/>
        <w:spacing w:line="360" w:lineRule="auto"/>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20.1响应文件</w:t>
      </w:r>
      <w:r>
        <w:rPr>
          <w:rFonts w:hint="eastAsia" w:asciiTheme="minorEastAsia" w:hAnsiTheme="minorEastAsia" w:eastAsiaTheme="minorEastAsia" w:cstheme="minorEastAsia"/>
          <w:color w:val="auto"/>
          <w:szCs w:val="21"/>
          <w:highlight w:val="none"/>
        </w:rPr>
        <w:t>有效期见</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szCs w:val="21"/>
          <w:highlight w:val="none"/>
        </w:rPr>
        <w:t>，在此期间</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szCs w:val="21"/>
          <w:highlight w:val="none"/>
        </w:rPr>
        <w:t>文件对供应商具有法律约束力，</w:t>
      </w:r>
      <w:r>
        <w:rPr>
          <w:rFonts w:hint="eastAsia" w:asciiTheme="minorEastAsia" w:hAnsiTheme="minorEastAsia" w:eastAsiaTheme="minorEastAsia" w:cstheme="minorEastAsia"/>
          <w:color w:val="auto"/>
          <w:highlight w:val="none"/>
        </w:rPr>
        <w:t>从</w:t>
      </w:r>
      <w:r>
        <w:rPr>
          <w:rFonts w:hint="eastAsia" w:asciiTheme="minorEastAsia" w:hAnsiTheme="minorEastAsia" w:eastAsiaTheme="minorEastAsia" w:cstheme="minorEastAsia"/>
          <w:color w:val="auto"/>
          <w:kern w:val="0"/>
          <w:szCs w:val="21"/>
          <w:highlight w:val="none"/>
        </w:rPr>
        <w:t>提交首次响应文件截止时间</w:t>
      </w:r>
      <w:r>
        <w:rPr>
          <w:rFonts w:hint="eastAsia" w:asciiTheme="minorEastAsia" w:hAnsiTheme="minorEastAsia" w:eastAsiaTheme="minorEastAsia" w:cstheme="minorEastAsia"/>
          <w:color w:val="auto"/>
          <w:highlight w:val="none"/>
        </w:rPr>
        <w:t>之日起计算。响应文件有效期不足的将被视为无效响应。</w:t>
      </w:r>
    </w:p>
    <w:p w14:paraId="44C98884">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21.响应文件的签署及规定</w:t>
      </w:r>
    </w:p>
    <w:p w14:paraId="0286F963">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21.1响应文件的正本和副本应装订成册，正本一份，副本份数见</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。正本和副本的封面上应标记“正本”或“副本”的字样，当正本和副本有差异时，以正本为准。</w:t>
      </w:r>
    </w:p>
    <w:p w14:paraId="0F19FEBE">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21.2 响应文件正本和副本应按磋商文件要求签章处盖单位章和由法定代表人或其委托代理人签字；任何加行、涂改、增删，应有法定代表人或其委托代理人在旁边签字。否则，将导致响应文件无效。</w:t>
      </w:r>
    </w:p>
    <w:p w14:paraId="734E8634">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21.3 在磋商过程中，供应商按磋商文件规定和磋商小组要求</w:t>
      </w:r>
      <w:r>
        <w:rPr>
          <w:rFonts w:hint="eastAsia" w:asciiTheme="minorEastAsia" w:hAnsiTheme="minorEastAsia" w:eastAsiaTheme="minorEastAsia" w:cstheme="minorEastAsia"/>
          <w:color w:val="auto"/>
          <w:kern w:val="0"/>
          <w:highlight w:val="none"/>
        </w:rPr>
        <w:t>提交的</w:t>
      </w:r>
      <w:r>
        <w:rPr>
          <w:rFonts w:hint="eastAsia" w:asciiTheme="minorEastAsia" w:hAnsiTheme="minorEastAsia" w:eastAsiaTheme="minorEastAsia" w:cstheme="minorEastAsia"/>
          <w:color w:val="auto"/>
          <w:highlight w:val="none"/>
        </w:rPr>
        <w:t>最后报价(或者</w:t>
      </w:r>
      <w:r>
        <w:rPr>
          <w:rFonts w:hint="eastAsia" w:asciiTheme="minorEastAsia" w:hAnsiTheme="minorEastAsia" w:eastAsiaTheme="minorEastAsia" w:cstheme="minorEastAsia"/>
          <w:bCs/>
          <w:color w:val="auto"/>
          <w:highlight w:val="none"/>
        </w:rPr>
        <w:t>重</w:t>
      </w:r>
      <w:r>
        <w:rPr>
          <w:rFonts w:hint="eastAsia" w:asciiTheme="minorEastAsia" w:hAnsiTheme="minorEastAsia" w:eastAsiaTheme="minorEastAsia" w:cstheme="minorEastAsia"/>
          <w:color w:val="auto"/>
          <w:kern w:val="0"/>
          <w:highlight w:val="none"/>
        </w:rPr>
        <w:t>新提交的响应文件和</w:t>
      </w:r>
      <w:r>
        <w:rPr>
          <w:rFonts w:hint="eastAsia" w:asciiTheme="minorEastAsia" w:hAnsiTheme="minorEastAsia" w:eastAsiaTheme="minorEastAsia" w:cstheme="minorEastAsia"/>
          <w:color w:val="auto"/>
          <w:highlight w:val="none"/>
        </w:rPr>
        <w:t>最后报价)，一式两份，可打印或用不退色墨水书写，但需经法定代表人或其委托代理人签字，</w:t>
      </w:r>
      <w:r>
        <w:rPr>
          <w:rFonts w:hint="eastAsia" w:asciiTheme="minorEastAsia" w:hAnsiTheme="minorEastAsia" w:eastAsiaTheme="minorEastAsia" w:cstheme="minorEastAsia"/>
          <w:color w:val="auto"/>
          <w:kern w:val="0"/>
          <w:highlight w:val="none"/>
        </w:rPr>
        <w:t>或者加盖供应商单位章</w:t>
      </w:r>
      <w:r>
        <w:rPr>
          <w:rFonts w:hint="eastAsia" w:asciiTheme="minorEastAsia" w:hAnsiTheme="minorEastAsia" w:eastAsiaTheme="minorEastAsia" w:cstheme="minorEastAsia"/>
          <w:color w:val="auto"/>
          <w:highlight w:val="none"/>
        </w:rPr>
        <w:t>。否则，将导致响应文件无效。</w:t>
      </w:r>
    </w:p>
    <w:p w14:paraId="267F7F2A">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四、响应文件的递交</w:t>
      </w:r>
    </w:p>
    <w:p w14:paraId="043E34EB">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22.</w:t>
      </w:r>
      <w:r>
        <w:rPr>
          <w:rFonts w:hint="eastAsia" w:asciiTheme="minorEastAsia" w:hAnsiTheme="minorEastAsia" w:eastAsiaTheme="minorEastAsia" w:cstheme="minorEastAsia"/>
          <w:b/>
          <w:color w:val="auto"/>
          <w:szCs w:val="21"/>
          <w:highlight w:val="none"/>
        </w:rPr>
        <w:t>响应文件</w:t>
      </w:r>
      <w:r>
        <w:rPr>
          <w:rFonts w:hint="eastAsia" w:asciiTheme="minorEastAsia" w:hAnsiTheme="minorEastAsia" w:eastAsiaTheme="minorEastAsia" w:cstheme="minorEastAsia"/>
          <w:b/>
          <w:bCs/>
          <w:color w:val="auto"/>
          <w:szCs w:val="21"/>
          <w:highlight w:val="none"/>
        </w:rPr>
        <w:t>的密封和标记</w:t>
      </w:r>
    </w:p>
    <w:p w14:paraId="6180D9DC">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22.1响应文件应密封包装，加贴封条，并在封套的封口处盖供应商单位章或者由法定代表人或其委托代理人签字。</w:t>
      </w:r>
    </w:p>
    <w:p w14:paraId="2732B97F">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22.2响应文件封套上应写明的内容见</w:t>
      </w:r>
      <w:r>
        <w:rPr>
          <w:rFonts w:hint="eastAsia" w:asciiTheme="minorEastAsia" w:hAnsiTheme="minorEastAsia" w:eastAsiaTheme="minorEastAsia" w:cstheme="minorEastAsia"/>
          <w:b/>
          <w:color w:val="auto"/>
          <w:szCs w:val="21"/>
          <w:highlight w:val="none"/>
        </w:rPr>
        <w:t>磋商须知前附表。</w:t>
      </w:r>
    </w:p>
    <w:p w14:paraId="6002F82E">
      <w:pPr>
        <w:adjustRightInd w:val="0"/>
        <w:snapToGrid w:val="0"/>
        <w:spacing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22.3响应文件如果未按上述规定密封和加写标记，采购人或采购代理机构将拒绝接收。</w:t>
      </w:r>
    </w:p>
    <w:p w14:paraId="6CF7DBA5">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23.响应文件的</w:t>
      </w:r>
      <w:r>
        <w:rPr>
          <w:rFonts w:hint="eastAsia" w:asciiTheme="minorEastAsia" w:hAnsiTheme="minorEastAsia" w:eastAsiaTheme="minorEastAsia" w:cstheme="minorEastAsia"/>
          <w:b/>
          <w:color w:val="auto"/>
          <w:kern w:val="0"/>
          <w:szCs w:val="21"/>
          <w:highlight w:val="none"/>
          <w:lang w:val="zh-CN"/>
        </w:rPr>
        <w:t>补充、修改或者撤回</w:t>
      </w:r>
    </w:p>
    <w:p w14:paraId="7BB22819">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23.1</w:t>
      </w:r>
      <w:r>
        <w:rPr>
          <w:rFonts w:hint="eastAsia" w:asciiTheme="minorEastAsia" w:hAnsiTheme="minorEastAsia" w:eastAsiaTheme="minorEastAsia" w:cstheme="minorEastAsia"/>
          <w:color w:val="auto"/>
          <w:kern w:val="0"/>
          <w:highlight w:val="none"/>
        </w:rPr>
        <w:t>供应商在提交首次响应文件截止时间前，可以对所提交的首次响应文件进行补充、修改或者撤回，并书面通知采购人、采购代理机构。</w:t>
      </w:r>
      <w:r>
        <w:rPr>
          <w:rFonts w:hint="eastAsia" w:asciiTheme="minorEastAsia" w:hAnsiTheme="minorEastAsia" w:eastAsiaTheme="minorEastAsia" w:cstheme="minorEastAsia"/>
          <w:color w:val="auto"/>
          <w:highlight w:val="none"/>
        </w:rPr>
        <w:t>该通知应有供应商法定代表人或其委托代理人签字。</w:t>
      </w:r>
    </w:p>
    <w:p w14:paraId="7CB93B4B">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w:t>
      </w:r>
      <w:r>
        <w:rPr>
          <w:rFonts w:hint="eastAsia" w:asciiTheme="minorEastAsia" w:hAnsiTheme="minorEastAsia" w:eastAsiaTheme="minorEastAsia" w:cstheme="minorEastAsia"/>
          <w:color w:val="auto"/>
          <w:kern w:val="0"/>
          <w:highlight w:val="none"/>
          <w:lang w:val="zh-CN"/>
        </w:rPr>
        <w:t>补充、修改的内容与响应文件不一致时，以补充、修改的内容为准。</w:t>
      </w:r>
    </w:p>
    <w:p w14:paraId="6924A1F5">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24.响应文件的递交与接收</w:t>
      </w:r>
    </w:p>
    <w:p w14:paraId="3D661BA1">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 供应商应在</w:t>
      </w:r>
      <w:r>
        <w:rPr>
          <w:rFonts w:hint="eastAsia" w:asciiTheme="minorEastAsia" w:hAnsiTheme="minorEastAsia" w:eastAsiaTheme="minorEastAsia" w:cstheme="minorEastAsia"/>
          <w:color w:val="auto"/>
          <w:kern w:val="0"/>
          <w:szCs w:val="21"/>
          <w:highlight w:val="none"/>
        </w:rPr>
        <w:t>提交首次响应文件截止时间</w:t>
      </w:r>
      <w:r>
        <w:rPr>
          <w:rFonts w:hint="eastAsia" w:asciiTheme="minorEastAsia" w:hAnsiTheme="minorEastAsia" w:eastAsiaTheme="minorEastAsia" w:cstheme="minorEastAsia"/>
          <w:color w:val="auto"/>
          <w:szCs w:val="21"/>
          <w:highlight w:val="none"/>
        </w:rPr>
        <w:t>前，将响应文件送达</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中指定的地点。</w:t>
      </w:r>
      <w:r>
        <w:rPr>
          <w:rFonts w:hint="eastAsia" w:asciiTheme="minorEastAsia" w:hAnsiTheme="minorEastAsia" w:eastAsiaTheme="minorEastAsia" w:cstheme="minorEastAsia"/>
          <w:color w:val="auto"/>
          <w:kern w:val="0"/>
          <w:highlight w:val="none"/>
        </w:rPr>
        <w:t>在截止时间后送达的响应文件，采购人、采购代理机构或者磋商小组应当拒收。</w:t>
      </w:r>
    </w:p>
    <w:p w14:paraId="113ED159">
      <w:pPr>
        <w:pStyle w:val="13"/>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24.2</w:t>
      </w:r>
      <w:r>
        <w:rPr>
          <w:rFonts w:hint="eastAsia" w:asciiTheme="minorEastAsia" w:hAnsiTheme="minorEastAsia" w:eastAsiaTheme="minorEastAsia" w:cstheme="minorEastAsia"/>
          <w:color w:val="auto"/>
          <w:kern w:val="0"/>
          <w:highlight w:val="none"/>
        </w:rPr>
        <w:t>在提交首次响应文件截止时间后，</w:t>
      </w:r>
      <w:r>
        <w:rPr>
          <w:rFonts w:hint="eastAsia" w:asciiTheme="minorEastAsia" w:hAnsiTheme="minorEastAsia" w:eastAsiaTheme="minorEastAsia" w:cstheme="minorEastAsia"/>
          <w:color w:val="auto"/>
          <w:highlight w:val="none"/>
        </w:rPr>
        <w:t>由</w:t>
      </w:r>
      <w:r>
        <w:rPr>
          <w:rFonts w:hint="eastAsia" w:asciiTheme="minorEastAsia" w:hAnsiTheme="minorEastAsia" w:eastAsiaTheme="minorEastAsia" w:cstheme="minorEastAsia"/>
          <w:bCs/>
          <w:color w:val="auto"/>
          <w:highlight w:val="none"/>
        </w:rPr>
        <w:t>供应商代表</w:t>
      </w:r>
      <w:r>
        <w:rPr>
          <w:rFonts w:hint="eastAsia" w:asciiTheme="minorEastAsia" w:hAnsiTheme="minorEastAsia" w:eastAsiaTheme="minorEastAsia" w:cstheme="minorEastAsia"/>
          <w:color w:val="auto"/>
          <w:highlight w:val="none"/>
        </w:rPr>
        <w:t>当场查验</w:t>
      </w:r>
      <w:r>
        <w:rPr>
          <w:rFonts w:hint="eastAsia" w:asciiTheme="minorEastAsia" w:hAnsiTheme="minorEastAsia" w:eastAsiaTheme="minorEastAsia" w:cstheme="minorEastAsia"/>
          <w:bCs/>
          <w:color w:val="auto"/>
          <w:highlight w:val="none"/>
        </w:rPr>
        <w:t>响应文件</w:t>
      </w:r>
      <w:r>
        <w:rPr>
          <w:rFonts w:hint="eastAsia" w:asciiTheme="minorEastAsia" w:hAnsiTheme="minorEastAsia" w:eastAsiaTheme="minorEastAsia" w:cstheme="minorEastAsia"/>
          <w:color w:val="auto"/>
          <w:highlight w:val="none"/>
        </w:rPr>
        <w:t>的密封状况，采购人或</w:t>
      </w:r>
      <w:r>
        <w:rPr>
          <w:rFonts w:hint="eastAsia" w:asciiTheme="minorEastAsia" w:hAnsiTheme="minorEastAsia" w:eastAsiaTheme="minorEastAsia" w:cstheme="minorEastAsia"/>
          <w:bCs/>
          <w:color w:val="auto"/>
          <w:highlight w:val="none"/>
        </w:rPr>
        <w:t>采购代理机构</w:t>
      </w:r>
      <w:r>
        <w:rPr>
          <w:rFonts w:hint="eastAsia" w:asciiTheme="minorEastAsia" w:hAnsiTheme="minorEastAsia" w:eastAsiaTheme="minorEastAsia" w:cstheme="minorEastAsia"/>
          <w:color w:val="auto"/>
          <w:highlight w:val="none"/>
        </w:rPr>
        <w:t>不当场拆封</w:t>
      </w:r>
      <w:r>
        <w:rPr>
          <w:rFonts w:hint="eastAsia" w:asciiTheme="minorEastAsia" w:hAnsiTheme="minorEastAsia" w:eastAsiaTheme="minorEastAsia" w:cstheme="minorEastAsia"/>
          <w:bCs/>
          <w:color w:val="auto"/>
          <w:highlight w:val="none"/>
        </w:rPr>
        <w:t>响应文件</w:t>
      </w:r>
      <w:r>
        <w:rPr>
          <w:rFonts w:hint="eastAsia" w:asciiTheme="minorEastAsia" w:hAnsiTheme="minorEastAsia" w:eastAsiaTheme="minorEastAsia" w:cstheme="minorEastAsia"/>
          <w:color w:val="auto"/>
          <w:highlight w:val="none"/>
        </w:rPr>
        <w:t>。</w:t>
      </w:r>
    </w:p>
    <w:p w14:paraId="31F1FF5A">
      <w:pPr>
        <w:adjustRightInd w:val="0"/>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五、响应文件的磋商与评审</w:t>
      </w:r>
    </w:p>
    <w:p w14:paraId="2BDDE621">
      <w:pPr>
        <w:tabs>
          <w:tab w:val="left" w:pos="0"/>
        </w:tabs>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25.磋商程序</w:t>
      </w:r>
    </w:p>
    <w:p w14:paraId="7AD24FEF">
      <w:pPr>
        <w:widowControl/>
        <w:adjustRightInd w:val="0"/>
        <w:snapToGrid w:val="0"/>
        <w:spacing w:line="360" w:lineRule="auto"/>
        <w:ind w:firstLine="42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25.1磋商程序：响应文件审查、磋商（包括澄清）、响应文件评审、</w:t>
      </w:r>
      <w:r>
        <w:rPr>
          <w:rFonts w:hint="eastAsia" w:asciiTheme="minorEastAsia" w:hAnsiTheme="minorEastAsia" w:eastAsiaTheme="minorEastAsia" w:cstheme="minorEastAsia"/>
          <w:bCs/>
          <w:color w:val="auto"/>
          <w:szCs w:val="21"/>
          <w:highlight w:val="none"/>
        </w:rPr>
        <w:t>提出成交供应商。其中，</w:t>
      </w:r>
      <w:r>
        <w:rPr>
          <w:rFonts w:hint="eastAsia" w:asciiTheme="minorEastAsia" w:hAnsiTheme="minorEastAsia" w:eastAsiaTheme="minorEastAsia" w:cstheme="minorEastAsia"/>
          <w:color w:val="auto"/>
          <w:kern w:val="0"/>
          <w:szCs w:val="21"/>
          <w:highlight w:val="none"/>
        </w:rPr>
        <w:t>磋商按</w:t>
      </w:r>
      <w:r>
        <w:rPr>
          <w:rFonts w:hint="eastAsia" w:asciiTheme="minorEastAsia" w:hAnsiTheme="minorEastAsia" w:eastAsiaTheme="minorEastAsia" w:cstheme="minorEastAsia"/>
          <w:color w:val="auto"/>
          <w:szCs w:val="21"/>
          <w:highlight w:val="none"/>
        </w:rPr>
        <w:t>本章</w:t>
      </w:r>
      <w:r>
        <w:rPr>
          <w:rFonts w:hint="eastAsia" w:asciiTheme="minorEastAsia" w:hAnsiTheme="minorEastAsia" w:eastAsiaTheme="minorEastAsia" w:cstheme="minorEastAsia"/>
          <w:color w:val="auto"/>
          <w:highlight w:val="none"/>
        </w:rPr>
        <w:t>第30.1</w:t>
      </w:r>
      <w:r>
        <w:rPr>
          <w:rFonts w:hint="eastAsia" w:asciiTheme="minorEastAsia" w:hAnsiTheme="minorEastAsia" w:eastAsiaTheme="minorEastAsia" w:cstheme="minorEastAsia"/>
          <w:color w:val="auto"/>
          <w:kern w:val="0"/>
          <w:szCs w:val="21"/>
          <w:highlight w:val="none"/>
          <w:lang w:val="zh-CN"/>
        </w:rPr>
        <w:t>款或者</w:t>
      </w:r>
      <w:r>
        <w:rPr>
          <w:rFonts w:hint="eastAsia" w:asciiTheme="minorEastAsia" w:hAnsiTheme="minorEastAsia" w:eastAsiaTheme="minorEastAsia" w:cstheme="minorEastAsia"/>
          <w:color w:val="auto"/>
          <w:highlight w:val="none"/>
        </w:rPr>
        <w:t>第30.2</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highlight w:val="none"/>
        </w:rPr>
        <w:t>情形</w:t>
      </w:r>
      <w:r>
        <w:rPr>
          <w:rFonts w:hint="eastAsia" w:asciiTheme="minorEastAsia" w:hAnsiTheme="minorEastAsia" w:eastAsiaTheme="minorEastAsia" w:cstheme="minorEastAsia"/>
          <w:bCs/>
          <w:color w:val="auto"/>
          <w:szCs w:val="21"/>
          <w:highlight w:val="none"/>
        </w:rPr>
        <w:t>进行。</w:t>
      </w:r>
    </w:p>
    <w:p w14:paraId="71517CC1">
      <w:pPr>
        <w:widowControl/>
        <w:adjustRightInd w:val="0"/>
        <w:snapToGrid w:val="0"/>
        <w:spacing w:line="360" w:lineRule="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26.</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kern w:val="0"/>
          <w:szCs w:val="21"/>
          <w:highlight w:val="none"/>
        </w:rPr>
        <w:t>响应文件审查</w:t>
      </w:r>
      <w:r>
        <w:rPr>
          <w:rFonts w:hint="eastAsia" w:asciiTheme="minorEastAsia" w:hAnsiTheme="minorEastAsia" w:eastAsiaTheme="minorEastAsia" w:cstheme="minorEastAsia"/>
          <w:b/>
          <w:color w:val="auto"/>
          <w:szCs w:val="21"/>
          <w:highlight w:val="none"/>
        </w:rPr>
        <w:t xml:space="preserve"> </w:t>
      </w:r>
    </w:p>
    <w:p w14:paraId="5E2BFEE8">
      <w:pPr>
        <w:adjustRightInd w:val="0"/>
        <w:snapToGrid w:val="0"/>
        <w:spacing w:before="156"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26.1 资格性审查：根据本章第3.1项规定的供应商资格条件要求，对</w:t>
      </w:r>
      <w:r>
        <w:rPr>
          <w:rFonts w:hint="eastAsia" w:asciiTheme="minorEastAsia" w:hAnsiTheme="minorEastAsia" w:eastAsiaTheme="minorEastAsia" w:cstheme="minorEastAsia"/>
          <w:color w:val="auto"/>
          <w:highlight w:val="none"/>
        </w:rPr>
        <w:t>响应</w:t>
      </w:r>
      <w:r>
        <w:rPr>
          <w:rFonts w:hint="eastAsia" w:asciiTheme="minorEastAsia" w:hAnsiTheme="minorEastAsia" w:eastAsiaTheme="minorEastAsia" w:cstheme="minorEastAsia"/>
          <w:color w:val="auto"/>
          <w:szCs w:val="21"/>
          <w:highlight w:val="none"/>
        </w:rPr>
        <w:t>文件的资格证明等进行审查，以确定供应商是否具备磋商资格条件。</w:t>
      </w:r>
    </w:p>
    <w:p w14:paraId="58DF01CA">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26.2符合性审查: 对响应文件(包括首次提交的响应文件、重新提交的响应文件)的有效性、完整性和响应程度进行审查，以确定是否对磋商文件的实质性要求作出响应。</w:t>
      </w:r>
    </w:p>
    <w:p w14:paraId="7E5497B8">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26.3响应文件审查结束后，磋商小组所有成员集中与单一供应商分别进行磋商，并给予所有参加磋商的供应商平等的磋商机会。供应商应派其法定代表人或委托代理人参加磋商。</w:t>
      </w:r>
    </w:p>
    <w:p w14:paraId="0E4D58EB">
      <w:pPr>
        <w:pStyle w:val="13"/>
        <w:adjustRightInd w:val="0"/>
        <w:snapToGrid w:val="0"/>
        <w:spacing w:line="360" w:lineRule="auto"/>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27.实质性响应</w:t>
      </w:r>
    </w:p>
    <w:p w14:paraId="4858F893">
      <w:pPr>
        <w:pStyle w:val="13"/>
        <w:adjustRightInd w:val="0"/>
        <w:snapToGrid w:val="0"/>
        <w:spacing w:line="360" w:lineRule="auto"/>
        <w:ind w:firstLine="420" w:firstLineChars="200"/>
        <w:rPr>
          <w:rFonts w:hint="eastAsia" w:asciiTheme="minorEastAsia" w:hAnsiTheme="minorEastAsia" w:eastAsiaTheme="minorEastAsia" w:cstheme="minorEastAsia"/>
          <w:color w:val="auto"/>
          <w:kern w:val="0"/>
          <w:highlight w:val="none"/>
          <w:u w:val="single"/>
        </w:rPr>
      </w:pPr>
      <w:r>
        <w:rPr>
          <w:rFonts w:hint="eastAsia" w:asciiTheme="minorEastAsia" w:hAnsiTheme="minorEastAsia" w:eastAsiaTheme="minorEastAsia" w:cstheme="minorEastAsia"/>
          <w:color w:val="auto"/>
          <w:kern w:val="0"/>
          <w:highlight w:val="none"/>
        </w:rPr>
        <w:t>27.1</w:t>
      </w:r>
      <w:r>
        <w:rPr>
          <w:rFonts w:hint="eastAsia" w:asciiTheme="minorEastAsia" w:hAnsiTheme="minorEastAsia" w:eastAsiaTheme="minorEastAsia" w:cstheme="minorEastAsia"/>
          <w:color w:val="auto"/>
          <w:highlight w:val="none"/>
        </w:rPr>
        <w:t>实质性响应是指响应文件(包括首次响应文件、重新提交的响应文件)与磋商文件要求的所有条款、条件和规格相符，没有偏离。偏离指不满足、或不响应磋商文件的要求。</w:t>
      </w:r>
    </w:p>
    <w:p w14:paraId="18450B01">
      <w:pPr>
        <w:tabs>
          <w:tab w:val="left" w:pos="0"/>
          <w:tab w:val="left" w:pos="7560"/>
          <w:tab w:val="left" w:pos="7740"/>
          <w:tab w:val="left" w:pos="7920"/>
        </w:tabs>
        <w:adjustRightInd w:val="0"/>
        <w:snapToGrid w:val="0"/>
        <w:spacing w:line="360" w:lineRule="auto"/>
        <w:ind w:right="23" w:rightChars="11"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27.2</w:t>
      </w:r>
      <w:r>
        <w:rPr>
          <w:rFonts w:hint="eastAsia" w:asciiTheme="minorEastAsia" w:hAnsiTheme="minorEastAsia" w:eastAsiaTheme="minorEastAsia" w:cstheme="minorEastAsia"/>
          <w:color w:val="auto"/>
          <w:highlight w:val="none"/>
        </w:rPr>
        <w:t>响应文件是否实质性响应磋商文件要求由磋商小组依据磋商文件规定认定。</w:t>
      </w:r>
      <w:r>
        <w:rPr>
          <w:rFonts w:hint="eastAsia" w:asciiTheme="minorEastAsia" w:hAnsiTheme="minorEastAsia" w:eastAsiaTheme="minorEastAsia" w:cstheme="minorEastAsia"/>
          <w:color w:val="auto"/>
          <w:kern w:val="0"/>
          <w:szCs w:val="21"/>
          <w:highlight w:val="none"/>
        </w:rPr>
        <w:t>磋商小组</w:t>
      </w:r>
      <w:r>
        <w:rPr>
          <w:rFonts w:hint="eastAsia" w:asciiTheme="minorEastAsia" w:hAnsiTheme="minorEastAsia" w:eastAsiaTheme="minorEastAsia" w:cstheme="minorEastAsia"/>
          <w:color w:val="auto"/>
          <w:szCs w:val="21"/>
          <w:highlight w:val="none"/>
        </w:rPr>
        <w:t>决定</w:t>
      </w:r>
      <w:r>
        <w:rPr>
          <w:rFonts w:hint="eastAsia" w:asciiTheme="minorEastAsia" w:hAnsiTheme="minorEastAsia" w:eastAsiaTheme="minorEastAsia" w:cstheme="minorEastAsia"/>
          <w:color w:val="auto"/>
          <w:highlight w:val="none"/>
        </w:rPr>
        <w:t>响应文件</w:t>
      </w:r>
      <w:r>
        <w:rPr>
          <w:rFonts w:hint="eastAsia" w:asciiTheme="minorEastAsia" w:hAnsiTheme="minorEastAsia" w:eastAsiaTheme="minorEastAsia" w:cstheme="minorEastAsia"/>
          <w:color w:val="auto"/>
          <w:szCs w:val="21"/>
          <w:highlight w:val="none"/>
        </w:rPr>
        <w:t>的响应性只根据</w:t>
      </w:r>
      <w:r>
        <w:rPr>
          <w:rFonts w:hint="eastAsia" w:asciiTheme="minorEastAsia" w:hAnsiTheme="minorEastAsia" w:eastAsiaTheme="minorEastAsia" w:cstheme="minorEastAsia"/>
          <w:color w:val="auto"/>
          <w:highlight w:val="none"/>
        </w:rPr>
        <w:t>响应文件</w:t>
      </w:r>
      <w:r>
        <w:rPr>
          <w:rFonts w:hint="eastAsia" w:asciiTheme="minorEastAsia" w:hAnsiTheme="minorEastAsia" w:eastAsiaTheme="minorEastAsia" w:cstheme="minorEastAsia"/>
          <w:color w:val="auto"/>
          <w:szCs w:val="21"/>
          <w:highlight w:val="none"/>
        </w:rPr>
        <w:t>本身的真实无误的内容，而不依据外部的证据。</w:t>
      </w:r>
    </w:p>
    <w:p w14:paraId="2BC3D28C">
      <w:pPr>
        <w:pStyle w:val="13"/>
        <w:adjustRightInd w:val="0"/>
        <w:snapToGrid w:val="0"/>
        <w:spacing w:line="360" w:lineRule="auto"/>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b/>
          <w:color w:val="auto"/>
          <w:kern w:val="0"/>
          <w:highlight w:val="none"/>
        </w:rPr>
        <w:t xml:space="preserve">28.无效响应 </w:t>
      </w:r>
    </w:p>
    <w:p w14:paraId="12710CA5">
      <w:pPr>
        <w:pStyle w:val="13"/>
        <w:adjustRightInd w:val="0"/>
        <w:snapToGrid w:val="0"/>
        <w:spacing w:line="360" w:lineRule="auto"/>
        <w:ind w:firstLine="411" w:firstLineChars="196"/>
        <w:rPr>
          <w:rFonts w:hint="eastAsia" w:asciiTheme="minorEastAsia" w:hAnsiTheme="minorEastAsia" w:eastAsiaTheme="minorEastAsia" w:cstheme="minorEastAsia"/>
          <w:b/>
          <w:color w:val="auto"/>
          <w:kern w:val="0"/>
          <w:highlight w:val="none"/>
        </w:rPr>
      </w:pPr>
      <w:r>
        <w:rPr>
          <w:rFonts w:hint="eastAsia" w:asciiTheme="minorEastAsia" w:hAnsiTheme="minorEastAsia" w:eastAsiaTheme="minorEastAsia" w:cstheme="minorEastAsia"/>
          <w:color w:val="auto"/>
          <w:kern w:val="0"/>
          <w:highlight w:val="none"/>
        </w:rPr>
        <w:t>28.1</w:t>
      </w:r>
      <w:r>
        <w:rPr>
          <w:rFonts w:hint="eastAsia" w:asciiTheme="minorEastAsia" w:hAnsiTheme="minorEastAsia" w:eastAsiaTheme="minorEastAsia" w:cstheme="minorEastAsia"/>
          <w:color w:val="auto"/>
          <w:highlight w:val="none"/>
        </w:rPr>
        <w:t>磋商小组在对资格性和符合性进行审查时，有下列情况之一的，属无效响应，</w:t>
      </w:r>
      <w:r>
        <w:rPr>
          <w:rFonts w:hint="eastAsia" w:asciiTheme="minorEastAsia" w:hAnsiTheme="minorEastAsia" w:eastAsiaTheme="minorEastAsia" w:cstheme="minorEastAsia"/>
          <w:color w:val="auto"/>
          <w:kern w:val="0"/>
          <w:highlight w:val="none"/>
        </w:rPr>
        <w:t>磋商小组应当告知有关供应商</w:t>
      </w:r>
      <w:r>
        <w:rPr>
          <w:rFonts w:hint="eastAsia" w:asciiTheme="minorEastAsia" w:hAnsiTheme="minorEastAsia" w:eastAsiaTheme="minorEastAsia" w:cstheme="minorEastAsia"/>
          <w:color w:val="auto"/>
          <w:highlight w:val="none"/>
        </w:rPr>
        <w:t>：</w:t>
      </w:r>
    </w:p>
    <w:p w14:paraId="15FEC9DF">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（1）供应商不具备本章第3.1款规定的供应商资格条件要求，或存在本章第3.3款情形的；</w:t>
      </w:r>
    </w:p>
    <w:p w14:paraId="6A931EC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（2）联合体不符合本章第3.2款规定的；</w:t>
      </w:r>
    </w:p>
    <w:p w14:paraId="29102C3B">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（3）应交未交磋商保证金或金额不足、磋商保证金缴纳形式不符合磋商文件要求的；</w:t>
      </w:r>
    </w:p>
    <w:p w14:paraId="6C7DA3E7">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（4）响应文件未按照磋商文件要求签署、盖章的；</w:t>
      </w:r>
    </w:p>
    <w:p w14:paraId="2B05D845">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（4）响应文件不满足本章第27.1款规定的实质性要求的；</w:t>
      </w:r>
    </w:p>
    <w:p w14:paraId="1A469294">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（5）报价超过采购项目预算的；</w:t>
      </w:r>
    </w:p>
    <w:p w14:paraId="2072047F">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（6）响应文件有效期不足的；</w:t>
      </w:r>
    </w:p>
    <w:p w14:paraId="51232F9D">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（7）响应文件不符合法律、规章、规范性文件和磋商文件规定及要求的。</w:t>
      </w:r>
    </w:p>
    <w:p w14:paraId="4DE66BB5">
      <w:pPr>
        <w:widowControl/>
        <w:adjustRightInd w:val="0"/>
        <w:snapToGrid w:val="0"/>
        <w:spacing w:line="360" w:lineRule="auto"/>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29.澄清</w:t>
      </w:r>
    </w:p>
    <w:p w14:paraId="1BBED825">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0376D1AC">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005658E1">
      <w:pPr>
        <w:widowControl/>
        <w:adjustRightInd w:val="0"/>
        <w:snapToGrid w:val="0"/>
        <w:spacing w:line="360" w:lineRule="auto"/>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30.磋商</w:t>
      </w:r>
    </w:p>
    <w:p w14:paraId="0B9C555B">
      <w:pPr>
        <w:widowControl/>
        <w:adjustRightInd w:val="0"/>
        <w:snapToGrid w:val="0"/>
        <w:spacing w:line="360" w:lineRule="auto"/>
        <w:jc w:val="left"/>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30.1</w:t>
      </w:r>
      <w:r>
        <w:rPr>
          <w:rFonts w:hint="eastAsia" w:asciiTheme="minorEastAsia" w:hAnsiTheme="minorEastAsia" w:eastAsiaTheme="minorEastAsia" w:cstheme="minorEastAsia"/>
          <w:color w:val="auto"/>
          <w:highlight w:val="none"/>
        </w:rPr>
        <w:t>本章第10.2项</w:t>
      </w:r>
      <w:r>
        <w:rPr>
          <w:rFonts w:hint="eastAsia" w:asciiTheme="minorEastAsia" w:hAnsiTheme="minorEastAsia" w:eastAsiaTheme="minorEastAsia" w:cstheme="minorEastAsia"/>
          <w:color w:val="auto"/>
          <w:kern w:val="0"/>
          <w:szCs w:val="21"/>
          <w:highlight w:val="none"/>
        </w:rPr>
        <w:t>未明确磋商文件实质性变动内容的，或者磋商文件明确了可能发生实质性变动内容，但在磋商过程中，</w:t>
      </w:r>
      <w:r>
        <w:rPr>
          <w:rFonts w:hint="eastAsia" w:asciiTheme="minorEastAsia" w:hAnsiTheme="minorEastAsia" w:eastAsiaTheme="minorEastAsia" w:cstheme="minorEastAsia"/>
          <w:bCs/>
          <w:color w:val="auto"/>
          <w:szCs w:val="21"/>
          <w:highlight w:val="none"/>
        </w:rPr>
        <w:t>磋商小组</w:t>
      </w:r>
      <w:r>
        <w:rPr>
          <w:rFonts w:hint="eastAsia" w:asciiTheme="minorEastAsia" w:hAnsiTheme="minorEastAsia" w:eastAsiaTheme="minorEastAsia" w:cstheme="minorEastAsia"/>
          <w:color w:val="auto"/>
          <w:kern w:val="0"/>
          <w:szCs w:val="21"/>
          <w:highlight w:val="none"/>
        </w:rPr>
        <w:t>根据磋商情况</w:t>
      </w:r>
      <w:r>
        <w:rPr>
          <w:rFonts w:hint="eastAsia" w:asciiTheme="minorEastAsia" w:hAnsiTheme="minorEastAsia" w:eastAsiaTheme="minorEastAsia" w:cstheme="minorEastAsia"/>
          <w:bCs/>
          <w:color w:val="auto"/>
          <w:szCs w:val="21"/>
          <w:highlight w:val="none"/>
        </w:rPr>
        <w:t>认为</w:t>
      </w:r>
      <w:r>
        <w:rPr>
          <w:rFonts w:hint="eastAsia" w:asciiTheme="minorEastAsia" w:hAnsiTheme="minorEastAsia" w:eastAsiaTheme="minorEastAsia" w:cstheme="minorEastAsia"/>
          <w:color w:val="auto"/>
          <w:kern w:val="0"/>
          <w:szCs w:val="21"/>
          <w:highlight w:val="none"/>
        </w:rPr>
        <w:t>磋商文件无需发生实质性变动的，磋商小组应当直接与响应文件审查合格的供应商就价格组织多轮磋商。</w:t>
      </w:r>
    </w:p>
    <w:p w14:paraId="07833E95">
      <w:pPr>
        <w:widowControl/>
        <w:tabs>
          <w:tab w:val="left" w:pos="1080"/>
          <w:tab w:val="left" w:pos="1260"/>
        </w:tabs>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（1）磋商结束后，磋商小组应当要求所有继续参加磋商的供应商在磋商小组规定时间内提交最后报价。</w:t>
      </w:r>
    </w:p>
    <w:p w14:paraId="510496A9">
      <w:pPr>
        <w:widowControl/>
        <w:tabs>
          <w:tab w:val="left" w:pos="1080"/>
          <w:tab w:val="left" w:pos="1260"/>
        </w:tabs>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（2）磋商文件明确可能发生实质性变动，但在磋商过程中</w:t>
      </w:r>
      <w:r>
        <w:rPr>
          <w:rFonts w:hint="eastAsia" w:asciiTheme="minorEastAsia" w:hAnsiTheme="minorEastAsia" w:eastAsiaTheme="minorEastAsia" w:cstheme="minorEastAsia"/>
          <w:bCs/>
          <w:color w:val="auto"/>
          <w:szCs w:val="21"/>
          <w:highlight w:val="none"/>
        </w:rPr>
        <w:t>磋商小组</w:t>
      </w:r>
      <w:r>
        <w:rPr>
          <w:rFonts w:hint="eastAsia" w:asciiTheme="minorEastAsia" w:hAnsiTheme="minorEastAsia" w:eastAsiaTheme="minorEastAsia" w:cstheme="minorEastAsia"/>
          <w:color w:val="auto"/>
          <w:kern w:val="0"/>
          <w:szCs w:val="21"/>
          <w:highlight w:val="none"/>
        </w:rPr>
        <w:t>根据磋商情况</w:t>
      </w:r>
      <w:r>
        <w:rPr>
          <w:rFonts w:hint="eastAsia" w:asciiTheme="minorEastAsia" w:hAnsiTheme="minorEastAsia" w:eastAsiaTheme="minorEastAsia" w:cstheme="minorEastAsia"/>
          <w:bCs/>
          <w:color w:val="auto"/>
          <w:szCs w:val="21"/>
          <w:highlight w:val="none"/>
        </w:rPr>
        <w:t>认为</w:t>
      </w:r>
      <w:r>
        <w:rPr>
          <w:rFonts w:hint="eastAsia" w:asciiTheme="minorEastAsia" w:hAnsiTheme="minorEastAsia" w:eastAsiaTheme="minorEastAsia" w:cstheme="minorEastAsia"/>
          <w:color w:val="auto"/>
          <w:kern w:val="0"/>
          <w:szCs w:val="21"/>
          <w:highlight w:val="none"/>
        </w:rPr>
        <w:t>磋商文件无需发生实质性变动的，磋商小组不另行通知。</w:t>
      </w:r>
    </w:p>
    <w:p w14:paraId="3814B959">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30.2</w:t>
      </w:r>
      <w:r>
        <w:rPr>
          <w:rFonts w:hint="eastAsia" w:asciiTheme="minorEastAsia" w:hAnsiTheme="minorEastAsia" w:eastAsiaTheme="minorEastAsia" w:cstheme="minorEastAsia"/>
          <w:color w:val="auto"/>
          <w:highlight w:val="none"/>
        </w:rPr>
        <w:t>本章第10.2</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kern w:val="0"/>
          <w:szCs w:val="21"/>
          <w:highlight w:val="none"/>
        </w:rPr>
        <w:t>明确磋商文件实质性变动内容的，</w:t>
      </w:r>
      <w:r>
        <w:rPr>
          <w:rFonts w:hint="eastAsia" w:asciiTheme="minorEastAsia" w:hAnsiTheme="minorEastAsia" w:eastAsiaTheme="minorEastAsia" w:cstheme="minorEastAsia"/>
          <w:bCs/>
          <w:color w:val="auto"/>
          <w:szCs w:val="21"/>
          <w:highlight w:val="none"/>
        </w:rPr>
        <w:t>磋商小组</w:t>
      </w:r>
      <w:r>
        <w:rPr>
          <w:rFonts w:hint="eastAsia" w:asciiTheme="minorEastAsia" w:hAnsiTheme="minorEastAsia" w:eastAsiaTheme="minorEastAsia" w:cstheme="minorEastAsia"/>
          <w:color w:val="auto"/>
          <w:kern w:val="0"/>
          <w:szCs w:val="21"/>
          <w:highlight w:val="none"/>
        </w:rPr>
        <w:t>可以组织多轮磋商。</w:t>
      </w:r>
      <w:r>
        <w:rPr>
          <w:rFonts w:hint="eastAsia" w:asciiTheme="minorEastAsia" w:hAnsiTheme="minorEastAsia" w:eastAsiaTheme="minorEastAsia" w:cstheme="minorEastAsia"/>
          <w:bCs/>
          <w:color w:val="auto"/>
          <w:szCs w:val="21"/>
          <w:highlight w:val="none"/>
        </w:rPr>
        <w:t>在每一轮磋商中，磋商小组</w:t>
      </w:r>
      <w:r>
        <w:rPr>
          <w:rFonts w:hint="eastAsia" w:asciiTheme="minorEastAsia" w:hAnsiTheme="minorEastAsia" w:eastAsiaTheme="minorEastAsia" w:cstheme="minorEastAsia"/>
          <w:color w:val="auto"/>
          <w:kern w:val="0"/>
          <w:szCs w:val="21"/>
          <w:highlight w:val="none"/>
        </w:rPr>
        <w:t>可以根据磋商文件规定和磋商情况，</w:t>
      </w:r>
      <w:r>
        <w:rPr>
          <w:rFonts w:hint="eastAsia" w:asciiTheme="minorEastAsia" w:hAnsiTheme="minorEastAsia" w:eastAsiaTheme="minorEastAsia" w:cstheme="minorEastAsia"/>
          <w:bCs/>
          <w:color w:val="auto"/>
          <w:szCs w:val="21"/>
          <w:highlight w:val="none"/>
        </w:rPr>
        <w:t>对磋商文件的</w:t>
      </w:r>
      <w:r>
        <w:rPr>
          <w:rFonts w:hint="eastAsia" w:asciiTheme="minorEastAsia" w:hAnsiTheme="minorEastAsia" w:eastAsiaTheme="minorEastAsia" w:cstheme="minorEastAsia"/>
          <w:color w:val="auto"/>
          <w:kern w:val="0"/>
          <w:szCs w:val="21"/>
          <w:highlight w:val="none"/>
        </w:rPr>
        <w:t>采购需求中的技术、服务要求以及合同草案条款</w:t>
      </w:r>
      <w:r>
        <w:rPr>
          <w:rFonts w:hint="eastAsia" w:asciiTheme="minorEastAsia" w:hAnsiTheme="minorEastAsia" w:eastAsiaTheme="minorEastAsia" w:cstheme="minorEastAsia"/>
          <w:bCs/>
          <w:color w:val="auto"/>
          <w:szCs w:val="21"/>
          <w:highlight w:val="none"/>
        </w:rPr>
        <w:t>作实质性变动(磋商文件的实质性变动内容为磋商文件的组成部分)，并以书面形式要求</w:t>
      </w:r>
      <w:r>
        <w:rPr>
          <w:rFonts w:hint="eastAsia" w:asciiTheme="minorEastAsia" w:hAnsiTheme="minorEastAsia" w:eastAsiaTheme="minorEastAsia" w:cstheme="minorEastAsia"/>
          <w:color w:val="auto"/>
          <w:kern w:val="0"/>
          <w:szCs w:val="21"/>
          <w:highlight w:val="none"/>
        </w:rPr>
        <w:t>响应文件审查合格</w:t>
      </w:r>
      <w:r>
        <w:rPr>
          <w:rFonts w:hint="eastAsia" w:asciiTheme="minorEastAsia" w:hAnsiTheme="minorEastAsia" w:eastAsiaTheme="minorEastAsia" w:cstheme="minorEastAsia"/>
          <w:bCs/>
          <w:color w:val="auto"/>
          <w:szCs w:val="21"/>
          <w:highlight w:val="none"/>
        </w:rPr>
        <w:t>的供应商，在规定的</w:t>
      </w:r>
      <w:r>
        <w:rPr>
          <w:rFonts w:hint="eastAsia" w:asciiTheme="minorEastAsia" w:hAnsiTheme="minorEastAsia" w:eastAsiaTheme="minorEastAsia" w:cstheme="minorEastAsia"/>
          <w:color w:val="auto"/>
          <w:kern w:val="0"/>
          <w:szCs w:val="21"/>
          <w:highlight w:val="none"/>
        </w:rPr>
        <w:t>截止时间前</w:t>
      </w:r>
      <w:r>
        <w:rPr>
          <w:rFonts w:hint="eastAsia" w:asciiTheme="minorEastAsia" w:hAnsiTheme="minorEastAsia" w:eastAsiaTheme="minorEastAsia" w:cstheme="minorEastAsia"/>
          <w:bCs/>
          <w:color w:val="auto"/>
          <w:szCs w:val="21"/>
          <w:highlight w:val="none"/>
        </w:rPr>
        <w:t>重</w:t>
      </w:r>
      <w:r>
        <w:rPr>
          <w:rFonts w:hint="eastAsia" w:asciiTheme="minorEastAsia" w:hAnsiTheme="minorEastAsia" w:eastAsiaTheme="minorEastAsia" w:cstheme="minorEastAsia"/>
          <w:color w:val="auto"/>
          <w:kern w:val="0"/>
          <w:szCs w:val="21"/>
          <w:highlight w:val="none"/>
        </w:rPr>
        <w:t>新提交响应文件</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kern w:val="0"/>
          <w:szCs w:val="21"/>
          <w:highlight w:val="none"/>
        </w:rPr>
        <w:t>磋商小组应当</w:t>
      </w:r>
      <w:r>
        <w:rPr>
          <w:rFonts w:hint="eastAsia" w:asciiTheme="minorEastAsia" w:hAnsiTheme="minorEastAsia" w:eastAsiaTheme="minorEastAsia" w:cstheme="minorEastAsia"/>
          <w:color w:val="auto"/>
          <w:szCs w:val="21"/>
          <w:highlight w:val="none"/>
        </w:rPr>
        <w:t>根据本章第26.2</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szCs w:val="21"/>
          <w:highlight w:val="none"/>
        </w:rPr>
        <w:t>规定</w:t>
      </w:r>
      <w:r>
        <w:rPr>
          <w:rFonts w:hint="eastAsia" w:asciiTheme="minorEastAsia" w:hAnsiTheme="minorEastAsia" w:eastAsiaTheme="minorEastAsia" w:cstheme="minorEastAsia"/>
          <w:color w:val="auto"/>
          <w:kern w:val="0"/>
          <w:szCs w:val="21"/>
          <w:highlight w:val="none"/>
        </w:rPr>
        <w:t>对供应商重新提交的响应文件进行审查。供应商重新提交的响应文件审查不合格的，不得进入下一轮磋商，也不得要求提交最后报价。</w:t>
      </w:r>
    </w:p>
    <w:p w14:paraId="0E176A1F">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（1）磋商文件能够详细列明采购需求的技术、服务要求的，磋商结束后，磋商小组应当要求所有继续参加磋商的供应商在规定时间内提交最后报价。</w:t>
      </w:r>
    </w:p>
    <w:p w14:paraId="334ED21F">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1DFC534">
      <w:pPr>
        <w:widowControl/>
        <w:adjustRightInd w:val="0"/>
        <w:snapToGrid w:val="0"/>
        <w:spacing w:line="360" w:lineRule="auto"/>
        <w:ind w:firstLine="42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30.3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Cs/>
          <w:color w:val="auto"/>
          <w:highlight w:val="none"/>
        </w:rPr>
        <w:t>重</w:t>
      </w:r>
      <w:r>
        <w:rPr>
          <w:rFonts w:hint="eastAsia" w:asciiTheme="minorEastAsia" w:hAnsiTheme="minorEastAsia" w:eastAsiaTheme="minorEastAsia" w:cstheme="minorEastAsia"/>
          <w:color w:val="auto"/>
          <w:kern w:val="0"/>
          <w:highlight w:val="none"/>
        </w:rPr>
        <w:t>新提交的响应文件</w:t>
      </w:r>
      <w:r>
        <w:rPr>
          <w:rFonts w:hint="eastAsia" w:asciiTheme="minorEastAsia" w:hAnsiTheme="minorEastAsia" w:eastAsiaTheme="minorEastAsia" w:cstheme="minorEastAsia"/>
          <w:color w:val="auto"/>
          <w:highlight w:val="none"/>
        </w:rPr>
        <w:t>或者最后报价应按</w:t>
      </w:r>
      <w:r>
        <w:rPr>
          <w:rFonts w:hint="eastAsia" w:asciiTheme="minorEastAsia" w:hAnsiTheme="minorEastAsia" w:eastAsiaTheme="minorEastAsia" w:cstheme="minorEastAsia"/>
          <w:color w:val="auto"/>
          <w:kern w:val="0"/>
          <w:szCs w:val="21"/>
          <w:highlight w:val="none"/>
        </w:rPr>
        <w:t>本章第</w:t>
      </w:r>
      <w:r>
        <w:rPr>
          <w:rFonts w:hint="eastAsia" w:asciiTheme="minorEastAsia" w:hAnsiTheme="minorEastAsia" w:eastAsiaTheme="minorEastAsia" w:cstheme="minorEastAsia"/>
          <w:color w:val="auto"/>
          <w:highlight w:val="none"/>
        </w:rPr>
        <w:t>21.3</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kern w:val="0"/>
          <w:szCs w:val="21"/>
          <w:highlight w:val="none"/>
        </w:rPr>
        <w:t>由其法定代表人或其委托代理人签字或者加盖</w:t>
      </w:r>
      <w:r>
        <w:rPr>
          <w:rFonts w:hint="eastAsia" w:asciiTheme="minorEastAsia" w:hAnsiTheme="minorEastAsia" w:eastAsiaTheme="minorEastAsia" w:cstheme="minorEastAsia"/>
          <w:color w:val="auto"/>
          <w:kern w:val="0"/>
          <w:highlight w:val="none"/>
        </w:rPr>
        <w:t>供应商单位</w:t>
      </w:r>
      <w:r>
        <w:rPr>
          <w:rFonts w:hint="eastAsia" w:asciiTheme="minorEastAsia" w:hAnsiTheme="minorEastAsia" w:eastAsiaTheme="minorEastAsia" w:cstheme="minorEastAsia"/>
          <w:color w:val="auto"/>
          <w:kern w:val="0"/>
          <w:szCs w:val="21"/>
          <w:highlight w:val="none"/>
        </w:rPr>
        <w:t>章，在规定时间内密封递交给磋商小组</w:t>
      </w:r>
      <w:r>
        <w:rPr>
          <w:rFonts w:hint="eastAsia" w:asciiTheme="minorEastAsia" w:hAnsiTheme="minorEastAsia" w:eastAsiaTheme="minorEastAsia" w:cstheme="minorEastAsia"/>
          <w:bCs/>
          <w:color w:val="auto"/>
          <w:szCs w:val="21"/>
          <w:highlight w:val="none"/>
        </w:rPr>
        <w:t>。</w:t>
      </w:r>
    </w:p>
    <w:p w14:paraId="309D42D8">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30.4</w:t>
      </w:r>
      <w:r>
        <w:rPr>
          <w:rFonts w:hint="eastAsia" w:asciiTheme="minorEastAsia" w:hAnsiTheme="minorEastAsia" w:eastAsiaTheme="minorEastAsia" w:cstheme="minorEastAsia"/>
          <w:color w:val="auto"/>
          <w:kern w:val="0"/>
          <w:szCs w:val="21"/>
          <w:highlight w:val="none"/>
          <w:lang w:val="zh-CN"/>
        </w:rPr>
        <w:t>供应商的</w:t>
      </w:r>
      <w:r>
        <w:rPr>
          <w:rFonts w:hint="eastAsia" w:asciiTheme="minorEastAsia" w:hAnsiTheme="minorEastAsia" w:eastAsiaTheme="minorEastAsia" w:cstheme="minorEastAsia"/>
          <w:bCs/>
          <w:color w:val="auto"/>
          <w:szCs w:val="21"/>
          <w:highlight w:val="none"/>
        </w:rPr>
        <w:t>最</w:t>
      </w:r>
      <w:r>
        <w:rPr>
          <w:rFonts w:hint="eastAsia" w:asciiTheme="minorEastAsia" w:hAnsiTheme="minorEastAsia" w:eastAsiaTheme="minorEastAsia" w:cstheme="minorEastAsia"/>
          <w:color w:val="auto"/>
          <w:kern w:val="0"/>
          <w:szCs w:val="21"/>
          <w:highlight w:val="none"/>
          <w:lang w:val="zh-CN"/>
        </w:rPr>
        <w:t>后</w:t>
      </w:r>
      <w:r>
        <w:rPr>
          <w:rFonts w:hint="eastAsia" w:asciiTheme="minorEastAsia" w:hAnsiTheme="minorEastAsia" w:eastAsiaTheme="minorEastAsia" w:cstheme="minorEastAsia"/>
          <w:bCs/>
          <w:color w:val="auto"/>
          <w:szCs w:val="21"/>
          <w:highlight w:val="none"/>
        </w:rPr>
        <w:t>报价及</w:t>
      </w:r>
      <w:r>
        <w:rPr>
          <w:rFonts w:hint="eastAsia" w:asciiTheme="minorEastAsia" w:hAnsiTheme="minorEastAsia" w:eastAsiaTheme="minorEastAsia" w:cstheme="minorEastAsia"/>
          <w:color w:val="auto"/>
          <w:kern w:val="0"/>
          <w:szCs w:val="21"/>
          <w:highlight w:val="none"/>
        </w:rPr>
        <w:t>采购政策规定的价格扣除情况，磋商小组应召集所有参加最后报价的供应商当场开封</w:t>
      </w:r>
      <w:r>
        <w:rPr>
          <w:rFonts w:hint="eastAsia" w:asciiTheme="minorEastAsia" w:hAnsiTheme="minorEastAsia" w:eastAsiaTheme="minorEastAsia" w:cstheme="minorEastAsia"/>
          <w:bCs/>
          <w:color w:val="auto"/>
          <w:szCs w:val="21"/>
          <w:highlight w:val="none"/>
        </w:rPr>
        <w:t>公布，并由供应商代表签字确认。</w:t>
      </w:r>
    </w:p>
    <w:p w14:paraId="1C1A2220">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30.5提交首次响应文件的供应商，在提交最后报价之前，可以根据磋商情况退出磋商，</w:t>
      </w:r>
      <w:r>
        <w:rPr>
          <w:rFonts w:hint="eastAsia" w:asciiTheme="minorEastAsia" w:hAnsiTheme="minorEastAsia" w:eastAsiaTheme="minorEastAsia" w:cstheme="minorEastAsia"/>
          <w:color w:val="auto"/>
          <w:kern w:val="0"/>
          <w:highlight w:val="none"/>
        </w:rPr>
        <w:t>并书面通知采购代理机构或者磋商小组。</w:t>
      </w:r>
      <w:r>
        <w:rPr>
          <w:rFonts w:hint="eastAsia" w:asciiTheme="minorEastAsia" w:hAnsiTheme="minorEastAsia" w:eastAsiaTheme="minorEastAsia" w:cstheme="minorEastAsia"/>
          <w:color w:val="auto"/>
          <w:highlight w:val="none"/>
        </w:rPr>
        <w:t>该通知由供应商法定代表人或其委托代理人签字。</w:t>
      </w:r>
      <w:r>
        <w:rPr>
          <w:rFonts w:hint="eastAsia" w:asciiTheme="minorEastAsia" w:hAnsiTheme="minorEastAsia" w:eastAsiaTheme="minorEastAsia" w:cstheme="minorEastAsia"/>
          <w:color w:val="auto"/>
          <w:kern w:val="0"/>
          <w:szCs w:val="21"/>
          <w:highlight w:val="none"/>
        </w:rPr>
        <w:t>采购代理机构</w:t>
      </w:r>
      <w:r>
        <w:rPr>
          <w:rFonts w:hint="eastAsia" w:asciiTheme="minorEastAsia" w:hAnsiTheme="minorEastAsia" w:eastAsiaTheme="minorEastAsia" w:cstheme="minorEastAsia"/>
          <w:color w:val="auto"/>
          <w:kern w:val="0"/>
          <w:highlight w:val="none"/>
        </w:rPr>
        <w:t>按</w:t>
      </w:r>
      <w:r>
        <w:rPr>
          <w:rFonts w:hint="eastAsia" w:asciiTheme="minorEastAsia" w:hAnsiTheme="minorEastAsia" w:eastAsiaTheme="minorEastAsia" w:cstheme="minorEastAsia"/>
          <w:color w:val="auto"/>
          <w:kern w:val="0"/>
          <w:szCs w:val="21"/>
          <w:highlight w:val="none"/>
        </w:rPr>
        <w:t>本章第</w:t>
      </w:r>
      <w:r>
        <w:rPr>
          <w:rFonts w:hint="eastAsia" w:asciiTheme="minorEastAsia" w:hAnsiTheme="minorEastAsia" w:eastAsiaTheme="minorEastAsia" w:cstheme="minorEastAsia"/>
          <w:color w:val="auto"/>
          <w:highlight w:val="none"/>
        </w:rPr>
        <w:t>19.4</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kern w:val="0"/>
          <w:szCs w:val="21"/>
          <w:highlight w:val="none"/>
        </w:rPr>
        <w:t>退还退出磋商的供应商的磋商保证金。</w:t>
      </w:r>
    </w:p>
    <w:p w14:paraId="319BEE4F">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30.6</w:t>
      </w:r>
      <w:r>
        <w:rPr>
          <w:rFonts w:hint="eastAsia" w:asciiTheme="minorEastAsia" w:hAnsiTheme="minorEastAsia" w:eastAsiaTheme="minorEastAsia" w:cstheme="minorEastAsia"/>
          <w:color w:val="auto"/>
          <w:kern w:val="0"/>
          <w:szCs w:val="21"/>
          <w:highlight w:val="none"/>
        </w:rPr>
        <w:t>提交首次响应文件的供应商，未按磋商文件规定及磋商小组要求提交最后报价(或者</w:t>
      </w:r>
      <w:r>
        <w:rPr>
          <w:rFonts w:hint="eastAsia" w:asciiTheme="minorEastAsia" w:hAnsiTheme="minorEastAsia" w:eastAsiaTheme="minorEastAsia" w:cstheme="minorEastAsia"/>
          <w:bCs/>
          <w:color w:val="auto"/>
          <w:szCs w:val="21"/>
          <w:highlight w:val="none"/>
        </w:rPr>
        <w:t>重</w:t>
      </w:r>
      <w:r>
        <w:rPr>
          <w:rFonts w:hint="eastAsia" w:asciiTheme="minorEastAsia" w:hAnsiTheme="minorEastAsia" w:eastAsiaTheme="minorEastAsia" w:cstheme="minorEastAsia"/>
          <w:color w:val="auto"/>
          <w:kern w:val="0"/>
          <w:szCs w:val="21"/>
          <w:highlight w:val="none"/>
        </w:rPr>
        <w:t>新提交的响应文件和最后报价)，且又</w:t>
      </w:r>
      <w:r>
        <w:rPr>
          <w:rFonts w:hint="eastAsia" w:asciiTheme="minorEastAsia" w:hAnsiTheme="minorEastAsia" w:eastAsiaTheme="minorEastAsia" w:cstheme="minorEastAsia"/>
          <w:color w:val="auto"/>
          <w:kern w:val="0"/>
          <w:highlight w:val="none"/>
        </w:rPr>
        <w:t>未按</w:t>
      </w:r>
      <w:r>
        <w:rPr>
          <w:rFonts w:hint="eastAsia" w:asciiTheme="minorEastAsia" w:hAnsiTheme="minorEastAsia" w:eastAsiaTheme="minorEastAsia" w:cstheme="minorEastAsia"/>
          <w:color w:val="auto"/>
          <w:kern w:val="0"/>
          <w:szCs w:val="21"/>
          <w:highlight w:val="none"/>
        </w:rPr>
        <w:t>本章第</w:t>
      </w:r>
      <w:r>
        <w:rPr>
          <w:rFonts w:hint="eastAsia" w:asciiTheme="minorEastAsia" w:hAnsiTheme="minorEastAsia" w:eastAsiaTheme="minorEastAsia" w:cstheme="minorEastAsia"/>
          <w:color w:val="auto"/>
          <w:highlight w:val="none"/>
        </w:rPr>
        <w:t>30.5</w:t>
      </w:r>
      <w:r>
        <w:rPr>
          <w:rFonts w:hint="eastAsia" w:asciiTheme="minorEastAsia" w:hAnsiTheme="minorEastAsia" w:eastAsiaTheme="minorEastAsia" w:cstheme="minorEastAsia"/>
          <w:color w:val="auto"/>
          <w:kern w:val="0"/>
          <w:szCs w:val="21"/>
          <w:highlight w:val="none"/>
          <w:lang w:val="zh-CN"/>
        </w:rPr>
        <w:t>款</w:t>
      </w:r>
      <w:r>
        <w:rPr>
          <w:rFonts w:hint="eastAsia" w:asciiTheme="minorEastAsia" w:hAnsiTheme="minorEastAsia" w:eastAsiaTheme="minorEastAsia" w:cstheme="minorEastAsia"/>
          <w:color w:val="auto"/>
          <w:highlight w:val="none"/>
        </w:rPr>
        <w:t>规定</w:t>
      </w:r>
      <w:r>
        <w:rPr>
          <w:rFonts w:hint="eastAsia" w:asciiTheme="minorEastAsia" w:hAnsiTheme="minorEastAsia" w:eastAsiaTheme="minorEastAsia" w:cstheme="minorEastAsia"/>
          <w:color w:val="auto"/>
          <w:kern w:val="0"/>
          <w:szCs w:val="21"/>
          <w:highlight w:val="none"/>
        </w:rPr>
        <w:t>退出磋商的，供应商的磋商保证金不予退还。</w:t>
      </w:r>
    </w:p>
    <w:p w14:paraId="46120785">
      <w:pPr>
        <w:adjustRightInd w:val="0"/>
        <w:snapToGri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30.7磋商文件在磋商过程中未发生实质性变动的，参加磋商供应商的次轮报价不得高于上轮报价，否则视为无效响应。</w:t>
      </w:r>
    </w:p>
    <w:p w14:paraId="3CB74359">
      <w:pPr>
        <w:widowControl/>
        <w:adjustRightInd w:val="0"/>
        <w:snapToGrid w:val="0"/>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kern w:val="0"/>
          <w:szCs w:val="21"/>
          <w:highlight w:val="none"/>
        </w:rPr>
        <w:t>31.响应文件评审</w:t>
      </w:r>
    </w:p>
    <w:p w14:paraId="5D9F727D">
      <w:pPr>
        <w:widowControl/>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31.1经磋商确定最终采购需求和提交最后报价的供应商后，由磋商小组采用综合评分法对提交最后报价的供应商的响应文件和最后报价进行综合评价。</w:t>
      </w:r>
    </w:p>
    <w:p w14:paraId="48F8185A">
      <w:pPr>
        <w:widowControl/>
        <w:adjustRightInd w:val="0"/>
        <w:snapToGrid w:val="0"/>
        <w:spacing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Theme="minorEastAsia" w:hAnsiTheme="minorEastAsia" w:eastAsiaTheme="minorEastAsia" w:cstheme="minorEastAsia"/>
          <w:b/>
          <w:bCs/>
          <w:color w:val="auto"/>
          <w:szCs w:val="21"/>
          <w:highlight w:val="none"/>
        </w:rPr>
        <w:t>磋商须知前附表。</w:t>
      </w:r>
    </w:p>
    <w:p w14:paraId="70CB0098">
      <w:pPr>
        <w:widowControl/>
        <w:adjustRightInd w:val="0"/>
        <w:snapToGrid w:val="0"/>
        <w:spacing w:before="156" w:beforeLines="50" w:line="360" w:lineRule="auto"/>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31.3</w:t>
      </w:r>
      <w:r>
        <w:rPr>
          <w:rFonts w:hint="eastAsia" w:asciiTheme="minorEastAsia" w:hAnsiTheme="minorEastAsia" w:eastAsiaTheme="minorEastAsia" w:cstheme="minorEastAsia"/>
          <w:color w:val="auto"/>
          <w:szCs w:val="21"/>
          <w:highlight w:val="none"/>
        </w:rPr>
        <w:t>最后报价调整。磋商小组以各供应商最后报价为基础，按照符合采购支持中小企业发展的相应条件，对供应商的最后报价进行价格扣除，用扣除后的最后报价计算价格得分，具体价格扣除比例见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14:paraId="36E2C77F">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31.4综合评分法中的价格分采用低价优先法计算，即满足磋商文件要求且经调整后的最后报价最低的供应商的价格为磋商基准价，其价格分为满分。其他供应商的价格分按照下列公式计算：</w:t>
      </w:r>
    </w:p>
    <w:p w14:paraId="350C2BC7">
      <w:pPr>
        <w:spacing w:line="360" w:lineRule="auto"/>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磋商报价得分＝（磋商基准价/最后磋商报价）×价格权值×100。</w:t>
      </w:r>
      <w:r>
        <w:rPr>
          <w:rFonts w:hint="eastAsia" w:asciiTheme="minorEastAsia" w:hAnsiTheme="minorEastAsia" w:eastAsiaTheme="minorEastAsia" w:cstheme="minorEastAsia"/>
          <w:color w:val="auto"/>
          <w:kern w:val="0"/>
          <w:szCs w:val="21"/>
          <w:highlight w:val="none"/>
        </w:rPr>
        <w:t>项目评审过程中，不得去掉最后报价中的最高报价和最低报价。</w:t>
      </w:r>
    </w:p>
    <w:p w14:paraId="2EF84690">
      <w:pPr>
        <w:widowControl/>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31.5</w:t>
      </w:r>
      <w:r>
        <w:rPr>
          <w:rFonts w:hint="eastAsia" w:asciiTheme="minorEastAsia" w:hAnsiTheme="minorEastAsia" w:eastAsiaTheme="minorEastAsia" w:cstheme="minorEastAsia"/>
          <w:color w:val="auto"/>
          <w:szCs w:val="21"/>
          <w:highlight w:val="none"/>
        </w:rPr>
        <w:t>涉及采购政策优惠对供应商分值进行调整的，</w:t>
      </w:r>
      <w:r>
        <w:rPr>
          <w:rFonts w:hint="eastAsia" w:asciiTheme="minorEastAsia" w:hAnsiTheme="minorEastAsia" w:eastAsiaTheme="minorEastAsia" w:cstheme="minorEastAsia"/>
          <w:bCs/>
          <w:color w:val="auto"/>
          <w:szCs w:val="21"/>
          <w:highlight w:val="none"/>
        </w:rPr>
        <w:t>按</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bCs/>
          <w:color w:val="auto"/>
          <w:szCs w:val="21"/>
          <w:highlight w:val="none"/>
        </w:rPr>
        <w:t>规定</w:t>
      </w:r>
      <w:r>
        <w:rPr>
          <w:rFonts w:hint="eastAsia" w:asciiTheme="minorEastAsia" w:hAnsiTheme="minorEastAsia" w:eastAsiaTheme="minorEastAsia" w:cstheme="minorEastAsia"/>
          <w:color w:val="auto"/>
          <w:szCs w:val="21"/>
          <w:highlight w:val="none"/>
        </w:rPr>
        <w:t>调整供应商的技术、商务、价格</w:t>
      </w:r>
      <w:r>
        <w:rPr>
          <w:rFonts w:hint="eastAsia" w:asciiTheme="minorEastAsia" w:hAnsiTheme="minorEastAsia" w:eastAsiaTheme="minorEastAsia" w:cstheme="minorEastAsia"/>
          <w:color w:val="auto"/>
          <w:kern w:val="0"/>
          <w:szCs w:val="21"/>
          <w:highlight w:val="none"/>
        </w:rPr>
        <w:t>得分或总得分</w:t>
      </w:r>
      <w:r>
        <w:rPr>
          <w:rFonts w:hint="eastAsia" w:asciiTheme="minorEastAsia" w:hAnsiTheme="minorEastAsia" w:eastAsiaTheme="minorEastAsia" w:cstheme="minorEastAsia"/>
          <w:color w:val="auto"/>
          <w:szCs w:val="21"/>
          <w:highlight w:val="none"/>
        </w:rPr>
        <w:t>。</w:t>
      </w:r>
    </w:p>
    <w:p w14:paraId="05B7D0EB">
      <w:pPr>
        <w:adjustRightInd w:val="0"/>
        <w:snapToGrid w:val="0"/>
        <w:spacing w:before="156"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31.6涉及多处或部分获得采购政策优惠的，其多处或部分享受采购优惠政策的计算方法见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相关规定。</w:t>
      </w:r>
    </w:p>
    <w:p w14:paraId="77D6693C">
      <w:pPr>
        <w:widowControl/>
        <w:adjustRightInd w:val="0"/>
        <w:snapToGrid w:val="0"/>
        <w:spacing w:before="156" w:beforeLines="50" w:line="360" w:lineRule="auto"/>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31.7</w:t>
      </w:r>
      <w:r>
        <w:rPr>
          <w:rFonts w:hint="eastAsia" w:asciiTheme="minorEastAsia" w:hAnsiTheme="minorEastAsia" w:eastAsiaTheme="minorEastAsia" w:cstheme="minorEastAsia"/>
          <w:color w:val="auto"/>
          <w:szCs w:val="21"/>
          <w:highlight w:val="none"/>
        </w:rPr>
        <w:t>评审时，磋商小组各成员应当独立对每个供应商的</w:t>
      </w:r>
      <w:r>
        <w:rPr>
          <w:rFonts w:hint="eastAsia" w:asciiTheme="minorEastAsia" w:hAnsiTheme="minorEastAsia" w:eastAsiaTheme="minorEastAsia" w:cstheme="minorEastAsia"/>
          <w:bCs/>
          <w:color w:val="auto"/>
          <w:szCs w:val="21"/>
          <w:highlight w:val="none"/>
        </w:rPr>
        <w:t>响应文件</w:t>
      </w:r>
      <w:r>
        <w:rPr>
          <w:rFonts w:hint="eastAsia" w:asciiTheme="minorEastAsia" w:hAnsiTheme="minorEastAsia" w:eastAsiaTheme="minorEastAsia" w:cstheme="minorEastAsia"/>
          <w:color w:val="auto"/>
          <w:szCs w:val="21"/>
          <w:highlight w:val="none"/>
        </w:rPr>
        <w:t>进行评价、评分，并按照采购优惠政策对最后报价进行价格扣除和技术、商务、价格加分后，汇总各供应商的总得分。</w:t>
      </w:r>
    </w:p>
    <w:p w14:paraId="779026E4">
      <w:pPr>
        <w:widowControl/>
        <w:adjustRightInd w:val="0"/>
        <w:snapToGrid w:val="0"/>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32</w:t>
      </w:r>
      <w:r>
        <w:rPr>
          <w:rFonts w:hint="eastAsia" w:asciiTheme="minorEastAsia" w:hAnsiTheme="minorEastAsia" w:eastAsiaTheme="minorEastAsia" w:cstheme="minorEastAsia"/>
          <w:b/>
          <w:color w:val="auto"/>
          <w:kern w:val="0"/>
          <w:szCs w:val="21"/>
          <w:highlight w:val="none"/>
        </w:rPr>
        <w:t>.</w:t>
      </w:r>
      <w:r>
        <w:rPr>
          <w:rFonts w:hint="eastAsia" w:asciiTheme="minorEastAsia" w:hAnsiTheme="minorEastAsia" w:eastAsiaTheme="minorEastAsia" w:cstheme="minorEastAsia"/>
          <w:b/>
          <w:bCs/>
          <w:color w:val="auto"/>
          <w:szCs w:val="21"/>
          <w:highlight w:val="none"/>
        </w:rPr>
        <w:t>提出成交供应商</w:t>
      </w:r>
    </w:p>
    <w:p w14:paraId="70310205">
      <w:pPr>
        <w:widowControl/>
        <w:spacing w:line="420" w:lineRule="atLeast"/>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 xml:space="preserve">    32.1</w:t>
      </w:r>
      <w:r>
        <w:rPr>
          <w:rFonts w:hint="eastAsia" w:asciiTheme="minorEastAsia" w:hAnsiTheme="minorEastAsia" w:eastAsiaTheme="minorEastAsia" w:cstheme="minorEastAsia"/>
          <w:bCs/>
          <w:color w:val="auto"/>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23276A23">
      <w:pPr>
        <w:pStyle w:val="22"/>
        <w:rPr>
          <w:rFonts w:hint="eastAsia" w:asciiTheme="minorEastAsia" w:hAnsiTheme="minorEastAsia" w:eastAsiaTheme="minorEastAsia" w:cstheme="minorEastAsia"/>
          <w:color w:val="auto"/>
          <w:highlight w:val="none"/>
        </w:rPr>
      </w:pPr>
    </w:p>
    <w:p w14:paraId="3A1F7EFB">
      <w:pPr>
        <w:widowControl/>
        <w:adjustRightInd w:val="0"/>
        <w:snapToGrid w:val="0"/>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33.确定成交供应商</w:t>
      </w:r>
    </w:p>
    <w:p w14:paraId="65573AD9">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33.1采购代理机构应当在评审结束后2个工作日内将评审报告送采购人确认。</w:t>
      </w:r>
    </w:p>
    <w:p w14:paraId="5E79849A">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33.2采购人应当在收到评审报告后5个工作日内，从评审报告提出的成交候选供应商中，按照排序由高到低的原则确定成交供应商，也可以书面授权磋商小组直接确定成交供应商。</w:t>
      </w:r>
    </w:p>
    <w:p w14:paraId="76E0E5C1">
      <w:pPr>
        <w:pStyle w:val="13"/>
        <w:adjustRightInd w:val="0"/>
        <w:snapToGrid w:val="0"/>
        <w:spacing w:line="360" w:lineRule="auto"/>
        <w:ind w:left="632" w:hanging="632" w:hangingChars="3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34.磋商终止</w:t>
      </w:r>
    </w:p>
    <w:p w14:paraId="2CDB06D7">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34.1</w:t>
      </w:r>
      <w:r>
        <w:rPr>
          <w:rFonts w:hint="eastAsia" w:asciiTheme="minorEastAsia" w:hAnsiTheme="minorEastAsia" w:eastAsiaTheme="minorEastAsia" w:cstheme="minorEastAsia"/>
          <w:color w:val="auto"/>
          <w:kern w:val="0"/>
          <w:szCs w:val="21"/>
          <w:highlight w:val="none"/>
        </w:rPr>
        <w:t>出现下列情形之一的，采购人或者采购代理机构应当终止竞争性磋商采购活动，</w:t>
      </w:r>
      <w:r>
        <w:rPr>
          <w:rFonts w:hint="eastAsia" w:asciiTheme="minorEastAsia" w:hAnsiTheme="minorEastAsia" w:eastAsiaTheme="minorEastAsia" w:cstheme="minorEastAsia"/>
          <w:color w:val="auto"/>
          <w:highlight w:val="none"/>
        </w:rPr>
        <w:t>在本章第37.1款指定的媒体上</w:t>
      </w:r>
      <w:r>
        <w:rPr>
          <w:rFonts w:hint="eastAsia" w:asciiTheme="minorEastAsia" w:hAnsiTheme="minorEastAsia" w:eastAsiaTheme="minorEastAsia" w:cstheme="minorEastAsia"/>
          <w:color w:val="auto"/>
          <w:kern w:val="0"/>
          <w:szCs w:val="21"/>
          <w:highlight w:val="none"/>
        </w:rPr>
        <w:t xml:space="preserve">发布项目终止公告并说明原因，重新开展采购活动： </w:t>
      </w:r>
    </w:p>
    <w:p w14:paraId="69A224F8">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（1）因情况变化，不再符合规定的竞争性磋商采购方式适用情形的；</w:t>
      </w:r>
    </w:p>
    <w:p w14:paraId="0C712726">
      <w:pPr>
        <w:widowControl/>
        <w:adjustRightInd w:val="0"/>
        <w:snapToGrid w:val="0"/>
        <w:spacing w:line="360" w:lineRule="auto"/>
        <w:ind w:firstLine="42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（2）出现影响采购公正的违法、违规行为的；</w:t>
      </w:r>
    </w:p>
    <w:p w14:paraId="6BF7833E">
      <w:pPr>
        <w:widowControl/>
        <w:adjustRightInd w:val="0"/>
        <w:snapToGrid w:val="0"/>
        <w:spacing w:line="360" w:lineRule="auto"/>
        <w:ind w:firstLine="42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bCs/>
          <w:color w:val="auto"/>
          <w:szCs w:val="21"/>
          <w:highlight w:val="none"/>
        </w:rPr>
        <w:t>在采购过程中符合要求的供应商或者报价未超过采购预算的供应商不足3家的；</w:t>
      </w:r>
    </w:p>
    <w:p w14:paraId="1172C255">
      <w:pPr>
        <w:widowControl/>
        <w:adjustRightInd w:val="0"/>
        <w:snapToGrid w:val="0"/>
        <w:spacing w:line="360" w:lineRule="auto"/>
        <w:ind w:firstLine="42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（4）因重大变故，采购任务取消的。</w:t>
      </w:r>
    </w:p>
    <w:p w14:paraId="7A96046D">
      <w:pPr>
        <w:widowControl/>
        <w:adjustRightInd w:val="0"/>
        <w:snapToGrid w:val="0"/>
        <w:spacing w:line="360" w:lineRule="auto"/>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35．重新评审</w:t>
      </w:r>
    </w:p>
    <w:p w14:paraId="6834C9B9">
      <w:pPr>
        <w:widowControl/>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4C2BAF6C">
      <w:pPr>
        <w:adjustRightInd w:val="0"/>
        <w:snapToGrid w:val="0"/>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36.保密及串通行为</w:t>
      </w:r>
    </w:p>
    <w:p w14:paraId="42F5ADAF">
      <w:pPr>
        <w:adjustRightInd w:val="0"/>
        <w:snapToGrid w:val="0"/>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36.1磋商小组成员以及与评审工作有关的人员不得泄露评审情况以及评审过程中获悉的国家秘密、商业秘密。</w:t>
      </w:r>
    </w:p>
    <w:p w14:paraId="6614D82E">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36.2</w:t>
      </w:r>
      <w:r>
        <w:rPr>
          <w:rFonts w:hint="eastAsia" w:asciiTheme="minorEastAsia" w:hAnsiTheme="minorEastAsia" w:eastAsiaTheme="minorEastAsia" w:cstheme="minorEastAsia"/>
          <w:color w:val="auto"/>
          <w:kern w:val="0"/>
          <w:szCs w:val="21"/>
          <w:highlight w:val="none"/>
        </w:rPr>
        <w:t>供应商</w:t>
      </w:r>
      <w:r>
        <w:rPr>
          <w:rFonts w:hint="eastAsia" w:asciiTheme="minorEastAsia" w:hAnsiTheme="minorEastAsia" w:eastAsiaTheme="minorEastAsia" w:cstheme="minorEastAsia"/>
          <w:color w:val="auto"/>
          <w:szCs w:val="21"/>
          <w:highlight w:val="none"/>
        </w:rPr>
        <w:t>不得与</w:t>
      </w:r>
      <w:r>
        <w:rPr>
          <w:rFonts w:hint="eastAsia" w:asciiTheme="minorEastAsia" w:hAnsiTheme="minorEastAsia" w:eastAsiaTheme="minorEastAsia" w:cstheme="minorEastAsia"/>
          <w:color w:val="auto"/>
          <w:kern w:val="0"/>
          <w:szCs w:val="21"/>
          <w:highlight w:val="none"/>
        </w:rPr>
        <w:t>采购人、采购代理机构、其他供应商恶意</w:t>
      </w:r>
      <w:r>
        <w:rPr>
          <w:rFonts w:hint="eastAsia" w:asciiTheme="minorEastAsia" w:hAnsiTheme="minorEastAsia" w:eastAsiaTheme="minorEastAsia" w:cstheme="minorEastAsia"/>
          <w:color w:val="auto"/>
          <w:szCs w:val="21"/>
          <w:highlight w:val="none"/>
        </w:rPr>
        <w:t>串通；不得向</w:t>
      </w:r>
      <w:r>
        <w:rPr>
          <w:rFonts w:hint="eastAsia" w:asciiTheme="minorEastAsia" w:hAnsiTheme="minorEastAsia" w:eastAsiaTheme="minorEastAsia" w:cstheme="minorEastAsia"/>
          <w:color w:val="auto"/>
          <w:kern w:val="0"/>
          <w:szCs w:val="21"/>
          <w:highlight w:val="none"/>
        </w:rPr>
        <w:t>采购人、采购代理机构</w:t>
      </w:r>
      <w:r>
        <w:rPr>
          <w:rFonts w:hint="eastAsia" w:asciiTheme="minorEastAsia" w:hAnsiTheme="minorEastAsia" w:eastAsiaTheme="minorEastAsia" w:cstheme="minorEastAsia"/>
          <w:color w:val="auto"/>
          <w:szCs w:val="21"/>
          <w:highlight w:val="none"/>
        </w:rPr>
        <w:t>或者磋商小组成员行贿或者提供其他不正当利益；不得提供虚假资料谋取成交；不得以任何方式干扰、影响采购工作。</w:t>
      </w:r>
    </w:p>
    <w:p w14:paraId="48B65319">
      <w:pPr>
        <w:pStyle w:val="20"/>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36.3</w:t>
      </w:r>
      <w:r>
        <w:rPr>
          <w:rFonts w:hint="eastAsia" w:asciiTheme="minorEastAsia" w:hAnsiTheme="minorEastAsia" w:eastAsiaTheme="minorEastAsia" w:cstheme="minorEastAsia"/>
          <w:color w:val="auto"/>
          <w:sz w:val="21"/>
          <w:szCs w:val="21"/>
          <w:highlight w:val="none"/>
          <w:lang w:val="zh-CN"/>
        </w:rPr>
        <w:t>有下列情形之一的，属于恶意串通，对供应商</w:t>
      </w:r>
      <w:r>
        <w:rPr>
          <w:rFonts w:hint="eastAsia" w:asciiTheme="minorEastAsia" w:hAnsiTheme="minorEastAsia" w:eastAsiaTheme="minorEastAsia" w:cstheme="minorEastAsia"/>
          <w:color w:val="auto"/>
          <w:sz w:val="21"/>
          <w:szCs w:val="21"/>
          <w:highlight w:val="none"/>
        </w:rPr>
        <w:t>参照</w:t>
      </w:r>
      <w:r>
        <w:rPr>
          <w:rFonts w:hint="eastAsia" w:asciiTheme="minorEastAsia" w:hAnsiTheme="minorEastAsia" w:eastAsiaTheme="minorEastAsia" w:cstheme="minorEastAsia"/>
          <w:color w:val="auto"/>
          <w:sz w:val="21"/>
          <w:szCs w:val="21"/>
          <w:highlight w:val="none"/>
          <w:lang w:val="zh-CN"/>
        </w:rPr>
        <w:t>政府采购法第七十七条第一款的规定追究法律责任：</w:t>
      </w:r>
    </w:p>
    <w:p w14:paraId="159EBFA0">
      <w:pPr>
        <w:pStyle w:val="20"/>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（一）供应商直接或者间接从采购人或者采购代理机构处获得其他供应商的相关情况并修改其投标文件或者响应文件；</w:t>
      </w:r>
    </w:p>
    <w:p w14:paraId="062A12ED">
      <w:pPr>
        <w:pStyle w:val="20"/>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（二）供应商按照采购人或者采购代理机构的授意撤换、修改投标文件或者响应文件；</w:t>
      </w:r>
    </w:p>
    <w:p w14:paraId="1724D19C">
      <w:pPr>
        <w:pStyle w:val="20"/>
        <w:adjustRightInd w:val="0"/>
        <w:snapToGrid w:val="0"/>
        <w:spacing w:before="0" w:beforeAutospacing="0" w:after="0" w:afterAutospacing="0"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（三）供应商之间协商报价、技术方案等投标文件或者响应文件的实质性内容；</w:t>
      </w:r>
    </w:p>
    <w:p w14:paraId="7A8A1A65">
      <w:pPr>
        <w:pStyle w:val="20"/>
        <w:adjustRightInd w:val="0"/>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（四）属于同一集团、协会、商会等组织成员的供应商按照该组织要求协同参加采购活动；</w:t>
      </w:r>
    </w:p>
    <w:p w14:paraId="1F2394E5">
      <w:pPr>
        <w:pStyle w:val="20"/>
        <w:adjustRightInd w:val="0"/>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（五）供应商之间事先约定由某一特定供应商中标、成交；</w:t>
      </w:r>
    </w:p>
    <w:p w14:paraId="3313E6F0">
      <w:pPr>
        <w:pStyle w:val="20"/>
        <w:adjustRightInd w:val="0"/>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（六）供应商之间商定部分供应商放弃参加采购活动或者放弃中标、成交；</w:t>
      </w:r>
    </w:p>
    <w:p w14:paraId="1D8F658C">
      <w:pPr>
        <w:pStyle w:val="20"/>
        <w:adjustRightInd w:val="0"/>
        <w:snapToGrid w:val="0"/>
        <w:spacing w:before="0" w:beforeAutospacing="0" w:after="0" w:afterAutospacing="0" w:line="36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（七）供应商与采购人或者采购代理机构之间、供应商相互之间，为谋求特定供应商中标、成交或者排斥其他供应商的其他串通行为。</w:t>
      </w:r>
    </w:p>
    <w:p w14:paraId="213775F7">
      <w:pPr>
        <w:adjustRightInd w:val="0"/>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六、成交结果信息公布与授予合同</w:t>
      </w:r>
    </w:p>
    <w:p w14:paraId="67B550DB">
      <w:pPr>
        <w:adjustRightInd w:val="0"/>
        <w:snapToGrid w:val="0"/>
        <w:spacing w:line="40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37.成交信息的公布</w:t>
      </w:r>
    </w:p>
    <w:p w14:paraId="31EBD061">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37.1成交供应商确定后2个工作日内，成交结果信息将在</w:t>
      </w:r>
      <w:r>
        <w:rPr>
          <w:rFonts w:hint="eastAsia" w:asciiTheme="minorEastAsia" w:hAnsiTheme="minorEastAsia" w:eastAsiaTheme="minorEastAsia" w:cstheme="minorEastAsia"/>
          <w:b/>
          <w:color w:val="auto"/>
          <w:highlight w:val="none"/>
        </w:rPr>
        <w:t>磋商须知前附表</w:t>
      </w:r>
      <w:r>
        <w:rPr>
          <w:rFonts w:hint="eastAsia" w:asciiTheme="minorEastAsia" w:hAnsiTheme="minorEastAsia" w:eastAsiaTheme="minorEastAsia" w:cstheme="minorEastAsia"/>
          <w:color w:val="auto"/>
          <w:highlight w:val="none"/>
        </w:rPr>
        <w:t>指定的媒体上公布。</w:t>
      </w:r>
    </w:p>
    <w:p w14:paraId="3EA5E584">
      <w:pPr>
        <w:adjustRightInd w:val="0"/>
        <w:snapToGrid w:val="0"/>
        <w:spacing w:line="40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38.询问及质疑</w:t>
      </w:r>
    </w:p>
    <w:p w14:paraId="7D62CF58">
      <w:pPr>
        <w:adjustRightInd w:val="0"/>
        <w:snapToGrid w:val="0"/>
        <w:spacing w:line="40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38.1供应商对采购活动事项有疑问的，可以向采购人或采购代理机构提出询问。</w:t>
      </w:r>
    </w:p>
    <w:p w14:paraId="52B94D5E">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38.2供应商若认为磋商文件、采购过程和成交结果使自己的权益受到损害，可以按法律、行政法规及湖南省财政厅规范性文件规定向采购人或采购代理机构提出质疑。</w:t>
      </w:r>
    </w:p>
    <w:p w14:paraId="29D9E64B">
      <w:pPr>
        <w:pStyle w:val="3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38.3供应商应一次性提出所有的质疑内容。</w:t>
      </w:r>
    </w:p>
    <w:p w14:paraId="2764883D">
      <w:pPr>
        <w:adjustRightInd w:val="0"/>
        <w:snapToGrid w:val="0"/>
        <w:spacing w:line="40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39.成交通知</w:t>
      </w:r>
    </w:p>
    <w:p w14:paraId="56CB6074">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39.1成交供应商确定后，采购人或采购代理机构将以书面形式向成交供应商发出成交通知书。成交通知书对采购人和成交供应商具有同等法律效力。</w:t>
      </w:r>
    </w:p>
    <w:p w14:paraId="5340293E">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39.2 成交通知书是合同文件的组成部分。</w:t>
      </w:r>
    </w:p>
    <w:p w14:paraId="5F7B06F7">
      <w:pPr>
        <w:tabs>
          <w:tab w:val="left" w:pos="7560"/>
          <w:tab w:val="left" w:pos="7740"/>
          <w:tab w:val="left" w:pos="7920"/>
        </w:tabs>
        <w:autoSpaceDN w:val="0"/>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39.3 </w:t>
      </w:r>
      <w:r>
        <w:rPr>
          <w:rFonts w:hint="eastAsia" w:asciiTheme="minorEastAsia" w:hAnsiTheme="minorEastAsia" w:eastAsiaTheme="minorEastAsia" w:cstheme="minorEastAsia"/>
          <w:color w:val="auto"/>
          <w:szCs w:val="21"/>
          <w:highlight w:val="none"/>
        </w:rPr>
        <w:t>成交供应商在收到采购代理机构的成交通知书后10日内，应按照</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的规定，向采购人提交履约担保。联合体成交的，履约担保由联合体各方或联合体中牵头人的名义提交。</w:t>
      </w:r>
    </w:p>
    <w:p w14:paraId="0DC70A99">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39.4 成交供应商</w:t>
      </w:r>
      <w:r>
        <w:rPr>
          <w:rFonts w:hint="eastAsia" w:asciiTheme="minorEastAsia" w:hAnsiTheme="minorEastAsia" w:eastAsiaTheme="minorEastAsia" w:cstheme="minorEastAsia"/>
          <w:color w:val="auto"/>
          <w:spacing w:val="4"/>
          <w:highlight w:val="none"/>
        </w:rPr>
        <w:t>没有按照本章第39.3</w:t>
      </w:r>
      <w:r>
        <w:rPr>
          <w:rFonts w:hint="eastAsia" w:asciiTheme="minorEastAsia" w:hAnsiTheme="minorEastAsia" w:eastAsiaTheme="minorEastAsia" w:cstheme="minorEastAsia"/>
          <w:color w:val="auto"/>
          <w:kern w:val="0"/>
          <w:highlight w:val="none"/>
          <w:lang w:val="zh-CN"/>
        </w:rPr>
        <w:t>款</w:t>
      </w:r>
      <w:r>
        <w:rPr>
          <w:rFonts w:hint="eastAsia" w:asciiTheme="minorEastAsia" w:hAnsiTheme="minorEastAsia" w:eastAsiaTheme="minorEastAsia" w:cstheme="minorEastAsia"/>
          <w:color w:val="auto"/>
          <w:spacing w:val="4"/>
          <w:highlight w:val="none"/>
        </w:rPr>
        <w:t>规定</w:t>
      </w:r>
      <w:r>
        <w:rPr>
          <w:rFonts w:hint="eastAsia" w:asciiTheme="minorEastAsia" w:hAnsiTheme="minorEastAsia" w:eastAsiaTheme="minorEastAsia" w:cstheme="minorEastAsia"/>
          <w:color w:val="auto"/>
          <w:highlight w:val="none"/>
        </w:rPr>
        <w:t>提交履约担保的</w:t>
      </w:r>
      <w:r>
        <w:rPr>
          <w:rFonts w:hint="eastAsia" w:asciiTheme="minorEastAsia" w:hAnsiTheme="minorEastAsia" w:eastAsiaTheme="minorEastAsia" w:cstheme="minorEastAsia"/>
          <w:color w:val="auto"/>
          <w:spacing w:val="4"/>
          <w:highlight w:val="none"/>
        </w:rPr>
        <w:t>，视为放弃</w:t>
      </w:r>
      <w:r>
        <w:rPr>
          <w:rFonts w:hint="eastAsia" w:asciiTheme="minorEastAsia" w:hAnsiTheme="minorEastAsia" w:eastAsiaTheme="minorEastAsia" w:cstheme="minorEastAsia"/>
          <w:color w:val="auto"/>
          <w:highlight w:val="none"/>
        </w:rPr>
        <w:t>成交资格</w:t>
      </w:r>
      <w:r>
        <w:rPr>
          <w:rFonts w:hint="eastAsia" w:asciiTheme="minorEastAsia" w:hAnsiTheme="minorEastAsia" w:eastAsiaTheme="minorEastAsia" w:cstheme="minorEastAsia"/>
          <w:color w:val="auto"/>
          <w:spacing w:val="4"/>
          <w:highlight w:val="none"/>
        </w:rPr>
        <w:t>，</w:t>
      </w:r>
      <w:r>
        <w:rPr>
          <w:rFonts w:hint="eastAsia" w:asciiTheme="minorEastAsia" w:hAnsiTheme="minorEastAsia" w:eastAsiaTheme="minorEastAsia" w:cstheme="minorEastAsia"/>
          <w:color w:val="auto"/>
          <w:spacing w:val="2"/>
          <w:highlight w:val="none"/>
        </w:rPr>
        <w:t>其保证金不予退还。</w:t>
      </w:r>
    </w:p>
    <w:p w14:paraId="27EE5365">
      <w:pPr>
        <w:adjustRightInd w:val="0"/>
        <w:snapToGrid w:val="0"/>
        <w:spacing w:line="400" w:lineRule="exac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40.签订合同</w:t>
      </w:r>
    </w:p>
    <w:p w14:paraId="7D020BED">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40.1成交供应商应当在成交通知书发出之日起30日内与采购人签订采购合同。</w:t>
      </w:r>
    </w:p>
    <w:p w14:paraId="529072D1">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40.2磋商文件、成交供应商的响应文件等均为签订采购合同的依据。</w:t>
      </w:r>
    </w:p>
    <w:p w14:paraId="0A918F2D">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40.3 成交供应商应当按照合同约定履行义务。成交供应商不得向他人转让成交项目，也不得将成交项目分包后分别向他人转让。</w:t>
      </w:r>
    </w:p>
    <w:p w14:paraId="0D2E5D42">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40.4 成交供应商有下列情形之一的，责令限期改正，情节严重的，列入不良行为记录名单，在1至3年内禁止参加采购活动，并予以通报：</w:t>
      </w:r>
    </w:p>
    <w:p w14:paraId="46BC7163">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（一）成交后无正当理由不与采购人签订合同的；</w:t>
      </w:r>
    </w:p>
    <w:p w14:paraId="4656B696">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（二）未按照采购文件确定的事项签订采购合同，或者与采购人另行订立背离合同实质性内容的协议的；</w:t>
      </w:r>
    </w:p>
    <w:p w14:paraId="07A7673F">
      <w:pPr>
        <w:pStyle w:val="13"/>
        <w:adjustRightInd w:val="0"/>
        <w:snapToGrid w:val="0"/>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（三）拒绝履行合同义务的；</w:t>
      </w:r>
    </w:p>
    <w:p w14:paraId="3C308BB1">
      <w:pPr>
        <w:pStyle w:val="13"/>
        <w:adjustRightInd w:val="0"/>
        <w:snapToGrid w:val="0"/>
        <w:spacing w:line="40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kern w:val="0"/>
          <w:highlight w:val="none"/>
        </w:rPr>
        <w:t>违反法律、规章、规范性文件规定的。</w:t>
      </w:r>
    </w:p>
    <w:p w14:paraId="2D6BDACC">
      <w:pPr>
        <w:adjustRightInd w:val="0"/>
        <w:snapToGrid w:val="0"/>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七、其他规定</w:t>
      </w:r>
    </w:p>
    <w:p w14:paraId="1DB58141">
      <w:pPr>
        <w:adjustRightInd w:val="0"/>
        <w:snapToGrid w:val="0"/>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41.1采购代理服务费</w:t>
      </w:r>
    </w:p>
    <w:p w14:paraId="572C567B">
      <w:pPr>
        <w:tabs>
          <w:tab w:val="left" w:pos="420"/>
          <w:tab w:val="left" w:pos="7560"/>
          <w:tab w:val="left" w:pos="7740"/>
          <w:tab w:val="left" w:pos="7920"/>
        </w:tabs>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41.1采购代理机构应按</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规定收取采购代理服务费。</w:t>
      </w:r>
    </w:p>
    <w:p w14:paraId="5AFE8B8B">
      <w:pPr>
        <w:tabs>
          <w:tab w:val="left" w:pos="420"/>
          <w:tab w:val="left" w:pos="7560"/>
          <w:tab w:val="left" w:pos="7740"/>
          <w:tab w:val="left" w:pos="7920"/>
        </w:tabs>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41.2集中采购机构不得收取采购代理服务费。</w:t>
      </w:r>
    </w:p>
    <w:p w14:paraId="723C2BAF">
      <w:pPr>
        <w:tabs>
          <w:tab w:val="left" w:pos="420"/>
          <w:tab w:val="left" w:pos="7560"/>
          <w:tab w:val="left" w:pos="7740"/>
          <w:tab w:val="left" w:pos="7920"/>
        </w:tabs>
        <w:adjustRightInd w:val="0"/>
        <w:snapToGrid w:val="0"/>
        <w:spacing w:line="400" w:lineRule="exact"/>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Cs w:val="21"/>
          <w:highlight w:val="none"/>
        </w:rPr>
        <w:t>42.</w:t>
      </w:r>
      <w:r>
        <w:rPr>
          <w:rFonts w:hint="eastAsia" w:asciiTheme="minorEastAsia" w:hAnsiTheme="minorEastAsia" w:eastAsiaTheme="minorEastAsia" w:cstheme="minorEastAsia"/>
          <w:b/>
          <w:color w:val="auto"/>
          <w:highlight w:val="none"/>
        </w:rPr>
        <w:t xml:space="preserve"> 其他规定</w:t>
      </w:r>
    </w:p>
    <w:p w14:paraId="0964D0C3">
      <w:pPr>
        <w:tabs>
          <w:tab w:val="left" w:pos="420"/>
          <w:tab w:val="left" w:pos="7560"/>
          <w:tab w:val="left" w:pos="7740"/>
          <w:tab w:val="left" w:pos="7920"/>
        </w:tabs>
        <w:adjustRightInd w:val="0"/>
        <w:snapToGrid w:val="0"/>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42.1</w:t>
      </w:r>
      <w:r>
        <w:rPr>
          <w:rFonts w:hint="eastAsia" w:asciiTheme="minorEastAsia" w:hAnsiTheme="minorEastAsia" w:eastAsiaTheme="minorEastAsia" w:cstheme="minorEastAsia"/>
          <w:color w:val="auto"/>
          <w:szCs w:val="21"/>
          <w:highlight w:val="none"/>
        </w:rPr>
        <w:t>磋商文件</w:t>
      </w:r>
      <w:r>
        <w:rPr>
          <w:rFonts w:hint="eastAsia" w:asciiTheme="minorEastAsia" w:hAnsiTheme="minorEastAsia" w:eastAsiaTheme="minorEastAsia" w:cstheme="minorEastAsia"/>
          <w:color w:val="auto"/>
          <w:highlight w:val="none"/>
        </w:rPr>
        <w:t>的其他规定</w:t>
      </w:r>
      <w:r>
        <w:rPr>
          <w:rFonts w:hint="eastAsia" w:asciiTheme="minorEastAsia" w:hAnsiTheme="minorEastAsia" w:eastAsiaTheme="minorEastAsia" w:cstheme="minorEastAsia"/>
          <w:color w:val="auto"/>
          <w:szCs w:val="21"/>
          <w:highlight w:val="none"/>
        </w:rPr>
        <w:t>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14:paraId="7BA989CD">
      <w:pPr>
        <w:pStyle w:val="22"/>
        <w:ind w:left="0" w:leftChars="0"/>
        <w:rPr>
          <w:rFonts w:hint="eastAsia" w:asciiTheme="minorEastAsia" w:hAnsiTheme="minorEastAsia" w:eastAsiaTheme="minorEastAsia" w:cstheme="minorEastAsia"/>
          <w:b/>
          <w:color w:val="auto"/>
          <w:sz w:val="32"/>
          <w:szCs w:val="32"/>
          <w:highlight w:val="none"/>
        </w:rPr>
      </w:pPr>
    </w:p>
    <w:p w14:paraId="321869D2">
      <w:pPr>
        <w:pStyle w:val="6"/>
        <w:rPr>
          <w:rFonts w:hint="eastAsia" w:asciiTheme="minorEastAsia" w:hAnsiTheme="minorEastAsia" w:eastAsiaTheme="minorEastAsia" w:cstheme="minorEastAsia"/>
          <w:b/>
          <w:color w:val="auto"/>
          <w:sz w:val="32"/>
          <w:szCs w:val="32"/>
          <w:highlight w:val="none"/>
        </w:rPr>
      </w:pPr>
    </w:p>
    <w:p w14:paraId="6DA069F0">
      <w:pPr>
        <w:pStyle w:val="7"/>
        <w:rPr>
          <w:rFonts w:hint="eastAsia" w:asciiTheme="minorEastAsia" w:hAnsiTheme="minorEastAsia" w:eastAsiaTheme="minorEastAsia" w:cstheme="minorEastAsia"/>
          <w:b/>
          <w:color w:val="auto"/>
          <w:sz w:val="32"/>
          <w:szCs w:val="32"/>
          <w:highlight w:val="none"/>
        </w:rPr>
      </w:pPr>
    </w:p>
    <w:p w14:paraId="3E0D156C">
      <w:pPr>
        <w:rPr>
          <w:rFonts w:hint="eastAsia" w:asciiTheme="minorEastAsia" w:hAnsiTheme="minorEastAsia" w:eastAsiaTheme="minorEastAsia" w:cstheme="minorEastAsia"/>
          <w:b/>
          <w:color w:val="auto"/>
          <w:sz w:val="32"/>
          <w:szCs w:val="32"/>
          <w:highlight w:val="none"/>
        </w:rPr>
      </w:pPr>
    </w:p>
    <w:p w14:paraId="16FBA62E">
      <w:pPr>
        <w:rPr>
          <w:rFonts w:hint="eastAsia" w:asciiTheme="minorEastAsia" w:hAnsiTheme="minorEastAsia" w:eastAsiaTheme="minorEastAsia" w:cstheme="minorEastAsia"/>
          <w:b/>
          <w:color w:val="auto"/>
          <w:sz w:val="32"/>
          <w:szCs w:val="32"/>
          <w:highlight w:val="none"/>
        </w:rPr>
      </w:pPr>
    </w:p>
    <w:p w14:paraId="4F22F34C">
      <w:pPr>
        <w:rPr>
          <w:rFonts w:hint="eastAsia" w:asciiTheme="minorEastAsia" w:hAnsiTheme="minorEastAsia" w:eastAsiaTheme="minorEastAsia" w:cstheme="minorEastAsia"/>
          <w:b/>
          <w:color w:val="auto"/>
          <w:sz w:val="32"/>
          <w:szCs w:val="32"/>
          <w:highlight w:val="none"/>
        </w:rPr>
      </w:pPr>
    </w:p>
    <w:p w14:paraId="0ADC9A7B">
      <w:pPr>
        <w:rPr>
          <w:rFonts w:hint="eastAsia" w:asciiTheme="minorEastAsia" w:hAnsiTheme="minorEastAsia" w:eastAsiaTheme="minorEastAsia" w:cstheme="minorEastAsia"/>
          <w:b/>
          <w:color w:val="auto"/>
          <w:sz w:val="32"/>
          <w:szCs w:val="32"/>
          <w:highlight w:val="none"/>
        </w:rPr>
      </w:pPr>
    </w:p>
    <w:p w14:paraId="4C1F1B6D">
      <w:pPr>
        <w:rPr>
          <w:rFonts w:hint="eastAsia" w:asciiTheme="minorEastAsia" w:hAnsiTheme="minorEastAsia" w:eastAsiaTheme="minorEastAsia" w:cstheme="minorEastAsia"/>
          <w:b/>
          <w:color w:val="auto"/>
          <w:sz w:val="32"/>
          <w:szCs w:val="32"/>
          <w:highlight w:val="none"/>
        </w:rPr>
      </w:pPr>
    </w:p>
    <w:p w14:paraId="606C0E05">
      <w:pPr>
        <w:rPr>
          <w:rFonts w:hint="eastAsia" w:asciiTheme="minorEastAsia" w:hAnsiTheme="minorEastAsia" w:eastAsiaTheme="minorEastAsia" w:cstheme="minorEastAsia"/>
          <w:b/>
          <w:color w:val="auto"/>
          <w:sz w:val="32"/>
          <w:szCs w:val="32"/>
          <w:highlight w:val="none"/>
        </w:rPr>
      </w:pPr>
    </w:p>
    <w:p w14:paraId="2C62C576">
      <w:pPr>
        <w:rPr>
          <w:rFonts w:hint="eastAsia" w:asciiTheme="minorEastAsia" w:hAnsiTheme="minorEastAsia" w:eastAsiaTheme="minorEastAsia" w:cstheme="minorEastAsia"/>
          <w:b/>
          <w:color w:val="auto"/>
          <w:sz w:val="32"/>
          <w:szCs w:val="32"/>
          <w:highlight w:val="none"/>
        </w:rPr>
      </w:pPr>
    </w:p>
    <w:p w14:paraId="643E0C11">
      <w:pPr>
        <w:adjustRightInd w:val="0"/>
        <w:snapToGrid w:val="0"/>
        <w:spacing w:before="156" w:beforeLines="50" w:line="360" w:lineRule="auto"/>
        <w:ind w:left="420" w:left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第三章  </w:t>
      </w:r>
      <w:r>
        <w:rPr>
          <w:rFonts w:hint="eastAsia" w:asciiTheme="minorEastAsia" w:hAnsiTheme="minorEastAsia" w:eastAsiaTheme="minorEastAsia" w:cstheme="minorEastAsia"/>
          <w:b/>
          <w:bCs/>
          <w:color w:val="auto"/>
          <w:sz w:val="32"/>
          <w:szCs w:val="32"/>
          <w:highlight w:val="none"/>
        </w:rPr>
        <w:t>采购合同格式</w:t>
      </w:r>
    </w:p>
    <w:p w14:paraId="3B61DDF7">
      <w:pPr>
        <w:rPr>
          <w:rFonts w:hint="eastAsia" w:asciiTheme="minorEastAsia" w:hAnsiTheme="minorEastAsia" w:eastAsiaTheme="minorEastAsia" w:cstheme="minorEastAsia"/>
          <w:b/>
          <w:color w:val="auto"/>
          <w:szCs w:val="21"/>
          <w:highlight w:val="none"/>
        </w:rPr>
      </w:pPr>
    </w:p>
    <w:p w14:paraId="348D14E3">
      <w:pPr>
        <w:jc w:val="center"/>
        <w:rPr>
          <w:rFonts w:hint="eastAsia" w:ascii="宋体" w:hAnsi="宋体" w:cs="宋体"/>
          <w:b/>
          <w:bCs/>
          <w:color w:val="auto"/>
          <w:sz w:val="24"/>
          <w:highlight w:val="none"/>
        </w:rPr>
      </w:pPr>
      <w:r>
        <w:rPr>
          <w:rFonts w:hint="eastAsia" w:ascii="宋体" w:hAnsi="宋体" w:cs="宋体"/>
          <w:b/>
          <w:bCs/>
          <w:color w:val="auto"/>
          <w:sz w:val="24"/>
          <w:highlight w:val="none"/>
        </w:rPr>
        <w:t>一、采购合同协议书</w:t>
      </w:r>
    </w:p>
    <w:p w14:paraId="23671F3C">
      <w:pPr>
        <w:ind w:firstLine="4200" w:firstLineChars="2000"/>
        <w:rPr>
          <w:rFonts w:hint="eastAsia" w:ascii="宋体" w:hAnsi="宋体" w:cs="宋体"/>
          <w:b/>
          <w:color w:val="auto"/>
          <w:sz w:val="32"/>
          <w:szCs w:val="32"/>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 xml:space="preserve">     采购合同编号：</w:t>
      </w:r>
      <w:r>
        <w:rPr>
          <w:rFonts w:hint="eastAsia" w:ascii="宋体" w:hAnsi="宋体" w:cs="宋体"/>
          <w:color w:val="auto"/>
          <w:szCs w:val="21"/>
          <w:highlight w:val="none"/>
          <w:u w:val="single"/>
        </w:rPr>
        <w:t xml:space="preserve">                 </w:t>
      </w:r>
    </w:p>
    <w:p w14:paraId="4626014F">
      <w:pPr>
        <w:adjustRightInd w:val="0"/>
        <w:snapToGrid w:val="0"/>
        <w:spacing w:line="360" w:lineRule="auto"/>
        <w:rPr>
          <w:rFonts w:hint="eastAsia" w:ascii="宋体" w:hAnsi="宋体" w:cs="宋体"/>
          <w:color w:val="auto"/>
          <w:szCs w:val="21"/>
          <w:highlight w:val="none"/>
        </w:rPr>
      </w:pPr>
    </w:p>
    <w:p w14:paraId="3B0D1C9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采购人 （全称）：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（甲方）</w:t>
      </w:r>
    </w:p>
    <w:p w14:paraId="010EFED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 （全称）：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（乙方）</w:t>
      </w:r>
    </w:p>
    <w:p w14:paraId="37523440">
      <w:pPr>
        <w:adjustRightInd w:val="0"/>
        <w:snapToGrid w:val="0"/>
        <w:spacing w:line="360" w:lineRule="auto"/>
        <w:ind w:left="420" w:leftChars="200"/>
        <w:rPr>
          <w:rFonts w:hint="eastAsia" w:ascii="宋体" w:hAnsi="宋体" w:cs="宋体"/>
          <w:color w:val="auto"/>
          <w:kern w:val="0"/>
          <w:szCs w:val="21"/>
          <w:highlight w:val="none"/>
        </w:rPr>
      </w:pPr>
    </w:p>
    <w:p w14:paraId="67AB480D">
      <w:pPr>
        <w:adjustRightInd w:val="0"/>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为了保护甲、乙双方合法权益，根据《民法法典》、《中华人民共和国政府采购法》及其他有关法律、法规、规章，双方签订本合同协议书。</w:t>
      </w:r>
    </w:p>
    <w:p w14:paraId="30F806FF">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1.项目信息</w:t>
      </w:r>
    </w:p>
    <w:p w14:paraId="36312A2C">
      <w:pPr>
        <w:adjustRightInd w:val="0"/>
        <w:snapToGrid w:val="0"/>
        <w:spacing w:line="360" w:lineRule="auto"/>
        <w:ind w:left="420" w:left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（1）采购项目名称：</w:t>
      </w:r>
      <w:r>
        <w:rPr>
          <w:rFonts w:hint="eastAsia" w:ascii="宋体" w:hAnsi="宋体" w:cs="宋体"/>
          <w:color w:val="auto"/>
          <w:kern w:val="0"/>
          <w:szCs w:val="21"/>
          <w:highlight w:val="none"/>
          <w:u w:val="single"/>
        </w:rPr>
        <w:t xml:space="preserve">                                          </w:t>
      </w:r>
    </w:p>
    <w:p w14:paraId="172BA30B">
      <w:pPr>
        <w:adjustRightInd w:val="0"/>
        <w:snapToGrid w:val="0"/>
        <w:spacing w:line="360" w:lineRule="auto"/>
        <w:ind w:left="420" w:left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（2）采购计划编号：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001A944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（3）项目内容：</w:t>
      </w:r>
      <w:r>
        <w:rPr>
          <w:rFonts w:hint="eastAsia" w:ascii="宋体" w:hAnsi="宋体" w:cs="宋体"/>
          <w:color w:val="auto"/>
          <w:szCs w:val="21"/>
          <w:highlight w:val="none"/>
          <w:u w:val="single"/>
        </w:rPr>
        <w:t xml:space="preserve">                             </w:t>
      </w:r>
    </w:p>
    <w:p w14:paraId="16B7DD09">
      <w:pPr>
        <w:adjustRightInd w:val="0"/>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2.合同金额</w:t>
      </w:r>
    </w:p>
    <w:p w14:paraId="26A769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（1）合同金额小写：</w:t>
      </w:r>
      <w:r>
        <w:rPr>
          <w:rFonts w:hint="eastAsia" w:ascii="宋体" w:hAnsi="宋体" w:cs="宋体"/>
          <w:color w:val="auto"/>
          <w:szCs w:val="21"/>
          <w:highlight w:val="none"/>
          <w:u w:val="single"/>
        </w:rPr>
        <w:t xml:space="preserve">                      </w:t>
      </w:r>
    </w:p>
    <w:p w14:paraId="7F7F9EAB">
      <w:pPr>
        <w:adjustRightInd w:val="0"/>
        <w:snapToGrid w:val="0"/>
        <w:spacing w:line="360" w:lineRule="auto"/>
        <w:ind w:firstLine="1260" w:firstLineChars="600"/>
        <w:rPr>
          <w:rFonts w:hint="eastAsia" w:ascii="宋体" w:hAnsi="宋体" w:cs="宋体"/>
          <w:b/>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p w14:paraId="5DF707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（2）具体标的见附件。</w:t>
      </w:r>
    </w:p>
    <w:p w14:paraId="68E86DD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（3）合同价格形式：</w:t>
      </w:r>
      <w:r>
        <w:rPr>
          <w:rFonts w:hint="eastAsia" w:ascii="宋体" w:hAnsi="宋体" w:cs="宋体"/>
          <w:color w:val="auto"/>
          <w:szCs w:val="21"/>
          <w:highlight w:val="none"/>
          <w:u w:val="single"/>
        </w:rPr>
        <w:t xml:space="preserve"> 固定总价合同     </w:t>
      </w:r>
      <w:r>
        <w:rPr>
          <w:rFonts w:hint="eastAsia" w:ascii="宋体" w:hAnsi="宋体" w:cs="宋体"/>
          <w:color w:val="auto"/>
          <w:szCs w:val="21"/>
          <w:highlight w:val="none"/>
        </w:rPr>
        <w:t xml:space="preserve"> 。</w:t>
      </w:r>
    </w:p>
    <w:p w14:paraId="37CA492A">
      <w:pPr>
        <w:adjustRightInd w:val="0"/>
        <w:snapToGrid w:val="0"/>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3.履行合同的时间、地点及方式</w:t>
      </w:r>
      <w:r>
        <w:rPr>
          <w:rFonts w:hint="eastAsia" w:ascii="宋体" w:hAnsi="宋体" w:cs="宋体"/>
          <w:color w:val="auto"/>
          <w:szCs w:val="21"/>
          <w:highlight w:val="none"/>
          <w:u w:val="single"/>
        </w:rPr>
        <w:t xml:space="preserve"> </w:t>
      </w:r>
    </w:p>
    <w:p w14:paraId="6665A05B">
      <w:pPr>
        <w:adjustRightInd w:val="0"/>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p>
    <w:p w14:paraId="63C5A390">
      <w:pPr>
        <w:adjustRightInd w:val="0"/>
        <w:snapToGrid w:val="0"/>
        <w:spacing w:line="360" w:lineRule="auto"/>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地点</w:t>
      </w:r>
      <w:r>
        <w:rPr>
          <w:rFonts w:hint="eastAsia" w:ascii="宋体" w:hAnsi="宋体" w:cs="宋体"/>
          <w:b/>
          <w:color w:val="auto"/>
          <w:szCs w:val="21"/>
          <w:highlight w:val="none"/>
        </w:rPr>
        <w:t>：</w:t>
      </w:r>
      <w:r>
        <w:rPr>
          <w:rFonts w:hint="eastAsia" w:ascii="宋体" w:hAnsi="宋体" w:cs="宋体"/>
          <w:color w:val="auto"/>
          <w:szCs w:val="21"/>
          <w:highlight w:val="none"/>
          <w:u w:val="single"/>
        </w:rPr>
        <w:t xml:space="preserve">                             </w:t>
      </w:r>
    </w:p>
    <w:p w14:paraId="3020C9B8">
      <w:pPr>
        <w:adjustRightInd w:val="0"/>
        <w:snapToGrid w:val="0"/>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color w:val="auto"/>
          <w:szCs w:val="21"/>
          <w:highlight w:val="none"/>
          <w:u w:val="single"/>
        </w:rPr>
        <w:t xml:space="preserve">                             </w:t>
      </w:r>
    </w:p>
    <w:p w14:paraId="74E75BBA">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4.付款：</w:t>
      </w:r>
    </w:p>
    <w:p w14:paraId="6AB6DE23">
      <w:pPr>
        <w:spacing w:line="360" w:lineRule="auto"/>
        <w:ind w:firstLine="630" w:firstLineChars="300"/>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474D064">
      <w:pPr>
        <w:spacing w:line="360" w:lineRule="auto"/>
        <w:ind w:firstLine="630" w:firstLineChars="300"/>
        <w:rPr>
          <w:rFonts w:hint="eastAsia" w:ascii="宋体" w:hAnsi="宋体" w:cs="宋体"/>
          <w:color w:val="auto"/>
          <w:szCs w:val="21"/>
          <w:highlight w:val="none"/>
        </w:rPr>
      </w:pPr>
      <w:r>
        <w:rPr>
          <w:rFonts w:hint="eastAsia" w:ascii="宋体" w:hAnsi="宋体" w:cs="宋体"/>
          <w:bCs/>
          <w:color w:val="auto"/>
          <w:szCs w:val="21"/>
          <w:highlight w:val="none"/>
        </w:rPr>
        <w:t>2、根据采购文件的约定需支付预付款的，须在合同签订前提交不超过合同金额10%的履约担保。</w:t>
      </w:r>
    </w:p>
    <w:p w14:paraId="106B407B">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5.解决合同纠纷方式</w:t>
      </w:r>
    </w:p>
    <w:p w14:paraId="7D95725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首先通过双方协商解决，协商解决不成，则通过以下途径之一解决纠纷：</w:t>
      </w:r>
    </w:p>
    <w:p w14:paraId="695074A1">
      <w:pPr>
        <w:adjustRightInd w:val="0"/>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 提请仲裁       □ 向人民法院提起诉讼</w:t>
      </w:r>
    </w:p>
    <w:p w14:paraId="4E973C99">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6.组成合同的文件</w:t>
      </w:r>
    </w:p>
    <w:p w14:paraId="1AFC99F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本协议书与下列文件一起构成合同文件，如下述文件之间有任何抵触、矛盾或歧义，应按以下顺序解释：</w:t>
      </w:r>
    </w:p>
    <w:p w14:paraId="67AA7C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（1）在采购或合同履行过程中乙方作出的承诺以及双方协商达成的变更或补充协议</w:t>
      </w:r>
    </w:p>
    <w:p w14:paraId="127D052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（2）成交通知书</w:t>
      </w:r>
    </w:p>
    <w:p w14:paraId="613BBE5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w:t>
      </w:r>
    </w:p>
    <w:p w14:paraId="4C024EF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（4）政府采购合同格式条款及其附件</w:t>
      </w:r>
    </w:p>
    <w:p w14:paraId="0F9C7C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（5）专用合同条款</w:t>
      </w:r>
    </w:p>
    <w:p w14:paraId="016E7B3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（6）通用合同条款（如果有）</w:t>
      </w:r>
    </w:p>
    <w:p w14:paraId="067A5D9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（7）标准、规范及有关技术文件，图纸，已标价工程量清单或预算书（如果有）</w:t>
      </w:r>
    </w:p>
    <w:p w14:paraId="1F64B3C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7550F944">
      <w:pPr>
        <w:adjustRightInd w:val="0"/>
        <w:snapToGrid w:val="0"/>
        <w:spacing w:line="360" w:lineRule="auto"/>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7.合同生效</w:t>
      </w:r>
    </w:p>
    <w:p w14:paraId="3E7793D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生效。</w:t>
      </w:r>
    </w:p>
    <w:p w14:paraId="0C6E563A">
      <w:pPr>
        <w:adjustRightInd w:val="0"/>
        <w:snapToGrid w:val="0"/>
        <w:spacing w:line="360" w:lineRule="auto"/>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8.合同份数</w:t>
      </w:r>
    </w:p>
    <w:p w14:paraId="7FEEA35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份，采购人执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份、供应商执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份、采购代理机构1份，均具有同等法律效力。</w:t>
      </w:r>
    </w:p>
    <w:p w14:paraId="00FE451D">
      <w:pPr>
        <w:adjustRightInd w:val="0"/>
        <w:snapToGrid w:val="0"/>
        <w:spacing w:line="360" w:lineRule="auto"/>
        <w:rPr>
          <w:rFonts w:hint="eastAsia" w:ascii="宋体" w:hAnsi="宋体" w:cs="宋体"/>
          <w:color w:val="auto"/>
          <w:szCs w:val="21"/>
          <w:highlight w:val="none"/>
        </w:rPr>
      </w:pPr>
    </w:p>
    <w:p w14:paraId="35AE15AB">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2821A6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合同订立地点：</w:t>
      </w:r>
      <w:r>
        <w:rPr>
          <w:rFonts w:hint="eastAsia" w:ascii="宋体" w:hAnsi="宋体" w:cs="宋体"/>
          <w:color w:val="auto"/>
          <w:szCs w:val="21"/>
          <w:highlight w:val="none"/>
          <w:u w:val="single"/>
        </w:rPr>
        <w:t xml:space="preserve">                           </w:t>
      </w:r>
    </w:p>
    <w:p w14:paraId="043D0D6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5383D0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      方：（公章）                        乙      方：（公章）</w:t>
      </w:r>
    </w:p>
    <w:p w14:paraId="49890A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w:t>
      </w:r>
    </w:p>
    <w:p w14:paraId="295B56FA">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302475D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1CA45E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w:t>
      </w:r>
    </w:p>
    <w:p w14:paraId="47E76AC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开 户 银 行：</w:t>
      </w:r>
      <w:r>
        <w:rPr>
          <w:rFonts w:hint="eastAsia" w:ascii="宋体" w:hAnsi="宋体" w:cs="宋体"/>
          <w:color w:val="auto"/>
          <w:szCs w:val="21"/>
          <w:highlight w:val="none"/>
          <w:u w:val="single"/>
        </w:rPr>
        <w:t xml:space="preserve">                  </w:t>
      </w:r>
    </w:p>
    <w:p w14:paraId="13F759CA">
      <w:pPr>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33C658A">
      <w:pPr>
        <w:adjustRightInd w:val="0"/>
        <w:snapToGrid w:val="0"/>
        <w:spacing w:before="156" w:beforeLines="50" w:line="400" w:lineRule="exact"/>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u w:val="single"/>
        </w:rPr>
        <w:br w:type="page"/>
      </w:r>
      <w:r>
        <w:rPr>
          <w:rFonts w:hint="eastAsia" w:asciiTheme="minorEastAsia" w:hAnsiTheme="minorEastAsia" w:eastAsiaTheme="minorEastAsia" w:cstheme="minorEastAsia"/>
          <w:b/>
          <w:bCs/>
          <w:color w:val="auto"/>
          <w:sz w:val="24"/>
          <w:highlight w:val="none"/>
        </w:rPr>
        <w:t>二、</w:t>
      </w:r>
      <w:r>
        <w:rPr>
          <w:rFonts w:hint="eastAsia" w:asciiTheme="minorEastAsia" w:hAnsiTheme="minorEastAsia" w:eastAsiaTheme="minorEastAsia" w:cstheme="minorEastAsia"/>
          <w:b/>
          <w:color w:val="auto"/>
          <w:sz w:val="24"/>
          <w:highlight w:val="none"/>
          <w:lang w:eastAsia="zh-Hans"/>
        </w:rPr>
        <w:t>合同通用条款</w:t>
      </w:r>
    </w:p>
    <w:p w14:paraId="0F1019BB">
      <w:pPr>
        <w:tabs>
          <w:tab w:val="left" w:pos="8820"/>
          <w:tab w:val="left" w:pos="9345"/>
          <w:tab w:val="left" w:pos="9765"/>
        </w:tabs>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Cs w:val="21"/>
          <w:highlight w:val="none"/>
        </w:rPr>
        <w:t>1.</w:t>
      </w:r>
      <w:r>
        <w:rPr>
          <w:rFonts w:hint="eastAsia" w:asciiTheme="minorEastAsia" w:hAnsiTheme="minorEastAsia" w:eastAsiaTheme="minorEastAsia" w:cstheme="minorEastAsia"/>
          <w:b/>
          <w:bCs/>
          <w:color w:val="auto"/>
          <w:szCs w:val="21"/>
          <w:highlight w:val="none"/>
        </w:rPr>
        <w:t>定义</w:t>
      </w:r>
    </w:p>
    <w:p w14:paraId="77B7D00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1.1合同当事人</w:t>
      </w:r>
    </w:p>
    <w:p w14:paraId="61B5A0F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（1）采购人是指通过采购程序向供应商购买货物、服务的相关组织。本次采购的采购人名称、地址见</w:t>
      </w:r>
      <w:r>
        <w:rPr>
          <w:rFonts w:hint="eastAsia" w:asciiTheme="minorEastAsia" w:hAnsiTheme="minorEastAsia" w:eastAsiaTheme="minorEastAsia" w:cstheme="minorEastAsia"/>
          <w:b/>
          <w:color w:val="auto"/>
          <w:szCs w:val="21"/>
          <w:highlight w:val="none"/>
        </w:rPr>
        <w:t>【合同专用条款】。</w:t>
      </w:r>
    </w:p>
    <w:p w14:paraId="0FED3BEA">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（2）供应商是指参加采购活动而取得中标结果，并向采购人提供货物、服务的法人、其他组织或者自然人。</w:t>
      </w:r>
    </w:p>
    <w:p w14:paraId="1B20301D">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1.2本合同下列术语应解释为：</w:t>
      </w:r>
    </w:p>
    <w:p w14:paraId="3CE2938A">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（1）“合同”系指甲乙双方签署的、合同协议书中载明的甲乙双方所达成的协议，包括所有的附页、附录和上述文件所提到的构成合同的所有文件。</w:t>
      </w:r>
    </w:p>
    <w:p w14:paraId="5B42E827">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（2）“合同价”系指根据本合同规定乙方在正确地完全履行合同义务后甲方应支付给乙方的价款。</w:t>
      </w:r>
    </w:p>
    <w:p w14:paraId="30D103E6">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（3）“货物”系指乙方根据本合同规定须向甲方提供的各种形态和种类的物品，包括原材料、设备、产品（包括软件）及相关的其备品备件、工具、手册及其它技术资料和材料。</w:t>
      </w:r>
    </w:p>
    <w:p w14:paraId="5D8F5F53">
      <w:pPr>
        <w:tabs>
          <w:tab w:val="left" w:pos="570"/>
          <w:tab w:val="left" w:pos="888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（4）“伴随服务”系指根据本合同规定乙方承担与供货有关的辅助服务，如运输、保</w:t>
      </w:r>
      <w:r>
        <w:rPr>
          <w:rFonts w:hint="eastAsia" w:asciiTheme="minorEastAsia" w:hAnsiTheme="minorEastAsia" w:eastAsiaTheme="minorEastAsia" w:cstheme="minorEastAsia"/>
          <w:color w:val="auto"/>
          <w:spacing w:val="2"/>
          <w:szCs w:val="21"/>
          <w:highlight w:val="none"/>
        </w:rPr>
        <w:t>险以及其它的伴随服务，例如安装、调试、提供技术</w:t>
      </w:r>
      <w:r>
        <w:rPr>
          <w:rFonts w:hint="eastAsia" w:asciiTheme="minorEastAsia" w:hAnsiTheme="minorEastAsia" w:eastAsiaTheme="minorEastAsia" w:cstheme="minorEastAsia"/>
          <w:color w:val="auto"/>
          <w:szCs w:val="21"/>
          <w:highlight w:val="none"/>
        </w:rPr>
        <w:t>协</w:t>
      </w:r>
      <w:r>
        <w:rPr>
          <w:rFonts w:hint="eastAsia" w:asciiTheme="minorEastAsia" w:hAnsiTheme="minorEastAsia" w:eastAsiaTheme="minorEastAsia" w:cstheme="minorEastAsia"/>
          <w:color w:val="auto"/>
          <w:spacing w:val="2"/>
          <w:szCs w:val="21"/>
          <w:highlight w:val="none"/>
        </w:rPr>
        <w:t>助、培训和合同中规定</w:t>
      </w:r>
      <w:r>
        <w:rPr>
          <w:rFonts w:hint="eastAsia" w:asciiTheme="minorEastAsia" w:hAnsiTheme="minorEastAsia" w:eastAsiaTheme="minorEastAsia" w:cstheme="minorEastAsia"/>
          <w:color w:val="auto"/>
          <w:szCs w:val="21"/>
          <w:highlight w:val="none"/>
        </w:rPr>
        <w:t>乙方应承担的其它义务。</w:t>
      </w:r>
    </w:p>
    <w:p w14:paraId="6048EC03">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（5）“合同条款”系指本合同条款。</w:t>
      </w:r>
    </w:p>
    <w:p w14:paraId="68930867">
      <w:pPr>
        <w:tabs>
          <w:tab w:val="left" w:pos="570"/>
          <w:tab w:val="left" w:pos="9240"/>
          <w:tab w:val="left" w:pos="9555"/>
        </w:tabs>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（6）“项目现场”系指本合同项下货物安装、运行的现场，其名称见</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w:t>
      </w:r>
    </w:p>
    <w:p w14:paraId="6BB64509">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2.合同的适用范围</w:t>
      </w:r>
    </w:p>
    <w:p w14:paraId="4A83608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本合同条款适用于没有被本合同其他部分的条款所取代的范围。</w:t>
      </w:r>
    </w:p>
    <w:p w14:paraId="2D1A26FB">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合同内容根据招标文件、投标文件而确定。</w:t>
      </w:r>
    </w:p>
    <w:p w14:paraId="5F563729">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w:t>
      </w:r>
      <w:r>
        <w:rPr>
          <w:rFonts w:hint="eastAsia" w:asciiTheme="minorEastAsia" w:hAnsiTheme="minorEastAsia" w:eastAsiaTheme="minorEastAsia" w:cstheme="minorEastAsia"/>
          <w:b/>
          <w:color w:val="auto"/>
          <w:szCs w:val="21"/>
          <w:highlight w:val="none"/>
        </w:rPr>
        <w:t>合同标的及金额</w:t>
      </w:r>
    </w:p>
    <w:p w14:paraId="098F00C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合同标的及金额应与中标结果一致。</w:t>
      </w:r>
    </w:p>
    <w:p w14:paraId="4E1DA6D0">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w:t>
      </w:r>
      <w:r>
        <w:rPr>
          <w:rFonts w:hint="eastAsia" w:asciiTheme="minorEastAsia" w:hAnsiTheme="minorEastAsia" w:eastAsiaTheme="minorEastAsia" w:cstheme="minorEastAsia"/>
          <w:b/>
          <w:color w:val="auto"/>
          <w:szCs w:val="21"/>
          <w:highlight w:val="none"/>
        </w:rPr>
        <w:t>合同价款</w:t>
      </w:r>
    </w:p>
    <w:p w14:paraId="62954F34">
      <w:pPr>
        <w:adjustRightInd w:val="0"/>
        <w:snapToGrid w:val="0"/>
        <w:spacing w:line="400" w:lineRule="exact"/>
        <w:ind w:firstLine="420" w:firstLineChars="200"/>
        <w:jc w:val="left"/>
        <w:rPr>
          <w:rFonts w:hint="eastAsia" w:asciiTheme="minorEastAsia" w:hAnsiTheme="minorEastAsia" w:eastAsiaTheme="minorEastAsia" w:cstheme="minorEastAsia"/>
          <w:b/>
          <w:bCs/>
          <w:i/>
          <w:iCs/>
          <w:color w:val="auto"/>
          <w:szCs w:val="21"/>
          <w:highlight w:val="none"/>
        </w:rPr>
      </w:pPr>
      <w:r>
        <w:rPr>
          <w:rFonts w:hint="eastAsia" w:asciiTheme="minorEastAsia" w:hAnsiTheme="minorEastAsia" w:eastAsiaTheme="minorEastAsia" w:cstheme="minorEastAsia"/>
          <w:color w:val="auto"/>
          <w:szCs w:val="21"/>
          <w:highlight w:val="none"/>
        </w:rPr>
        <w:t>4.1具体合同价款见本合同第3.1条。乙方为履行本合同而发生的所有费用均应包含在合同价款中，甲方不再另行支付其它任何费用。</w:t>
      </w:r>
    </w:p>
    <w:p w14:paraId="150C6F56">
      <w:pPr>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5.履行合同的时间、地点和方式</w:t>
      </w:r>
    </w:p>
    <w:p w14:paraId="1917E9D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乙方应当在甲方确定的时间、指定的地点履行合同，具体的交货时间、地点和方式见</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w:t>
      </w:r>
    </w:p>
    <w:p w14:paraId="4573C94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乙方提供服务的应当在甲方指定的地点完成服务项目。</w:t>
      </w:r>
    </w:p>
    <w:p w14:paraId="05FCBA21">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6.</w:t>
      </w:r>
      <w:r>
        <w:rPr>
          <w:rFonts w:hint="eastAsia" w:asciiTheme="minorEastAsia" w:hAnsiTheme="minorEastAsia" w:eastAsiaTheme="minorEastAsia" w:cstheme="minorEastAsia"/>
          <w:b/>
          <w:color w:val="auto"/>
          <w:szCs w:val="21"/>
          <w:highlight w:val="none"/>
        </w:rPr>
        <w:t>货物的验收</w:t>
      </w:r>
    </w:p>
    <w:p w14:paraId="4B7D2C9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甲方在收到乙方交付的货物后应当及时组织验收。</w:t>
      </w:r>
    </w:p>
    <w:p w14:paraId="1C24D4A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货物的表面瑕疵，甲方应在验收时当面提出；对质量问题有异议的应在安装调试后十个工作日内提出。</w:t>
      </w:r>
    </w:p>
    <w:p w14:paraId="4BFEFA2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在验收过程中发现数量不足或有质量、技术等问题，乙方应负责按照甲方的要求采取补足、更换或退货等处理措施，并承担由此发生的一切费用和损失。</w:t>
      </w:r>
    </w:p>
    <w:p w14:paraId="0FCFDB8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甲方在乙方按合同规定交货或安装、调试后，无正当理由而拖延接收、验收或拒绝接收、验收的，应承担因此给乙方造成的直接损失。</w:t>
      </w:r>
    </w:p>
    <w:p w14:paraId="34257B5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甲方对货物进行检查验收合格后，应当收取发票并在《交货验收单》上签署验收意见及加盖单位印章。</w:t>
      </w:r>
    </w:p>
    <w:p w14:paraId="1CF9CCB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6.6 大型或者复杂的货物采购项目，甲方可以邀请国家认可的质量检测机构参加验收工作，并由其出具验收报告单。</w:t>
      </w:r>
    </w:p>
    <w:p w14:paraId="36304C7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6.7 乙方提供的进口产品，乙方应出示中华人民共和国进出口商品检验部门出具的检验证书（招标文件第四章“技术规格、参数及要求”另有约定的除外）。</w:t>
      </w:r>
    </w:p>
    <w:p w14:paraId="75F28151">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7.货物包装要求</w:t>
      </w:r>
    </w:p>
    <w:p w14:paraId="7357E594">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0E0F410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每一个包装箱内应附一份详细装箱单、质量证书和保修保养证书。</w:t>
      </w:r>
    </w:p>
    <w:p w14:paraId="7A3D5591">
      <w:pPr>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8.运输和保险</w:t>
      </w:r>
    </w:p>
    <w:p w14:paraId="1E08A133">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8.1乙方负责办理将货物运抵本合同第5.1条规定的交货地点的一切运输事项，相关费用应包括在合同总价中。</w:t>
      </w:r>
    </w:p>
    <w:p w14:paraId="4C1CEF61">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8.2乙方应向保险公司投保以甲方为受益人的发运合同货物发票金额的110％运输一切险。</w:t>
      </w:r>
    </w:p>
    <w:p w14:paraId="0D182B84">
      <w:pPr>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9.质量标准和保证</w:t>
      </w:r>
    </w:p>
    <w:p w14:paraId="734A212B">
      <w:pPr>
        <w:adjustRightInd w:val="0"/>
        <w:snapToGrid w:val="0"/>
        <w:spacing w:line="4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9.1 质量标准</w:t>
      </w:r>
    </w:p>
    <w:p w14:paraId="7DE773F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（1）本合同下交付的货物应符合招标文件第四章“技术规格、参数与要求”所述的标准。如果没有提及适用标准，则应符合中华人民共和国有关机构发布的最新版本的标准。</w:t>
      </w:r>
    </w:p>
    <w:p w14:paraId="3359BD67">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（2）采用中华人民共和国法定计量单位。</w:t>
      </w:r>
    </w:p>
    <w:p w14:paraId="14C3E213">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（3）乙方所出售的货物还应符合国家有关安全、环保、卫生之规定。</w:t>
      </w:r>
    </w:p>
    <w:p w14:paraId="39C4BB95">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保证</w:t>
      </w:r>
    </w:p>
    <w:p w14:paraId="4B5D244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规定或乙方承诺（两者以较长的为准）的质量保证期内，本保证保持有效。</w:t>
      </w:r>
    </w:p>
    <w:p w14:paraId="4F46DB1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（2）在质量保证期内所发现的缺陷，甲方应尽快以书面形式通知乙方。</w:t>
      </w:r>
    </w:p>
    <w:p w14:paraId="6C4FECE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（3）乙方收到通知后应在</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规定的响应时间内以合理的速度免费维修或更换有缺陷的货物或部件。</w:t>
      </w:r>
    </w:p>
    <w:p w14:paraId="513F405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14:paraId="02932F7B">
      <w:pPr>
        <w:adjustRightInd w:val="0"/>
        <w:snapToGrid w:val="0"/>
        <w:spacing w:line="400" w:lineRule="exact"/>
        <w:ind w:firstLine="420"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（5）乙方在约定的时间内未能弥补缺陷，甲方可采取必要的补救措施，但其风险和费用将由乙方承担，甲方根据合同规定对乙方行使的其他权利不受影响。</w:t>
      </w:r>
    </w:p>
    <w:p w14:paraId="6391432B">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10.权利瑕疵担保</w:t>
      </w:r>
    </w:p>
    <w:p w14:paraId="56CABF6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乙方保证对其出售的货物享有合法的权利。</w:t>
      </w:r>
    </w:p>
    <w:p w14:paraId="3B1CFF9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乙方保证在其出售的货物上不存在任何未曾向甲方透露的担保物权，如抵押权、质押权、留置权等。</w:t>
      </w:r>
    </w:p>
    <w:p w14:paraId="62875B9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如甲方使用该货物构成上述侵权的，则由乙方承担全部责任。</w:t>
      </w:r>
    </w:p>
    <w:p w14:paraId="7DD2829A">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11.知识产权保护</w:t>
      </w:r>
    </w:p>
    <w:p w14:paraId="0FE955B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乙方对其所销售的货物应当享有知识产权或经权利人合法授权，保证没有侵犯任何第三人的知识产权和商业秘密等权利。</w:t>
      </w:r>
    </w:p>
    <w:p w14:paraId="058A2C6B">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甲方使用乙方提供的货物对第三人构成侵权的，应当由乙方承担全部法律责任，给甲方造成损害的，乙方应当承担赔偿责任。</w:t>
      </w:r>
    </w:p>
    <w:p w14:paraId="20D6BDAB">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甲方委托乙方开发的产品，甲方享有知识产权，未经甲方许可不得转让任何第三人。</w:t>
      </w:r>
    </w:p>
    <w:p w14:paraId="693716D2">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12.保密义务</w:t>
      </w:r>
    </w:p>
    <w:p w14:paraId="01735DF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甲、乙双方在采购和履行合同过程中所获悉的对方属于保密的内容，双方均有保密义务。</w:t>
      </w:r>
    </w:p>
    <w:p w14:paraId="41E99BBC">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13.合同价款支付</w:t>
      </w:r>
    </w:p>
    <w:p w14:paraId="3A08598F">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13.1验收合格后，乙方出具正规发票给甲方，凭甲方开具的《合同验收报告单》办理合同价</w:t>
      </w:r>
      <w:r>
        <w:rPr>
          <w:rFonts w:hint="eastAsia" w:asciiTheme="minorEastAsia" w:hAnsiTheme="minorEastAsia" w:eastAsiaTheme="minorEastAsia" w:cstheme="minorEastAsia"/>
          <w:bCs/>
          <w:color w:val="auto"/>
          <w:szCs w:val="21"/>
          <w:highlight w:val="none"/>
        </w:rPr>
        <w:t>款</w:t>
      </w:r>
      <w:r>
        <w:rPr>
          <w:rFonts w:hint="eastAsia" w:asciiTheme="minorEastAsia" w:hAnsiTheme="minorEastAsia" w:eastAsiaTheme="minorEastAsia" w:cstheme="minorEastAsia"/>
          <w:color w:val="auto"/>
          <w:szCs w:val="21"/>
          <w:highlight w:val="none"/>
        </w:rPr>
        <w:t>结算手续。</w:t>
      </w:r>
    </w:p>
    <w:p w14:paraId="6D609538">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13.2支付合同价</w:t>
      </w:r>
      <w:r>
        <w:rPr>
          <w:rFonts w:hint="eastAsia" w:asciiTheme="minorEastAsia" w:hAnsiTheme="minorEastAsia" w:eastAsiaTheme="minorEastAsia" w:cstheme="minorEastAsia"/>
          <w:bCs/>
          <w:color w:val="auto"/>
          <w:szCs w:val="21"/>
          <w:highlight w:val="none"/>
        </w:rPr>
        <w:t>款</w:t>
      </w:r>
      <w:r>
        <w:rPr>
          <w:rFonts w:hint="eastAsia" w:asciiTheme="minorEastAsia" w:hAnsiTheme="minorEastAsia" w:eastAsiaTheme="minorEastAsia" w:cstheme="minorEastAsia"/>
          <w:color w:val="auto"/>
          <w:szCs w:val="21"/>
          <w:highlight w:val="none"/>
        </w:rPr>
        <w:t>时，一律不向乙方以外的任何第三方办理付款手续。开户行和帐号以签订的合同为准，如果乙方要求变更，则乙方必须提供加盖了财务专用章、法定代表人签字的证明文件，报经甲方审查同意。</w:t>
      </w:r>
    </w:p>
    <w:p w14:paraId="2D49701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13.3 合同价款支付方式</w:t>
      </w:r>
      <w:r>
        <w:rPr>
          <w:rFonts w:hint="eastAsia" w:asciiTheme="minorEastAsia" w:hAnsiTheme="minorEastAsia" w:eastAsiaTheme="minorEastAsia" w:cstheme="minorEastAsia"/>
          <w:bCs/>
          <w:color w:val="auto"/>
          <w:szCs w:val="21"/>
          <w:highlight w:val="none"/>
        </w:rPr>
        <w:t>和条件在</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中另有规定。</w:t>
      </w:r>
    </w:p>
    <w:p w14:paraId="755F0297">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14.</w:t>
      </w:r>
      <w:r>
        <w:rPr>
          <w:rFonts w:hint="eastAsia" w:asciiTheme="minorEastAsia" w:hAnsiTheme="minorEastAsia" w:eastAsiaTheme="minorEastAsia" w:cstheme="minorEastAsia"/>
          <w:b/>
          <w:color w:val="auto"/>
          <w:szCs w:val="21"/>
          <w:highlight w:val="none"/>
        </w:rPr>
        <w:t>伴随服务</w:t>
      </w:r>
    </w:p>
    <w:p w14:paraId="58F356E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乙方应向甲方提交所提供货物的技术文件，包括相应的中文技术文件，如：产品目录、图纸、操作手册、使用说明、维护手册或服务指南。这些文件应包装好随同货物一起发运。</w:t>
      </w:r>
    </w:p>
    <w:p w14:paraId="0A5B073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乙方还应提供下列服务：</w:t>
      </w:r>
    </w:p>
    <w:p w14:paraId="61315EAA">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（1）货物的现场移动、安装、调试、启动监督及技术支持；</w:t>
      </w:r>
    </w:p>
    <w:p w14:paraId="3E097FB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（2）提供货物组装和维修所需的专用工具和辅助材料；</w:t>
      </w:r>
    </w:p>
    <w:p w14:paraId="0D7669A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（3）在合同各方商定的一定期限内对所有的货物实施运行监督、维修，但前提条件是该服务并不能免除乙方在质量保证期内所承担的义务；</w:t>
      </w:r>
    </w:p>
    <w:p w14:paraId="12BFE60A">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（4）在制造商或项目现场就货物的安装、启动、运营、维护对甲方操作人员进行培训。</w:t>
      </w:r>
    </w:p>
    <w:p w14:paraId="66E8D43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与招标文件第四章“技术规格、参数和要求”规定的其他伴随服务</w:t>
      </w:r>
    </w:p>
    <w:p w14:paraId="0D221FDE">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乙方提供的伴随服务的费用应包含在合同价款中，甲方不再另行支付。</w:t>
      </w:r>
    </w:p>
    <w:p w14:paraId="712D51FA">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15.违约责任</w:t>
      </w:r>
    </w:p>
    <w:p w14:paraId="72AEC4DA">
      <w:pPr>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15.1质量瑕疵的补救措施和索赔</w:t>
      </w:r>
    </w:p>
    <w:p w14:paraId="35C2C1BA">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0B8ED105">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①乙方同意退货并将货款退还给甲方，由此发生的一切费用和损失由乙方承担。</w:t>
      </w:r>
    </w:p>
    <w:p w14:paraId="00F5552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②根据货物的质量状况以及甲方所遭受的损失，经过甲乙双方商定降低货物的价格。</w:t>
      </w:r>
    </w:p>
    <w:p w14:paraId="5ECFA23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5E8DE50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0499125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15.2 迟延交货的违约责任</w:t>
      </w:r>
    </w:p>
    <w:p w14:paraId="7F608B2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35C786A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（2）除本合同</w:t>
      </w:r>
      <w:r>
        <w:rPr>
          <w:rFonts w:hint="eastAsia" w:asciiTheme="minorEastAsia" w:hAnsiTheme="minorEastAsia" w:eastAsiaTheme="minorEastAsia" w:cstheme="minorEastAsia"/>
          <w:bCs/>
          <w:color w:val="auto"/>
          <w:szCs w:val="21"/>
          <w:highlight w:val="none"/>
        </w:rPr>
        <w:t>第20条</w:t>
      </w:r>
      <w:r>
        <w:rPr>
          <w:rFonts w:hint="eastAsia" w:asciiTheme="minorEastAsia" w:hAnsiTheme="minorEastAsia" w:eastAsiaTheme="minorEastAsia" w:cstheme="minorEastAsia"/>
          <w:color w:val="auto"/>
          <w:szCs w:val="21"/>
          <w:highlight w:val="none"/>
        </w:rPr>
        <w:t>规定情况外，如果乙方没有按照合同规定的时间交货和提供服务，甲方有权从货款中扣除误期赔偿费而不影响合同项下的其他补救方法，赔偿费按</w:t>
      </w:r>
      <w:r>
        <w:rPr>
          <w:rFonts w:hint="eastAsia" w:asciiTheme="minorEastAsia" w:hAnsiTheme="minorEastAsia" w:eastAsiaTheme="minorEastAsia" w:cstheme="minorEastAsia"/>
          <w:b/>
          <w:bCs/>
          <w:color w:val="auto"/>
          <w:szCs w:val="21"/>
          <w:highlight w:val="none"/>
        </w:rPr>
        <w:t>每天赔偿迟交货物的交货价或延期服务的服务费用的百分之零点五（0.5%）计收，直至交货或提供服务为止</w:t>
      </w:r>
      <w:r>
        <w:rPr>
          <w:rFonts w:hint="eastAsia" w:asciiTheme="minorEastAsia" w:hAnsiTheme="minorEastAsia" w:eastAsiaTheme="minorEastAsia" w:cstheme="minorEastAsia"/>
          <w:color w:val="auto"/>
          <w:szCs w:val="21"/>
          <w:highlight w:val="none"/>
        </w:rPr>
        <w:t>。一旦误期达到15天的，甲方有权提前终止合同。</w:t>
      </w:r>
    </w:p>
    <w:p w14:paraId="428577BB">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154F0A37">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16.合同的变更</w:t>
      </w:r>
    </w:p>
    <w:p w14:paraId="1447AC2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在合同履行过程中，甲、乙双方可就合同履行的时间、地点和方式等协商进行变更。协商一致后，双方应签订书面的补充协议。</w:t>
      </w:r>
    </w:p>
    <w:p w14:paraId="1CA5568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在不改变合同其他条款的前提下，甲方有权在合同价款百分之十的范围内追加与合同标的相同的货物或服务，并就此与乙方签订补充合同，乙方不得拒绝。</w:t>
      </w:r>
    </w:p>
    <w:p w14:paraId="0DF434A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除双方签署书面协议，并成为合同不可分割的一部分外，本合同条件不得有任何变更。</w:t>
      </w:r>
    </w:p>
    <w:p w14:paraId="6C94E7CC">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17.合同中止与终止</w:t>
      </w:r>
    </w:p>
    <w:p w14:paraId="278D63FD">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17.1合同的中止</w:t>
      </w:r>
    </w:p>
    <w:p w14:paraId="7641A385">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（1）合同在履行过程中，因采购计划调整，甲方可以要求中止履行，待计划确定后继续履行；</w:t>
      </w:r>
    </w:p>
    <w:p w14:paraId="4F2B1183">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（2）合同履行过程中因乙方就采购过程或结果提起投诉的，甲方认为有必要或财政部门责令中止的，应当中止合同的履行。</w:t>
      </w:r>
    </w:p>
    <w:p w14:paraId="424BB385">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17.2合同的终止</w:t>
      </w:r>
    </w:p>
    <w:p w14:paraId="6D32C27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（1）合同因有效期限届满而终止；</w:t>
      </w:r>
    </w:p>
    <w:p w14:paraId="4F5C390F">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（2）乙方未能依照本合同约定条件履行合同，已构成根本性违约的，甲方有权终止本合同，并追究乙方的违约责任。</w:t>
      </w:r>
    </w:p>
    <w:p w14:paraId="2005D3D6">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（3）如果乙方丧失履约能力或被宣告破产，甲方可在任何时候以书面形式通知乙方终止合同而不给乙方补偿。</w:t>
      </w:r>
    </w:p>
    <w:p w14:paraId="1A9C74F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（4）如果乙方在履行合同过程中有不正当竞争行为，甲方有权解除合同，并按《中华人民共和国反不正当竞争法》规定由有关部门追究其法律责任。</w:t>
      </w:r>
    </w:p>
    <w:p w14:paraId="7F40C2E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（5）如果合同的履行将损害国家利益或社会公共利益，甲方有权终止合同的履行，给乙方造成损失的予以相应补偿。</w:t>
      </w:r>
    </w:p>
    <w:p w14:paraId="7281420C">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18.合同转让和分包</w:t>
      </w:r>
    </w:p>
    <w:p w14:paraId="63CFC091">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乙方不得以任何形式将合同转包。</w:t>
      </w:r>
    </w:p>
    <w:p w14:paraId="341B5E68">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18.2 乙方未在投标文件中说明，不得将</w:t>
      </w:r>
      <w:r>
        <w:rPr>
          <w:rFonts w:hint="eastAsia" w:asciiTheme="minorEastAsia" w:hAnsiTheme="minorEastAsia" w:eastAsiaTheme="minorEastAsia" w:cstheme="minorEastAsia"/>
          <w:bCs/>
          <w:color w:val="auto"/>
          <w:szCs w:val="21"/>
          <w:highlight w:val="none"/>
        </w:rPr>
        <w:t>合同</w:t>
      </w:r>
      <w:r>
        <w:rPr>
          <w:rFonts w:hint="eastAsia" w:asciiTheme="minorEastAsia" w:hAnsiTheme="minorEastAsia" w:eastAsiaTheme="minorEastAsia" w:cstheme="minorEastAsia"/>
          <w:color w:val="auto"/>
          <w:szCs w:val="21"/>
          <w:highlight w:val="none"/>
        </w:rPr>
        <w:t>的非主体、非关键性工作分包给他人。</w:t>
      </w:r>
    </w:p>
    <w:p w14:paraId="19018C8F">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19.不可抗力</w:t>
      </w:r>
    </w:p>
    <w:p w14:paraId="6B79F614">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不可抗力是指合同双方不可预见、不可避免、不可克服的自然灾害和社会事件。</w:t>
      </w:r>
    </w:p>
    <w:p w14:paraId="40E25CF2">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任何一方对由于不可抗力造成的部分或全部不能履行合同不承担违约责任。但迟延履行后发生不可抗力的，不能免除责任。</w:t>
      </w:r>
    </w:p>
    <w:p w14:paraId="4714772C">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19.3 遇有不可抗力的一方，应在三日内将事件的情况以书面形式通知另一方，并在事件发生后十日内，向另一方提交合同不能履行或部分不能履行或需要延期履行理由的报告。</w:t>
      </w:r>
    </w:p>
    <w:p w14:paraId="772CA2DB">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20.解决争议的方法</w:t>
      </w:r>
    </w:p>
    <w:p w14:paraId="06709D87">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合同各方应通过友好协商，解决在执行合同过程中所发生的或与合同有关的一切争端。如从协商开始后十日内仍不能解决，可以向财政部门提请调解。</w:t>
      </w:r>
    </w:p>
    <w:p w14:paraId="29580229">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20.2 调解不成可以按</w:t>
      </w:r>
      <w:r>
        <w:rPr>
          <w:rFonts w:hint="eastAsia" w:asciiTheme="minorEastAsia" w:hAnsiTheme="minorEastAsia" w:eastAsiaTheme="minorEastAsia" w:cstheme="minorEastAsia"/>
          <w:b/>
          <w:color w:val="auto"/>
          <w:szCs w:val="21"/>
          <w:highlight w:val="none"/>
        </w:rPr>
        <w:t>【合同专用条款】</w:t>
      </w:r>
      <w:r>
        <w:rPr>
          <w:rFonts w:hint="eastAsia" w:asciiTheme="minorEastAsia" w:hAnsiTheme="minorEastAsia" w:eastAsiaTheme="minorEastAsia" w:cstheme="minorEastAsia"/>
          <w:color w:val="auto"/>
          <w:szCs w:val="21"/>
          <w:highlight w:val="none"/>
        </w:rPr>
        <w:t>中约定中规定下列方式之一提起仲裁或诉讼：</w:t>
      </w:r>
    </w:p>
    <w:p w14:paraId="3057A8A0">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（1）向甲方所在地仲裁机构提起仲裁；</w:t>
      </w:r>
    </w:p>
    <w:p w14:paraId="2DECD1C6">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（2）向甲方所在地人民法院提起诉讼。</w:t>
      </w:r>
    </w:p>
    <w:p w14:paraId="713875FD">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20.3 如仲裁或诉讼事项不影响合同其它部分的履行，则在仲裁或诉讼期间，除正在进行仲裁或诉讼的部分外，合同的其它部分应继续执行。</w:t>
      </w:r>
    </w:p>
    <w:p w14:paraId="1E135BAE">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21.法律适用</w:t>
      </w:r>
    </w:p>
    <w:p w14:paraId="67B0E3EC">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本合同适用中华人民共和国现行法律、行政法规和规章，如合同条款与法律、行政法规和规章不一致的，按照法律、行政法规和规章修改本合同。</w:t>
      </w:r>
    </w:p>
    <w:p w14:paraId="0824BA0B">
      <w:pPr>
        <w:autoSpaceDE w:val="0"/>
        <w:autoSpaceDN w:val="0"/>
        <w:adjustRightInd w:val="0"/>
        <w:snapToGrid w:val="0"/>
        <w:spacing w:line="400" w:lineRule="exact"/>
        <w:ind w:firstLine="422" w:firstLineChars="20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22.</w:t>
      </w:r>
      <w:r>
        <w:rPr>
          <w:rFonts w:hint="eastAsia" w:asciiTheme="minorEastAsia" w:hAnsiTheme="minorEastAsia" w:eastAsiaTheme="minorEastAsia" w:cstheme="minorEastAsia"/>
          <w:b/>
          <w:color w:val="auto"/>
          <w:szCs w:val="21"/>
          <w:highlight w:val="none"/>
        </w:rPr>
        <w:t>通知</w:t>
      </w:r>
    </w:p>
    <w:p w14:paraId="0401DB4B">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22.1本合同一方给另一方的通知均应采用书面形式，传真或快递送到本合同中规定的对方的地址和办理签收手续，</w:t>
      </w:r>
    </w:p>
    <w:p w14:paraId="56466E90">
      <w:pPr>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22.2通知以送到之日或通知书中规定的生效之日起生效，两者中以较迟之日为准。</w:t>
      </w:r>
    </w:p>
    <w:p w14:paraId="670C6B7E">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23. 合同未尽事项</w:t>
      </w:r>
    </w:p>
    <w:p w14:paraId="6284B12A">
      <w:pPr>
        <w:adjustRightInd w:val="0"/>
        <w:snapToGrid w:val="0"/>
        <w:spacing w:line="40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23.1合同未尽事项见</w:t>
      </w:r>
      <w:r>
        <w:rPr>
          <w:rFonts w:hint="eastAsia" w:asciiTheme="minorEastAsia" w:hAnsiTheme="minorEastAsia" w:eastAsiaTheme="minorEastAsia" w:cstheme="minorEastAsia"/>
          <w:b/>
          <w:color w:val="auto"/>
          <w:szCs w:val="21"/>
          <w:highlight w:val="none"/>
        </w:rPr>
        <w:t>【合同专用条款】。</w:t>
      </w:r>
    </w:p>
    <w:p w14:paraId="178D83C8">
      <w:pPr>
        <w:adjustRightInd w:val="0"/>
        <w:snapToGrid w:val="0"/>
        <w:spacing w:line="400" w:lineRule="exact"/>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24.合同生效</w:t>
      </w:r>
    </w:p>
    <w:p w14:paraId="2B055C3C">
      <w:pPr>
        <w:autoSpaceDE w:val="0"/>
        <w:autoSpaceDN w:val="0"/>
        <w:adjustRightInd w:val="0"/>
        <w:snapToGrid w:val="0"/>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24.1 本合同在合同双方盖章后生效。</w:t>
      </w:r>
    </w:p>
    <w:p w14:paraId="07B035B4">
      <w:pPr>
        <w:autoSpaceDE w:val="0"/>
        <w:autoSpaceDN w:val="0"/>
        <w:adjustRightInd w:val="0"/>
        <w:snapToGrid w:val="0"/>
        <w:spacing w:line="500" w:lineRule="exact"/>
        <w:ind w:firstLine="480" w:firstLineChars="200"/>
        <w:jc w:val="left"/>
        <w:rPr>
          <w:rFonts w:hint="eastAsia" w:asciiTheme="minorEastAsia" w:hAnsiTheme="minorEastAsia" w:eastAsiaTheme="minorEastAsia" w:cstheme="minorEastAsia"/>
          <w:color w:val="auto"/>
          <w:sz w:val="24"/>
          <w:highlight w:val="none"/>
        </w:rPr>
      </w:pPr>
    </w:p>
    <w:p w14:paraId="0E08EDF2">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079D0F32">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2F5CA012">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0F75A124">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2EB3AA4F">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3D99766F">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43616314">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0A22DF8B">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76E692D6">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069C168E">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2D19EDF9">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p>
    <w:p w14:paraId="56CB3FA0">
      <w:pPr>
        <w:pStyle w:val="22"/>
        <w:spacing w:line="520" w:lineRule="exact"/>
        <w:ind w:left="0" w:leftChars="0" w:firstLine="482"/>
        <w:jc w:val="center"/>
        <w:rPr>
          <w:rStyle w:val="47"/>
          <w:rFonts w:hint="eastAsia" w:asciiTheme="minorEastAsia" w:hAnsiTheme="minorEastAsia" w:eastAsiaTheme="minorEastAsia" w:cstheme="minorEastAsia"/>
          <w:bCs w:val="0"/>
          <w:color w:val="auto"/>
          <w:szCs w:val="24"/>
          <w:highlight w:val="none"/>
        </w:rPr>
      </w:pPr>
      <w:r>
        <w:rPr>
          <w:rStyle w:val="47"/>
          <w:rFonts w:hint="eastAsia" w:asciiTheme="minorEastAsia" w:hAnsiTheme="minorEastAsia" w:eastAsiaTheme="minorEastAsia" w:cstheme="minorEastAsia"/>
          <w:bCs w:val="0"/>
          <w:color w:val="auto"/>
          <w:szCs w:val="24"/>
          <w:highlight w:val="none"/>
        </w:rPr>
        <w:t>三、 合同专用条款</w:t>
      </w:r>
    </w:p>
    <w:p w14:paraId="4E54B29E">
      <w:pPr>
        <w:adjustRightInd w:val="0"/>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具体内容按第四章采购需求拟定。</w:t>
      </w:r>
    </w:p>
    <w:p w14:paraId="22553AE8">
      <w:pPr>
        <w:pStyle w:val="3"/>
        <w:rPr>
          <w:rFonts w:hint="eastAsia" w:asciiTheme="minorEastAsia" w:hAnsiTheme="minorEastAsia" w:eastAsiaTheme="minorEastAsia" w:cstheme="minorEastAsia"/>
          <w:color w:val="auto"/>
          <w:szCs w:val="24"/>
          <w:highlight w:val="none"/>
        </w:rPr>
      </w:pPr>
    </w:p>
    <w:p w14:paraId="3AC19226">
      <w:pPr>
        <w:snapToGrid w:val="0"/>
        <w:spacing w:after="109" w:afterLines="35" w:line="560" w:lineRule="exact"/>
        <w:ind w:firstLine="241" w:firstLineChars="100"/>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注：本合同供参考，最终内容及相关附件以书面签订的合同为准。）</w:t>
      </w:r>
    </w:p>
    <w:p w14:paraId="27561F44">
      <w:pPr>
        <w:jc w:val="center"/>
        <w:rPr>
          <w:rFonts w:hint="eastAsia" w:asciiTheme="minorEastAsia" w:hAnsiTheme="minorEastAsia" w:eastAsiaTheme="minorEastAsia" w:cstheme="minorEastAsia"/>
          <w:color w:val="auto"/>
          <w:sz w:val="24"/>
          <w:highlight w:val="none"/>
        </w:rPr>
        <w:sectPr>
          <w:headerReference r:id="rId7" w:type="default"/>
          <w:footerReference r:id="rId8" w:type="default"/>
          <w:pgSz w:w="11906" w:h="16838"/>
          <w:pgMar w:top="1440" w:right="1080" w:bottom="1440" w:left="1080" w:header="851" w:footer="992" w:gutter="0"/>
          <w:cols w:space="720" w:num="1"/>
          <w:docGrid w:type="lines" w:linePitch="312" w:charSpace="0"/>
        </w:sectPr>
      </w:pPr>
    </w:p>
    <w:p w14:paraId="2B0A43F3">
      <w:pPr>
        <w:spacing w:line="360" w:lineRule="auto"/>
        <w:ind w:firstLine="3534" w:firstLineChars="1100"/>
        <w:rPr>
          <w:rFonts w:hint="eastAsia" w:ascii="宋体" w:hAnsi="宋体" w:cs="宋体"/>
          <w:b/>
          <w:color w:val="auto"/>
          <w:szCs w:val="21"/>
          <w:highlight w:val="none"/>
        </w:rPr>
      </w:pPr>
      <w:r>
        <w:rPr>
          <w:rFonts w:hint="eastAsia" w:ascii="宋体" w:hAnsi="宋体" w:cs="宋体"/>
          <w:b/>
          <w:bCs/>
          <w:color w:val="auto"/>
          <w:sz w:val="32"/>
          <w:szCs w:val="32"/>
          <w:highlight w:val="none"/>
        </w:rPr>
        <w:t xml:space="preserve">第四章 </w:t>
      </w:r>
      <w:r>
        <w:rPr>
          <w:rFonts w:hint="eastAsia" w:ascii="宋体" w:hAnsi="宋体" w:cs="宋体"/>
          <w:b/>
          <w:color w:val="auto"/>
          <w:sz w:val="32"/>
          <w:szCs w:val="32"/>
          <w:highlight w:val="none"/>
        </w:rPr>
        <w:t>采购需求</w:t>
      </w:r>
    </w:p>
    <w:p w14:paraId="5015E9F1">
      <w:pPr>
        <w:pStyle w:val="2"/>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一、采购项目名称：</w:t>
      </w:r>
    </w:p>
    <w:p w14:paraId="09D352E0">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园区土方调配总体规划及2025年建设项目土方平衡设计专题研究项目</w:t>
      </w:r>
    </w:p>
    <w:p w14:paraId="09E67D03">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二、项目概括：</w:t>
      </w:r>
    </w:p>
    <w:p w14:paraId="2598EF35">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规划背景与规划目的</w:t>
      </w:r>
    </w:p>
    <w:p w14:paraId="4F9A74F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长沙金霞经济开发区开发过程中，现行控规有效指导了片区的建设。但由于控规对土石方工程和经济数据缺乏具体的测算和指引，实际建设中导致整体土石方工程量大，不同区域之间的土石方缺乏协调，难以实现平衡，严重浪费建设资金。城市发展与开发成本之间的矛盾日益突出。</w:t>
      </w:r>
    </w:p>
    <w:p w14:paraId="0E2E560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湖南金霞发展集团组织开展本次土方调配规划工作，以控规为基础，结合城市设计手法，通过系统土方测算，调整优化长沙金霞经济开发区竖向规划，合理调配土石方，节约大量土石方工程费用，实现土方总量平衡、尽量实现分区平衡、时序平衡。</w:t>
      </w:r>
    </w:p>
    <w:p w14:paraId="7F9A0A24">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lang w:eastAsia="zh-CN"/>
        </w:rPr>
        <w:t>）</w:t>
      </w:r>
      <w:r>
        <w:rPr>
          <w:rFonts w:hint="eastAsia" w:ascii="宋体" w:hAnsi="宋体" w:eastAsia="宋体" w:cs="宋体"/>
          <w:b/>
          <w:bCs/>
          <w:color w:val="auto"/>
          <w:szCs w:val="21"/>
          <w:highlight w:val="none"/>
        </w:rPr>
        <w:t>服务内容</w:t>
      </w:r>
    </w:p>
    <w:p w14:paraId="0FC1103D">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需对金霞新城（84平方公里）进行土方调配总体规划。</w:t>
      </w:r>
    </w:p>
    <w:p w14:paraId="0018164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金霞新城土方调配总体规划：范围包括金霞组团、鹅秀组团、高岭组团、沙坪组团、关公湖片区、白霞西片等控制性详细规划区域，总面积约84平方公里，规划人口规模为80.13万人。</w:t>
      </w:r>
    </w:p>
    <w:p w14:paraId="08BBDE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未建设区域测量：本次规划需对未建设区域（约12平方公里）进行局部高层点测量，以确保数据的真实性、完整性和准确性。</w:t>
      </w:r>
    </w:p>
    <w:p w14:paraId="0FC8A4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2025年建设项目土方平衡设计专题研究：范围将根据《2025年度开福区政府重大项目投资计划表》测算2025年度建设项目的土石方量，同时根据项目的开工时序和工程量大小进行土石方合理调配、实现分区及总量平衡。</w:t>
      </w:r>
    </w:p>
    <w:p w14:paraId="49F89345">
      <w:pPr>
        <w:adjustRightInd w:val="0"/>
        <w:snapToGrid w:val="0"/>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（三）项目预算：744000元</w:t>
      </w:r>
    </w:p>
    <w:p w14:paraId="3303FB3D">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三、规划编制依据</w:t>
      </w:r>
    </w:p>
    <w:p w14:paraId="1DCC305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1、《中华人民共和国城乡规划法》；</w:t>
      </w:r>
    </w:p>
    <w:p w14:paraId="080363E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2、《城市规划编制办法》；</w:t>
      </w:r>
    </w:p>
    <w:p w14:paraId="6CC9F28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3、《长沙市金霞组团控制性详细规划评估与修编》；</w:t>
      </w:r>
    </w:p>
    <w:p w14:paraId="47C1D4F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4、《鹅秀组团控制性详细规划评估与修编》；</w:t>
      </w:r>
    </w:p>
    <w:p w14:paraId="225422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5、《长沙市关公湖片区控制性详细规划评估与修编》；</w:t>
      </w:r>
    </w:p>
    <w:p w14:paraId="6FF445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6、《高岭组团控制性详细规划评估与修编》；</w:t>
      </w:r>
    </w:p>
    <w:p w14:paraId="5DBE947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7、《沙坪组团控制性详细规划评估与修编》；</w:t>
      </w:r>
    </w:p>
    <w:p w14:paraId="594F9E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8、《白霞西片控制性详细规划评估与修编》；</w:t>
      </w:r>
    </w:p>
    <w:p w14:paraId="4BFA3C8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9、《苏托垸片区控制性详细规划》（在编）；</w:t>
      </w:r>
    </w:p>
    <w:p w14:paraId="1628978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10、规划区域1:2000实测地形图；</w:t>
      </w:r>
    </w:p>
    <w:p w14:paraId="7C26C5A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11、相关道路施工图（或竣工图、线形图）；</w:t>
      </w:r>
    </w:p>
    <w:p w14:paraId="4ADC4C0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12、区内已批项目总平及其他相关设计；</w:t>
      </w:r>
    </w:p>
    <w:p w14:paraId="005949C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13、其他相关标准、规范。</w:t>
      </w:r>
    </w:p>
    <w:p w14:paraId="7A6702FF">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四、规划内容要点</w:t>
      </w:r>
    </w:p>
    <w:p w14:paraId="153C2E0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（一）制定经济高效的建设方案</w:t>
      </w:r>
    </w:p>
    <w:p w14:paraId="1704C68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过规划设计，园区的道路竖向和场地设计在原控规的基础上更加合理，区域土石方工程基本实现总量平衡；应划定土石方分区，确保各分区各子项挖填方基本平衡或通过就近调配达到平衡，实现分区平衡；通过合理统筹，结合园区发展需求，科学安排开发时序，确保城市发展各阶段基本平衡。</w:t>
      </w:r>
    </w:p>
    <w:p w14:paraId="1A575C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（二）打造环境优美的生态园区</w:t>
      </w:r>
    </w:p>
    <w:p w14:paraId="0D67003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划应以生态友好为原则，保护生态山体，减少对自然环境的影响，与周边环境保持和谐统一，融为一体，因山就势，就地取材。在满足地块用地性质的前提下，尊重现有地形地貌和场地关系，保留避免不必要的大挖方、大填方，结合原始地貌，减少场地土石方工程量，使之既经济合理，又保持景观优美的效果。</w:t>
      </w:r>
    </w:p>
    <w:p w14:paraId="43685E3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（三）提出合理有效的实施计划</w:t>
      </w:r>
    </w:p>
    <w:p w14:paraId="20A18DF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划方案应注重规划的延续性和科学性，对规划的调整必须在不影响城市功能、维护原有规划定位和整体布局的前提下进行，对园区建设进行彻底摸底，切实掌握土地出让情况，确保规划调整对既有或待建项目不产生负面影响。了解园区发展动向，结合园区建设项目计划，提出土石方分期平衡和整体平衡的策略。</w:t>
      </w:r>
    </w:p>
    <w:p w14:paraId="7A60432D">
      <w:pPr>
        <w:adjustRightInd w:val="0"/>
        <w:snapToGrid w:val="0"/>
        <w:spacing w:line="360" w:lineRule="auto"/>
        <w:rPr>
          <w:rFonts w:hint="eastAsia" w:ascii="宋体" w:hAnsi="宋体" w:eastAsia="宋体" w:cs="宋体"/>
          <w:b/>
          <w:color w:val="auto"/>
          <w:szCs w:val="21"/>
          <w:highlight w:val="none"/>
        </w:rPr>
      </w:pPr>
      <w:bookmarkStart w:id="15" w:name="_GoBack"/>
      <w:r>
        <w:rPr>
          <w:rFonts w:hint="eastAsia" w:ascii="宋体" w:hAnsi="宋体" w:eastAsia="宋体" w:cs="宋体"/>
          <w:b/>
          <w:color w:val="auto"/>
          <w:szCs w:val="21"/>
          <w:highlight w:val="none"/>
        </w:rPr>
        <w:t>五、规划设计任务</w:t>
      </w:r>
    </w:p>
    <w:p w14:paraId="7670B997">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（一）未建设区域高程点测量</w:t>
      </w:r>
    </w:p>
    <w:p w14:paraId="1F4FF568">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本次规划需对未建设区域（约12平方公里）进行局部高程点测量，以确保</w:t>
      </w:r>
      <w:r>
        <w:rPr>
          <w:rFonts w:hint="eastAsia" w:ascii="宋体" w:hAnsi="宋体" w:cs="宋体"/>
          <w:bCs/>
          <w:color w:val="auto"/>
          <w:szCs w:val="21"/>
          <w:highlight w:val="none"/>
        </w:rPr>
        <w:t>现状</w:t>
      </w:r>
      <w:r>
        <w:rPr>
          <w:rFonts w:hint="eastAsia" w:ascii="宋体" w:hAnsi="宋体" w:eastAsia="宋体" w:cs="宋体"/>
          <w:b w:val="0"/>
          <w:bCs/>
          <w:color w:val="auto"/>
          <w:szCs w:val="21"/>
          <w:highlight w:val="none"/>
        </w:rPr>
        <w:t>数据的真实性、完整性和准确性。</w:t>
      </w:r>
    </w:p>
    <w:p w14:paraId="49769BAA">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（二）道路竖向优化</w:t>
      </w:r>
    </w:p>
    <w:p w14:paraId="37DFFCD9">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根据现状地形地貌，结合实际建设情况和测量数据，测算道路土方量，适当优化道路竖向，并将优化后的道路竖向纳入该片控规编制成果中，同步报审并入库。</w:t>
      </w:r>
    </w:p>
    <w:p w14:paraId="4C07C5A6">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（三）土石方调配方案</w:t>
      </w:r>
    </w:p>
    <w:p w14:paraId="4EAEAC32">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通过科学计算合理划定分区，制定土石方调配方案，确保总量平衡、分区平衡、时序平衡。 </w:t>
      </w:r>
    </w:p>
    <w:p w14:paraId="2630C599">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（四）近期（2025年）建设规划</w:t>
      </w:r>
    </w:p>
    <w:p w14:paraId="6DA46FF5">
      <w:pPr>
        <w:adjustRightInd w:val="0"/>
        <w:snapToGrid w:val="0"/>
        <w:spacing w:line="360" w:lineRule="auto"/>
        <w:ind w:firstLine="420" w:firstLineChars="200"/>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根据园区近期建设项目情况，制定近期土石方调配方案，满足园区土石方近期消纳需求</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每季度根据开工建设的进度提供一次更新成果。</w:t>
      </w:r>
    </w:p>
    <w:p w14:paraId="599669FC">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六、成果要求</w:t>
      </w:r>
    </w:p>
    <w:p w14:paraId="09C13FE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（一）成果构成</w:t>
      </w:r>
    </w:p>
    <w:p w14:paraId="7F8D4F8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1、文字说明</w:t>
      </w:r>
    </w:p>
    <w:p w14:paraId="5C49C70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园区现状分析、竖向优化方案、土石方工程计算方式及区域土石方调配方案等内容的具体说明。</w:t>
      </w:r>
    </w:p>
    <w:p w14:paraId="5B3324C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2、主要图件</w:t>
      </w:r>
    </w:p>
    <w:p w14:paraId="78B9CD0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（1）土地利用现状图</w:t>
      </w:r>
    </w:p>
    <w:p w14:paraId="68ADB80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（2）表达现状场地关系的相关图纸</w:t>
      </w:r>
    </w:p>
    <w:p w14:paraId="70B009B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（3）优化后的道路竖向规划图</w:t>
      </w:r>
    </w:p>
    <w:p w14:paraId="1B8DF4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（4）土石方计算图纸（包括整体和街区单元）</w:t>
      </w:r>
    </w:p>
    <w:p w14:paraId="36F86CA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（5）建设时序规划图</w:t>
      </w:r>
    </w:p>
    <w:p w14:paraId="2FD5C2E9">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（6）土石方调配规划图（分近期远期）</w:t>
      </w:r>
    </w:p>
    <w:p w14:paraId="1CE2972B">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（7）消纳场所规划图（分近期远期）</w:t>
      </w:r>
    </w:p>
    <w:p w14:paraId="6912025C">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（8）其他表达设计意图的相关示意图  </w:t>
      </w:r>
    </w:p>
    <w:p w14:paraId="73B90C4F">
      <w:pPr>
        <w:adjustRightInd w:val="0"/>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3、未建设区域（12平方公里）高程点测量成果图 </w:t>
      </w:r>
    </w:p>
    <w:p w14:paraId="58647807">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（二）成果形式</w:t>
      </w:r>
    </w:p>
    <w:p w14:paraId="11C0A44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1、包含上述所有文字说明以及图件内容的缩印本（A3图幅）5份，主要图纸彩色A0图1套。</w:t>
      </w:r>
    </w:p>
    <w:p w14:paraId="4D0FCFCA">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bCs/>
          <w:color w:val="auto"/>
          <w:szCs w:val="21"/>
          <w:highlight w:val="none"/>
        </w:rPr>
        <w:t>未建设区域（12平方公里）高程点测量成果图</w:t>
      </w:r>
      <w:r>
        <w:rPr>
          <w:rFonts w:ascii="宋体" w:hAnsi="宋体" w:eastAsia="宋体" w:cs="宋体"/>
          <w:bCs/>
          <w:color w:val="auto"/>
          <w:szCs w:val="21"/>
          <w:highlight w:val="none"/>
        </w:rPr>
        <w:t>1</w:t>
      </w:r>
      <w:r>
        <w:rPr>
          <w:rFonts w:hint="eastAsia" w:ascii="宋体" w:hAnsi="宋体" w:eastAsia="宋体" w:cs="宋体"/>
          <w:bCs/>
          <w:color w:val="auto"/>
          <w:szCs w:val="21"/>
          <w:highlight w:val="none"/>
        </w:rPr>
        <w:t>份。</w:t>
      </w:r>
    </w:p>
    <w:p w14:paraId="54CE916E">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2、包含上述所有文字说明以及图件内容的电子文件2套，文本为DOC格式，主要图纸为DWG格式文件，其他表现图为JPG格式文件。</w:t>
      </w:r>
    </w:p>
    <w:p w14:paraId="250E7426">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七、交付时间</w:t>
      </w:r>
    </w:p>
    <w:p w14:paraId="4E7DC10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）交付时间：</w:t>
      </w:r>
      <w:r>
        <w:rPr>
          <w:rFonts w:hint="eastAsia" w:ascii="宋体" w:hAnsi="宋体" w:cs="宋体"/>
          <w:color w:val="auto"/>
          <w:szCs w:val="21"/>
          <w:highlight w:val="none"/>
        </w:rPr>
        <w:t>每季度根据项目开工建设的进度提供一次更新成果。</w:t>
      </w:r>
      <w:r>
        <w:rPr>
          <w:rFonts w:hint="eastAsia" w:ascii="宋体" w:hAnsi="宋体" w:eastAsia="宋体" w:cs="宋体"/>
          <w:color w:val="auto"/>
          <w:szCs w:val="21"/>
          <w:highlight w:val="none"/>
        </w:rPr>
        <w:t>总体在2025年12月底完成。</w:t>
      </w:r>
    </w:p>
    <w:p w14:paraId="0DAB603F">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（二）交付地点：采购人指定地点。</w:t>
      </w:r>
    </w:p>
    <w:p w14:paraId="15C6B235">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八、结算付款方法</w:t>
      </w:r>
    </w:p>
    <w:p w14:paraId="496CF31F">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w:t>
      </w:r>
      <w:r>
        <w:rPr>
          <w:rFonts w:hint="eastAsia" w:ascii="宋体" w:hAnsi="宋体" w:eastAsia="宋体" w:cs="宋体"/>
          <w:b w:val="0"/>
          <w:bCs/>
          <w:color w:val="auto"/>
          <w:szCs w:val="21"/>
          <w:highlight w:val="none"/>
        </w:rPr>
        <w:t>付款人：</w:t>
      </w:r>
      <w:r>
        <w:rPr>
          <w:rFonts w:hint="eastAsia" w:ascii="宋体" w:hAnsi="宋体" w:cs="宋体"/>
          <w:b w:val="0"/>
          <w:bCs/>
          <w:color w:val="auto"/>
          <w:szCs w:val="21"/>
          <w:highlight w:val="none"/>
          <w:lang w:eastAsia="zh-CN"/>
        </w:rPr>
        <w:t>长沙金霞新城城市发展有限公司</w:t>
      </w:r>
      <w:r>
        <w:rPr>
          <w:rFonts w:hint="eastAsia" w:ascii="宋体" w:hAnsi="宋体" w:eastAsia="宋体" w:cs="宋体"/>
          <w:b w:val="0"/>
          <w:bCs/>
          <w:color w:val="auto"/>
          <w:szCs w:val="21"/>
          <w:highlight w:val="none"/>
        </w:rPr>
        <w:t>（单位自筹）。</w:t>
      </w:r>
    </w:p>
    <w:p w14:paraId="6B2581DC">
      <w:pPr>
        <w:adjustRightInd w:val="0"/>
        <w:snapToGrid w:val="0"/>
        <w:spacing w:line="360" w:lineRule="auto"/>
        <w:ind w:firstLine="420" w:firstLineChars="200"/>
        <w:rPr>
          <w:rFonts w:hint="eastAsia" w:ascii="宋体" w:hAnsi="宋体" w:eastAsia="宋体" w:cs="宋体"/>
          <w:b w:val="0"/>
          <w:bCs/>
          <w:color w:val="auto"/>
          <w:szCs w:val="21"/>
          <w:highlight w:val="none"/>
        </w:rPr>
      </w:pPr>
      <w:r>
        <w:rPr>
          <w:rFonts w:hint="eastAsia" w:ascii="宋体" w:hAnsi="宋体" w:eastAsia="宋体" w:cs="宋体"/>
          <w:color w:val="auto"/>
          <w:szCs w:val="21"/>
          <w:highlight w:val="none"/>
        </w:rPr>
        <w:t>（二）</w:t>
      </w:r>
      <w:r>
        <w:rPr>
          <w:rFonts w:hint="eastAsia" w:ascii="宋体" w:hAnsi="宋体" w:eastAsia="宋体" w:cs="宋体"/>
          <w:b w:val="0"/>
          <w:bCs/>
          <w:color w:val="auto"/>
          <w:szCs w:val="21"/>
          <w:highlight w:val="none"/>
        </w:rPr>
        <w:t>付款方式：合同签订后并提交近期（2025年）建设规划前期研究初步方案</w:t>
      </w:r>
      <w:r>
        <w:rPr>
          <w:rFonts w:hint="eastAsia" w:ascii="宋体" w:hAnsi="宋体" w:cs="宋体"/>
          <w:b w:val="0"/>
          <w:bCs/>
          <w:color w:val="auto"/>
          <w:szCs w:val="21"/>
          <w:highlight w:val="none"/>
          <w:lang w:val="en-US" w:eastAsia="zh-CN"/>
        </w:rPr>
        <w:t>及</w:t>
      </w:r>
      <w:r>
        <w:rPr>
          <w:rFonts w:hint="eastAsia" w:ascii="宋体" w:hAnsi="宋体" w:eastAsia="宋体" w:cs="宋体"/>
          <w:b w:val="0"/>
          <w:bCs/>
          <w:color w:val="auto"/>
          <w:szCs w:val="21"/>
          <w:highlight w:val="none"/>
        </w:rPr>
        <w:t>金霞新城（84平方公里）土方调配规划初步方案后，支付合同金额的</w:t>
      </w: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rPr>
        <w:t>0%；提交近期（2025年）建设规划前期研究及金霞新城（84平方公里）土方调配规划正式成果，并经甲方认可后，支付合同金额的</w:t>
      </w:r>
      <w:r>
        <w:rPr>
          <w:rFonts w:hint="eastAsia" w:ascii="宋体" w:hAnsi="宋体" w:cs="宋体"/>
          <w:b w:val="0"/>
          <w:bCs/>
          <w:color w:val="auto"/>
          <w:szCs w:val="21"/>
          <w:highlight w:val="none"/>
          <w:lang w:val="en-US" w:eastAsia="zh-CN"/>
        </w:rPr>
        <w:t>60</w:t>
      </w:r>
      <w:r>
        <w:rPr>
          <w:rFonts w:hint="eastAsia" w:ascii="宋体" w:hAnsi="宋体" w:eastAsia="宋体" w:cs="宋体"/>
          <w:b w:val="0"/>
          <w:bCs/>
          <w:color w:val="auto"/>
          <w:szCs w:val="21"/>
          <w:highlight w:val="none"/>
        </w:rPr>
        <w:t>%。</w:t>
      </w:r>
    </w:p>
    <w:p w14:paraId="3558F51E">
      <w:pPr>
        <w:pStyle w:val="58"/>
        <w:spacing w:line="360" w:lineRule="auto"/>
        <w:rPr>
          <w:rStyle w:val="52"/>
          <w:rFonts w:hint="eastAsia" w:ascii="宋体" w:hAnsi="宋体" w:cs="宋体"/>
          <w:b/>
          <w:color w:val="auto"/>
          <w:highlight w:val="none"/>
        </w:rPr>
      </w:pPr>
      <w:r>
        <w:rPr>
          <w:rStyle w:val="52"/>
          <w:rFonts w:hint="eastAsia" w:ascii="宋体" w:hAnsi="宋体" w:cs="宋体"/>
          <w:b/>
          <w:color w:val="auto"/>
          <w:highlight w:val="none"/>
          <w:lang w:val="en-US" w:eastAsia="zh-CN"/>
        </w:rPr>
        <w:t>九</w:t>
      </w:r>
      <w:r>
        <w:rPr>
          <w:rStyle w:val="52"/>
          <w:rFonts w:hint="eastAsia" w:ascii="宋体" w:hAnsi="宋体" w:cs="宋体"/>
          <w:b/>
          <w:color w:val="auto"/>
          <w:highlight w:val="none"/>
        </w:rPr>
        <w:t>、其他说明</w:t>
      </w:r>
    </w:p>
    <w:bookmarkEnd w:id="15"/>
    <w:p w14:paraId="406FE03F">
      <w:pPr>
        <w:widowControl/>
        <w:spacing w:line="450" w:lineRule="exact"/>
        <w:ind w:firstLine="420"/>
        <w:textAlignment w:val="baseline"/>
        <w:rPr>
          <w:rStyle w:val="52"/>
          <w:rFonts w:hint="eastAsia" w:ascii="宋体" w:hAnsi="宋体" w:cs="宋体"/>
          <w:b/>
          <w:bCs/>
          <w:color w:val="auto"/>
          <w:kern w:val="0"/>
          <w:szCs w:val="21"/>
          <w:highlight w:val="none"/>
        </w:rPr>
      </w:pPr>
      <w:r>
        <w:rPr>
          <w:rStyle w:val="52"/>
          <w:rFonts w:hint="eastAsia" w:ascii="宋体" w:hAnsi="宋体" w:cs="宋体"/>
          <w:b/>
          <w:bCs/>
          <w:color w:val="auto"/>
          <w:szCs w:val="21"/>
          <w:highlight w:val="none"/>
        </w:rPr>
        <w:t>（本项目为非政府采购项目，由采购单位负责项目的监管及相关问题处理，如有任何问题请与采购单位联系。）</w:t>
      </w:r>
    </w:p>
    <w:p w14:paraId="1EFAB884">
      <w:pPr>
        <w:rPr>
          <w:rFonts w:hint="eastAsia" w:ascii="宋体" w:hAnsi="宋体" w:cs="宋体"/>
          <w:color w:val="auto"/>
          <w:szCs w:val="21"/>
          <w:highlight w:val="none"/>
        </w:rPr>
      </w:pPr>
    </w:p>
    <w:p w14:paraId="13855B73">
      <w:pPr>
        <w:adjustRightInd w:val="0"/>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对于上述项目要求，供应商应在磋商文件中进行回应，作出承诺及说明。</w:t>
      </w:r>
    </w:p>
    <w:p w14:paraId="7E1206CB">
      <w:pPr>
        <w:spacing w:line="360" w:lineRule="auto"/>
        <w:jc w:val="center"/>
        <w:rPr>
          <w:rFonts w:hint="eastAsia" w:asciiTheme="minorEastAsia" w:hAnsiTheme="minorEastAsia" w:eastAsiaTheme="minorEastAsia" w:cstheme="minorEastAsia"/>
          <w:b/>
          <w:color w:val="auto"/>
          <w:sz w:val="32"/>
          <w:szCs w:val="32"/>
          <w:highlight w:val="none"/>
        </w:rPr>
      </w:pPr>
    </w:p>
    <w:p w14:paraId="006354D9">
      <w:pPr>
        <w:spacing w:line="360" w:lineRule="auto"/>
        <w:jc w:val="center"/>
        <w:rPr>
          <w:rFonts w:hint="eastAsia" w:asciiTheme="minorEastAsia" w:hAnsiTheme="minorEastAsia" w:eastAsiaTheme="minorEastAsia" w:cstheme="minorEastAsia"/>
          <w:b/>
          <w:color w:val="auto"/>
          <w:sz w:val="32"/>
          <w:szCs w:val="32"/>
          <w:highlight w:val="none"/>
        </w:rPr>
      </w:pPr>
    </w:p>
    <w:p w14:paraId="78841E68">
      <w:pPr>
        <w:spacing w:line="360" w:lineRule="auto"/>
        <w:jc w:val="both"/>
        <w:rPr>
          <w:rFonts w:hint="eastAsia" w:asciiTheme="minorEastAsia" w:hAnsiTheme="minorEastAsia" w:eastAsiaTheme="minorEastAsia" w:cstheme="minorEastAsia"/>
          <w:b/>
          <w:color w:val="auto"/>
          <w:sz w:val="32"/>
          <w:szCs w:val="32"/>
          <w:highlight w:val="none"/>
        </w:rPr>
      </w:pPr>
    </w:p>
    <w:p w14:paraId="149B868C">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第五章  响应文件组成</w:t>
      </w:r>
    </w:p>
    <w:p w14:paraId="2D855272">
      <w:pPr>
        <w:pStyle w:val="30"/>
        <w:ind w:firstLine="0" w:firstLineChars="0"/>
        <w:rPr>
          <w:rFonts w:hint="eastAsia" w:asciiTheme="minorEastAsia" w:hAnsiTheme="minorEastAsia" w:eastAsiaTheme="minorEastAsia" w:cstheme="minorEastAsia"/>
          <w:color w:val="auto"/>
          <w:highlight w:val="none"/>
        </w:rPr>
      </w:pPr>
    </w:p>
    <w:p w14:paraId="6EB8B1FC">
      <w:pPr>
        <w:spacing w:line="360" w:lineRule="auto"/>
        <w:rPr>
          <w:rFonts w:hint="eastAsia" w:ascii="宋体" w:hAnsi="宋体" w:cs="宋体"/>
          <w:color w:val="auto"/>
          <w:highlight w:val="none"/>
        </w:rPr>
      </w:pPr>
      <w:r>
        <w:rPr>
          <w:rFonts w:hint="eastAsia" w:ascii="宋体" w:hAnsi="宋体" w:cs="宋体"/>
          <w:color w:val="auto"/>
          <w:highlight w:val="none"/>
        </w:rPr>
        <w:t>供应商的响应文件应包含以下十个部分：</w:t>
      </w:r>
    </w:p>
    <w:p w14:paraId="3E90F0D5">
      <w:pPr>
        <w:adjustRightInd w:val="0"/>
        <w:snapToGrid w:val="0"/>
        <w:spacing w:line="360" w:lineRule="auto"/>
        <w:jc w:val="left"/>
        <w:outlineLvl w:val="0"/>
        <w:rPr>
          <w:rFonts w:hint="eastAsia" w:ascii="宋体" w:hAnsi="宋体" w:cs="宋体"/>
          <w:b/>
          <w:color w:val="auto"/>
          <w:szCs w:val="21"/>
          <w:highlight w:val="none"/>
        </w:rPr>
      </w:pPr>
      <w:r>
        <w:rPr>
          <w:rFonts w:hint="eastAsia" w:ascii="宋体" w:hAnsi="宋体" w:cs="宋体"/>
          <w:b/>
          <w:color w:val="auto"/>
          <w:szCs w:val="21"/>
          <w:highlight w:val="none"/>
        </w:rPr>
        <w:t>一、磋商响应声明</w:t>
      </w:r>
    </w:p>
    <w:p w14:paraId="5973DE97">
      <w:pPr>
        <w:adjustRightInd w:val="0"/>
        <w:snapToGrid w:val="0"/>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附件1：法定代表人身份证明</w:t>
      </w:r>
    </w:p>
    <w:p w14:paraId="4D2F1E12">
      <w:pPr>
        <w:adjustRightInd w:val="0"/>
        <w:snapToGrid w:val="0"/>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附件2：法定代表人授权委托书</w:t>
      </w:r>
    </w:p>
    <w:p w14:paraId="06262876">
      <w:pPr>
        <w:adjustRightInd w:val="0"/>
        <w:snapToGrid w:val="0"/>
        <w:spacing w:line="360" w:lineRule="auto"/>
        <w:jc w:val="left"/>
        <w:outlineLvl w:val="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、供应商的资格证明资料</w:t>
      </w:r>
    </w:p>
    <w:p w14:paraId="00EAF7FC">
      <w:pPr>
        <w:adjustRightInd w:val="0"/>
        <w:snapToGrid w:val="0"/>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color w:val="auto"/>
          <w:szCs w:val="21"/>
          <w:highlight w:val="none"/>
        </w:rPr>
        <w:t>附件3：供应商基本情况表</w:t>
      </w:r>
    </w:p>
    <w:p w14:paraId="51382C1A">
      <w:p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附件4：磋商文件规定的基本资格条件证明资料</w:t>
      </w:r>
    </w:p>
    <w:p w14:paraId="7300CC11">
      <w:p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附件4-1湖南省政府采购供应商资格承诺函</w:t>
      </w:r>
    </w:p>
    <w:p w14:paraId="00A19FB1">
      <w:pPr>
        <w:adjustRightInd w:val="0"/>
        <w:snapToGrid w:val="0"/>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附件5：磋商文件规定的特定资格条件证明资料</w:t>
      </w:r>
    </w:p>
    <w:p w14:paraId="5377F1FC">
      <w:pPr>
        <w:adjustRightInd w:val="0"/>
        <w:snapToGrid w:val="0"/>
        <w:spacing w:line="360" w:lineRule="auto"/>
        <w:ind w:firstLine="420" w:firstLineChars="200"/>
        <w:outlineLvl w:val="0"/>
        <w:rPr>
          <w:rFonts w:hint="eastAsia" w:ascii="宋体" w:hAnsi="宋体" w:cs="宋体"/>
          <w:bCs/>
          <w:color w:val="auto"/>
          <w:szCs w:val="21"/>
          <w:highlight w:val="none"/>
        </w:rPr>
      </w:pPr>
      <w:r>
        <w:rPr>
          <w:rFonts w:hint="eastAsia" w:ascii="宋体" w:hAnsi="宋体" w:cs="宋体"/>
          <w:bCs/>
          <w:color w:val="auto"/>
          <w:szCs w:val="21"/>
          <w:highlight w:val="none"/>
        </w:rPr>
        <w:t>附件6：其他说明</w:t>
      </w:r>
    </w:p>
    <w:p w14:paraId="3B8B4297">
      <w:pPr>
        <w:pStyle w:val="13"/>
        <w:adjustRightInd w:val="0"/>
        <w:snapToGrid w:val="0"/>
        <w:spacing w:line="360" w:lineRule="auto"/>
        <w:rPr>
          <w:rFonts w:hint="eastAsia" w:hAnsi="宋体" w:cs="宋体"/>
          <w:b/>
          <w:color w:val="auto"/>
          <w:highlight w:val="none"/>
        </w:rPr>
      </w:pPr>
      <w:r>
        <w:rPr>
          <w:rFonts w:hint="eastAsia" w:hAnsi="宋体" w:cs="宋体"/>
          <w:b/>
          <w:color w:val="auto"/>
          <w:highlight w:val="none"/>
          <w:lang w:val="en-US" w:eastAsia="zh-CN"/>
        </w:rPr>
        <w:t>三</w:t>
      </w:r>
      <w:r>
        <w:rPr>
          <w:rFonts w:hint="eastAsia" w:hAnsi="宋体" w:cs="宋体"/>
          <w:b/>
          <w:color w:val="auto"/>
          <w:highlight w:val="none"/>
        </w:rPr>
        <w:t>、货物或服务方案说明</w:t>
      </w:r>
    </w:p>
    <w:p w14:paraId="68866B54">
      <w:pPr>
        <w:pStyle w:val="13"/>
        <w:adjustRightInd w:val="0"/>
        <w:snapToGrid w:val="0"/>
        <w:spacing w:line="360" w:lineRule="auto"/>
        <w:ind w:firstLine="435"/>
        <w:rPr>
          <w:rFonts w:hint="eastAsia" w:hAnsi="宋体" w:cs="宋体"/>
          <w:color w:val="auto"/>
          <w:highlight w:val="none"/>
        </w:rPr>
      </w:pPr>
      <w:r>
        <w:rPr>
          <w:rFonts w:hint="eastAsia" w:hAnsi="宋体" w:cs="宋体"/>
          <w:color w:val="auto"/>
          <w:highlight w:val="none"/>
        </w:rPr>
        <w:t>附件7-1：服务方案说明</w:t>
      </w:r>
    </w:p>
    <w:p w14:paraId="07D05281">
      <w:pPr>
        <w:pStyle w:val="13"/>
        <w:adjustRightInd w:val="0"/>
        <w:snapToGrid w:val="0"/>
        <w:spacing w:line="360" w:lineRule="auto"/>
        <w:ind w:firstLine="435"/>
        <w:rPr>
          <w:rFonts w:hint="eastAsia" w:hAnsi="宋体" w:cs="宋体"/>
          <w:b/>
          <w:color w:val="auto"/>
          <w:highlight w:val="none"/>
        </w:rPr>
      </w:pPr>
      <w:r>
        <w:rPr>
          <w:rFonts w:hint="eastAsia" w:hAnsi="宋体" w:cs="宋体"/>
          <w:color w:val="auto"/>
          <w:highlight w:val="none"/>
        </w:rPr>
        <w:t>附件7-2：主要人员简历表</w:t>
      </w:r>
    </w:p>
    <w:p w14:paraId="5DF9E24C">
      <w:pPr>
        <w:adjustRightInd w:val="0"/>
        <w:snapToGrid w:val="0"/>
        <w:spacing w:line="360" w:lineRule="auto"/>
        <w:rPr>
          <w:rFonts w:hint="eastAsia" w:ascii="宋体" w:hAnsi="宋体" w:cs="宋体"/>
          <w:b/>
          <w:color w:val="auto"/>
          <w:highlight w:val="none"/>
        </w:rPr>
      </w:pPr>
      <w:r>
        <w:rPr>
          <w:rFonts w:hint="eastAsia" w:ascii="宋体" w:hAnsi="宋体" w:cs="宋体"/>
          <w:b/>
          <w:color w:val="auto"/>
          <w:highlight w:val="none"/>
          <w:lang w:val="en-US" w:eastAsia="zh-CN"/>
        </w:rPr>
        <w:t>四</w:t>
      </w:r>
      <w:r>
        <w:rPr>
          <w:rFonts w:hint="eastAsia" w:ascii="宋体" w:hAnsi="宋体" w:cs="宋体"/>
          <w:b/>
          <w:color w:val="auto"/>
          <w:highlight w:val="none"/>
        </w:rPr>
        <w:t>、技术/商务响应与偏离表</w:t>
      </w:r>
    </w:p>
    <w:p w14:paraId="566B69BB">
      <w:pPr>
        <w:pStyle w:val="13"/>
        <w:adjustRightInd w:val="0"/>
        <w:snapToGrid w:val="0"/>
        <w:spacing w:line="360" w:lineRule="auto"/>
        <w:rPr>
          <w:rFonts w:hint="eastAsia" w:hAnsi="宋体" w:cs="宋体"/>
          <w:b/>
          <w:color w:val="auto"/>
          <w:highlight w:val="none"/>
        </w:rPr>
      </w:pPr>
      <w:r>
        <w:rPr>
          <w:rFonts w:hint="eastAsia" w:hAnsi="宋体" w:cs="宋体"/>
          <w:b/>
          <w:color w:val="auto"/>
          <w:highlight w:val="none"/>
          <w:lang w:val="en-US" w:eastAsia="zh-CN"/>
        </w:rPr>
        <w:t>五</w:t>
      </w:r>
      <w:r>
        <w:rPr>
          <w:rFonts w:hint="eastAsia" w:hAnsi="宋体" w:cs="宋体"/>
          <w:b/>
          <w:color w:val="auto"/>
          <w:highlight w:val="none"/>
        </w:rPr>
        <w:t>、提供享受政府采购政策的证明资料和清单表</w:t>
      </w:r>
    </w:p>
    <w:p w14:paraId="71C408E4">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附件8-1：中小企业声明函</w:t>
      </w:r>
    </w:p>
    <w:p w14:paraId="08960A7E">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附件8-2：残疾人福利性单位声明函</w:t>
      </w:r>
    </w:p>
    <w:p w14:paraId="7F1D3A65">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附件8-3：监狱企业证明资料</w:t>
      </w:r>
    </w:p>
    <w:p w14:paraId="1F561E7E">
      <w:pPr>
        <w:pStyle w:val="13"/>
        <w:adjustRightInd w:val="0"/>
        <w:snapToGrid w:val="0"/>
        <w:spacing w:line="360" w:lineRule="auto"/>
        <w:rPr>
          <w:rFonts w:hint="eastAsia" w:hAnsi="宋体" w:cs="宋体"/>
          <w:b/>
          <w:color w:val="auto"/>
          <w:highlight w:val="none"/>
        </w:rPr>
      </w:pPr>
      <w:r>
        <w:rPr>
          <w:rFonts w:hint="eastAsia" w:hAnsi="宋体" w:cs="宋体"/>
          <w:b/>
          <w:color w:val="auto"/>
          <w:highlight w:val="none"/>
          <w:lang w:val="en-US" w:eastAsia="zh-CN"/>
        </w:rPr>
        <w:t>六</w:t>
      </w:r>
      <w:r>
        <w:rPr>
          <w:rFonts w:hint="eastAsia" w:hAnsi="宋体" w:cs="宋体"/>
          <w:b/>
          <w:color w:val="auto"/>
          <w:highlight w:val="none"/>
        </w:rPr>
        <w:t>、报价一览表及分项价格表</w:t>
      </w:r>
    </w:p>
    <w:p w14:paraId="45DC8D88">
      <w:pPr>
        <w:adjustRightInd w:val="0"/>
        <w:snapToGrid w:val="0"/>
        <w:spacing w:line="360" w:lineRule="auto"/>
        <w:ind w:firstLine="420" w:firstLineChars="200"/>
        <w:jc w:val="left"/>
        <w:outlineLvl w:val="0"/>
        <w:rPr>
          <w:rFonts w:hint="eastAsia" w:ascii="宋体" w:hAnsi="宋体" w:cs="宋体"/>
          <w:bCs/>
          <w:color w:val="auto"/>
          <w:szCs w:val="21"/>
          <w:highlight w:val="none"/>
        </w:rPr>
      </w:pPr>
      <w:r>
        <w:rPr>
          <w:rFonts w:hint="eastAsia" w:ascii="宋体" w:hAnsi="宋体" w:cs="宋体"/>
          <w:color w:val="auto"/>
          <w:szCs w:val="21"/>
          <w:highlight w:val="none"/>
        </w:rPr>
        <w:t>附件9：</w:t>
      </w:r>
      <w:r>
        <w:rPr>
          <w:rFonts w:hint="eastAsia" w:ascii="宋体" w:hAnsi="宋体" w:cs="宋体"/>
          <w:bCs/>
          <w:color w:val="auto"/>
          <w:szCs w:val="21"/>
          <w:highlight w:val="none"/>
        </w:rPr>
        <w:t>报价一览表</w:t>
      </w:r>
    </w:p>
    <w:p w14:paraId="392E785E">
      <w:pPr>
        <w:adjustRightInd w:val="0"/>
        <w:snapToGrid w:val="0"/>
        <w:spacing w:line="360" w:lineRule="auto"/>
        <w:ind w:firstLine="420" w:firstLineChars="200"/>
        <w:jc w:val="left"/>
        <w:outlineLvl w:val="0"/>
        <w:rPr>
          <w:rFonts w:hint="eastAsia" w:ascii="宋体" w:hAnsi="宋体" w:cs="宋体"/>
          <w:color w:val="auto"/>
          <w:szCs w:val="21"/>
          <w:highlight w:val="none"/>
        </w:rPr>
      </w:pPr>
      <w:r>
        <w:rPr>
          <w:rFonts w:hint="eastAsia" w:ascii="宋体" w:hAnsi="宋体" w:cs="宋体"/>
          <w:bCs/>
          <w:color w:val="auto"/>
          <w:szCs w:val="21"/>
          <w:highlight w:val="none"/>
        </w:rPr>
        <w:t>附件9-1：分项价格表</w:t>
      </w:r>
    </w:p>
    <w:p w14:paraId="46CC7F72">
      <w:pPr>
        <w:pStyle w:val="13"/>
        <w:adjustRightInd w:val="0"/>
        <w:snapToGrid w:val="0"/>
        <w:spacing w:line="360" w:lineRule="auto"/>
        <w:rPr>
          <w:rFonts w:hint="eastAsia" w:hAnsi="宋体" w:cs="宋体"/>
          <w:b/>
          <w:color w:val="auto"/>
          <w:highlight w:val="none"/>
        </w:rPr>
      </w:pPr>
      <w:r>
        <w:rPr>
          <w:rFonts w:hint="eastAsia" w:hAnsi="宋体" w:cs="宋体"/>
          <w:b/>
          <w:color w:val="auto"/>
          <w:highlight w:val="none"/>
          <w:lang w:val="en-US" w:eastAsia="zh-CN"/>
        </w:rPr>
        <w:t>七</w:t>
      </w:r>
      <w:r>
        <w:rPr>
          <w:rFonts w:hint="eastAsia" w:hAnsi="宋体" w:cs="宋体"/>
          <w:b/>
          <w:color w:val="auto"/>
          <w:highlight w:val="none"/>
        </w:rPr>
        <w:t>、供应商认为需提供的其它资料</w:t>
      </w:r>
    </w:p>
    <w:p w14:paraId="2E421554">
      <w:pPr>
        <w:pStyle w:val="13"/>
        <w:adjustRightInd w:val="0"/>
        <w:snapToGrid w:val="0"/>
        <w:spacing w:line="360" w:lineRule="auto"/>
        <w:rPr>
          <w:rFonts w:hint="eastAsia" w:hAnsi="宋体" w:cs="宋体"/>
          <w:b/>
          <w:color w:val="auto"/>
          <w:highlight w:val="none"/>
        </w:rPr>
      </w:pPr>
      <w:r>
        <w:rPr>
          <w:rFonts w:hint="eastAsia" w:hAnsi="宋体" w:cs="宋体"/>
          <w:b/>
          <w:color w:val="auto"/>
          <w:highlight w:val="none"/>
          <w:lang w:val="en-US" w:eastAsia="zh-CN"/>
        </w:rPr>
        <w:t>八</w:t>
      </w:r>
      <w:r>
        <w:rPr>
          <w:rFonts w:hint="eastAsia" w:hAnsi="宋体" w:cs="宋体"/>
          <w:b/>
          <w:color w:val="auto"/>
          <w:highlight w:val="none"/>
        </w:rPr>
        <w:t>、最后报价</w:t>
      </w:r>
    </w:p>
    <w:p w14:paraId="3838F3FC">
      <w:pPr>
        <w:spacing w:line="3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一、磋商响应声明</w:t>
      </w:r>
    </w:p>
    <w:p w14:paraId="7BF4D46C">
      <w:pPr>
        <w:adjustRightInd w:val="0"/>
        <w:snapToGrid w:val="0"/>
        <w:spacing w:line="360" w:lineRule="auto"/>
        <w:rPr>
          <w:rFonts w:hint="eastAsia" w:ascii="宋体" w:hAnsi="宋体" w:cs="宋体"/>
          <w:color w:val="auto"/>
          <w:sz w:val="24"/>
          <w:highlight w:val="none"/>
        </w:rPr>
      </w:pPr>
    </w:p>
    <w:p w14:paraId="7A86372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(采购人或采购代理机构)：</w:t>
      </w:r>
    </w:p>
    <w:p w14:paraId="09FFDAF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项目名称)的竞争性磋商文件（委托代理编号：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）的全部内容，</w:t>
      </w:r>
      <w:r>
        <w:rPr>
          <w:rFonts w:hint="eastAsia" w:ascii="宋体" w:hAnsi="宋体" w:cs="宋体"/>
          <w:color w:val="auto"/>
          <w:highlight w:val="none"/>
        </w:rPr>
        <w:t>知悉参加竞争性磋商的风险，我方承诺接受磋商文件的全部条款且无任何异议。</w:t>
      </w:r>
    </w:p>
    <w:p w14:paraId="37802E4A">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一、我方同意在磋商文件中规定的提交首次响应文件截止时间起</w:t>
      </w:r>
      <w:r>
        <w:rPr>
          <w:rFonts w:hint="eastAsia" w:hAnsi="宋体" w:cs="宋体"/>
          <w:color w:val="auto"/>
          <w:highlight w:val="none"/>
          <w:u w:val="single"/>
        </w:rPr>
        <w:t xml:space="preserve">    </w:t>
      </w:r>
      <w:r>
        <w:rPr>
          <w:rFonts w:hint="eastAsia" w:hAnsi="宋体" w:cs="宋体"/>
          <w:color w:val="auto"/>
          <w:highlight w:val="none"/>
        </w:rPr>
        <w:t>日内(响应文件有效期)遵守本响应文件中的承诺且在此期限期满之前均具有法律约束力。</w:t>
      </w:r>
    </w:p>
    <w:p w14:paraId="4B7CB0B0">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二、我方提交响应文件正本一份和副本一式</w:t>
      </w:r>
      <w:r>
        <w:rPr>
          <w:rFonts w:hint="eastAsia" w:hAnsi="宋体" w:cs="宋体"/>
          <w:color w:val="auto"/>
          <w:highlight w:val="none"/>
          <w:u w:val="single"/>
        </w:rPr>
        <w:t xml:space="preserve">     </w:t>
      </w:r>
      <w:r>
        <w:rPr>
          <w:rFonts w:hint="eastAsia" w:hAnsi="宋体" w:cs="宋体"/>
          <w:color w:val="auto"/>
          <w:highlight w:val="none"/>
        </w:rPr>
        <w:t>份，并保证响应文件提供的数据和资料全部内容真实、合法、准确和完整，我们对此负责，并愿承担由此引起的法律责任。</w:t>
      </w:r>
    </w:p>
    <w:p w14:paraId="099327AF">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三、我方愿意向贵方提供任何与本项采购有关的数据、情况和技术资料。若贵方需要，我方愿意提供我方作出的一切承诺的证明资料。</w:t>
      </w:r>
    </w:p>
    <w:p w14:paraId="6D660C95">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四、我方愿意按磋商文件规定和磋商小组要求重新提交响应文件和最后报价。</w:t>
      </w:r>
    </w:p>
    <w:p w14:paraId="7EFDB02E">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五、我方承诺遵守《中华人民共和国政府采购法》的有关规定，保证在获得成交资格后，按照磋商文件确定的事项签订政府采购合同，履行双方所签订的合同，并承担合同规定的责任和义务。</w:t>
      </w:r>
    </w:p>
    <w:p w14:paraId="655CBEE2">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 xml:space="preserve">六、我方在此声明： </w:t>
      </w:r>
    </w:p>
    <w:p w14:paraId="3213CCC7">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（一）我方与采购人或采购代理机构不存在隶属关系或者其他利害关系。</w:t>
      </w:r>
    </w:p>
    <w:p w14:paraId="3CA3BE9E">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（二）我方与参加本项目的其他供应商不存在直接控股、管理关系，或者与其他供应商法定代表人（或者负责人）为同一人。</w:t>
      </w:r>
    </w:p>
    <w:p w14:paraId="70D48272">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（三）我方未为本项目前期准备提供设计或咨询服务。</w:t>
      </w:r>
    </w:p>
    <w:p w14:paraId="239D4175">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（四）我方承诺（承诺期：成立三年以上的，为提交首次响应文件截止时间前三年内；成立不足三年的，为实际时间）：</w:t>
      </w:r>
    </w:p>
    <w:p w14:paraId="62E4EAA9">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1、我方依法缴纳了各项税费及各项社会保障资金，没有偷税、漏税及欠缴行为。</w:t>
      </w:r>
    </w:p>
    <w:p w14:paraId="030B4857">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2、我方在经营活动中没有存在下列重大违法记录：</w:t>
      </w:r>
    </w:p>
    <w:p w14:paraId="62E2D725">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(1)受到刑事处罚；</w:t>
      </w:r>
    </w:p>
    <w:p w14:paraId="3364805C">
      <w:pPr>
        <w:pStyle w:val="13"/>
        <w:adjustRightInd w:val="0"/>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(2)受到三万元以上的罚款、责令停产停业、在一至三年内禁止参加政府采购活动、暂扣或者吊销许可证、暂扣或者吊销执照的行政处罚。</w:t>
      </w:r>
    </w:p>
    <w:p w14:paraId="319D12B4">
      <w:pPr>
        <w:adjustRightInd w:val="0"/>
        <w:snapToGrid w:val="0"/>
        <w:spacing w:line="360" w:lineRule="auto"/>
        <w:ind w:right="24"/>
        <w:rPr>
          <w:rFonts w:hint="eastAsia" w:ascii="宋体" w:hAnsi="宋体" w:cs="宋体"/>
          <w:color w:val="auto"/>
          <w:szCs w:val="21"/>
          <w:highlight w:val="none"/>
        </w:rPr>
      </w:pPr>
      <w:r>
        <w:rPr>
          <w:rFonts w:hint="eastAsia" w:ascii="宋体" w:hAnsi="宋体" w:cs="宋体"/>
          <w:bCs/>
          <w:color w:val="auto"/>
          <w:szCs w:val="21"/>
          <w:highlight w:val="none"/>
        </w:rPr>
        <w:t>附件1：</w:t>
      </w:r>
      <w:r>
        <w:rPr>
          <w:rFonts w:hint="eastAsia" w:ascii="宋体" w:hAnsi="宋体" w:cs="宋体"/>
          <w:color w:val="auto"/>
          <w:szCs w:val="21"/>
          <w:highlight w:val="none"/>
        </w:rPr>
        <w:t>法定代表人身份证明</w:t>
      </w:r>
    </w:p>
    <w:p w14:paraId="71E34F97">
      <w:pPr>
        <w:adjustRightInd w:val="0"/>
        <w:snapToGrid w:val="0"/>
        <w:spacing w:line="360" w:lineRule="auto"/>
        <w:ind w:right="24"/>
        <w:rPr>
          <w:rFonts w:hint="eastAsia" w:ascii="宋体" w:hAnsi="宋体" w:cs="宋体"/>
          <w:color w:val="auto"/>
          <w:szCs w:val="21"/>
          <w:highlight w:val="none"/>
        </w:rPr>
      </w:pPr>
      <w:r>
        <w:rPr>
          <w:rFonts w:hint="eastAsia" w:ascii="宋体" w:hAnsi="宋体" w:cs="宋体"/>
          <w:bCs/>
          <w:color w:val="auto"/>
          <w:szCs w:val="21"/>
          <w:highlight w:val="none"/>
        </w:rPr>
        <w:t>附件2</w:t>
      </w:r>
      <w:r>
        <w:rPr>
          <w:rFonts w:hint="eastAsia" w:ascii="宋体" w:hAnsi="宋体" w:cs="宋体"/>
          <w:color w:val="auto"/>
          <w:szCs w:val="21"/>
          <w:highlight w:val="none"/>
        </w:rPr>
        <w:t>：法定代表人授权书</w:t>
      </w:r>
    </w:p>
    <w:p w14:paraId="387149A5">
      <w:pPr>
        <w:pStyle w:val="13"/>
        <w:adjustRightInd w:val="0"/>
        <w:snapToGrid w:val="0"/>
        <w:spacing w:line="360" w:lineRule="auto"/>
        <w:rPr>
          <w:rFonts w:hint="eastAsia" w:hAnsi="宋体" w:cs="宋体"/>
          <w:color w:val="auto"/>
          <w:highlight w:val="none"/>
        </w:rPr>
      </w:pPr>
    </w:p>
    <w:p w14:paraId="6D230718">
      <w:pPr>
        <w:pStyle w:val="13"/>
        <w:adjustRightInd w:val="0"/>
        <w:snapToGrid w:val="0"/>
        <w:spacing w:line="360" w:lineRule="auto"/>
        <w:rPr>
          <w:rFonts w:hint="eastAsia" w:hAnsi="宋体" w:cs="宋体"/>
          <w:color w:val="auto"/>
          <w:highlight w:val="none"/>
        </w:rPr>
      </w:pPr>
      <w:r>
        <w:rPr>
          <w:rFonts w:hint="eastAsia" w:hAnsi="宋体" w:cs="宋体"/>
          <w:color w:val="auto"/>
          <w:highlight w:val="none"/>
        </w:rPr>
        <w:t>供应商名称(盖单位章)：</w:t>
      </w:r>
      <w:r>
        <w:rPr>
          <w:rFonts w:hint="eastAsia" w:hAnsi="宋体" w:cs="宋体"/>
          <w:color w:val="auto"/>
          <w:highlight w:val="none"/>
          <w:u w:val="single"/>
        </w:rPr>
        <w:t xml:space="preserve">                      </w:t>
      </w:r>
    </w:p>
    <w:p w14:paraId="73D420D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(签字)：</w:t>
      </w:r>
      <w:r>
        <w:rPr>
          <w:rFonts w:hint="eastAsia" w:ascii="宋体" w:hAnsi="宋体" w:cs="宋体"/>
          <w:color w:val="auto"/>
          <w:szCs w:val="21"/>
          <w:highlight w:val="none"/>
          <w:u w:val="single"/>
        </w:rPr>
        <w:t xml:space="preserve">            </w:t>
      </w:r>
    </w:p>
    <w:p w14:paraId="2BFD0BD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5BCC779">
      <w:pPr>
        <w:adjustRightInd w:val="0"/>
        <w:snapToGrid w:val="0"/>
        <w:spacing w:line="360" w:lineRule="auto"/>
        <w:ind w:right="24"/>
        <w:rPr>
          <w:rFonts w:hint="eastAsia" w:ascii="宋体" w:hAnsi="宋体" w:cs="宋体"/>
          <w:bCs/>
          <w:color w:val="auto"/>
          <w:sz w:val="30"/>
          <w:szCs w:val="30"/>
          <w:highlight w:val="none"/>
        </w:rPr>
      </w:pPr>
      <w:r>
        <w:rPr>
          <w:rFonts w:hint="eastAsia" w:ascii="宋体" w:hAnsi="宋体" w:cs="宋体"/>
          <w:bCs/>
          <w:color w:val="auto"/>
          <w:sz w:val="30"/>
          <w:szCs w:val="30"/>
          <w:highlight w:val="none"/>
        </w:rPr>
        <w:t>附件1</w:t>
      </w:r>
    </w:p>
    <w:p w14:paraId="563D2A8C">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法定代表人身份证明</w:t>
      </w:r>
    </w:p>
    <w:p w14:paraId="0396228B">
      <w:pPr>
        <w:snapToGrid w:val="0"/>
        <w:spacing w:line="480" w:lineRule="auto"/>
        <w:rPr>
          <w:rFonts w:hint="eastAsia" w:ascii="宋体" w:hAnsi="宋体" w:cs="宋体"/>
          <w:color w:val="auto"/>
          <w:szCs w:val="21"/>
          <w:highlight w:val="none"/>
        </w:rPr>
      </w:pPr>
    </w:p>
    <w:p w14:paraId="31B7CE44">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7370E124">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p>
    <w:p w14:paraId="4C7A0522">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14:paraId="0023C84A">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14:paraId="77C777AD">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14:paraId="3A471BEA">
      <w:pPr>
        <w:autoSpaceDE w:val="0"/>
        <w:autoSpaceDN w:val="0"/>
        <w:adjustRightInd w:val="0"/>
        <w:snapToGri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14:paraId="5506AFCE">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w:t>
      </w:r>
    </w:p>
    <w:p w14:paraId="7C935CD5">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14:paraId="3C5D3FE8">
      <w:pPr>
        <w:autoSpaceDE w:val="0"/>
        <w:autoSpaceDN w:val="0"/>
        <w:adjustRightInd w:val="0"/>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szCs w:val="21"/>
          <w:highlight w:val="none"/>
        </w:rPr>
        <w:t>附：法定代表人身份证复印件</w:t>
      </w:r>
    </w:p>
    <w:p w14:paraId="606969BE">
      <w:pPr>
        <w:snapToGrid w:val="0"/>
        <w:spacing w:line="480" w:lineRule="auto"/>
        <w:rPr>
          <w:rFonts w:hint="eastAsia" w:ascii="宋体" w:hAnsi="宋体" w:cs="宋体"/>
          <w:color w:val="auto"/>
          <w:szCs w:val="21"/>
          <w:highlight w:val="none"/>
        </w:rPr>
      </w:pPr>
    </w:p>
    <w:p w14:paraId="470A7C48">
      <w:pPr>
        <w:snapToGrid w:val="0"/>
        <w:rPr>
          <w:rFonts w:hint="eastAsia" w:ascii="宋体" w:hAnsi="宋体" w:cs="宋体"/>
          <w:color w:val="auto"/>
          <w:szCs w:val="21"/>
          <w:highlight w:val="none"/>
        </w:rPr>
      </w:pPr>
    </w:p>
    <w:p w14:paraId="784EC353">
      <w:pPr>
        <w:snapToGrid w:val="0"/>
        <w:rPr>
          <w:rFonts w:hint="eastAsia" w:ascii="宋体" w:hAnsi="宋体" w:cs="宋体"/>
          <w:color w:val="auto"/>
          <w:szCs w:val="21"/>
          <w:highlight w:val="none"/>
        </w:rPr>
      </w:pPr>
    </w:p>
    <w:p w14:paraId="00A839F2">
      <w:pPr>
        <w:snapToGrid w:val="0"/>
        <w:rPr>
          <w:rFonts w:hint="eastAsia" w:ascii="宋体" w:hAnsi="宋体" w:cs="宋体"/>
          <w:color w:val="auto"/>
          <w:szCs w:val="21"/>
          <w:highlight w:val="none"/>
        </w:rPr>
      </w:pPr>
    </w:p>
    <w:p w14:paraId="50C3B6E1">
      <w:pPr>
        <w:snapToGrid w:val="0"/>
        <w:rPr>
          <w:rFonts w:hint="eastAsia" w:ascii="宋体" w:hAnsi="宋体" w:cs="宋体"/>
          <w:color w:val="auto"/>
          <w:szCs w:val="21"/>
          <w:highlight w:val="none"/>
        </w:rPr>
      </w:pPr>
    </w:p>
    <w:p w14:paraId="7F4BB7E4">
      <w:pPr>
        <w:adjustRightInd w:val="0"/>
        <w:snapToGrid w:val="0"/>
        <w:spacing w:line="360" w:lineRule="auto"/>
        <w:rPr>
          <w:rFonts w:hint="eastAsia" w:ascii="宋体" w:hAnsi="宋体" w:cs="宋体"/>
          <w:color w:val="auto"/>
          <w:szCs w:val="21"/>
          <w:highlight w:val="none"/>
        </w:rPr>
      </w:pPr>
    </w:p>
    <w:p w14:paraId="16DAAF8D">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供应商名称（盖单位章）：</w:t>
      </w:r>
    </w:p>
    <w:p w14:paraId="5E8D624D">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1011902">
      <w:pPr>
        <w:adjustRightInd w:val="0"/>
        <w:snapToGrid w:val="0"/>
        <w:spacing w:before="156" w:beforeLines="50" w:line="360" w:lineRule="auto"/>
        <w:rPr>
          <w:rFonts w:hint="eastAsia" w:ascii="宋体" w:hAnsi="宋体" w:cs="宋体"/>
          <w:bCs/>
          <w:color w:val="auto"/>
          <w:sz w:val="30"/>
          <w:szCs w:val="30"/>
          <w:highlight w:val="none"/>
        </w:rPr>
      </w:pPr>
    </w:p>
    <w:p w14:paraId="5229574A">
      <w:pPr>
        <w:adjustRightInd w:val="0"/>
        <w:snapToGrid w:val="0"/>
        <w:spacing w:before="156" w:beforeLines="50" w:line="360" w:lineRule="auto"/>
        <w:rPr>
          <w:rFonts w:hint="eastAsia" w:ascii="宋体" w:hAnsi="宋体" w:cs="宋体"/>
          <w:bCs/>
          <w:color w:val="auto"/>
          <w:sz w:val="30"/>
          <w:szCs w:val="30"/>
          <w:highlight w:val="none"/>
        </w:rPr>
      </w:pPr>
    </w:p>
    <w:p w14:paraId="17068B93">
      <w:pPr>
        <w:adjustRightInd w:val="0"/>
        <w:snapToGrid w:val="0"/>
        <w:spacing w:before="156" w:beforeLines="50" w:line="360" w:lineRule="auto"/>
        <w:rPr>
          <w:rFonts w:hint="eastAsia" w:ascii="宋体" w:hAnsi="宋体" w:cs="宋体"/>
          <w:bCs/>
          <w:color w:val="auto"/>
          <w:sz w:val="30"/>
          <w:szCs w:val="30"/>
          <w:highlight w:val="none"/>
        </w:rPr>
      </w:pPr>
    </w:p>
    <w:p w14:paraId="71254A23">
      <w:pPr>
        <w:adjustRightInd w:val="0"/>
        <w:snapToGrid w:val="0"/>
        <w:spacing w:before="156" w:beforeLines="50" w:line="360" w:lineRule="auto"/>
        <w:rPr>
          <w:rFonts w:hint="eastAsia" w:ascii="宋体" w:hAnsi="宋体" w:cs="宋体"/>
          <w:bCs/>
          <w:color w:val="auto"/>
          <w:sz w:val="30"/>
          <w:szCs w:val="30"/>
          <w:highlight w:val="none"/>
        </w:rPr>
      </w:pPr>
    </w:p>
    <w:p w14:paraId="3E9A0259">
      <w:pPr>
        <w:adjustRightInd w:val="0"/>
        <w:snapToGrid w:val="0"/>
        <w:spacing w:before="156" w:beforeLines="50" w:line="360" w:lineRule="auto"/>
        <w:rPr>
          <w:rFonts w:hint="eastAsia" w:ascii="宋体" w:hAnsi="宋体" w:cs="宋体"/>
          <w:bCs/>
          <w:color w:val="auto"/>
          <w:sz w:val="30"/>
          <w:szCs w:val="30"/>
          <w:highlight w:val="none"/>
        </w:rPr>
      </w:pPr>
    </w:p>
    <w:p w14:paraId="3558DDE2">
      <w:pPr>
        <w:adjustRightInd w:val="0"/>
        <w:snapToGrid w:val="0"/>
        <w:spacing w:before="156" w:beforeLines="50" w:line="360" w:lineRule="auto"/>
        <w:rPr>
          <w:rFonts w:hint="eastAsia" w:ascii="宋体" w:hAnsi="宋体" w:cs="宋体"/>
          <w:bCs/>
          <w:color w:val="auto"/>
          <w:sz w:val="30"/>
          <w:szCs w:val="30"/>
          <w:highlight w:val="none"/>
        </w:rPr>
      </w:pPr>
    </w:p>
    <w:p w14:paraId="2D4500DE">
      <w:pPr>
        <w:adjustRightInd w:val="0"/>
        <w:snapToGrid w:val="0"/>
        <w:spacing w:before="156" w:beforeLines="50" w:line="360" w:lineRule="auto"/>
        <w:rPr>
          <w:rFonts w:hint="eastAsia" w:ascii="宋体" w:hAnsi="宋体" w:cs="宋体"/>
          <w:bCs/>
          <w:color w:val="auto"/>
          <w:sz w:val="24"/>
          <w:highlight w:val="none"/>
        </w:rPr>
      </w:pPr>
    </w:p>
    <w:p w14:paraId="4B3F0F5A">
      <w:pPr>
        <w:adjustRightInd w:val="0"/>
        <w:snapToGrid w:val="0"/>
        <w:spacing w:before="156" w:beforeLines="50" w:line="360" w:lineRule="auto"/>
        <w:rPr>
          <w:rFonts w:hint="eastAsia" w:ascii="宋体" w:hAnsi="宋体" w:cs="宋体"/>
          <w:color w:val="auto"/>
          <w:sz w:val="30"/>
          <w:szCs w:val="30"/>
          <w:highlight w:val="none"/>
        </w:rPr>
      </w:pPr>
      <w:r>
        <w:rPr>
          <w:rFonts w:hint="eastAsia" w:ascii="宋体" w:hAnsi="宋体" w:cs="宋体"/>
          <w:bCs/>
          <w:color w:val="auto"/>
          <w:sz w:val="24"/>
          <w:highlight w:val="none"/>
        </w:rPr>
        <w:t>注：本页须单独打印一份用于开标身份验证。</w:t>
      </w:r>
      <w:r>
        <w:rPr>
          <w:rFonts w:hint="eastAsia" w:ascii="宋体" w:hAnsi="宋体" w:cs="宋体"/>
          <w:bCs/>
          <w:color w:val="auto"/>
          <w:sz w:val="30"/>
          <w:szCs w:val="30"/>
          <w:highlight w:val="none"/>
        </w:rPr>
        <w:br w:type="page"/>
      </w:r>
      <w:r>
        <w:rPr>
          <w:rFonts w:hint="eastAsia" w:ascii="宋体" w:hAnsi="宋体" w:cs="宋体"/>
          <w:bCs/>
          <w:color w:val="auto"/>
          <w:sz w:val="30"/>
          <w:szCs w:val="30"/>
          <w:highlight w:val="none"/>
        </w:rPr>
        <w:t>附件2</w:t>
      </w:r>
    </w:p>
    <w:p w14:paraId="4D3CCD35">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法定代表人授权委托书</w:t>
      </w:r>
    </w:p>
    <w:p w14:paraId="3099381B">
      <w:pPr>
        <w:adjustRightInd w:val="0"/>
        <w:snapToGrid w:val="0"/>
        <w:spacing w:line="360" w:lineRule="auto"/>
        <w:jc w:val="center"/>
        <w:rPr>
          <w:rFonts w:hint="eastAsia" w:ascii="宋体" w:hAnsi="宋体" w:cs="宋体"/>
          <w:b/>
          <w:color w:val="auto"/>
          <w:sz w:val="28"/>
          <w:szCs w:val="28"/>
          <w:highlight w:val="none"/>
        </w:rPr>
      </w:pPr>
    </w:p>
    <w:p w14:paraId="010A3316">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供应商</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（项目名称、委托代理编号）响应文件；(2)签署并重新提交响应文件及最后报价；(3)签订合同和处理有关事宜，其法律后果由我方承担；（4）询问、质疑、投诉等相关事项，其法律后果由我方承担。</w:t>
      </w:r>
    </w:p>
    <w:p w14:paraId="7F568D35">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p>
    <w:p w14:paraId="36742FA1">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2253FECB">
      <w:pPr>
        <w:spacing w:line="360" w:lineRule="auto"/>
        <w:ind w:firstLine="435"/>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14:paraId="0B627A48">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日签字生效，特此声明。</w:t>
      </w:r>
    </w:p>
    <w:p w14:paraId="5BF9C909">
      <w:pPr>
        <w:adjustRightInd w:val="0"/>
        <w:snapToGrid w:val="0"/>
        <w:spacing w:before="156" w:beforeLines="5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附：委托代理人身份证复印件及法定代表人身份证明(附件1，原件)</w:t>
      </w:r>
    </w:p>
    <w:p w14:paraId="18A256E8">
      <w:pPr>
        <w:adjustRightInd w:val="0"/>
        <w:snapToGrid w:val="0"/>
        <w:spacing w:line="360" w:lineRule="auto"/>
        <w:ind w:right="420"/>
        <w:rPr>
          <w:rFonts w:hint="eastAsia" w:ascii="宋体" w:hAnsi="宋体" w:cs="宋体"/>
          <w:color w:val="auto"/>
          <w:szCs w:val="21"/>
          <w:highlight w:val="none"/>
        </w:rPr>
      </w:pPr>
    </w:p>
    <w:p w14:paraId="26ECC6B1">
      <w:pPr>
        <w:adjustRightInd w:val="0"/>
        <w:snapToGrid w:val="0"/>
        <w:spacing w:line="360" w:lineRule="auto"/>
        <w:ind w:right="420"/>
        <w:rPr>
          <w:rFonts w:hint="eastAsia" w:ascii="宋体" w:hAnsi="宋体" w:cs="宋体"/>
          <w:color w:val="auto"/>
          <w:szCs w:val="21"/>
          <w:highlight w:val="none"/>
        </w:rPr>
      </w:pPr>
    </w:p>
    <w:p w14:paraId="648F47EB">
      <w:pPr>
        <w:adjustRightInd w:val="0"/>
        <w:snapToGrid w:val="0"/>
        <w:spacing w:line="360" w:lineRule="auto"/>
        <w:ind w:right="420"/>
        <w:rPr>
          <w:rFonts w:hint="eastAsia" w:ascii="宋体" w:hAnsi="宋体" w:cs="宋体"/>
          <w:color w:val="auto"/>
          <w:szCs w:val="21"/>
          <w:highlight w:val="none"/>
        </w:rPr>
      </w:pPr>
    </w:p>
    <w:p w14:paraId="67C6F77B">
      <w:pPr>
        <w:adjustRightInd w:val="0"/>
        <w:snapToGrid w:val="0"/>
        <w:spacing w:line="360" w:lineRule="auto"/>
        <w:ind w:right="420"/>
        <w:rPr>
          <w:rFonts w:hint="eastAsia" w:ascii="宋体" w:hAnsi="宋体" w:cs="宋体"/>
          <w:color w:val="auto"/>
          <w:szCs w:val="21"/>
          <w:highlight w:val="none"/>
        </w:rPr>
      </w:pPr>
    </w:p>
    <w:p w14:paraId="57112637">
      <w:pPr>
        <w:adjustRightInd w:val="0"/>
        <w:snapToGrid w:val="0"/>
        <w:spacing w:line="360" w:lineRule="auto"/>
        <w:ind w:right="420"/>
        <w:rPr>
          <w:rFonts w:hint="eastAsia" w:ascii="宋体" w:hAnsi="宋体" w:cs="宋体"/>
          <w:color w:val="auto"/>
          <w:szCs w:val="21"/>
          <w:highlight w:val="none"/>
        </w:rPr>
      </w:pPr>
    </w:p>
    <w:p w14:paraId="47F3E179">
      <w:pPr>
        <w:adjustRightInd w:val="0"/>
        <w:snapToGrid w:val="0"/>
        <w:spacing w:line="360" w:lineRule="auto"/>
        <w:ind w:right="420"/>
        <w:rPr>
          <w:rFonts w:hint="eastAsia" w:ascii="宋体" w:hAnsi="宋体" w:cs="宋体"/>
          <w:color w:val="auto"/>
          <w:szCs w:val="21"/>
          <w:highlight w:val="none"/>
        </w:rPr>
      </w:pPr>
    </w:p>
    <w:p w14:paraId="721DC276">
      <w:pPr>
        <w:adjustRightInd w:val="0"/>
        <w:snapToGrid w:val="0"/>
        <w:spacing w:line="360" w:lineRule="auto"/>
        <w:ind w:right="420"/>
        <w:rPr>
          <w:rFonts w:hint="eastAsia" w:ascii="宋体" w:hAnsi="宋体" w:cs="宋体"/>
          <w:color w:val="auto"/>
          <w:szCs w:val="21"/>
          <w:highlight w:val="none"/>
        </w:rPr>
      </w:pPr>
    </w:p>
    <w:p w14:paraId="7ABA0B18">
      <w:pPr>
        <w:adjustRightInd w:val="0"/>
        <w:snapToGrid w:val="0"/>
        <w:spacing w:line="360" w:lineRule="auto"/>
        <w:ind w:right="420"/>
        <w:rPr>
          <w:rFonts w:hint="eastAsia" w:ascii="宋体" w:hAnsi="宋体" w:cs="宋体"/>
          <w:color w:val="auto"/>
          <w:szCs w:val="21"/>
          <w:highlight w:val="none"/>
        </w:rPr>
      </w:pPr>
    </w:p>
    <w:p w14:paraId="4E489D04">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法定代表人（签字/盖章）：</w:t>
      </w:r>
      <w:r>
        <w:rPr>
          <w:rFonts w:hint="eastAsia" w:ascii="宋体" w:hAnsi="宋体" w:cs="宋体"/>
          <w:color w:val="auto"/>
          <w:szCs w:val="21"/>
          <w:highlight w:val="none"/>
          <w:u w:val="single"/>
        </w:rPr>
        <w:t xml:space="preserve">                     </w:t>
      </w:r>
    </w:p>
    <w:p w14:paraId="52BC81B0">
      <w:pPr>
        <w:adjustRightInd w:val="0"/>
        <w:snapToGrid w:val="0"/>
        <w:spacing w:line="360" w:lineRule="auto"/>
        <w:ind w:right="420"/>
        <w:rPr>
          <w:rFonts w:hint="eastAsia" w:ascii="宋体" w:hAnsi="宋体" w:cs="宋体"/>
          <w:color w:val="auto"/>
          <w:szCs w:val="21"/>
          <w:highlight w:val="none"/>
        </w:rPr>
      </w:pP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24C8119C">
      <w:pPr>
        <w:adjustRightInd w:val="0"/>
        <w:snapToGrid w:val="0"/>
        <w:spacing w:line="360" w:lineRule="auto"/>
        <w:ind w:right="24"/>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A584AE4">
      <w:pPr>
        <w:adjustRightInd w:val="0"/>
        <w:snapToGrid w:val="0"/>
        <w:spacing w:line="360" w:lineRule="auto"/>
        <w:outlineLvl w:val="0"/>
        <w:rPr>
          <w:rFonts w:hint="eastAsia" w:ascii="宋体" w:hAnsi="宋体" w:cs="宋体"/>
          <w:bCs/>
          <w:color w:val="auto"/>
          <w:sz w:val="24"/>
          <w:highlight w:val="none"/>
        </w:rPr>
      </w:pPr>
    </w:p>
    <w:p w14:paraId="183DCFAB">
      <w:pPr>
        <w:adjustRightInd w:val="0"/>
        <w:snapToGrid w:val="0"/>
        <w:spacing w:line="360" w:lineRule="auto"/>
        <w:outlineLvl w:val="0"/>
        <w:rPr>
          <w:rFonts w:hint="eastAsia" w:ascii="宋体" w:hAnsi="宋体" w:cs="宋体"/>
          <w:bCs/>
          <w:color w:val="auto"/>
          <w:sz w:val="24"/>
          <w:highlight w:val="none"/>
        </w:rPr>
      </w:pPr>
    </w:p>
    <w:p w14:paraId="16548780">
      <w:pPr>
        <w:adjustRightInd w:val="0"/>
        <w:snapToGrid w:val="0"/>
        <w:spacing w:line="360" w:lineRule="auto"/>
        <w:outlineLvl w:val="0"/>
        <w:rPr>
          <w:rFonts w:hint="eastAsia" w:ascii="宋体" w:hAnsi="宋体" w:cs="宋体"/>
          <w:bCs/>
          <w:color w:val="auto"/>
          <w:sz w:val="24"/>
          <w:highlight w:val="none"/>
        </w:rPr>
      </w:pPr>
    </w:p>
    <w:p w14:paraId="43DEEBB4">
      <w:pPr>
        <w:adjustRightInd w:val="0"/>
        <w:snapToGrid w:val="0"/>
        <w:spacing w:line="360" w:lineRule="auto"/>
        <w:outlineLvl w:val="0"/>
        <w:rPr>
          <w:rFonts w:hint="eastAsia" w:ascii="宋体" w:hAnsi="宋体" w:cs="宋体"/>
          <w:bCs/>
          <w:color w:val="auto"/>
          <w:sz w:val="24"/>
          <w:highlight w:val="none"/>
        </w:rPr>
      </w:pPr>
    </w:p>
    <w:p w14:paraId="5A0526B0">
      <w:pPr>
        <w:adjustRightInd w:val="0"/>
        <w:snapToGrid w:val="0"/>
        <w:spacing w:before="156" w:beforeLines="50" w:line="360" w:lineRule="auto"/>
        <w:rPr>
          <w:rFonts w:hint="eastAsia" w:ascii="宋体" w:hAnsi="宋体" w:cs="宋体"/>
          <w:bCs/>
          <w:color w:val="auto"/>
          <w:sz w:val="24"/>
          <w:highlight w:val="none"/>
        </w:rPr>
      </w:pPr>
      <w:r>
        <w:rPr>
          <w:rFonts w:hint="eastAsia" w:ascii="宋体" w:hAnsi="宋体" w:cs="宋体"/>
          <w:bCs/>
          <w:color w:val="auto"/>
          <w:sz w:val="24"/>
          <w:highlight w:val="none"/>
        </w:rPr>
        <w:t>注：本页须单独打印一份用于开标身份验证。</w:t>
      </w:r>
    </w:p>
    <w:p w14:paraId="12AA2706">
      <w:pPr>
        <w:adjustRightInd w:val="0"/>
        <w:snapToGrid w:val="0"/>
        <w:spacing w:before="156" w:beforeLines="50" w:line="360" w:lineRule="auto"/>
        <w:rPr>
          <w:rFonts w:hint="eastAsia" w:ascii="宋体" w:hAnsi="宋体" w:cs="宋体"/>
          <w:bCs/>
          <w:color w:val="auto"/>
          <w:sz w:val="24"/>
          <w:highlight w:val="none"/>
        </w:rPr>
      </w:pPr>
    </w:p>
    <w:p w14:paraId="24A7D90A">
      <w:pPr>
        <w:adjustRightInd w:val="0"/>
        <w:snapToGrid w:val="0"/>
        <w:spacing w:before="156" w:beforeLines="5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附件2-2</w:t>
      </w:r>
    </w:p>
    <w:p w14:paraId="563E0F87">
      <w:pPr>
        <w:ind w:firstLine="420" w:firstLineChars="200"/>
        <w:rPr>
          <w:rFonts w:hint="eastAsia" w:asciiTheme="minorEastAsia" w:hAnsiTheme="minorEastAsia" w:eastAsiaTheme="minorEastAsia" w:cstheme="minorEastAsia"/>
          <w:color w:val="auto"/>
          <w:highlight w:val="none"/>
        </w:rPr>
      </w:pPr>
    </w:p>
    <w:p w14:paraId="25E67F0B">
      <w:pPr>
        <w:spacing w:line="48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参加采购活动前三年内在经营活动中</w:t>
      </w:r>
    </w:p>
    <w:p w14:paraId="16A48A09">
      <w:pPr>
        <w:spacing w:line="480" w:lineRule="exact"/>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没有重大违法记录的书面声明</w:t>
      </w:r>
    </w:p>
    <w:p w14:paraId="41504839">
      <w:pPr>
        <w:adjustRightInd w:val="0"/>
        <w:snapToGrid w:val="0"/>
        <w:spacing w:before="156" w:beforeLines="50" w:line="360" w:lineRule="auto"/>
        <w:ind w:left="-88" w:leftChars="-42"/>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(采购代理机构)：</w:t>
      </w:r>
    </w:p>
    <w:p w14:paraId="3FEF7B17">
      <w:pPr>
        <w:adjustRightInd w:val="0"/>
        <w:snapToGrid w:val="0"/>
        <w:spacing w:before="156" w:beforeLines="50" w:line="360" w:lineRule="auto"/>
        <w:ind w:left="-88" w:leftChars="-42"/>
        <w:rPr>
          <w:rFonts w:hint="eastAsia" w:asciiTheme="minorEastAsia" w:hAnsiTheme="minorEastAsia" w:eastAsiaTheme="minorEastAsia" w:cstheme="minorEastAsia"/>
          <w:color w:val="auto"/>
          <w:szCs w:val="21"/>
          <w:highlight w:val="none"/>
        </w:rPr>
      </w:pPr>
    </w:p>
    <w:p w14:paraId="6151E6AA">
      <w:pPr>
        <w:widowControl/>
        <w:adjustRightInd w:val="0"/>
        <w:snapToGrid w:val="0"/>
        <w:spacing w:before="156" w:beforeLines="5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我单位在</w:t>
      </w:r>
      <w:r>
        <w:rPr>
          <w:rFonts w:hint="eastAsia" w:asciiTheme="minorEastAsia" w:hAnsiTheme="minorEastAsia" w:eastAsiaTheme="minorEastAsia" w:cstheme="minorEastAsia"/>
          <w:color w:val="auto"/>
          <w:szCs w:val="21"/>
          <w:highlight w:val="none"/>
        </w:rPr>
        <w:t>参加采购活动前三年内在经营活动中没有采购法第二十二条第一款第（五）项所称重大违法记录，包括：</w:t>
      </w:r>
    </w:p>
    <w:p w14:paraId="1E0AE246">
      <w:pPr>
        <w:adjustRightInd w:val="0"/>
        <w:snapToGrid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受到刑事处罚，</w:t>
      </w:r>
      <w:r>
        <w:rPr>
          <w:rFonts w:hint="eastAsia" w:asciiTheme="minorEastAsia" w:hAnsiTheme="minorEastAsia" w:eastAsiaTheme="minorEastAsia" w:cstheme="minorEastAsia"/>
          <w:bCs/>
          <w:color w:val="auto"/>
          <w:szCs w:val="21"/>
          <w:highlight w:val="none"/>
        </w:rPr>
        <w:t>受到较大数额的罚款、责令停产停业、在一至三年内禁止参加采购活动、暂扣或者吊销许可证、暂扣或者吊销执照等情形之一的行政处罚，或者存在</w:t>
      </w:r>
      <w:r>
        <w:rPr>
          <w:rFonts w:hint="eastAsia" w:asciiTheme="minorEastAsia" w:hAnsiTheme="minorEastAsia" w:eastAsiaTheme="minorEastAsia" w:cstheme="minorEastAsia"/>
          <w:color w:val="auto"/>
          <w:szCs w:val="21"/>
          <w:highlight w:val="none"/>
        </w:rPr>
        <w:t>财政部门认定的其他重大违法记录。</w:t>
      </w:r>
    </w:p>
    <w:p w14:paraId="22975B18">
      <w:pPr>
        <w:widowControl/>
        <w:adjustRightInd w:val="0"/>
        <w:snapToGrid w:val="0"/>
        <w:spacing w:before="156" w:beforeLines="50" w:line="360" w:lineRule="auto"/>
        <w:ind w:firstLine="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特此声明！</w:t>
      </w:r>
    </w:p>
    <w:p w14:paraId="238E5C05">
      <w:pPr>
        <w:widowControl/>
        <w:adjustRightInd w:val="0"/>
        <w:snapToGrid w:val="0"/>
        <w:spacing w:before="156" w:beforeLines="50" w:line="360" w:lineRule="auto"/>
        <w:ind w:firstLine="420"/>
        <w:rPr>
          <w:rFonts w:hint="eastAsia" w:asciiTheme="minorEastAsia" w:hAnsiTheme="minorEastAsia" w:eastAsiaTheme="minorEastAsia" w:cstheme="minorEastAsia"/>
          <w:color w:val="auto"/>
          <w:szCs w:val="21"/>
          <w:highlight w:val="none"/>
        </w:rPr>
      </w:pPr>
    </w:p>
    <w:p w14:paraId="276CFD6A">
      <w:pPr>
        <w:widowControl/>
        <w:adjustRightInd w:val="0"/>
        <w:snapToGrid w:val="0"/>
        <w:spacing w:before="156" w:beforeLines="50" w:line="360" w:lineRule="auto"/>
        <w:ind w:firstLine="420"/>
        <w:rPr>
          <w:rFonts w:hint="eastAsia" w:asciiTheme="minorEastAsia" w:hAnsiTheme="minorEastAsia" w:eastAsiaTheme="minorEastAsia" w:cstheme="minorEastAsia"/>
          <w:color w:val="auto"/>
          <w:szCs w:val="21"/>
          <w:highlight w:val="none"/>
        </w:rPr>
      </w:pPr>
    </w:p>
    <w:p w14:paraId="1B429DEE">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供应商名称（单位章）： </w:t>
      </w:r>
    </w:p>
    <w:p w14:paraId="65B185CE">
      <w:pPr>
        <w:adjustRightInd w:val="0"/>
        <w:snapToGrid w:val="0"/>
        <w:spacing w:before="156" w:beforeLines="50"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法定代表人或其委托代理人（签字）：</w:t>
      </w:r>
      <w:r>
        <w:rPr>
          <w:rFonts w:hint="eastAsia" w:asciiTheme="minorEastAsia" w:hAnsiTheme="minorEastAsia" w:eastAsiaTheme="minorEastAsia" w:cstheme="minorEastAsia"/>
          <w:color w:val="auto"/>
          <w:szCs w:val="21"/>
          <w:highlight w:val="none"/>
          <w:u w:val="single"/>
        </w:rPr>
        <w:t xml:space="preserve">              </w:t>
      </w:r>
    </w:p>
    <w:p w14:paraId="66672193">
      <w:pPr>
        <w:spacing w:line="4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13AB2CA9">
      <w:pPr>
        <w:adjustRightInd w:val="0"/>
        <w:snapToGrid w:val="0"/>
        <w:spacing w:line="360" w:lineRule="auto"/>
        <w:outlineLvl w:val="0"/>
        <w:rPr>
          <w:rFonts w:hint="eastAsia" w:ascii="宋体" w:hAnsi="宋体" w:cs="宋体"/>
          <w:bCs/>
          <w:color w:val="auto"/>
          <w:spacing w:val="6"/>
          <w:kern w:val="0"/>
          <w:szCs w:val="21"/>
          <w:highlight w:val="none"/>
        </w:rPr>
      </w:pPr>
      <w:r>
        <w:rPr>
          <w:rFonts w:hint="eastAsia" w:ascii="宋体" w:hAnsi="宋体" w:cs="宋体"/>
          <w:bCs/>
          <w:color w:val="auto"/>
          <w:sz w:val="30"/>
          <w:szCs w:val="30"/>
          <w:highlight w:val="none"/>
        </w:rPr>
        <w:br w:type="page"/>
      </w:r>
    </w:p>
    <w:p w14:paraId="18008F3E">
      <w:pPr>
        <w:adjustRightInd w:val="0"/>
        <w:snapToGrid w:val="0"/>
        <w:spacing w:line="360" w:lineRule="auto"/>
        <w:jc w:val="center"/>
        <w:rPr>
          <w:rFonts w:hint="eastAsia" w:ascii="宋体" w:hAnsi="宋体" w:cs="宋体"/>
          <w:b/>
          <w:bCs/>
          <w:color w:val="auto"/>
          <w:sz w:val="32"/>
          <w:szCs w:val="32"/>
          <w:highlight w:val="none"/>
        </w:rPr>
      </w:pP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、供应商</w:t>
      </w:r>
      <w:r>
        <w:rPr>
          <w:rFonts w:hint="eastAsia" w:ascii="宋体" w:hAnsi="宋体" w:cs="宋体"/>
          <w:b/>
          <w:bCs/>
          <w:color w:val="auto"/>
          <w:sz w:val="32"/>
          <w:szCs w:val="32"/>
          <w:highlight w:val="none"/>
        </w:rPr>
        <w:t>的资格证明资料</w:t>
      </w:r>
    </w:p>
    <w:p w14:paraId="68840EE5">
      <w:pPr>
        <w:spacing w:line="48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附件3              供应商基本情况表</w:t>
      </w:r>
    </w:p>
    <w:p w14:paraId="2D3C4B13">
      <w:pPr>
        <w:spacing w:line="480" w:lineRule="exact"/>
        <w:rPr>
          <w:rFonts w:hint="eastAsia" w:ascii="宋体" w:hAnsi="宋体" w:cs="宋体"/>
          <w:color w:val="auto"/>
          <w:sz w:val="30"/>
          <w:szCs w:val="30"/>
          <w:highlight w:val="none"/>
        </w:rPr>
      </w:pPr>
    </w:p>
    <w:p w14:paraId="7D18D03F">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盖供应商单位章</w:t>
      </w:r>
    </w:p>
    <w:tbl>
      <w:tblPr>
        <w:tblStyle w:val="23"/>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14:paraId="24E28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14:paraId="3BF9F181">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14:paraId="7EB2BC00">
            <w:pPr>
              <w:topLinePunct/>
              <w:spacing w:line="440" w:lineRule="exact"/>
              <w:jc w:val="center"/>
              <w:rPr>
                <w:rFonts w:hint="eastAsia" w:ascii="宋体" w:hAnsi="宋体" w:cs="宋体"/>
                <w:color w:val="auto"/>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14:paraId="29E3398C">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911" w:type="dxa"/>
            <w:tcBorders>
              <w:top w:val="double" w:color="auto" w:sz="4" w:space="0"/>
              <w:left w:val="single" w:color="auto" w:sz="6" w:space="0"/>
              <w:bottom w:val="single" w:color="auto" w:sz="6" w:space="0"/>
              <w:right w:val="double" w:color="auto" w:sz="4" w:space="0"/>
            </w:tcBorders>
            <w:vAlign w:val="center"/>
          </w:tcPr>
          <w:p w14:paraId="0D2378EB">
            <w:pPr>
              <w:topLinePunct/>
              <w:spacing w:line="440" w:lineRule="exact"/>
              <w:jc w:val="center"/>
              <w:rPr>
                <w:rFonts w:hint="eastAsia" w:ascii="宋体" w:hAnsi="宋体" w:cs="宋体"/>
                <w:color w:val="auto"/>
                <w:szCs w:val="21"/>
                <w:highlight w:val="none"/>
              </w:rPr>
            </w:pPr>
          </w:p>
        </w:tc>
      </w:tr>
      <w:tr w14:paraId="5003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215529E9">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组织机构代码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5B3596AD">
            <w:pPr>
              <w:topLinePunct/>
              <w:spacing w:line="440" w:lineRule="exact"/>
              <w:jc w:val="center"/>
              <w:rPr>
                <w:rFonts w:hint="eastAsia" w:ascii="宋体" w:hAnsi="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31E24C2E">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1911" w:type="dxa"/>
            <w:tcBorders>
              <w:top w:val="single" w:color="auto" w:sz="6" w:space="0"/>
              <w:left w:val="single" w:color="auto" w:sz="6" w:space="0"/>
              <w:bottom w:val="single" w:color="auto" w:sz="6" w:space="0"/>
              <w:right w:val="double" w:color="auto" w:sz="4" w:space="0"/>
            </w:tcBorders>
            <w:vAlign w:val="center"/>
          </w:tcPr>
          <w:p w14:paraId="519158AD">
            <w:pPr>
              <w:topLinePunct/>
              <w:spacing w:line="440" w:lineRule="exact"/>
              <w:jc w:val="center"/>
              <w:rPr>
                <w:rFonts w:hint="eastAsia" w:ascii="宋体" w:hAnsi="宋体" w:cs="宋体"/>
                <w:color w:val="auto"/>
                <w:szCs w:val="21"/>
                <w:highlight w:val="none"/>
              </w:rPr>
            </w:pPr>
          </w:p>
        </w:tc>
      </w:tr>
      <w:tr w14:paraId="1ED1A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3C216751">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68855348">
            <w:pPr>
              <w:topLinePunct/>
              <w:spacing w:line="440" w:lineRule="exact"/>
              <w:jc w:val="center"/>
              <w:rPr>
                <w:rFonts w:hint="eastAsia" w:ascii="宋体" w:hAnsi="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5DD8EE96">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1911" w:type="dxa"/>
            <w:tcBorders>
              <w:top w:val="single" w:color="auto" w:sz="6" w:space="0"/>
              <w:left w:val="single" w:color="auto" w:sz="6" w:space="0"/>
              <w:bottom w:val="single" w:color="auto" w:sz="6" w:space="0"/>
              <w:right w:val="double" w:color="auto" w:sz="4" w:space="0"/>
            </w:tcBorders>
            <w:vAlign w:val="center"/>
          </w:tcPr>
          <w:p w14:paraId="6645CCE0">
            <w:pPr>
              <w:topLinePunct/>
              <w:spacing w:line="440" w:lineRule="exact"/>
              <w:jc w:val="center"/>
              <w:rPr>
                <w:rFonts w:hint="eastAsia" w:ascii="宋体" w:hAnsi="宋体" w:cs="宋体"/>
                <w:color w:val="auto"/>
                <w:szCs w:val="21"/>
                <w:highlight w:val="none"/>
              </w:rPr>
            </w:pPr>
          </w:p>
        </w:tc>
      </w:tr>
      <w:tr w14:paraId="6C803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6CC63AE4">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0BCE3E28">
            <w:pPr>
              <w:topLinePunct/>
              <w:spacing w:line="440" w:lineRule="exact"/>
              <w:jc w:val="center"/>
              <w:rPr>
                <w:rFonts w:hint="eastAsia" w:ascii="宋体" w:hAnsi="宋体" w:cs="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02334BCB">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c>
          <w:tcPr>
            <w:tcW w:w="1911" w:type="dxa"/>
            <w:tcBorders>
              <w:top w:val="single" w:color="auto" w:sz="6" w:space="0"/>
              <w:left w:val="single" w:color="auto" w:sz="6" w:space="0"/>
              <w:bottom w:val="single" w:color="auto" w:sz="6" w:space="0"/>
              <w:right w:val="double" w:color="auto" w:sz="4" w:space="0"/>
            </w:tcBorders>
            <w:vAlign w:val="center"/>
          </w:tcPr>
          <w:p w14:paraId="04EF5443">
            <w:pPr>
              <w:topLinePunct/>
              <w:spacing w:line="440" w:lineRule="exact"/>
              <w:jc w:val="center"/>
              <w:rPr>
                <w:rFonts w:hint="eastAsia" w:ascii="宋体" w:hAnsi="宋体" w:cs="宋体"/>
                <w:color w:val="auto"/>
                <w:szCs w:val="21"/>
                <w:highlight w:val="none"/>
              </w:rPr>
            </w:pPr>
          </w:p>
        </w:tc>
      </w:tr>
      <w:tr w14:paraId="6BBE8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0D47B02B">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123E0C1C">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71634145">
            <w:pPr>
              <w:topLinePunct/>
              <w:spacing w:line="440" w:lineRule="exact"/>
              <w:jc w:val="center"/>
              <w:rPr>
                <w:rFonts w:hint="eastAsia" w:ascii="宋体" w:hAnsi="宋体" w:cs="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07CBEFA0">
            <w:pPr>
              <w:topLinePunct/>
              <w:spacing w:line="440" w:lineRule="exact"/>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35B494D5">
            <w:pPr>
              <w:topLinePunct/>
              <w:spacing w:line="440" w:lineRule="exact"/>
              <w:ind w:firstLine="105" w:firstLineChars="50"/>
              <w:jc w:val="center"/>
              <w:rPr>
                <w:rFonts w:hint="eastAsia" w:ascii="宋体" w:hAnsi="宋体" w:cs="宋体"/>
                <w:color w:val="auto"/>
                <w:szCs w:val="21"/>
                <w:highlight w:val="none"/>
              </w:rPr>
            </w:pPr>
          </w:p>
        </w:tc>
      </w:tr>
      <w:tr w14:paraId="1D9778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06A8E645">
            <w:pPr>
              <w:topLinePunct/>
              <w:spacing w:line="440" w:lineRule="exact"/>
              <w:jc w:val="center"/>
              <w:rPr>
                <w:rFonts w:hint="eastAsia" w:ascii="宋体" w:hAnsi="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1896A56F">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665547EC">
            <w:pPr>
              <w:topLinePunct/>
              <w:spacing w:line="440" w:lineRule="exact"/>
              <w:jc w:val="center"/>
              <w:rPr>
                <w:rFonts w:hint="eastAsia" w:ascii="宋体" w:hAnsi="宋体" w:cs="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70B51634">
            <w:pPr>
              <w:topLinePunct/>
              <w:spacing w:line="440" w:lineRule="exact"/>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发证日期</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6E21B130">
            <w:pPr>
              <w:topLinePunct/>
              <w:spacing w:line="440" w:lineRule="exact"/>
              <w:ind w:firstLine="105" w:firstLineChars="50"/>
              <w:jc w:val="center"/>
              <w:rPr>
                <w:rFonts w:hint="eastAsia" w:ascii="宋体" w:hAnsi="宋体" w:cs="宋体"/>
                <w:color w:val="auto"/>
                <w:szCs w:val="21"/>
                <w:highlight w:val="none"/>
              </w:rPr>
            </w:pPr>
          </w:p>
        </w:tc>
      </w:tr>
      <w:tr w14:paraId="347FB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56FC35AB">
            <w:pPr>
              <w:topLinePunct/>
              <w:spacing w:line="440" w:lineRule="exact"/>
              <w:jc w:val="center"/>
              <w:rPr>
                <w:rFonts w:hint="eastAsia" w:ascii="宋体" w:hAnsi="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24A3D842">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营业范围（主营）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3CAC2E79">
            <w:pPr>
              <w:topLinePunct/>
              <w:spacing w:line="440" w:lineRule="exact"/>
              <w:ind w:firstLine="105" w:firstLineChars="50"/>
              <w:jc w:val="center"/>
              <w:rPr>
                <w:rFonts w:hint="eastAsia" w:ascii="宋体" w:hAnsi="宋体" w:cs="宋体"/>
                <w:color w:val="auto"/>
                <w:szCs w:val="21"/>
                <w:highlight w:val="none"/>
              </w:rPr>
            </w:pPr>
          </w:p>
        </w:tc>
      </w:tr>
      <w:tr w14:paraId="6E37A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21C091B0">
            <w:pPr>
              <w:topLinePunct/>
              <w:spacing w:line="440" w:lineRule="exact"/>
              <w:jc w:val="center"/>
              <w:rPr>
                <w:rFonts w:hint="eastAsia" w:ascii="宋体" w:hAnsi="宋体" w:cs="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73A1DCCF">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营业范围（兼营）</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23A0E32B">
            <w:pPr>
              <w:topLinePunct/>
              <w:spacing w:line="440" w:lineRule="exact"/>
              <w:ind w:firstLine="105" w:firstLineChars="50"/>
              <w:jc w:val="center"/>
              <w:rPr>
                <w:rFonts w:hint="eastAsia" w:ascii="宋体" w:hAnsi="宋体" w:cs="宋体"/>
                <w:color w:val="auto"/>
                <w:szCs w:val="21"/>
                <w:highlight w:val="none"/>
              </w:rPr>
            </w:pPr>
          </w:p>
        </w:tc>
      </w:tr>
      <w:tr w14:paraId="18264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68046A63">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0C724DFB">
            <w:pPr>
              <w:topLinePunct/>
              <w:spacing w:line="440" w:lineRule="exact"/>
              <w:jc w:val="center"/>
              <w:rPr>
                <w:rFonts w:hint="eastAsia" w:ascii="宋体" w:hAnsi="宋体" w:cs="宋体"/>
                <w:color w:val="auto"/>
                <w:szCs w:val="21"/>
                <w:highlight w:val="none"/>
              </w:rPr>
            </w:pPr>
          </w:p>
        </w:tc>
      </w:tr>
      <w:tr w14:paraId="68952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10604482">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税务登记机关</w:t>
            </w:r>
          </w:p>
        </w:tc>
        <w:tc>
          <w:tcPr>
            <w:tcW w:w="6057" w:type="dxa"/>
            <w:gridSpan w:val="6"/>
            <w:tcBorders>
              <w:top w:val="single" w:color="auto" w:sz="6" w:space="0"/>
              <w:left w:val="single" w:color="auto" w:sz="6" w:space="0"/>
              <w:bottom w:val="single" w:color="auto" w:sz="6" w:space="0"/>
              <w:right w:val="double" w:color="auto" w:sz="4" w:space="0"/>
            </w:tcBorders>
            <w:vAlign w:val="center"/>
          </w:tcPr>
          <w:p w14:paraId="5830F0DD">
            <w:pPr>
              <w:topLinePunct/>
              <w:spacing w:line="440" w:lineRule="exact"/>
              <w:jc w:val="center"/>
              <w:rPr>
                <w:rFonts w:hint="eastAsia" w:ascii="宋体" w:hAnsi="宋体" w:cs="宋体"/>
                <w:color w:val="auto"/>
                <w:szCs w:val="21"/>
                <w:highlight w:val="none"/>
              </w:rPr>
            </w:pPr>
          </w:p>
        </w:tc>
      </w:tr>
      <w:tr w14:paraId="16A14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3DDD9D8A">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9F17F6F">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40B2D064">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发证机关</w:t>
            </w: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26F16AF7">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有效期</w:t>
            </w:r>
          </w:p>
        </w:tc>
      </w:tr>
      <w:tr w14:paraId="39EFF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47AFCA3">
            <w:pPr>
              <w:topLinePunct/>
              <w:spacing w:line="440" w:lineRule="exact"/>
              <w:jc w:val="center"/>
              <w:rPr>
                <w:rFonts w:hint="eastAsia" w:ascii="宋体" w:hAnsi="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D3ADF6B">
            <w:pPr>
              <w:topLinePunct/>
              <w:spacing w:line="440" w:lineRule="exact"/>
              <w:jc w:val="center"/>
              <w:rPr>
                <w:rFonts w:hint="eastAsia" w:ascii="宋体" w:hAnsi="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1699DC6C">
            <w:pPr>
              <w:topLinePunct/>
              <w:spacing w:line="440" w:lineRule="exact"/>
              <w:jc w:val="center"/>
              <w:rPr>
                <w:rFonts w:hint="eastAsia" w:ascii="宋体" w:hAnsi="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27A9D8D4">
            <w:pPr>
              <w:topLinePunct/>
              <w:spacing w:line="440" w:lineRule="exact"/>
              <w:jc w:val="center"/>
              <w:rPr>
                <w:rFonts w:hint="eastAsia" w:ascii="宋体" w:hAnsi="宋体" w:cs="宋体"/>
                <w:color w:val="auto"/>
                <w:szCs w:val="21"/>
                <w:highlight w:val="none"/>
              </w:rPr>
            </w:pPr>
          </w:p>
        </w:tc>
      </w:tr>
      <w:tr w14:paraId="57E1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6B00F03">
            <w:pPr>
              <w:topLinePunct/>
              <w:spacing w:line="440" w:lineRule="exact"/>
              <w:jc w:val="center"/>
              <w:rPr>
                <w:rFonts w:hint="eastAsia" w:ascii="宋体" w:hAnsi="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B3CC087">
            <w:pPr>
              <w:topLinePunct/>
              <w:spacing w:line="440" w:lineRule="exact"/>
              <w:jc w:val="center"/>
              <w:rPr>
                <w:rFonts w:hint="eastAsia" w:ascii="宋体" w:hAnsi="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14B2DE1A">
            <w:pPr>
              <w:topLinePunct/>
              <w:spacing w:line="440" w:lineRule="exact"/>
              <w:jc w:val="center"/>
              <w:rPr>
                <w:rFonts w:hint="eastAsia" w:ascii="宋体" w:hAnsi="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2CFF4405">
            <w:pPr>
              <w:topLinePunct/>
              <w:spacing w:line="440" w:lineRule="exact"/>
              <w:jc w:val="center"/>
              <w:rPr>
                <w:rFonts w:hint="eastAsia" w:ascii="宋体" w:hAnsi="宋体" w:cs="宋体"/>
                <w:color w:val="auto"/>
                <w:szCs w:val="21"/>
                <w:highlight w:val="none"/>
              </w:rPr>
            </w:pPr>
          </w:p>
        </w:tc>
      </w:tr>
      <w:tr w14:paraId="6601D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747950BC">
            <w:pPr>
              <w:topLinePunct/>
              <w:spacing w:line="440" w:lineRule="exact"/>
              <w:jc w:val="center"/>
              <w:rPr>
                <w:rFonts w:hint="eastAsia" w:ascii="宋体" w:hAnsi="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6D1B23FF">
            <w:pPr>
              <w:topLinePunct/>
              <w:spacing w:line="440" w:lineRule="exact"/>
              <w:jc w:val="center"/>
              <w:rPr>
                <w:rFonts w:hint="eastAsia" w:ascii="宋体" w:hAnsi="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4540D676">
            <w:pPr>
              <w:topLinePunct/>
              <w:spacing w:line="440" w:lineRule="exact"/>
              <w:jc w:val="center"/>
              <w:rPr>
                <w:rFonts w:hint="eastAsia" w:ascii="宋体" w:hAnsi="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63704B33">
            <w:pPr>
              <w:topLinePunct/>
              <w:spacing w:line="440" w:lineRule="exact"/>
              <w:jc w:val="center"/>
              <w:rPr>
                <w:rFonts w:hint="eastAsia" w:ascii="宋体" w:hAnsi="宋体" w:cs="宋体"/>
                <w:color w:val="auto"/>
                <w:szCs w:val="21"/>
                <w:highlight w:val="none"/>
              </w:rPr>
            </w:pPr>
          </w:p>
        </w:tc>
      </w:tr>
      <w:tr w14:paraId="6C23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6FBB836D">
            <w:pPr>
              <w:topLinePunct/>
              <w:spacing w:line="440" w:lineRule="exact"/>
              <w:jc w:val="center"/>
              <w:rPr>
                <w:rFonts w:hint="eastAsia" w:ascii="宋体" w:hAnsi="宋体" w:cs="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07ADD14E">
            <w:pPr>
              <w:topLinePunct/>
              <w:spacing w:line="440" w:lineRule="exact"/>
              <w:jc w:val="center"/>
              <w:rPr>
                <w:rFonts w:hint="eastAsia" w:ascii="宋体" w:hAnsi="宋体" w:cs="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3243559C">
            <w:pPr>
              <w:topLinePunct/>
              <w:spacing w:line="440" w:lineRule="exact"/>
              <w:jc w:val="center"/>
              <w:rPr>
                <w:rFonts w:hint="eastAsia" w:ascii="宋体" w:hAnsi="宋体" w:cs="宋体"/>
                <w:color w:val="auto"/>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vAlign w:val="center"/>
          </w:tcPr>
          <w:p w14:paraId="5C3804F5">
            <w:pPr>
              <w:topLinePunct/>
              <w:spacing w:line="440" w:lineRule="exact"/>
              <w:jc w:val="center"/>
              <w:rPr>
                <w:rFonts w:hint="eastAsia" w:ascii="宋体" w:hAnsi="宋体" w:cs="宋体"/>
                <w:color w:val="auto"/>
                <w:szCs w:val="21"/>
                <w:highlight w:val="none"/>
              </w:rPr>
            </w:pPr>
          </w:p>
        </w:tc>
      </w:tr>
      <w:tr w14:paraId="2BF73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14:paraId="17245CA4">
            <w:pPr>
              <w:topLinePunct/>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562" w:type="dxa"/>
            <w:gridSpan w:val="8"/>
            <w:tcBorders>
              <w:top w:val="single" w:color="auto" w:sz="6" w:space="0"/>
              <w:left w:val="single" w:color="auto" w:sz="6" w:space="0"/>
              <w:bottom w:val="double" w:color="auto" w:sz="4" w:space="0"/>
              <w:right w:val="double" w:color="auto" w:sz="4" w:space="0"/>
            </w:tcBorders>
            <w:vAlign w:val="center"/>
          </w:tcPr>
          <w:p w14:paraId="6902D020">
            <w:pPr>
              <w:topLinePunct/>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附《营业执照》（副本）复印件</w:t>
            </w:r>
          </w:p>
        </w:tc>
      </w:tr>
    </w:tbl>
    <w:p w14:paraId="474EF671">
      <w:pP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14:paraId="3B51398C">
      <w:pPr>
        <w:spacing w:line="48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附件4      磋商文件规定的基本资格条件证明资料</w:t>
      </w:r>
    </w:p>
    <w:p w14:paraId="36198A4C">
      <w:pPr>
        <w:spacing w:after="120"/>
        <w:rPr>
          <w:rFonts w:hint="eastAsia" w:ascii="宋体" w:hAnsi="宋体" w:cs="宋体"/>
          <w:color w:val="auto"/>
          <w:sz w:val="30"/>
          <w:szCs w:val="30"/>
          <w:highlight w:val="none"/>
        </w:rPr>
      </w:pPr>
    </w:p>
    <w:p w14:paraId="0CDB68AB">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基本资格条件：符合《中华人民共和国政府采购法》第二十二条规定的供应商条件，并提供以下资格证明文件：</w:t>
      </w:r>
    </w:p>
    <w:p w14:paraId="584B208A">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（1）法人提交企业法人营业执照副本复印件；</w:t>
      </w:r>
    </w:p>
    <w:p w14:paraId="552C45B8">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（2）法人提交法定代表人身份证明原件或者法定代表人授权委托书原件及提供被授权人在投标单位近三个月（2025年01月-2025年03月）</w:t>
      </w:r>
      <w:r>
        <w:rPr>
          <w:rFonts w:hint="eastAsia" w:ascii="宋体" w:hAnsi="宋体" w:cs="宋体"/>
          <w:color w:val="auto"/>
          <w:szCs w:val="21"/>
          <w:highlight w:val="none"/>
          <w:lang w:val="en-US" w:eastAsia="zh-CN"/>
        </w:rPr>
        <w:t>其中一个月的</w:t>
      </w:r>
      <w:r>
        <w:rPr>
          <w:rFonts w:hint="eastAsia" w:ascii="宋体" w:hAnsi="宋体" w:cs="宋体"/>
          <w:color w:val="auto"/>
          <w:szCs w:val="21"/>
          <w:highlight w:val="none"/>
        </w:rPr>
        <w:t>社保证明并附法定代表人身份证明原件；</w:t>
      </w:r>
    </w:p>
    <w:p w14:paraId="1E7B79CA">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湖南省政府采购供应商资格承诺函（格式见响应文件组成部分），根据长沙市财政局《关于政府采购促进中小企业发展若干措施的通知》（长财采购[2022]10号）相关规定，供应商凭《湖南省政府采购供应商资格承诺函》（格式见响应文件组成）参与政府采购活动，无需提供财务状况报告、依法缴纳税收和社会保障资金的相关材料、参加政府采购活动前3年内在经营活动中没有重大违法记录的书面声明；</w:t>
      </w:r>
    </w:p>
    <w:p w14:paraId="01FBFAFA">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（4）其他说明：</w:t>
      </w:r>
    </w:p>
    <w:p w14:paraId="3AD7EBF6">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①非法人组织参与投标需提供的相关证明材料；</w:t>
      </w:r>
    </w:p>
    <w:p w14:paraId="08841D7B">
      <w:pPr>
        <w:tabs>
          <w:tab w:val="left" w:pos="3600"/>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三证合一”为国发【2015】33号文件规定，2015年10月1日执行；“五证合一”为国发【2016】59号文件规定，2016年10月1日执行）。供应商如为“三证合一”或“五证合一”，请自行说明。</w:t>
      </w:r>
    </w:p>
    <w:p w14:paraId="4F6BAB62">
      <w:pPr>
        <w:tabs>
          <w:tab w:val="left" w:pos="3600"/>
        </w:tabs>
        <w:adjustRightInd w:val="0"/>
        <w:snapToGrid w:val="0"/>
        <w:spacing w:line="480" w:lineRule="auto"/>
        <w:jc w:val="left"/>
        <w:rPr>
          <w:rFonts w:hint="eastAsia" w:ascii="宋体" w:hAnsi="宋体" w:cs="宋体"/>
          <w:color w:val="auto"/>
          <w:spacing w:val="6"/>
          <w:szCs w:val="21"/>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 xml:space="preserve">附件4-1          </w:t>
      </w:r>
      <w:r>
        <w:rPr>
          <w:rFonts w:hint="eastAsia" w:ascii="宋体" w:hAnsi="宋体" w:cs="宋体"/>
          <w:b/>
          <w:bCs/>
          <w:color w:val="auto"/>
          <w:spacing w:val="6"/>
          <w:sz w:val="28"/>
          <w:szCs w:val="28"/>
          <w:highlight w:val="none"/>
        </w:rPr>
        <w:t>湖南省政府采购供应商资格承诺函</w:t>
      </w:r>
      <w:r>
        <w:rPr>
          <w:rFonts w:hint="eastAsia" w:ascii="宋体" w:hAnsi="宋体" w:cs="宋体"/>
          <w:color w:val="auto"/>
          <w:spacing w:val="6"/>
          <w:szCs w:val="21"/>
          <w:highlight w:val="none"/>
        </w:rPr>
        <w:t xml:space="preserve"> </w:t>
      </w:r>
    </w:p>
    <w:p w14:paraId="709AB52D">
      <w:pPr>
        <w:widowControl/>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本公司独立承担民事责任、具有良好的商业信誉和健全的财务会计制度、依法缴纳税收和社会保障资金，在前三年的经营活 动中无重大违法记录，未列入严重失信行为名单，符合政府采购供应商的基本资格要求。</w:t>
      </w:r>
    </w:p>
    <w:p w14:paraId="7A2572BC">
      <w:pPr>
        <w:widowControl/>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按照《政府采购促进中小企业发展管理办法》（财库〔2020〕46号），本公司企业规模为：</w:t>
      </w:r>
    </w:p>
    <w:p w14:paraId="09AF8C03">
      <w:pPr>
        <w:widowControl/>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大型□ 中型  □ 小型  □ 微型</w:t>
      </w:r>
    </w:p>
    <w:p w14:paraId="2E9B105B">
      <w:pPr>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本公司自愿入驻湖南省政府采购电子卖场，遵守《湖南省政府采购电子卖场管理办法》（湘财购〔2019〕27号），如违反承诺，同意金融机构将增信保证划缴国库（非电子卖场采购活动项目不需勾选）。 </w:t>
      </w:r>
    </w:p>
    <w:p w14:paraId="0DCF2E8E">
      <w:pPr>
        <w:spacing w:line="480" w:lineRule="auto"/>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rPr>
        <w:t>公司（单位）名称（盖章） ：</w:t>
      </w:r>
      <w:r>
        <w:rPr>
          <w:rFonts w:hint="eastAsia" w:ascii="宋体" w:hAnsi="宋体" w:cs="宋体"/>
          <w:color w:val="auto"/>
          <w:szCs w:val="21"/>
          <w:highlight w:val="none"/>
          <w:u w:val="single"/>
        </w:rPr>
        <w:t xml:space="preserve">      </w:t>
      </w:r>
    </w:p>
    <w:p w14:paraId="6039B99A">
      <w:pPr>
        <w:spacing w:line="48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年   月    日 </w:t>
      </w:r>
    </w:p>
    <w:p w14:paraId="219235BE">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机构代码：</w:t>
      </w:r>
      <w:r>
        <w:rPr>
          <w:rFonts w:hint="eastAsia" w:ascii="宋体" w:hAnsi="宋体" w:cs="宋体"/>
          <w:color w:val="auto"/>
          <w:szCs w:val="21"/>
          <w:highlight w:val="none"/>
          <w:u w:val="single"/>
        </w:rPr>
        <w:t xml:space="preserve">                              </w:t>
      </w:r>
    </w:p>
    <w:p w14:paraId="012489FA">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注册登记机构：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有效期：</w:t>
      </w:r>
      <w:r>
        <w:rPr>
          <w:rFonts w:hint="eastAsia" w:ascii="宋体" w:hAnsi="宋体" w:cs="宋体"/>
          <w:color w:val="auto"/>
          <w:szCs w:val="21"/>
          <w:highlight w:val="none"/>
          <w:u w:val="single"/>
        </w:rPr>
        <w:t xml:space="preserve">              </w:t>
      </w:r>
    </w:p>
    <w:p w14:paraId="71CDE806">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注册资本：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经济行业：</w:t>
      </w:r>
      <w:r>
        <w:rPr>
          <w:rFonts w:hint="eastAsia" w:ascii="宋体" w:hAnsi="宋体" w:cs="宋体"/>
          <w:color w:val="auto"/>
          <w:szCs w:val="21"/>
          <w:highlight w:val="none"/>
          <w:u w:val="single"/>
        </w:rPr>
        <w:t xml:space="preserve">                </w:t>
      </w:r>
    </w:p>
    <w:p w14:paraId="034B34D5">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经济性质 ：</w:t>
      </w:r>
      <w:r>
        <w:rPr>
          <w:rFonts w:hint="eastAsia" w:ascii="宋体" w:hAnsi="宋体" w:cs="宋体"/>
          <w:color w:val="auto"/>
          <w:szCs w:val="21"/>
          <w:highlight w:val="none"/>
          <w:u w:val="single"/>
        </w:rPr>
        <w:t xml:space="preserve">                       </w:t>
      </w:r>
    </w:p>
    <w:p w14:paraId="773677C3">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法定代表人（负责人）姓名（签字）、身份证号、手机号：</w:t>
      </w:r>
      <w:r>
        <w:rPr>
          <w:rFonts w:hint="eastAsia" w:ascii="宋体" w:hAnsi="宋体" w:cs="宋体"/>
          <w:color w:val="auto"/>
          <w:szCs w:val="21"/>
          <w:highlight w:val="none"/>
          <w:u w:val="single"/>
        </w:rPr>
        <w:t xml:space="preserve">                             </w:t>
      </w:r>
    </w:p>
    <w:p w14:paraId="7F9D705F">
      <w:pPr>
        <w:spacing w:line="480" w:lineRule="exact"/>
        <w:rPr>
          <w:rFonts w:hint="eastAsia" w:ascii="宋体" w:hAnsi="宋体" w:cs="宋体"/>
          <w:b/>
          <w:bCs/>
          <w:color w:val="auto"/>
          <w:sz w:val="30"/>
          <w:szCs w:val="30"/>
          <w:highlight w:val="none"/>
        </w:rPr>
      </w:pPr>
      <w:r>
        <w:rPr>
          <w:rFonts w:hint="eastAsia" w:ascii="宋体" w:hAnsi="宋体" w:cs="宋体"/>
          <w:color w:val="auto"/>
          <w:szCs w:val="21"/>
          <w:highlight w:val="none"/>
        </w:rPr>
        <w:t>授权代表人姓名（签字）、身份证号、手机号：</w:t>
      </w:r>
      <w:r>
        <w:rPr>
          <w:rFonts w:hint="eastAsia" w:ascii="宋体" w:hAnsi="宋体" w:cs="宋体"/>
          <w:color w:val="auto"/>
          <w:szCs w:val="21"/>
          <w:highlight w:val="none"/>
          <w:u w:val="single"/>
        </w:rPr>
        <w:t xml:space="preserve">                                       </w:t>
      </w:r>
      <w:r>
        <w:rPr>
          <w:rFonts w:hint="eastAsia" w:ascii="宋体" w:hAnsi="宋体" w:cs="宋体"/>
          <w:color w:val="auto"/>
          <w:sz w:val="30"/>
          <w:szCs w:val="30"/>
          <w:highlight w:val="none"/>
        </w:rPr>
        <w:br w:type="page"/>
      </w:r>
      <w:r>
        <w:rPr>
          <w:rFonts w:hint="eastAsia" w:ascii="宋体" w:hAnsi="宋体" w:cs="宋体"/>
          <w:b/>
          <w:bCs/>
          <w:color w:val="auto"/>
          <w:sz w:val="30"/>
          <w:szCs w:val="30"/>
          <w:highlight w:val="none"/>
        </w:rPr>
        <w:t>附件5  磋商文件规定的特定资格条件证明资料</w:t>
      </w:r>
    </w:p>
    <w:p w14:paraId="0B190414">
      <w:pPr>
        <w:adjustRightInd w:val="0"/>
        <w:snapToGrid w:val="0"/>
        <w:spacing w:line="360" w:lineRule="auto"/>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rPr>
        <w:t>附件6           其他证明资料或说明</w:t>
      </w:r>
    </w:p>
    <w:p w14:paraId="59BE27F0">
      <w:pPr>
        <w:adjustRightInd w:val="0"/>
        <w:snapToGrid w:val="0"/>
        <w:spacing w:line="360" w:lineRule="auto"/>
        <w:rPr>
          <w:rFonts w:hint="eastAsia" w:ascii="宋体" w:hAnsi="宋体" w:cs="宋体"/>
          <w:color w:val="auto"/>
          <w:szCs w:val="21"/>
          <w:highlight w:val="none"/>
        </w:rPr>
      </w:pPr>
    </w:p>
    <w:p w14:paraId="6F0F16A0">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提供磋商文件或评分标准需要提供的相关证明文件复印件</w:t>
      </w:r>
    </w:p>
    <w:p w14:paraId="30E3DC4E">
      <w:pPr>
        <w:adjustRightInd w:val="0"/>
        <w:snapToGrid w:val="0"/>
        <w:spacing w:line="360" w:lineRule="auto"/>
        <w:jc w:val="center"/>
        <w:rPr>
          <w:rFonts w:hint="eastAsia" w:ascii="宋体" w:hAnsi="宋体" w:cs="宋体"/>
          <w:color w:val="auto"/>
          <w:sz w:val="30"/>
          <w:szCs w:val="30"/>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、服务方案说明</w:t>
      </w:r>
    </w:p>
    <w:p w14:paraId="308770A2">
      <w:pPr>
        <w:adjustRightInd w:val="0"/>
        <w:snapToGrid w:val="0"/>
        <w:rPr>
          <w:rFonts w:hint="eastAsia" w:ascii="宋体" w:hAnsi="宋体" w:cs="宋体"/>
          <w:color w:val="auto"/>
          <w:sz w:val="30"/>
          <w:szCs w:val="30"/>
          <w:highlight w:val="none"/>
        </w:rPr>
      </w:pPr>
    </w:p>
    <w:p w14:paraId="56F8B797">
      <w:pPr>
        <w:adjustRightInd w:val="0"/>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附件7-1：</w:t>
      </w:r>
    </w:p>
    <w:p w14:paraId="1EA7F34D">
      <w:pPr>
        <w:adjustRightInd w:val="0"/>
        <w:snapToGrid w:val="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服务方案说明</w:t>
      </w:r>
    </w:p>
    <w:p w14:paraId="2C2D837A">
      <w:pPr>
        <w:adjustRightInd w:val="0"/>
        <w:snapToGrid w:val="0"/>
        <w:rPr>
          <w:rFonts w:hint="eastAsia" w:ascii="宋体" w:hAnsi="宋体" w:cs="宋体"/>
          <w:color w:val="auto"/>
          <w:szCs w:val="21"/>
          <w:highlight w:val="none"/>
        </w:rPr>
      </w:pPr>
    </w:p>
    <w:p w14:paraId="6919A321">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服务类项目供应商应根据第四章及评分办法要求编写。</w:t>
      </w:r>
    </w:p>
    <w:p w14:paraId="17941197">
      <w:pPr>
        <w:adjustRightInd w:val="0"/>
        <w:snapToGrid w:val="0"/>
        <w:rPr>
          <w:rFonts w:hint="eastAsia" w:ascii="宋体" w:hAnsi="宋体" w:cs="宋体"/>
          <w:color w:val="auto"/>
          <w:szCs w:val="21"/>
          <w:highlight w:val="none"/>
        </w:rPr>
      </w:pPr>
    </w:p>
    <w:p w14:paraId="26739736">
      <w:pPr>
        <w:adjustRightInd w:val="0"/>
        <w:snapToGrid w:val="0"/>
        <w:rPr>
          <w:rFonts w:hint="eastAsia" w:ascii="宋体" w:hAnsi="宋体" w:cs="宋体"/>
          <w:color w:val="auto"/>
          <w:szCs w:val="21"/>
          <w:highlight w:val="none"/>
        </w:rPr>
      </w:pPr>
    </w:p>
    <w:p w14:paraId="3B7CC5CA">
      <w:pPr>
        <w:adjustRightInd w:val="0"/>
        <w:snapToGrid w:val="0"/>
        <w:rPr>
          <w:rFonts w:hint="eastAsia" w:ascii="宋体" w:hAnsi="宋体" w:cs="宋体"/>
          <w:color w:val="auto"/>
          <w:szCs w:val="21"/>
          <w:highlight w:val="none"/>
        </w:rPr>
      </w:pPr>
    </w:p>
    <w:p w14:paraId="3CBCA1B0">
      <w:pPr>
        <w:adjustRightInd w:val="0"/>
        <w:snapToGrid w:val="0"/>
        <w:rPr>
          <w:rFonts w:hint="eastAsia" w:ascii="宋体" w:hAnsi="宋体" w:cs="宋体"/>
          <w:color w:val="auto"/>
          <w:szCs w:val="21"/>
          <w:highlight w:val="none"/>
        </w:rPr>
      </w:pPr>
    </w:p>
    <w:p w14:paraId="2B93A578">
      <w:pPr>
        <w:adjustRightInd w:val="0"/>
        <w:snapToGrid w:val="0"/>
        <w:rPr>
          <w:rFonts w:hint="eastAsia" w:ascii="宋体" w:hAnsi="宋体" w:cs="宋体"/>
          <w:color w:val="auto"/>
          <w:szCs w:val="21"/>
          <w:highlight w:val="none"/>
        </w:rPr>
      </w:pPr>
    </w:p>
    <w:p w14:paraId="5A3FBFD6">
      <w:pPr>
        <w:adjustRightInd w:val="0"/>
        <w:snapToGrid w:val="0"/>
        <w:rPr>
          <w:rFonts w:hint="eastAsia" w:ascii="宋体" w:hAnsi="宋体" w:cs="宋体"/>
          <w:color w:val="auto"/>
          <w:szCs w:val="21"/>
          <w:highlight w:val="none"/>
        </w:rPr>
      </w:pPr>
    </w:p>
    <w:p w14:paraId="5AAF6D60">
      <w:pPr>
        <w:adjustRightInd w:val="0"/>
        <w:snapToGrid w:val="0"/>
        <w:rPr>
          <w:rFonts w:hint="eastAsia" w:ascii="宋体" w:hAnsi="宋体" w:cs="宋体"/>
          <w:color w:val="auto"/>
          <w:szCs w:val="21"/>
          <w:highlight w:val="none"/>
        </w:rPr>
      </w:pPr>
    </w:p>
    <w:p w14:paraId="1703E6A7">
      <w:pPr>
        <w:adjustRightInd w:val="0"/>
        <w:snapToGrid w:val="0"/>
        <w:rPr>
          <w:rFonts w:hint="eastAsia" w:ascii="宋体" w:hAnsi="宋体" w:cs="宋体"/>
          <w:color w:val="auto"/>
          <w:szCs w:val="21"/>
          <w:highlight w:val="none"/>
        </w:rPr>
      </w:pPr>
    </w:p>
    <w:p w14:paraId="0BB441EE">
      <w:pPr>
        <w:adjustRightInd w:val="0"/>
        <w:snapToGrid w:val="0"/>
        <w:rPr>
          <w:rFonts w:hint="eastAsia" w:ascii="宋体" w:hAnsi="宋体" w:cs="宋体"/>
          <w:color w:val="auto"/>
          <w:szCs w:val="21"/>
          <w:highlight w:val="none"/>
        </w:rPr>
      </w:pPr>
    </w:p>
    <w:p w14:paraId="1D51EFDA">
      <w:pPr>
        <w:adjustRightInd w:val="0"/>
        <w:snapToGrid w:val="0"/>
        <w:spacing w:line="360" w:lineRule="auto"/>
        <w:outlineLvl w:val="0"/>
        <w:rPr>
          <w:rFonts w:hint="eastAsia" w:ascii="宋体" w:hAnsi="宋体" w:cs="宋体"/>
          <w:bCs/>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6B6B2DFF">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_</w:t>
      </w:r>
    </w:p>
    <w:p w14:paraId="09D08B7F">
      <w:pPr>
        <w:spacing w:line="360" w:lineRule="exact"/>
        <w:rPr>
          <w:rFonts w:hint="eastAsia" w:ascii="宋体" w:hAnsi="宋体" w:cs="宋体"/>
          <w:color w:val="auto"/>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2084445B">
      <w:pPr>
        <w:adjustRightInd w:val="0"/>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r>
        <w:rPr>
          <w:rFonts w:hint="eastAsia" w:ascii="宋体" w:hAnsi="宋体" w:cs="宋体"/>
          <w:color w:val="auto"/>
          <w:sz w:val="30"/>
          <w:szCs w:val="30"/>
          <w:highlight w:val="none"/>
        </w:rPr>
        <w:t>附件7-2：</w:t>
      </w:r>
    </w:p>
    <w:p w14:paraId="0D3F19E6">
      <w:pPr>
        <w:spacing w:line="360" w:lineRule="atLeast"/>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主要人员简历表</w:t>
      </w:r>
    </w:p>
    <w:p w14:paraId="48D140EE">
      <w:pPr>
        <w:spacing w:line="360" w:lineRule="atLeast"/>
        <w:jc w:val="center"/>
        <w:rPr>
          <w:rFonts w:hint="eastAsia" w:ascii="宋体" w:hAnsi="宋体" w:cs="宋体"/>
          <w:color w:val="auto"/>
          <w:sz w:val="28"/>
          <w:szCs w:val="28"/>
          <w:highlight w:val="none"/>
        </w:rPr>
      </w:pPr>
    </w:p>
    <w:tbl>
      <w:tblPr>
        <w:tblStyle w:val="23"/>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64553F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vAlign w:val="center"/>
          </w:tcPr>
          <w:p w14:paraId="1EB4C307">
            <w:pPr>
              <w:spacing w:line="360" w:lineRule="atLeast"/>
              <w:jc w:val="center"/>
              <w:rPr>
                <w:rFonts w:hint="eastAsia" w:ascii="宋体" w:hAnsi="宋体" w:cs="宋体"/>
                <w:color w:val="auto"/>
                <w:highlight w:val="none"/>
              </w:rPr>
            </w:pPr>
            <w:r>
              <w:rPr>
                <w:rFonts w:hint="eastAsia" w:ascii="宋体" w:hAnsi="宋体" w:cs="宋体"/>
                <w:color w:val="auto"/>
                <w:highlight w:val="none"/>
              </w:rPr>
              <w:t>姓   名</w:t>
            </w:r>
          </w:p>
        </w:tc>
        <w:tc>
          <w:tcPr>
            <w:tcW w:w="2468" w:type="dxa"/>
            <w:vAlign w:val="center"/>
          </w:tcPr>
          <w:p w14:paraId="17AAB1D9">
            <w:pPr>
              <w:spacing w:line="360" w:lineRule="atLeast"/>
              <w:jc w:val="center"/>
              <w:rPr>
                <w:rFonts w:hint="eastAsia" w:ascii="宋体" w:hAnsi="宋体" w:cs="宋体"/>
                <w:color w:val="auto"/>
                <w:highlight w:val="none"/>
              </w:rPr>
            </w:pPr>
          </w:p>
        </w:tc>
        <w:tc>
          <w:tcPr>
            <w:tcW w:w="2340" w:type="dxa"/>
            <w:gridSpan w:val="3"/>
            <w:vAlign w:val="center"/>
          </w:tcPr>
          <w:p w14:paraId="0A757E31">
            <w:pPr>
              <w:spacing w:line="360" w:lineRule="atLeast"/>
              <w:jc w:val="center"/>
              <w:rPr>
                <w:rFonts w:hint="eastAsia" w:ascii="宋体" w:hAnsi="宋体" w:cs="宋体"/>
                <w:color w:val="auto"/>
                <w:highlight w:val="none"/>
              </w:rPr>
            </w:pPr>
            <w:r>
              <w:rPr>
                <w:rFonts w:hint="eastAsia" w:ascii="宋体" w:hAnsi="宋体" w:cs="宋体"/>
                <w:color w:val="auto"/>
                <w:highlight w:val="none"/>
              </w:rPr>
              <w:t>性  别</w:t>
            </w:r>
          </w:p>
        </w:tc>
        <w:tc>
          <w:tcPr>
            <w:tcW w:w="1663" w:type="dxa"/>
            <w:vAlign w:val="center"/>
          </w:tcPr>
          <w:p w14:paraId="5876E5A8">
            <w:pPr>
              <w:spacing w:line="360" w:lineRule="atLeast"/>
              <w:jc w:val="center"/>
              <w:rPr>
                <w:rFonts w:hint="eastAsia" w:ascii="宋体" w:hAnsi="宋体" w:cs="宋体"/>
                <w:color w:val="auto"/>
                <w:highlight w:val="none"/>
              </w:rPr>
            </w:pPr>
          </w:p>
        </w:tc>
      </w:tr>
      <w:tr w14:paraId="6D6652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14:paraId="3569CAE2">
            <w:pPr>
              <w:spacing w:line="360" w:lineRule="atLeast"/>
              <w:jc w:val="center"/>
              <w:rPr>
                <w:rFonts w:hint="eastAsia" w:ascii="宋体" w:hAnsi="宋体" w:cs="宋体"/>
                <w:color w:val="auto"/>
                <w:highlight w:val="none"/>
              </w:rPr>
            </w:pPr>
            <w:r>
              <w:rPr>
                <w:rFonts w:hint="eastAsia" w:ascii="宋体" w:hAnsi="宋体" w:cs="宋体"/>
                <w:color w:val="auto"/>
                <w:highlight w:val="none"/>
              </w:rPr>
              <w:t>职   务</w:t>
            </w:r>
          </w:p>
        </w:tc>
        <w:tc>
          <w:tcPr>
            <w:tcW w:w="2468" w:type="dxa"/>
            <w:vAlign w:val="center"/>
          </w:tcPr>
          <w:p w14:paraId="36990124">
            <w:pPr>
              <w:spacing w:line="360" w:lineRule="atLeast"/>
              <w:jc w:val="center"/>
              <w:rPr>
                <w:rFonts w:hint="eastAsia" w:ascii="宋体" w:hAnsi="宋体" w:cs="宋体"/>
                <w:color w:val="auto"/>
                <w:highlight w:val="none"/>
              </w:rPr>
            </w:pPr>
          </w:p>
        </w:tc>
        <w:tc>
          <w:tcPr>
            <w:tcW w:w="2340" w:type="dxa"/>
            <w:gridSpan w:val="3"/>
            <w:vAlign w:val="center"/>
          </w:tcPr>
          <w:p w14:paraId="26CD8F08">
            <w:pPr>
              <w:spacing w:line="360" w:lineRule="atLeast"/>
              <w:jc w:val="center"/>
              <w:rPr>
                <w:rFonts w:hint="eastAsia" w:ascii="宋体" w:hAnsi="宋体" w:cs="宋体"/>
                <w:color w:val="auto"/>
                <w:highlight w:val="none"/>
              </w:rPr>
            </w:pPr>
            <w:r>
              <w:rPr>
                <w:rFonts w:hint="eastAsia" w:ascii="宋体" w:hAnsi="宋体" w:cs="宋体"/>
                <w:color w:val="auto"/>
                <w:highlight w:val="none"/>
              </w:rPr>
              <w:t>职  称</w:t>
            </w:r>
          </w:p>
        </w:tc>
        <w:tc>
          <w:tcPr>
            <w:tcW w:w="1663" w:type="dxa"/>
            <w:vAlign w:val="center"/>
          </w:tcPr>
          <w:p w14:paraId="36F4EE4A">
            <w:pPr>
              <w:spacing w:line="360" w:lineRule="atLeast"/>
              <w:jc w:val="center"/>
              <w:rPr>
                <w:rFonts w:hint="eastAsia" w:ascii="宋体" w:hAnsi="宋体" w:cs="宋体"/>
                <w:color w:val="auto"/>
                <w:highlight w:val="none"/>
              </w:rPr>
            </w:pPr>
          </w:p>
        </w:tc>
      </w:tr>
      <w:tr w14:paraId="483AED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14:paraId="096BFC51">
            <w:pPr>
              <w:spacing w:line="360" w:lineRule="atLeast"/>
              <w:jc w:val="center"/>
              <w:rPr>
                <w:rFonts w:hint="eastAsia" w:ascii="宋体" w:hAnsi="宋体" w:cs="宋体"/>
                <w:color w:val="auto"/>
                <w:highlight w:val="none"/>
              </w:rPr>
            </w:pPr>
            <w:r>
              <w:rPr>
                <w:rFonts w:hint="eastAsia" w:ascii="宋体" w:hAnsi="宋体" w:cs="宋体"/>
                <w:color w:val="auto"/>
                <w:highlight w:val="none"/>
              </w:rPr>
              <w:t>毕业学校、专业</w:t>
            </w:r>
          </w:p>
        </w:tc>
        <w:tc>
          <w:tcPr>
            <w:tcW w:w="6471" w:type="dxa"/>
            <w:gridSpan w:val="5"/>
            <w:vAlign w:val="center"/>
          </w:tcPr>
          <w:p w14:paraId="0EBB7317">
            <w:pPr>
              <w:spacing w:line="360" w:lineRule="atLeast"/>
              <w:jc w:val="center"/>
              <w:rPr>
                <w:rFonts w:hint="eastAsia" w:ascii="宋体" w:hAnsi="宋体" w:cs="宋体"/>
                <w:color w:val="auto"/>
                <w:highlight w:val="none"/>
              </w:rPr>
            </w:pPr>
          </w:p>
        </w:tc>
      </w:tr>
      <w:tr w14:paraId="2C0082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17BC17A2">
            <w:pPr>
              <w:spacing w:line="360" w:lineRule="atLeast"/>
              <w:jc w:val="center"/>
              <w:rPr>
                <w:rFonts w:hint="eastAsia" w:ascii="宋体" w:hAnsi="宋体" w:cs="宋体"/>
                <w:color w:val="auto"/>
                <w:highlight w:val="none"/>
              </w:rPr>
            </w:pPr>
            <w:r>
              <w:rPr>
                <w:rFonts w:hint="eastAsia" w:ascii="宋体" w:hAnsi="宋体" w:cs="宋体"/>
                <w:color w:val="auto"/>
                <w:highlight w:val="none"/>
              </w:rPr>
              <w:t>身份证号</w:t>
            </w:r>
          </w:p>
        </w:tc>
        <w:tc>
          <w:tcPr>
            <w:tcW w:w="2468" w:type="dxa"/>
            <w:vAlign w:val="center"/>
          </w:tcPr>
          <w:p w14:paraId="25E34DE9">
            <w:pPr>
              <w:spacing w:line="360" w:lineRule="atLeast"/>
              <w:jc w:val="center"/>
              <w:rPr>
                <w:rFonts w:hint="eastAsia" w:ascii="宋体" w:hAnsi="宋体" w:cs="宋体"/>
                <w:color w:val="auto"/>
                <w:highlight w:val="none"/>
              </w:rPr>
            </w:pPr>
          </w:p>
        </w:tc>
        <w:tc>
          <w:tcPr>
            <w:tcW w:w="2340" w:type="dxa"/>
            <w:gridSpan w:val="3"/>
            <w:vAlign w:val="center"/>
          </w:tcPr>
          <w:p w14:paraId="1C30B5FE">
            <w:pPr>
              <w:spacing w:line="360" w:lineRule="atLeast"/>
              <w:jc w:val="center"/>
              <w:rPr>
                <w:rFonts w:hint="eastAsia" w:ascii="宋体" w:hAnsi="宋体" w:cs="宋体"/>
                <w:color w:val="auto"/>
                <w:highlight w:val="none"/>
              </w:rPr>
            </w:pPr>
            <w:r>
              <w:rPr>
                <w:rFonts w:hint="eastAsia" w:ascii="宋体" w:hAnsi="宋体" w:cs="宋体"/>
                <w:color w:val="auto"/>
                <w:highlight w:val="none"/>
              </w:rPr>
              <w:t>拟在本合同任职</w:t>
            </w:r>
          </w:p>
        </w:tc>
        <w:tc>
          <w:tcPr>
            <w:tcW w:w="1663" w:type="dxa"/>
            <w:vAlign w:val="center"/>
          </w:tcPr>
          <w:p w14:paraId="13C29CA8">
            <w:pPr>
              <w:spacing w:line="360" w:lineRule="atLeast"/>
              <w:ind w:right="-105" w:rightChars="-50"/>
              <w:jc w:val="center"/>
              <w:rPr>
                <w:rFonts w:hint="eastAsia" w:ascii="宋体" w:hAnsi="宋体" w:cs="宋体"/>
                <w:color w:val="auto"/>
                <w:highlight w:val="none"/>
              </w:rPr>
            </w:pPr>
          </w:p>
        </w:tc>
      </w:tr>
      <w:tr w14:paraId="7C497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2A8E7ABF">
            <w:pPr>
              <w:spacing w:line="360" w:lineRule="atLeast"/>
              <w:jc w:val="center"/>
              <w:rPr>
                <w:rFonts w:hint="eastAsia" w:ascii="宋体" w:hAnsi="宋体" w:cs="宋体"/>
                <w:color w:val="auto"/>
                <w:highlight w:val="none"/>
              </w:rPr>
            </w:pPr>
            <w:r>
              <w:rPr>
                <w:rFonts w:hint="eastAsia" w:ascii="宋体" w:hAnsi="宋体" w:cs="宋体"/>
                <w:color w:val="auto"/>
                <w:highlight w:val="none"/>
              </w:rPr>
              <w:t>执业资格证</w:t>
            </w:r>
          </w:p>
        </w:tc>
        <w:tc>
          <w:tcPr>
            <w:tcW w:w="2468" w:type="dxa"/>
            <w:vAlign w:val="center"/>
          </w:tcPr>
          <w:p w14:paraId="3707C409">
            <w:pPr>
              <w:spacing w:line="360" w:lineRule="atLeast"/>
              <w:jc w:val="center"/>
              <w:rPr>
                <w:rFonts w:hint="eastAsia" w:ascii="宋体" w:hAnsi="宋体" w:cs="宋体"/>
                <w:color w:val="auto"/>
                <w:highlight w:val="none"/>
              </w:rPr>
            </w:pPr>
          </w:p>
        </w:tc>
        <w:tc>
          <w:tcPr>
            <w:tcW w:w="2340" w:type="dxa"/>
            <w:gridSpan w:val="3"/>
            <w:vAlign w:val="center"/>
          </w:tcPr>
          <w:p w14:paraId="3FF84E28">
            <w:pPr>
              <w:spacing w:line="360" w:lineRule="atLeast"/>
              <w:jc w:val="center"/>
              <w:rPr>
                <w:rFonts w:hint="eastAsia" w:ascii="宋体" w:hAnsi="宋体" w:cs="宋体"/>
                <w:color w:val="auto"/>
                <w:highlight w:val="none"/>
              </w:rPr>
            </w:pPr>
            <w:r>
              <w:rPr>
                <w:rFonts w:hint="eastAsia" w:ascii="宋体" w:hAnsi="宋体" w:cs="宋体"/>
                <w:color w:val="auto"/>
                <w:highlight w:val="none"/>
              </w:rPr>
              <w:t>执业资格证书号</w:t>
            </w:r>
          </w:p>
        </w:tc>
        <w:tc>
          <w:tcPr>
            <w:tcW w:w="1663" w:type="dxa"/>
            <w:vAlign w:val="center"/>
          </w:tcPr>
          <w:p w14:paraId="33DB39E9">
            <w:pPr>
              <w:rPr>
                <w:rFonts w:hint="eastAsia" w:ascii="宋体" w:hAnsi="宋体" w:cs="宋体"/>
                <w:color w:val="auto"/>
                <w:highlight w:val="none"/>
              </w:rPr>
            </w:pPr>
          </w:p>
        </w:tc>
      </w:tr>
      <w:tr w14:paraId="3DE49A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14:paraId="2864CBA1">
            <w:pPr>
              <w:spacing w:line="360" w:lineRule="atLeast"/>
              <w:rPr>
                <w:rFonts w:hint="eastAsia" w:ascii="宋体" w:hAnsi="宋体" w:cs="宋体"/>
                <w:color w:val="auto"/>
                <w:highlight w:val="none"/>
              </w:rPr>
            </w:pPr>
            <w:r>
              <w:rPr>
                <w:rFonts w:hint="eastAsia" w:ascii="宋体" w:hAnsi="宋体" w:cs="宋体"/>
                <w:color w:val="auto"/>
                <w:highlight w:val="none"/>
              </w:rPr>
              <w:t>近三年承担项目情况</w:t>
            </w:r>
          </w:p>
        </w:tc>
      </w:tr>
      <w:tr w14:paraId="0A5295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611D1F5">
            <w:pPr>
              <w:spacing w:line="360" w:lineRule="atLeast"/>
              <w:jc w:val="center"/>
              <w:rPr>
                <w:rFonts w:hint="eastAsia" w:ascii="宋体" w:hAnsi="宋体" w:cs="宋体"/>
                <w:color w:val="auto"/>
                <w:highlight w:val="none"/>
              </w:rPr>
            </w:pPr>
            <w:r>
              <w:rPr>
                <w:rFonts w:hint="eastAsia" w:ascii="宋体" w:hAnsi="宋体" w:cs="宋体"/>
                <w:color w:val="auto"/>
                <w:highlight w:val="none"/>
              </w:rPr>
              <w:t>时间</w:t>
            </w:r>
          </w:p>
        </w:tc>
        <w:tc>
          <w:tcPr>
            <w:tcW w:w="3636" w:type="dxa"/>
            <w:gridSpan w:val="3"/>
            <w:vAlign w:val="center"/>
          </w:tcPr>
          <w:p w14:paraId="74B0506F">
            <w:pPr>
              <w:spacing w:line="360" w:lineRule="atLeast"/>
              <w:jc w:val="center"/>
              <w:rPr>
                <w:rFonts w:hint="eastAsia" w:ascii="宋体" w:hAnsi="宋体" w:cs="宋体"/>
                <w:color w:val="auto"/>
                <w:highlight w:val="none"/>
              </w:rPr>
            </w:pPr>
            <w:r>
              <w:rPr>
                <w:rFonts w:hint="eastAsia" w:ascii="宋体" w:hAnsi="宋体" w:cs="宋体"/>
                <w:color w:val="auto"/>
                <w:highlight w:val="none"/>
              </w:rPr>
              <w:t>类似项目名称</w:t>
            </w:r>
          </w:p>
        </w:tc>
        <w:tc>
          <w:tcPr>
            <w:tcW w:w="1404" w:type="dxa"/>
            <w:vAlign w:val="center"/>
          </w:tcPr>
          <w:p w14:paraId="2B0AA783">
            <w:pPr>
              <w:spacing w:line="360" w:lineRule="atLeast"/>
              <w:jc w:val="center"/>
              <w:rPr>
                <w:rFonts w:hint="eastAsia" w:ascii="宋体" w:hAnsi="宋体" w:cs="宋体"/>
                <w:color w:val="auto"/>
                <w:highlight w:val="none"/>
              </w:rPr>
            </w:pPr>
            <w:r>
              <w:rPr>
                <w:rFonts w:hint="eastAsia" w:ascii="宋体" w:hAnsi="宋体" w:cs="宋体"/>
                <w:color w:val="auto"/>
                <w:highlight w:val="none"/>
              </w:rPr>
              <w:t>担任职务</w:t>
            </w:r>
          </w:p>
        </w:tc>
        <w:tc>
          <w:tcPr>
            <w:tcW w:w="2203" w:type="dxa"/>
            <w:gridSpan w:val="2"/>
            <w:vAlign w:val="center"/>
          </w:tcPr>
          <w:p w14:paraId="52C929BA">
            <w:pPr>
              <w:spacing w:line="360" w:lineRule="atLeast"/>
              <w:jc w:val="center"/>
              <w:rPr>
                <w:rFonts w:hint="eastAsia" w:ascii="宋体" w:hAnsi="宋体" w:cs="宋体"/>
                <w:color w:val="auto"/>
                <w:highlight w:val="none"/>
              </w:rPr>
            </w:pPr>
            <w:r>
              <w:rPr>
                <w:rFonts w:hint="eastAsia" w:ascii="宋体" w:hAnsi="宋体" w:cs="宋体"/>
                <w:color w:val="auto"/>
                <w:highlight w:val="none"/>
              </w:rPr>
              <w:t>项目单位名称及电话</w:t>
            </w:r>
          </w:p>
        </w:tc>
      </w:tr>
      <w:tr w14:paraId="776B0F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D4F226F">
            <w:pPr>
              <w:spacing w:line="360" w:lineRule="atLeast"/>
              <w:jc w:val="center"/>
              <w:rPr>
                <w:rFonts w:hint="eastAsia" w:ascii="宋体" w:hAnsi="宋体" w:cs="宋体"/>
                <w:color w:val="auto"/>
                <w:highlight w:val="none"/>
              </w:rPr>
            </w:pPr>
          </w:p>
        </w:tc>
        <w:tc>
          <w:tcPr>
            <w:tcW w:w="3636" w:type="dxa"/>
            <w:gridSpan w:val="3"/>
            <w:vAlign w:val="center"/>
          </w:tcPr>
          <w:p w14:paraId="7FE8B4AB">
            <w:pPr>
              <w:spacing w:line="360" w:lineRule="atLeast"/>
              <w:jc w:val="center"/>
              <w:rPr>
                <w:rFonts w:hint="eastAsia" w:ascii="宋体" w:hAnsi="宋体" w:cs="宋体"/>
                <w:color w:val="auto"/>
                <w:highlight w:val="none"/>
              </w:rPr>
            </w:pPr>
          </w:p>
        </w:tc>
        <w:tc>
          <w:tcPr>
            <w:tcW w:w="1404" w:type="dxa"/>
            <w:vAlign w:val="center"/>
          </w:tcPr>
          <w:p w14:paraId="1D67F4BE">
            <w:pPr>
              <w:spacing w:line="360" w:lineRule="atLeast"/>
              <w:jc w:val="center"/>
              <w:rPr>
                <w:rFonts w:hint="eastAsia" w:ascii="宋体" w:hAnsi="宋体" w:cs="宋体"/>
                <w:color w:val="auto"/>
                <w:highlight w:val="none"/>
              </w:rPr>
            </w:pPr>
          </w:p>
        </w:tc>
        <w:tc>
          <w:tcPr>
            <w:tcW w:w="2203" w:type="dxa"/>
            <w:gridSpan w:val="2"/>
            <w:vAlign w:val="center"/>
          </w:tcPr>
          <w:p w14:paraId="3824D0CD">
            <w:pPr>
              <w:spacing w:line="360" w:lineRule="atLeast"/>
              <w:jc w:val="center"/>
              <w:rPr>
                <w:rFonts w:hint="eastAsia" w:ascii="宋体" w:hAnsi="宋体" w:cs="宋体"/>
                <w:color w:val="auto"/>
                <w:highlight w:val="none"/>
              </w:rPr>
            </w:pPr>
          </w:p>
        </w:tc>
      </w:tr>
      <w:tr w14:paraId="52F2B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614468EF">
            <w:pPr>
              <w:spacing w:line="360" w:lineRule="atLeast"/>
              <w:jc w:val="center"/>
              <w:rPr>
                <w:rFonts w:hint="eastAsia" w:ascii="宋体" w:hAnsi="宋体" w:cs="宋体"/>
                <w:color w:val="auto"/>
                <w:highlight w:val="none"/>
              </w:rPr>
            </w:pPr>
          </w:p>
        </w:tc>
        <w:tc>
          <w:tcPr>
            <w:tcW w:w="3636" w:type="dxa"/>
            <w:gridSpan w:val="3"/>
            <w:vAlign w:val="center"/>
          </w:tcPr>
          <w:p w14:paraId="187A8EFD">
            <w:pPr>
              <w:spacing w:line="360" w:lineRule="atLeast"/>
              <w:jc w:val="center"/>
              <w:rPr>
                <w:rFonts w:hint="eastAsia" w:ascii="宋体" w:hAnsi="宋体" w:cs="宋体"/>
                <w:color w:val="auto"/>
                <w:highlight w:val="none"/>
              </w:rPr>
            </w:pPr>
          </w:p>
        </w:tc>
        <w:tc>
          <w:tcPr>
            <w:tcW w:w="1404" w:type="dxa"/>
            <w:vAlign w:val="center"/>
          </w:tcPr>
          <w:p w14:paraId="30CC448C">
            <w:pPr>
              <w:spacing w:line="360" w:lineRule="atLeast"/>
              <w:jc w:val="center"/>
              <w:rPr>
                <w:rFonts w:hint="eastAsia" w:ascii="宋体" w:hAnsi="宋体" w:cs="宋体"/>
                <w:color w:val="auto"/>
                <w:highlight w:val="none"/>
              </w:rPr>
            </w:pPr>
          </w:p>
        </w:tc>
        <w:tc>
          <w:tcPr>
            <w:tcW w:w="2203" w:type="dxa"/>
            <w:gridSpan w:val="2"/>
            <w:vAlign w:val="center"/>
          </w:tcPr>
          <w:p w14:paraId="276E7106">
            <w:pPr>
              <w:spacing w:line="360" w:lineRule="atLeast"/>
              <w:jc w:val="center"/>
              <w:rPr>
                <w:rFonts w:hint="eastAsia" w:ascii="宋体" w:hAnsi="宋体" w:cs="宋体"/>
                <w:color w:val="auto"/>
                <w:highlight w:val="none"/>
              </w:rPr>
            </w:pPr>
          </w:p>
        </w:tc>
      </w:tr>
      <w:tr w14:paraId="101480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442C52F8">
            <w:pPr>
              <w:spacing w:line="360" w:lineRule="atLeast"/>
              <w:jc w:val="center"/>
              <w:rPr>
                <w:rFonts w:hint="eastAsia" w:ascii="宋体" w:hAnsi="宋体" w:cs="宋体"/>
                <w:color w:val="auto"/>
                <w:highlight w:val="none"/>
              </w:rPr>
            </w:pPr>
          </w:p>
        </w:tc>
        <w:tc>
          <w:tcPr>
            <w:tcW w:w="3636" w:type="dxa"/>
            <w:gridSpan w:val="3"/>
            <w:vAlign w:val="center"/>
          </w:tcPr>
          <w:p w14:paraId="7377BF05">
            <w:pPr>
              <w:spacing w:line="360" w:lineRule="atLeast"/>
              <w:jc w:val="center"/>
              <w:rPr>
                <w:rFonts w:hint="eastAsia" w:ascii="宋体" w:hAnsi="宋体" w:cs="宋体"/>
                <w:color w:val="auto"/>
                <w:highlight w:val="none"/>
              </w:rPr>
            </w:pPr>
          </w:p>
        </w:tc>
        <w:tc>
          <w:tcPr>
            <w:tcW w:w="1404" w:type="dxa"/>
            <w:vAlign w:val="center"/>
          </w:tcPr>
          <w:p w14:paraId="53E8153B">
            <w:pPr>
              <w:spacing w:line="360" w:lineRule="atLeast"/>
              <w:jc w:val="center"/>
              <w:rPr>
                <w:rFonts w:hint="eastAsia" w:ascii="宋体" w:hAnsi="宋体" w:cs="宋体"/>
                <w:color w:val="auto"/>
                <w:highlight w:val="none"/>
              </w:rPr>
            </w:pPr>
          </w:p>
        </w:tc>
        <w:tc>
          <w:tcPr>
            <w:tcW w:w="2203" w:type="dxa"/>
            <w:gridSpan w:val="2"/>
            <w:vAlign w:val="center"/>
          </w:tcPr>
          <w:p w14:paraId="0983605D">
            <w:pPr>
              <w:spacing w:line="360" w:lineRule="atLeast"/>
              <w:jc w:val="center"/>
              <w:rPr>
                <w:rFonts w:hint="eastAsia" w:ascii="宋体" w:hAnsi="宋体" w:cs="宋体"/>
                <w:color w:val="auto"/>
                <w:highlight w:val="none"/>
              </w:rPr>
            </w:pPr>
          </w:p>
        </w:tc>
      </w:tr>
      <w:tr w14:paraId="361A0E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7D9D9747">
            <w:pPr>
              <w:spacing w:line="360" w:lineRule="atLeast"/>
              <w:jc w:val="center"/>
              <w:rPr>
                <w:rFonts w:hint="eastAsia" w:ascii="宋体" w:hAnsi="宋体" w:cs="宋体"/>
                <w:color w:val="auto"/>
                <w:highlight w:val="none"/>
              </w:rPr>
            </w:pPr>
          </w:p>
        </w:tc>
        <w:tc>
          <w:tcPr>
            <w:tcW w:w="3636" w:type="dxa"/>
            <w:gridSpan w:val="3"/>
            <w:vAlign w:val="center"/>
          </w:tcPr>
          <w:p w14:paraId="21C16D17">
            <w:pPr>
              <w:spacing w:line="360" w:lineRule="atLeast"/>
              <w:jc w:val="center"/>
              <w:rPr>
                <w:rFonts w:hint="eastAsia" w:ascii="宋体" w:hAnsi="宋体" w:cs="宋体"/>
                <w:color w:val="auto"/>
                <w:highlight w:val="none"/>
              </w:rPr>
            </w:pPr>
          </w:p>
        </w:tc>
        <w:tc>
          <w:tcPr>
            <w:tcW w:w="1404" w:type="dxa"/>
            <w:vAlign w:val="center"/>
          </w:tcPr>
          <w:p w14:paraId="1482CD38">
            <w:pPr>
              <w:spacing w:line="360" w:lineRule="atLeast"/>
              <w:jc w:val="center"/>
              <w:rPr>
                <w:rFonts w:hint="eastAsia" w:ascii="宋体" w:hAnsi="宋体" w:cs="宋体"/>
                <w:color w:val="auto"/>
                <w:highlight w:val="none"/>
              </w:rPr>
            </w:pPr>
          </w:p>
        </w:tc>
        <w:tc>
          <w:tcPr>
            <w:tcW w:w="2203" w:type="dxa"/>
            <w:gridSpan w:val="2"/>
            <w:vAlign w:val="center"/>
          </w:tcPr>
          <w:p w14:paraId="7907AA38">
            <w:pPr>
              <w:spacing w:line="360" w:lineRule="atLeast"/>
              <w:jc w:val="center"/>
              <w:rPr>
                <w:rFonts w:hint="eastAsia" w:ascii="宋体" w:hAnsi="宋体" w:cs="宋体"/>
                <w:color w:val="auto"/>
                <w:highlight w:val="none"/>
              </w:rPr>
            </w:pPr>
          </w:p>
        </w:tc>
      </w:tr>
      <w:tr w14:paraId="3B7018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209C84C5">
            <w:pPr>
              <w:spacing w:line="360" w:lineRule="atLeast"/>
              <w:jc w:val="center"/>
              <w:rPr>
                <w:rFonts w:hint="eastAsia" w:ascii="宋体" w:hAnsi="宋体" w:cs="宋体"/>
                <w:color w:val="auto"/>
                <w:highlight w:val="none"/>
              </w:rPr>
            </w:pPr>
          </w:p>
        </w:tc>
        <w:tc>
          <w:tcPr>
            <w:tcW w:w="3636" w:type="dxa"/>
            <w:gridSpan w:val="3"/>
            <w:vAlign w:val="center"/>
          </w:tcPr>
          <w:p w14:paraId="2F9E3450">
            <w:pPr>
              <w:spacing w:line="360" w:lineRule="atLeast"/>
              <w:jc w:val="center"/>
              <w:rPr>
                <w:rFonts w:hint="eastAsia" w:ascii="宋体" w:hAnsi="宋体" w:cs="宋体"/>
                <w:color w:val="auto"/>
                <w:highlight w:val="none"/>
              </w:rPr>
            </w:pPr>
          </w:p>
        </w:tc>
        <w:tc>
          <w:tcPr>
            <w:tcW w:w="1404" w:type="dxa"/>
            <w:vAlign w:val="center"/>
          </w:tcPr>
          <w:p w14:paraId="6349A41F">
            <w:pPr>
              <w:spacing w:line="360" w:lineRule="atLeast"/>
              <w:jc w:val="center"/>
              <w:rPr>
                <w:rFonts w:hint="eastAsia" w:ascii="宋体" w:hAnsi="宋体" w:cs="宋体"/>
                <w:color w:val="auto"/>
                <w:highlight w:val="none"/>
              </w:rPr>
            </w:pPr>
          </w:p>
        </w:tc>
        <w:tc>
          <w:tcPr>
            <w:tcW w:w="2203" w:type="dxa"/>
            <w:gridSpan w:val="2"/>
            <w:vAlign w:val="center"/>
          </w:tcPr>
          <w:p w14:paraId="1B2A28E8">
            <w:pPr>
              <w:spacing w:line="360" w:lineRule="atLeast"/>
              <w:jc w:val="center"/>
              <w:rPr>
                <w:rFonts w:hint="eastAsia" w:ascii="宋体" w:hAnsi="宋体" w:cs="宋体"/>
                <w:color w:val="auto"/>
                <w:highlight w:val="none"/>
              </w:rPr>
            </w:pPr>
          </w:p>
        </w:tc>
      </w:tr>
      <w:tr w14:paraId="0F923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56681C78">
            <w:pPr>
              <w:spacing w:line="360" w:lineRule="atLeast"/>
              <w:jc w:val="center"/>
              <w:rPr>
                <w:rFonts w:hint="eastAsia" w:ascii="宋体" w:hAnsi="宋体" w:cs="宋体"/>
                <w:color w:val="auto"/>
                <w:highlight w:val="none"/>
              </w:rPr>
            </w:pPr>
          </w:p>
        </w:tc>
        <w:tc>
          <w:tcPr>
            <w:tcW w:w="3636" w:type="dxa"/>
            <w:gridSpan w:val="3"/>
            <w:vAlign w:val="center"/>
          </w:tcPr>
          <w:p w14:paraId="7319161C">
            <w:pPr>
              <w:spacing w:line="360" w:lineRule="atLeast"/>
              <w:jc w:val="center"/>
              <w:rPr>
                <w:rFonts w:hint="eastAsia" w:ascii="宋体" w:hAnsi="宋体" w:cs="宋体"/>
                <w:color w:val="auto"/>
                <w:highlight w:val="none"/>
              </w:rPr>
            </w:pPr>
          </w:p>
        </w:tc>
        <w:tc>
          <w:tcPr>
            <w:tcW w:w="1404" w:type="dxa"/>
            <w:vAlign w:val="center"/>
          </w:tcPr>
          <w:p w14:paraId="24722D4E">
            <w:pPr>
              <w:spacing w:line="360" w:lineRule="atLeast"/>
              <w:jc w:val="center"/>
              <w:rPr>
                <w:rFonts w:hint="eastAsia" w:ascii="宋体" w:hAnsi="宋体" w:cs="宋体"/>
                <w:color w:val="auto"/>
                <w:highlight w:val="none"/>
              </w:rPr>
            </w:pPr>
          </w:p>
        </w:tc>
        <w:tc>
          <w:tcPr>
            <w:tcW w:w="2203" w:type="dxa"/>
            <w:gridSpan w:val="2"/>
            <w:vAlign w:val="center"/>
          </w:tcPr>
          <w:p w14:paraId="4B40CA00">
            <w:pPr>
              <w:spacing w:line="360" w:lineRule="atLeast"/>
              <w:jc w:val="center"/>
              <w:rPr>
                <w:rFonts w:hint="eastAsia" w:ascii="宋体" w:hAnsi="宋体" w:cs="宋体"/>
                <w:color w:val="auto"/>
                <w:highlight w:val="none"/>
              </w:rPr>
            </w:pPr>
          </w:p>
        </w:tc>
      </w:tr>
      <w:tr w14:paraId="14E29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76A728F1">
            <w:pPr>
              <w:spacing w:line="360" w:lineRule="atLeast"/>
              <w:jc w:val="center"/>
              <w:rPr>
                <w:rFonts w:hint="eastAsia" w:ascii="宋体" w:hAnsi="宋体" w:cs="宋体"/>
                <w:color w:val="auto"/>
                <w:highlight w:val="none"/>
              </w:rPr>
            </w:pPr>
          </w:p>
        </w:tc>
        <w:tc>
          <w:tcPr>
            <w:tcW w:w="3636" w:type="dxa"/>
            <w:gridSpan w:val="3"/>
            <w:vAlign w:val="center"/>
          </w:tcPr>
          <w:p w14:paraId="05DA8F5A">
            <w:pPr>
              <w:spacing w:line="360" w:lineRule="atLeast"/>
              <w:jc w:val="center"/>
              <w:rPr>
                <w:rFonts w:hint="eastAsia" w:ascii="宋体" w:hAnsi="宋体" w:cs="宋体"/>
                <w:color w:val="auto"/>
                <w:highlight w:val="none"/>
              </w:rPr>
            </w:pPr>
          </w:p>
        </w:tc>
        <w:tc>
          <w:tcPr>
            <w:tcW w:w="1404" w:type="dxa"/>
            <w:vAlign w:val="center"/>
          </w:tcPr>
          <w:p w14:paraId="2CBA3574">
            <w:pPr>
              <w:spacing w:line="360" w:lineRule="atLeast"/>
              <w:jc w:val="center"/>
              <w:rPr>
                <w:rFonts w:hint="eastAsia" w:ascii="宋体" w:hAnsi="宋体" w:cs="宋体"/>
                <w:color w:val="auto"/>
                <w:highlight w:val="none"/>
              </w:rPr>
            </w:pPr>
          </w:p>
        </w:tc>
        <w:tc>
          <w:tcPr>
            <w:tcW w:w="2203" w:type="dxa"/>
            <w:gridSpan w:val="2"/>
            <w:vAlign w:val="center"/>
          </w:tcPr>
          <w:p w14:paraId="7EA18119">
            <w:pPr>
              <w:spacing w:line="360" w:lineRule="atLeast"/>
              <w:jc w:val="center"/>
              <w:rPr>
                <w:rFonts w:hint="eastAsia" w:ascii="宋体" w:hAnsi="宋体" w:cs="宋体"/>
                <w:color w:val="auto"/>
                <w:highlight w:val="none"/>
              </w:rPr>
            </w:pPr>
          </w:p>
        </w:tc>
      </w:tr>
      <w:tr w14:paraId="29A42C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534ABD02">
            <w:pPr>
              <w:spacing w:line="360" w:lineRule="atLeast"/>
              <w:jc w:val="center"/>
              <w:rPr>
                <w:rFonts w:hint="eastAsia" w:ascii="宋体" w:hAnsi="宋体" w:cs="宋体"/>
                <w:color w:val="auto"/>
                <w:highlight w:val="none"/>
              </w:rPr>
            </w:pPr>
          </w:p>
        </w:tc>
        <w:tc>
          <w:tcPr>
            <w:tcW w:w="3636" w:type="dxa"/>
            <w:gridSpan w:val="3"/>
            <w:vAlign w:val="center"/>
          </w:tcPr>
          <w:p w14:paraId="7541DF86">
            <w:pPr>
              <w:spacing w:line="360" w:lineRule="atLeast"/>
              <w:jc w:val="center"/>
              <w:rPr>
                <w:rFonts w:hint="eastAsia" w:ascii="宋体" w:hAnsi="宋体" w:cs="宋体"/>
                <w:color w:val="auto"/>
                <w:highlight w:val="none"/>
              </w:rPr>
            </w:pPr>
          </w:p>
        </w:tc>
        <w:tc>
          <w:tcPr>
            <w:tcW w:w="1404" w:type="dxa"/>
            <w:vAlign w:val="center"/>
          </w:tcPr>
          <w:p w14:paraId="7B2903CC">
            <w:pPr>
              <w:spacing w:line="360" w:lineRule="atLeast"/>
              <w:jc w:val="center"/>
              <w:rPr>
                <w:rFonts w:hint="eastAsia" w:ascii="宋体" w:hAnsi="宋体" w:cs="宋体"/>
                <w:color w:val="auto"/>
                <w:highlight w:val="none"/>
              </w:rPr>
            </w:pPr>
          </w:p>
        </w:tc>
        <w:tc>
          <w:tcPr>
            <w:tcW w:w="2203" w:type="dxa"/>
            <w:gridSpan w:val="2"/>
            <w:vAlign w:val="center"/>
          </w:tcPr>
          <w:p w14:paraId="6F83AD81">
            <w:pPr>
              <w:spacing w:line="360" w:lineRule="atLeast"/>
              <w:jc w:val="center"/>
              <w:rPr>
                <w:rFonts w:hint="eastAsia" w:ascii="宋体" w:hAnsi="宋体" w:cs="宋体"/>
                <w:color w:val="auto"/>
                <w:highlight w:val="none"/>
              </w:rPr>
            </w:pPr>
          </w:p>
        </w:tc>
      </w:tr>
      <w:tr w14:paraId="7B60B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1A4E9683">
            <w:pPr>
              <w:spacing w:line="360" w:lineRule="atLeast"/>
              <w:jc w:val="center"/>
              <w:rPr>
                <w:rFonts w:hint="eastAsia" w:ascii="宋体" w:hAnsi="宋体" w:cs="宋体"/>
                <w:color w:val="auto"/>
                <w:highlight w:val="none"/>
              </w:rPr>
            </w:pPr>
          </w:p>
        </w:tc>
        <w:tc>
          <w:tcPr>
            <w:tcW w:w="3636" w:type="dxa"/>
            <w:gridSpan w:val="3"/>
            <w:vAlign w:val="center"/>
          </w:tcPr>
          <w:p w14:paraId="53F0DF47">
            <w:pPr>
              <w:spacing w:line="360" w:lineRule="atLeast"/>
              <w:jc w:val="center"/>
              <w:rPr>
                <w:rFonts w:hint="eastAsia" w:ascii="宋体" w:hAnsi="宋体" w:cs="宋体"/>
                <w:color w:val="auto"/>
                <w:highlight w:val="none"/>
              </w:rPr>
            </w:pPr>
          </w:p>
        </w:tc>
        <w:tc>
          <w:tcPr>
            <w:tcW w:w="1404" w:type="dxa"/>
            <w:vAlign w:val="center"/>
          </w:tcPr>
          <w:p w14:paraId="5AB28FC4">
            <w:pPr>
              <w:spacing w:line="360" w:lineRule="atLeast"/>
              <w:jc w:val="center"/>
              <w:rPr>
                <w:rFonts w:hint="eastAsia" w:ascii="宋体" w:hAnsi="宋体" w:cs="宋体"/>
                <w:color w:val="auto"/>
                <w:highlight w:val="none"/>
              </w:rPr>
            </w:pPr>
          </w:p>
        </w:tc>
        <w:tc>
          <w:tcPr>
            <w:tcW w:w="2203" w:type="dxa"/>
            <w:gridSpan w:val="2"/>
            <w:vAlign w:val="center"/>
          </w:tcPr>
          <w:p w14:paraId="0F423E67">
            <w:pPr>
              <w:spacing w:line="360" w:lineRule="atLeast"/>
              <w:jc w:val="center"/>
              <w:rPr>
                <w:rFonts w:hint="eastAsia" w:ascii="宋体" w:hAnsi="宋体" w:cs="宋体"/>
                <w:color w:val="auto"/>
                <w:highlight w:val="none"/>
              </w:rPr>
            </w:pPr>
          </w:p>
        </w:tc>
      </w:tr>
    </w:tbl>
    <w:p w14:paraId="47E597B9">
      <w:pPr>
        <w:spacing w:line="360" w:lineRule="atLeast"/>
        <w:rPr>
          <w:rFonts w:hint="eastAsia" w:ascii="宋体" w:hAnsi="宋体" w:cs="宋体"/>
          <w:color w:val="auto"/>
          <w:highlight w:val="none"/>
        </w:rPr>
      </w:pPr>
      <w:r>
        <w:rPr>
          <w:rFonts w:hint="eastAsia" w:ascii="宋体" w:hAnsi="宋体" w:cs="宋体"/>
          <w:color w:val="auto"/>
          <w:szCs w:val="21"/>
          <w:highlight w:val="none"/>
        </w:rPr>
        <w:t>说明</w:t>
      </w:r>
      <w:r>
        <w:rPr>
          <w:rFonts w:hint="eastAsia" w:ascii="宋体" w:hAnsi="宋体" w:cs="宋体"/>
          <w:color w:val="auto"/>
          <w:highlight w:val="none"/>
        </w:rPr>
        <w:t>：</w:t>
      </w:r>
      <w:r>
        <w:rPr>
          <w:rFonts w:hint="eastAsia" w:ascii="宋体" w:hAnsi="宋体" w:cs="宋体"/>
          <w:color w:val="auto"/>
          <w:szCs w:val="21"/>
          <w:highlight w:val="none"/>
        </w:rPr>
        <w:t>主要人员证书、</w:t>
      </w:r>
      <w:r>
        <w:rPr>
          <w:rFonts w:hint="eastAsia" w:ascii="宋体" w:hAnsi="宋体" w:cs="宋体"/>
          <w:color w:val="auto"/>
          <w:highlight w:val="none"/>
        </w:rPr>
        <w:t>类似项目证明资料等按第二章第42.1款或第四章要求提供。</w:t>
      </w:r>
    </w:p>
    <w:p w14:paraId="4DFA71A4">
      <w:pPr>
        <w:adjustRightInd w:val="0"/>
        <w:snapToGrid w:val="0"/>
        <w:spacing w:line="360" w:lineRule="auto"/>
        <w:rPr>
          <w:rFonts w:hint="eastAsia" w:ascii="宋体" w:hAnsi="宋体" w:cs="宋体"/>
          <w:color w:val="auto"/>
          <w:szCs w:val="21"/>
          <w:highlight w:val="none"/>
        </w:rPr>
      </w:pPr>
    </w:p>
    <w:p w14:paraId="1BE68DD3">
      <w:pPr>
        <w:rPr>
          <w:rFonts w:hint="eastAsia" w:ascii="宋体" w:hAnsi="宋体" w:cs="宋体"/>
          <w:color w:val="auto"/>
          <w:szCs w:val="21"/>
          <w:highlight w:val="none"/>
        </w:rPr>
      </w:pPr>
    </w:p>
    <w:p w14:paraId="76DBAB0B">
      <w:pPr>
        <w:adjustRightInd w:val="0"/>
        <w:snapToGrid w:val="0"/>
        <w:spacing w:line="360" w:lineRule="auto"/>
        <w:outlineLvl w:val="0"/>
        <w:rPr>
          <w:rFonts w:hint="eastAsia" w:ascii="宋体" w:hAnsi="宋体" w:cs="宋体"/>
          <w:bCs/>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643DCB91">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14:paraId="31B75C35">
      <w:pPr>
        <w:spacing w:line="360" w:lineRule="exact"/>
        <w:rPr>
          <w:rFonts w:hint="eastAsia" w:ascii="宋体" w:hAnsi="宋体" w:cs="宋体"/>
          <w:bCs/>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6259319F">
      <w:pPr>
        <w:adjustRightInd w:val="0"/>
        <w:snapToGrid w:val="0"/>
        <w:spacing w:line="360" w:lineRule="auto"/>
        <w:jc w:val="center"/>
        <w:outlineLvl w:val="0"/>
        <w:rPr>
          <w:rFonts w:hint="eastAsia" w:ascii="宋体" w:hAnsi="宋体" w:cs="宋体"/>
          <w:b/>
          <w:color w:val="auto"/>
          <w:sz w:val="30"/>
          <w:szCs w:val="30"/>
          <w:highlight w:val="none"/>
        </w:rPr>
      </w:pPr>
    </w:p>
    <w:p w14:paraId="12D18ED6">
      <w:pPr>
        <w:autoSpaceDE w:val="0"/>
        <w:autoSpaceDN w:val="0"/>
        <w:adjustRightInd w:val="0"/>
        <w:rPr>
          <w:rFonts w:hint="eastAsia" w:ascii="宋体" w:hAnsi="宋体" w:cs="宋体"/>
          <w:color w:val="auto"/>
          <w:highlight w:val="none"/>
        </w:rPr>
      </w:pPr>
    </w:p>
    <w:p w14:paraId="0C6154B4">
      <w:pPr>
        <w:adjustRightInd w:val="0"/>
        <w:snapToGrid w:val="0"/>
        <w:spacing w:line="360"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rPr>
        <w:t>、技术/商务响应与偏离表</w:t>
      </w:r>
    </w:p>
    <w:p w14:paraId="0CFB3045">
      <w:pPr>
        <w:adjustRightInd w:val="0"/>
        <w:snapToGrid w:val="0"/>
        <w:ind w:left="-88" w:leftChars="-42" w:firstLine="315" w:firstLineChars="150"/>
        <w:rPr>
          <w:rFonts w:hint="eastAsia" w:ascii="宋体" w:hAnsi="宋体" w:cs="宋体"/>
          <w:color w:val="auto"/>
          <w:szCs w:val="21"/>
          <w:highlight w:val="none"/>
          <w:u w:val="single"/>
        </w:rPr>
      </w:pPr>
    </w:p>
    <w:tbl>
      <w:tblPr>
        <w:tblStyle w:val="23"/>
        <w:tblW w:w="874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14:paraId="1328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vAlign w:val="center"/>
          </w:tcPr>
          <w:p w14:paraId="1B77875C">
            <w:pPr>
              <w:adjustRightInd w:val="0"/>
              <w:snapToGrid w:val="0"/>
              <w:ind w:left="-88" w:leftChars="-42"/>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685" w:type="dxa"/>
            <w:vAlign w:val="center"/>
          </w:tcPr>
          <w:p w14:paraId="5390820D">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磋商文件条目号</w:t>
            </w:r>
          </w:p>
        </w:tc>
        <w:tc>
          <w:tcPr>
            <w:tcW w:w="1948" w:type="dxa"/>
            <w:vAlign w:val="center"/>
          </w:tcPr>
          <w:p w14:paraId="69DA1E50">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采购规格/商务条款</w:t>
            </w:r>
          </w:p>
        </w:tc>
        <w:tc>
          <w:tcPr>
            <w:tcW w:w="2600" w:type="dxa"/>
            <w:vAlign w:val="center"/>
          </w:tcPr>
          <w:p w14:paraId="6FC9CAFC">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响应文件的规格/商务条款</w:t>
            </w:r>
          </w:p>
        </w:tc>
        <w:tc>
          <w:tcPr>
            <w:tcW w:w="1214" w:type="dxa"/>
            <w:vAlign w:val="center"/>
          </w:tcPr>
          <w:p w14:paraId="2B7D2347">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响应与偏离</w:t>
            </w:r>
          </w:p>
        </w:tc>
        <w:tc>
          <w:tcPr>
            <w:tcW w:w="661" w:type="dxa"/>
            <w:vAlign w:val="center"/>
          </w:tcPr>
          <w:p w14:paraId="7ABF2CD6">
            <w:pPr>
              <w:adjustRightInd w:val="0"/>
              <w:snapToGrid w:val="0"/>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63FBA1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02137598">
            <w:pPr>
              <w:adjustRightInd w:val="0"/>
              <w:snapToGrid w:val="0"/>
              <w:ind w:left="-88" w:leftChars="-42"/>
              <w:jc w:val="center"/>
              <w:rPr>
                <w:rFonts w:hint="eastAsia" w:ascii="宋体" w:hAnsi="宋体" w:cs="宋体"/>
                <w:color w:val="auto"/>
                <w:szCs w:val="21"/>
                <w:highlight w:val="none"/>
              </w:rPr>
            </w:pPr>
          </w:p>
        </w:tc>
        <w:tc>
          <w:tcPr>
            <w:tcW w:w="1685" w:type="dxa"/>
            <w:vAlign w:val="center"/>
          </w:tcPr>
          <w:p w14:paraId="3F92FD6B">
            <w:pPr>
              <w:adjustRightInd w:val="0"/>
              <w:snapToGrid w:val="0"/>
              <w:ind w:left="-88" w:leftChars="-42"/>
              <w:jc w:val="center"/>
              <w:rPr>
                <w:rFonts w:hint="eastAsia" w:ascii="宋体" w:hAnsi="宋体" w:cs="宋体"/>
                <w:color w:val="auto"/>
                <w:szCs w:val="21"/>
                <w:highlight w:val="none"/>
              </w:rPr>
            </w:pPr>
          </w:p>
        </w:tc>
        <w:tc>
          <w:tcPr>
            <w:tcW w:w="1948" w:type="dxa"/>
            <w:vAlign w:val="center"/>
          </w:tcPr>
          <w:p w14:paraId="0510CA5E">
            <w:pPr>
              <w:adjustRightInd w:val="0"/>
              <w:snapToGrid w:val="0"/>
              <w:ind w:left="-88" w:leftChars="-42"/>
              <w:jc w:val="center"/>
              <w:rPr>
                <w:rFonts w:hint="eastAsia" w:ascii="宋体" w:hAnsi="宋体" w:cs="宋体"/>
                <w:color w:val="auto"/>
                <w:szCs w:val="21"/>
                <w:highlight w:val="none"/>
              </w:rPr>
            </w:pPr>
          </w:p>
        </w:tc>
        <w:tc>
          <w:tcPr>
            <w:tcW w:w="2600" w:type="dxa"/>
            <w:vAlign w:val="center"/>
          </w:tcPr>
          <w:p w14:paraId="7030301E">
            <w:pPr>
              <w:adjustRightInd w:val="0"/>
              <w:snapToGrid w:val="0"/>
              <w:ind w:left="-88" w:leftChars="-42"/>
              <w:jc w:val="center"/>
              <w:rPr>
                <w:rFonts w:hint="eastAsia" w:ascii="宋体" w:hAnsi="宋体" w:cs="宋体"/>
                <w:color w:val="auto"/>
                <w:szCs w:val="21"/>
                <w:highlight w:val="none"/>
              </w:rPr>
            </w:pPr>
          </w:p>
        </w:tc>
        <w:tc>
          <w:tcPr>
            <w:tcW w:w="1214" w:type="dxa"/>
            <w:vAlign w:val="center"/>
          </w:tcPr>
          <w:p w14:paraId="03B2E30B">
            <w:pPr>
              <w:adjustRightInd w:val="0"/>
              <w:snapToGrid w:val="0"/>
              <w:ind w:left="-88" w:leftChars="-42"/>
              <w:jc w:val="center"/>
              <w:rPr>
                <w:rFonts w:hint="eastAsia" w:ascii="宋体" w:hAnsi="宋体" w:cs="宋体"/>
                <w:color w:val="auto"/>
                <w:szCs w:val="21"/>
                <w:highlight w:val="none"/>
              </w:rPr>
            </w:pPr>
          </w:p>
        </w:tc>
        <w:tc>
          <w:tcPr>
            <w:tcW w:w="661" w:type="dxa"/>
            <w:vAlign w:val="center"/>
          </w:tcPr>
          <w:p w14:paraId="00BCBF18">
            <w:pPr>
              <w:adjustRightInd w:val="0"/>
              <w:snapToGrid w:val="0"/>
              <w:ind w:left="-88" w:leftChars="-42"/>
              <w:jc w:val="center"/>
              <w:rPr>
                <w:rFonts w:hint="eastAsia" w:ascii="宋体" w:hAnsi="宋体" w:cs="宋体"/>
                <w:color w:val="auto"/>
                <w:szCs w:val="21"/>
                <w:highlight w:val="none"/>
              </w:rPr>
            </w:pPr>
          </w:p>
        </w:tc>
      </w:tr>
      <w:tr w14:paraId="06B473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47749A3F">
            <w:pPr>
              <w:adjustRightInd w:val="0"/>
              <w:snapToGrid w:val="0"/>
              <w:ind w:left="-88" w:leftChars="-42"/>
              <w:jc w:val="center"/>
              <w:rPr>
                <w:rFonts w:hint="eastAsia" w:ascii="宋体" w:hAnsi="宋体" w:cs="宋体"/>
                <w:color w:val="auto"/>
                <w:szCs w:val="21"/>
                <w:highlight w:val="none"/>
              </w:rPr>
            </w:pPr>
          </w:p>
        </w:tc>
        <w:tc>
          <w:tcPr>
            <w:tcW w:w="1685" w:type="dxa"/>
            <w:vAlign w:val="center"/>
          </w:tcPr>
          <w:p w14:paraId="5F4E3262">
            <w:pPr>
              <w:adjustRightInd w:val="0"/>
              <w:snapToGrid w:val="0"/>
              <w:ind w:left="-88" w:leftChars="-42"/>
              <w:jc w:val="center"/>
              <w:rPr>
                <w:rFonts w:hint="eastAsia" w:ascii="宋体" w:hAnsi="宋体" w:cs="宋体"/>
                <w:color w:val="auto"/>
                <w:szCs w:val="21"/>
                <w:highlight w:val="none"/>
              </w:rPr>
            </w:pPr>
          </w:p>
        </w:tc>
        <w:tc>
          <w:tcPr>
            <w:tcW w:w="1948" w:type="dxa"/>
            <w:vAlign w:val="center"/>
          </w:tcPr>
          <w:p w14:paraId="55EFCF17">
            <w:pPr>
              <w:adjustRightInd w:val="0"/>
              <w:snapToGrid w:val="0"/>
              <w:ind w:left="-88" w:leftChars="-42"/>
              <w:jc w:val="center"/>
              <w:rPr>
                <w:rFonts w:hint="eastAsia" w:ascii="宋体" w:hAnsi="宋体" w:cs="宋体"/>
                <w:color w:val="auto"/>
                <w:szCs w:val="21"/>
                <w:highlight w:val="none"/>
              </w:rPr>
            </w:pPr>
          </w:p>
        </w:tc>
        <w:tc>
          <w:tcPr>
            <w:tcW w:w="2600" w:type="dxa"/>
            <w:vAlign w:val="center"/>
          </w:tcPr>
          <w:p w14:paraId="6BE87800">
            <w:pPr>
              <w:adjustRightInd w:val="0"/>
              <w:snapToGrid w:val="0"/>
              <w:ind w:left="-88" w:leftChars="-42"/>
              <w:jc w:val="center"/>
              <w:rPr>
                <w:rFonts w:hint="eastAsia" w:ascii="宋体" w:hAnsi="宋体" w:cs="宋体"/>
                <w:color w:val="auto"/>
                <w:szCs w:val="21"/>
                <w:highlight w:val="none"/>
              </w:rPr>
            </w:pPr>
          </w:p>
        </w:tc>
        <w:tc>
          <w:tcPr>
            <w:tcW w:w="1214" w:type="dxa"/>
            <w:vAlign w:val="center"/>
          </w:tcPr>
          <w:p w14:paraId="50507F40">
            <w:pPr>
              <w:adjustRightInd w:val="0"/>
              <w:snapToGrid w:val="0"/>
              <w:ind w:left="-88" w:leftChars="-42"/>
              <w:jc w:val="center"/>
              <w:rPr>
                <w:rFonts w:hint="eastAsia" w:ascii="宋体" w:hAnsi="宋体" w:cs="宋体"/>
                <w:color w:val="auto"/>
                <w:szCs w:val="21"/>
                <w:highlight w:val="none"/>
              </w:rPr>
            </w:pPr>
          </w:p>
        </w:tc>
        <w:tc>
          <w:tcPr>
            <w:tcW w:w="661" w:type="dxa"/>
            <w:vAlign w:val="center"/>
          </w:tcPr>
          <w:p w14:paraId="3B2E9FC7">
            <w:pPr>
              <w:adjustRightInd w:val="0"/>
              <w:snapToGrid w:val="0"/>
              <w:ind w:left="-88" w:leftChars="-42"/>
              <w:jc w:val="center"/>
              <w:rPr>
                <w:rFonts w:hint="eastAsia" w:ascii="宋体" w:hAnsi="宋体" w:cs="宋体"/>
                <w:color w:val="auto"/>
                <w:szCs w:val="21"/>
                <w:highlight w:val="none"/>
              </w:rPr>
            </w:pPr>
          </w:p>
        </w:tc>
      </w:tr>
      <w:tr w14:paraId="6D740B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53CD54E0">
            <w:pPr>
              <w:adjustRightInd w:val="0"/>
              <w:snapToGrid w:val="0"/>
              <w:ind w:left="-88" w:leftChars="-42"/>
              <w:jc w:val="center"/>
              <w:rPr>
                <w:rFonts w:hint="eastAsia" w:ascii="宋体" w:hAnsi="宋体" w:cs="宋体"/>
                <w:color w:val="auto"/>
                <w:szCs w:val="21"/>
                <w:highlight w:val="none"/>
              </w:rPr>
            </w:pPr>
          </w:p>
        </w:tc>
        <w:tc>
          <w:tcPr>
            <w:tcW w:w="1685" w:type="dxa"/>
            <w:vAlign w:val="center"/>
          </w:tcPr>
          <w:p w14:paraId="073DF7AF">
            <w:pPr>
              <w:adjustRightInd w:val="0"/>
              <w:snapToGrid w:val="0"/>
              <w:ind w:left="-88" w:leftChars="-42"/>
              <w:jc w:val="center"/>
              <w:rPr>
                <w:rFonts w:hint="eastAsia" w:ascii="宋体" w:hAnsi="宋体" w:cs="宋体"/>
                <w:color w:val="auto"/>
                <w:szCs w:val="21"/>
                <w:highlight w:val="none"/>
              </w:rPr>
            </w:pPr>
          </w:p>
        </w:tc>
        <w:tc>
          <w:tcPr>
            <w:tcW w:w="1948" w:type="dxa"/>
            <w:vAlign w:val="center"/>
          </w:tcPr>
          <w:p w14:paraId="6F53B409">
            <w:pPr>
              <w:adjustRightInd w:val="0"/>
              <w:snapToGrid w:val="0"/>
              <w:ind w:left="-88" w:leftChars="-42"/>
              <w:jc w:val="center"/>
              <w:rPr>
                <w:rFonts w:hint="eastAsia" w:ascii="宋体" w:hAnsi="宋体" w:cs="宋体"/>
                <w:color w:val="auto"/>
                <w:szCs w:val="21"/>
                <w:highlight w:val="none"/>
              </w:rPr>
            </w:pPr>
          </w:p>
        </w:tc>
        <w:tc>
          <w:tcPr>
            <w:tcW w:w="2600" w:type="dxa"/>
            <w:vAlign w:val="center"/>
          </w:tcPr>
          <w:p w14:paraId="792EB7B3">
            <w:pPr>
              <w:adjustRightInd w:val="0"/>
              <w:snapToGrid w:val="0"/>
              <w:ind w:left="-88" w:leftChars="-42"/>
              <w:jc w:val="center"/>
              <w:rPr>
                <w:rFonts w:hint="eastAsia" w:ascii="宋体" w:hAnsi="宋体" w:cs="宋体"/>
                <w:color w:val="auto"/>
                <w:szCs w:val="21"/>
                <w:highlight w:val="none"/>
              </w:rPr>
            </w:pPr>
          </w:p>
        </w:tc>
        <w:tc>
          <w:tcPr>
            <w:tcW w:w="1214" w:type="dxa"/>
            <w:vAlign w:val="center"/>
          </w:tcPr>
          <w:p w14:paraId="104A46BD">
            <w:pPr>
              <w:adjustRightInd w:val="0"/>
              <w:snapToGrid w:val="0"/>
              <w:ind w:left="-88" w:leftChars="-42"/>
              <w:jc w:val="center"/>
              <w:rPr>
                <w:rFonts w:hint="eastAsia" w:ascii="宋体" w:hAnsi="宋体" w:cs="宋体"/>
                <w:color w:val="auto"/>
                <w:szCs w:val="21"/>
                <w:highlight w:val="none"/>
              </w:rPr>
            </w:pPr>
          </w:p>
        </w:tc>
        <w:tc>
          <w:tcPr>
            <w:tcW w:w="661" w:type="dxa"/>
            <w:vAlign w:val="center"/>
          </w:tcPr>
          <w:p w14:paraId="0C888C1E">
            <w:pPr>
              <w:adjustRightInd w:val="0"/>
              <w:snapToGrid w:val="0"/>
              <w:ind w:left="-88" w:leftChars="-42"/>
              <w:jc w:val="center"/>
              <w:rPr>
                <w:rFonts w:hint="eastAsia" w:ascii="宋体" w:hAnsi="宋体" w:cs="宋体"/>
                <w:color w:val="auto"/>
                <w:szCs w:val="21"/>
                <w:highlight w:val="none"/>
              </w:rPr>
            </w:pPr>
          </w:p>
        </w:tc>
      </w:tr>
      <w:tr w14:paraId="4B8F9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17D6F05F">
            <w:pPr>
              <w:adjustRightInd w:val="0"/>
              <w:snapToGrid w:val="0"/>
              <w:ind w:left="-88" w:leftChars="-42"/>
              <w:jc w:val="center"/>
              <w:rPr>
                <w:rFonts w:hint="eastAsia" w:ascii="宋体" w:hAnsi="宋体" w:cs="宋体"/>
                <w:color w:val="auto"/>
                <w:szCs w:val="21"/>
                <w:highlight w:val="none"/>
              </w:rPr>
            </w:pPr>
          </w:p>
        </w:tc>
        <w:tc>
          <w:tcPr>
            <w:tcW w:w="1685" w:type="dxa"/>
            <w:vAlign w:val="center"/>
          </w:tcPr>
          <w:p w14:paraId="2BD0193F">
            <w:pPr>
              <w:adjustRightInd w:val="0"/>
              <w:snapToGrid w:val="0"/>
              <w:ind w:left="-88" w:leftChars="-42"/>
              <w:jc w:val="center"/>
              <w:rPr>
                <w:rFonts w:hint="eastAsia" w:ascii="宋体" w:hAnsi="宋体" w:cs="宋体"/>
                <w:color w:val="auto"/>
                <w:szCs w:val="21"/>
                <w:highlight w:val="none"/>
              </w:rPr>
            </w:pPr>
          </w:p>
        </w:tc>
        <w:tc>
          <w:tcPr>
            <w:tcW w:w="1948" w:type="dxa"/>
            <w:vAlign w:val="center"/>
          </w:tcPr>
          <w:p w14:paraId="69654A38">
            <w:pPr>
              <w:adjustRightInd w:val="0"/>
              <w:snapToGrid w:val="0"/>
              <w:ind w:left="-88" w:leftChars="-42"/>
              <w:jc w:val="center"/>
              <w:rPr>
                <w:rFonts w:hint="eastAsia" w:ascii="宋体" w:hAnsi="宋体" w:cs="宋体"/>
                <w:color w:val="auto"/>
                <w:szCs w:val="21"/>
                <w:highlight w:val="none"/>
              </w:rPr>
            </w:pPr>
          </w:p>
        </w:tc>
        <w:tc>
          <w:tcPr>
            <w:tcW w:w="2600" w:type="dxa"/>
            <w:vAlign w:val="center"/>
          </w:tcPr>
          <w:p w14:paraId="6DDD395B">
            <w:pPr>
              <w:adjustRightInd w:val="0"/>
              <w:snapToGrid w:val="0"/>
              <w:ind w:left="-88" w:leftChars="-42"/>
              <w:jc w:val="center"/>
              <w:rPr>
                <w:rFonts w:hint="eastAsia" w:ascii="宋体" w:hAnsi="宋体" w:cs="宋体"/>
                <w:color w:val="auto"/>
                <w:szCs w:val="21"/>
                <w:highlight w:val="none"/>
              </w:rPr>
            </w:pPr>
          </w:p>
        </w:tc>
        <w:tc>
          <w:tcPr>
            <w:tcW w:w="1214" w:type="dxa"/>
            <w:vAlign w:val="center"/>
          </w:tcPr>
          <w:p w14:paraId="5AEE514B">
            <w:pPr>
              <w:adjustRightInd w:val="0"/>
              <w:snapToGrid w:val="0"/>
              <w:ind w:left="-88" w:leftChars="-42"/>
              <w:jc w:val="center"/>
              <w:rPr>
                <w:rFonts w:hint="eastAsia" w:ascii="宋体" w:hAnsi="宋体" w:cs="宋体"/>
                <w:color w:val="auto"/>
                <w:szCs w:val="21"/>
                <w:highlight w:val="none"/>
              </w:rPr>
            </w:pPr>
          </w:p>
        </w:tc>
        <w:tc>
          <w:tcPr>
            <w:tcW w:w="661" w:type="dxa"/>
            <w:vAlign w:val="center"/>
          </w:tcPr>
          <w:p w14:paraId="03B18031">
            <w:pPr>
              <w:adjustRightInd w:val="0"/>
              <w:snapToGrid w:val="0"/>
              <w:ind w:left="-88" w:leftChars="-42"/>
              <w:jc w:val="center"/>
              <w:rPr>
                <w:rFonts w:hint="eastAsia" w:ascii="宋体" w:hAnsi="宋体" w:cs="宋体"/>
                <w:color w:val="auto"/>
                <w:szCs w:val="21"/>
                <w:highlight w:val="none"/>
              </w:rPr>
            </w:pPr>
          </w:p>
        </w:tc>
      </w:tr>
      <w:tr w14:paraId="2AE8B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Pr>
          <w:p w14:paraId="5ED5FDD5">
            <w:pPr>
              <w:adjustRightInd w:val="0"/>
              <w:snapToGrid w:val="0"/>
              <w:ind w:left="-88" w:leftChars="-42"/>
              <w:jc w:val="center"/>
              <w:rPr>
                <w:rFonts w:hint="eastAsia" w:ascii="宋体" w:hAnsi="宋体" w:cs="宋体"/>
                <w:color w:val="auto"/>
                <w:szCs w:val="21"/>
                <w:highlight w:val="none"/>
              </w:rPr>
            </w:pPr>
          </w:p>
        </w:tc>
        <w:tc>
          <w:tcPr>
            <w:tcW w:w="1685" w:type="dxa"/>
            <w:vAlign w:val="center"/>
          </w:tcPr>
          <w:p w14:paraId="5277B57C">
            <w:pPr>
              <w:adjustRightInd w:val="0"/>
              <w:snapToGrid w:val="0"/>
              <w:ind w:left="-88" w:leftChars="-42"/>
              <w:jc w:val="center"/>
              <w:rPr>
                <w:rFonts w:hint="eastAsia" w:ascii="宋体" w:hAnsi="宋体" w:cs="宋体"/>
                <w:color w:val="auto"/>
                <w:szCs w:val="21"/>
                <w:highlight w:val="none"/>
              </w:rPr>
            </w:pPr>
          </w:p>
        </w:tc>
        <w:tc>
          <w:tcPr>
            <w:tcW w:w="1948" w:type="dxa"/>
            <w:vAlign w:val="center"/>
          </w:tcPr>
          <w:p w14:paraId="557A3F78">
            <w:pPr>
              <w:adjustRightInd w:val="0"/>
              <w:snapToGrid w:val="0"/>
              <w:ind w:left="-88" w:leftChars="-42"/>
              <w:jc w:val="center"/>
              <w:rPr>
                <w:rFonts w:hint="eastAsia" w:ascii="宋体" w:hAnsi="宋体" w:cs="宋体"/>
                <w:color w:val="auto"/>
                <w:szCs w:val="21"/>
                <w:highlight w:val="none"/>
              </w:rPr>
            </w:pPr>
          </w:p>
        </w:tc>
        <w:tc>
          <w:tcPr>
            <w:tcW w:w="2600" w:type="dxa"/>
            <w:vAlign w:val="center"/>
          </w:tcPr>
          <w:p w14:paraId="4DE1CE3D">
            <w:pPr>
              <w:adjustRightInd w:val="0"/>
              <w:snapToGrid w:val="0"/>
              <w:ind w:left="-88" w:leftChars="-42"/>
              <w:jc w:val="center"/>
              <w:rPr>
                <w:rFonts w:hint="eastAsia" w:ascii="宋体" w:hAnsi="宋体" w:cs="宋体"/>
                <w:color w:val="auto"/>
                <w:szCs w:val="21"/>
                <w:highlight w:val="none"/>
              </w:rPr>
            </w:pPr>
          </w:p>
        </w:tc>
        <w:tc>
          <w:tcPr>
            <w:tcW w:w="1214" w:type="dxa"/>
            <w:vAlign w:val="center"/>
          </w:tcPr>
          <w:p w14:paraId="6AB1C65C">
            <w:pPr>
              <w:adjustRightInd w:val="0"/>
              <w:snapToGrid w:val="0"/>
              <w:ind w:left="-88" w:leftChars="-42"/>
              <w:jc w:val="center"/>
              <w:rPr>
                <w:rFonts w:hint="eastAsia" w:ascii="宋体" w:hAnsi="宋体" w:cs="宋体"/>
                <w:color w:val="auto"/>
                <w:szCs w:val="21"/>
                <w:highlight w:val="none"/>
              </w:rPr>
            </w:pPr>
          </w:p>
        </w:tc>
        <w:tc>
          <w:tcPr>
            <w:tcW w:w="661" w:type="dxa"/>
            <w:vAlign w:val="center"/>
          </w:tcPr>
          <w:p w14:paraId="4113AD36">
            <w:pPr>
              <w:adjustRightInd w:val="0"/>
              <w:snapToGrid w:val="0"/>
              <w:ind w:left="-88" w:leftChars="-42"/>
              <w:jc w:val="center"/>
              <w:rPr>
                <w:rFonts w:hint="eastAsia" w:ascii="宋体" w:hAnsi="宋体" w:cs="宋体"/>
                <w:color w:val="auto"/>
                <w:szCs w:val="21"/>
                <w:highlight w:val="none"/>
              </w:rPr>
            </w:pPr>
          </w:p>
        </w:tc>
      </w:tr>
    </w:tbl>
    <w:p w14:paraId="3D055AB2">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说明：1、“响应与偏离”应注明“响应”或“偏离”。</w:t>
      </w:r>
    </w:p>
    <w:p w14:paraId="1175458B">
      <w:pPr>
        <w:adjustRightInd w:val="0"/>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2、属磋商文件规定可能变动的内容在“说明”栏中注明。</w:t>
      </w:r>
    </w:p>
    <w:p w14:paraId="5AF9A808">
      <w:pPr>
        <w:adjustRightInd w:val="0"/>
        <w:snapToGrid w:val="0"/>
        <w:spacing w:line="360" w:lineRule="auto"/>
        <w:outlineLvl w:val="0"/>
        <w:rPr>
          <w:rFonts w:hint="eastAsia" w:ascii="宋体" w:hAnsi="宋体" w:cs="宋体"/>
          <w:color w:val="auto"/>
          <w:szCs w:val="21"/>
          <w:highlight w:val="none"/>
        </w:rPr>
      </w:pPr>
    </w:p>
    <w:p w14:paraId="36B02023">
      <w:pPr>
        <w:rPr>
          <w:rFonts w:hint="eastAsia" w:ascii="宋体" w:hAnsi="宋体" w:cs="宋体"/>
          <w:color w:val="auto"/>
          <w:highlight w:val="none"/>
        </w:rPr>
      </w:pPr>
    </w:p>
    <w:p w14:paraId="1DCDA167">
      <w:pPr>
        <w:rPr>
          <w:rFonts w:hint="eastAsia" w:ascii="宋体" w:hAnsi="宋体" w:cs="宋体"/>
          <w:color w:val="auto"/>
          <w:highlight w:val="none"/>
        </w:rPr>
      </w:pPr>
    </w:p>
    <w:p w14:paraId="74B5B937">
      <w:pPr>
        <w:rPr>
          <w:rFonts w:hint="eastAsia" w:ascii="宋体" w:hAnsi="宋体" w:cs="宋体"/>
          <w:color w:val="auto"/>
          <w:highlight w:val="none"/>
        </w:rPr>
      </w:pPr>
    </w:p>
    <w:p w14:paraId="7A8F7A26">
      <w:pPr>
        <w:rPr>
          <w:rFonts w:hint="eastAsia" w:ascii="宋体" w:hAnsi="宋体" w:cs="宋体"/>
          <w:color w:val="auto"/>
          <w:highlight w:val="none"/>
        </w:rPr>
      </w:pPr>
    </w:p>
    <w:p w14:paraId="6D4DF7B7">
      <w:pPr>
        <w:rPr>
          <w:rFonts w:hint="eastAsia" w:ascii="宋体" w:hAnsi="宋体" w:cs="宋体"/>
          <w:color w:val="auto"/>
          <w:highlight w:val="none"/>
        </w:rPr>
      </w:pPr>
    </w:p>
    <w:p w14:paraId="632527AE">
      <w:pPr>
        <w:rPr>
          <w:rFonts w:hint="eastAsia" w:ascii="宋体" w:hAnsi="宋体" w:cs="宋体"/>
          <w:color w:val="auto"/>
          <w:highlight w:val="none"/>
        </w:rPr>
      </w:pPr>
    </w:p>
    <w:p w14:paraId="23703653">
      <w:pPr>
        <w:adjustRightInd w:val="0"/>
        <w:snapToGrid w:val="0"/>
        <w:spacing w:line="360" w:lineRule="auto"/>
        <w:outlineLvl w:val="0"/>
        <w:rPr>
          <w:rFonts w:hint="eastAsia" w:ascii="宋体" w:hAnsi="宋体" w:cs="宋体"/>
          <w:bCs/>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22E0C826">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14:paraId="246B23E9">
      <w:pPr>
        <w:adjustRightInd w:val="0"/>
        <w:snapToGrid w:val="0"/>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日          期：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14:paraId="3D4D6DC6">
      <w:pPr>
        <w:adjustRightInd w:val="0"/>
        <w:snapToGrid w:val="0"/>
        <w:spacing w:line="360" w:lineRule="auto"/>
        <w:rPr>
          <w:rFonts w:hint="eastAsia" w:ascii="宋体" w:hAnsi="宋体" w:cs="宋体"/>
          <w:color w:val="auto"/>
          <w:szCs w:val="21"/>
          <w:highlight w:val="none"/>
        </w:rPr>
      </w:pPr>
    </w:p>
    <w:p w14:paraId="5E790D62">
      <w:pPr>
        <w:tabs>
          <w:tab w:val="left" w:pos="3600"/>
        </w:tabs>
        <w:adjustRightInd w:val="0"/>
        <w:snapToGrid w:val="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r>
        <w:rPr>
          <w:rFonts w:hint="eastAsia" w:ascii="宋体" w:hAnsi="宋体" w:cs="宋体"/>
          <w:b/>
          <w:color w:val="auto"/>
          <w:sz w:val="30"/>
          <w:szCs w:val="30"/>
          <w:highlight w:val="none"/>
          <w:lang w:val="en-US" w:eastAsia="zh-CN"/>
        </w:rPr>
        <w:t>五</w:t>
      </w:r>
      <w:r>
        <w:rPr>
          <w:rFonts w:hint="eastAsia" w:ascii="宋体" w:hAnsi="宋体" w:cs="宋体"/>
          <w:b/>
          <w:color w:val="auto"/>
          <w:sz w:val="30"/>
          <w:szCs w:val="30"/>
          <w:highlight w:val="none"/>
        </w:rPr>
        <w:t>、提供享受政府采购政策的证明材料和清单表</w:t>
      </w:r>
    </w:p>
    <w:p w14:paraId="65035B3D">
      <w:pPr>
        <w:tabs>
          <w:tab w:val="left" w:pos="3600"/>
        </w:tabs>
        <w:adjustRightInd w:val="0"/>
        <w:snapToGrid w:val="0"/>
        <w:jc w:val="center"/>
        <w:rPr>
          <w:rFonts w:hint="eastAsia" w:ascii="宋体" w:hAnsi="宋体" w:cs="宋体"/>
          <w:b/>
          <w:color w:val="auto"/>
          <w:sz w:val="32"/>
          <w:szCs w:val="32"/>
          <w:highlight w:val="none"/>
        </w:rPr>
      </w:pPr>
    </w:p>
    <w:p w14:paraId="4CD02FEA">
      <w:pPr>
        <w:widowControl/>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附件8-1</w:t>
      </w:r>
    </w:p>
    <w:p w14:paraId="69CB0E67">
      <w:pPr>
        <w:jc w:val="center"/>
        <w:rPr>
          <w:rFonts w:hint="eastAsia" w:ascii="宋体" w:hAnsi="宋体" w:cs="宋体"/>
          <w:bCs/>
          <w:color w:val="auto"/>
          <w:spacing w:val="6"/>
          <w:kern w:val="0"/>
          <w:szCs w:val="21"/>
          <w:highlight w:val="none"/>
        </w:rPr>
      </w:pPr>
      <w:r>
        <w:rPr>
          <w:rFonts w:hint="eastAsia" w:ascii="宋体" w:hAnsi="宋体" w:cs="宋体"/>
          <w:bCs/>
          <w:color w:val="auto"/>
          <w:spacing w:val="6"/>
          <w:kern w:val="0"/>
          <w:szCs w:val="21"/>
          <w:highlight w:val="none"/>
        </w:rPr>
        <w:t>中小企业声明函(工程、服务)</w:t>
      </w:r>
    </w:p>
    <w:p w14:paraId="2DF482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本公司(联合体)郑重声明，根据《政府采购促进中小企业发展管理办法》(财库( 2020 )46号)的规定，本公司(联合体)参加</w:t>
      </w:r>
      <w:r>
        <w:rPr>
          <w:rFonts w:hint="eastAsia" w:ascii="宋体" w:hAnsi="宋体" w:cs="宋体"/>
          <w:i/>
          <w:iCs/>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184F7B1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项目 </w:t>
      </w:r>
      <w:r>
        <w:rPr>
          <w:rFonts w:hint="eastAsia" w:ascii="宋体" w:hAnsi="宋体" w:cs="宋体"/>
          <w:color w:val="auto"/>
          <w:szCs w:val="21"/>
          <w:highlight w:val="none"/>
        </w:rPr>
        <w:t>,属于</w:t>
      </w:r>
      <w:r>
        <w:rPr>
          <w:rFonts w:hint="eastAsia" w:ascii="宋体" w:hAnsi="宋体" w:cs="宋体"/>
          <w:color w:val="auto"/>
          <w:szCs w:val="21"/>
          <w:highlight w:val="none"/>
          <w:u w:val="single"/>
        </w:rPr>
        <w:t xml:space="preserve"> 其他未列明行业</w:t>
      </w:r>
      <w:r>
        <w:rPr>
          <w:rFonts w:hint="eastAsia" w:ascii="宋体" w:hAnsi="宋体" w:cs="宋体"/>
          <w:color w:val="auto"/>
          <w:szCs w:val="21"/>
          <w:highlight w:val="none"/>
        </w:rPr>
        <w:t>;承接企业为</w:t>
      </w:r>
      <w:r>
        <w:rPr>
          <w:rFonts w:hint="eastAsia" w:ascii="宋体" w:hAnsi="宋体" w:cs="宋体"/>
          <w:i/>
          <w:iCs/>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 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i/>
          <w:iCs/>
          <w:color w:val="auto"/>
          <w:szCs w:val="21"/>
          <w:highlight w:val="none"/>
          <w:u w:val="single"/>
        </w:rPr>
        <w:t>(中型企业、小型企业、微型企业)</w:t>
      </w:r>
      <w:r>
        <w:rPr>
          <w:rFonts w:hint="eastAsia" w:ascii="宋体" w:hAnsi="宋体" w:cs="宋体"/>
          <w:color w:val="auto"/>
          <w:szCs w:val="21"/>
          <w:highlight w:val="none"/>
        </w:rPr>
        <w:t>;</w:t>
      </w:r>
    </w:p>
    <w:p w14:paraId="3C31F5A6">
      <w:pPr>
        <w:spacing w:line="440" w:lineRule="exact"/>
        <w:ind w:firstLine="420" w:firstLineChars="200"/>
        <w:rPr>
          <w:rFonts w:hint="eastAsia" w:ascii="宋体" w:hAnsi="宋体" w:cs="宋体"/>
          <w:color w:val="auto"/>
          <w:szCs w:val="21"/>
          <w:highlight w:val="none"/>
        </w:rPr>
      </w:pPr>
    </w:p>
    <w:p w14:paraId="63A9C8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37A153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7D8D0492">
      <w:pPr>
        <w:spacing w:line="440" w:lineRule="exact"/>
        <w:ind w:left="1260" w:firstLine="3708" w:firstLineChars="1766"/>
        <w:rPr>
          <w:rFonts w:hint="eastAsia" w:ascii="宋体" w:hAnsi="宋体" w:cs="宋体"/>
          <w:color w:val="auto"/>
          <w:szCs w:val="21"/>
          <w:highlight w:val="none"/>
        </w:rPr>
      </w:pPr>
    </w:p>
    <w:p w14:paraId="25F53F37">
      <w:pPr>
        <w:spacing w:line="440" w:lineRule="exact"/>
        <w:ind w:left="1260" w:firstLine="3708" w:firstLineChars="1766"/>
        <w:rPr>
          <w:rFonts w:hint="eastAsia" w:ascii="宋体" w:hAnsi="宋体" w:cs="宋体"/>
          <w:color w:val="auto"/>
          <w:szCs w:val="21"/>
          <w:highlight w:val="none"/>
        </w:rPr>
      </w:pPr>
      <w:r>
        <w:rPr>
          <w:rFonts w:hint="eastAsia" w:ascii="宋体" w:hAnsi="宋体" w:cs="宋体"/>
          <w:color w:val="auto"/>
          <w:szCs w:val="21"/>
          <w:highlight w:val="none"/>
        </w:rPr>
        <w:t>企业名称(盖章):</w:t>
      </w:r>
    </w:p>
    <w:p w14:paraId="4C86E34B">
      <w:pPr>
        <w:spacing w:line="440" w:lineRule="exact"/>
        <w:ind w:left="1260" w:firstLine="3708" w:firstLineChars="1766"/>
        <w:rPr>
          <w:rFonts w:hint="eastAsia" w:ascii="宋体" w:hAnsi="宋体" w:cs="宋体"/>
          <w:color w:val="auto"/>
          <w:szCs w:val="21"/>
          <w:highlight w:val="none"/>
        </w:rPr>
      </w:pPr>
      <w:r>
        <w:rPr>
          <w:rFonts w:hint="eastAsia" w:ascii="宋体" w:hAnsi="宋体" w:cs="宋体"/>
          <w:color w:val="auto"/>
          <w:szCs w:val="21"/>
          <w:highlight w:val="none"/>
        </w:rPr>
        <w:t>日期:</w:t>
      </w:r>
    </w:p>
    <w:p w14:paraId="6DCA8491">
      <w:pPr>
        <w:spacing w:line="440" w:lineRule="exact"/>
        <w:ind w:firstLine="420" w:firstLineChars="200"/>
        <w:rPr>
          <w:rFonts w:hint="eastAsia" w:ascii="宋体" w:hAnsi="宋体" w:cs="宋体"/>
          <w:color w:val="auto"/>
          <w:szCs w:val="21"/>
          <w:highlight w:val="none"/>
        </w:rPr>
      </w:pPr>
    </w:p>
    <w:p w14:paraId="0D4CA418">
      <w:pPr>
        <w:spacing w:line="440" w:lineRule="exact"/>
        <w:ind w:firstLine="420" w:firstLineChars="200"/>
        <w:rPr>
          <w:rFonts w:hint="eastAsia" w:ascii="宋体" w:hAnsi="宋体" w:cs="宋体"/>
          <w:color w:val="auto"/>
          <w:szCs w:val="21"/>
          <w:highlight w:val="none"/>
        </w:rPr>
      </w:pPr>
    </w:p>
    <w:p w14:paraId="503FD21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1、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3B6C4826">
      <w:pPr>
        <w:spacing w:line="440" w:lineRule="exact"/>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2、从业人员、营业收入、资产总额填报上一年度数据，无上一年度数据的新成立企业可不填报资产总额。</w:t>
      </w:r>
    </w:p>
    <w:p w14:paraId="4418BAB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3、社会组织（民办非企业）不适用于《中小企业划型标准规定》（工信部联企业〔2011〕300号），不能划分为中小微企业，暂不能享受政府采购中小企业优惠政策。</w:t>
      </w:r>
    </w:p>
    <w:p w14:paraId="03BEC676">
      <w:pPr>
        <w:widowControl/>
        <w:adjustRightInd w:val="0"/>
        <w:snapToGrid w:val="0"/>
        <w:spacing w:line="360" w:lineRule="auto"/>
        <w:ind w:firstLine="420" w:firstLineChars="200"/>
        <w:jc w:val="center"/>
        <w:rPr>
          <w:rFonts w:hint="eastAsia" w:ascii="宋体" w:hAnsi="宋体" w:cs="宋体"/>
          <w:color w:val="auto"/>
          <w:szCs w:val="21"/>
          <w:highlight w:val="none"/>
        </w:rPr>
      </w:pPr>
    </w:p>
    <w:p w14:paraId="48D04C26">
      <w:pPr>
        <w:autoSpaceDE w:val="0"/>
        <w:autoSpaceDN w:val="0"/>
        <w:adjustRightInd w:val="0"/>
        <w:rPr>
          <w:rFonts w:hint="eastAsia" w:ascii="宋体" w:hAnsi="宋体" w:cs="宋体"/>
          <w:color w:val="auto"/>
          <w:szCs w:val="21"/>
          <w:highlight w:val="none"/>
        </w:rPr>
      </w:pPr>
    </w:p>
    <w:p w14:paraId="7A0618E1">
      <w:pPr>
        <w:widowControl/>
        <w:adjustRightInd w:val="0"/>
        <w:snapToGrid w:val="0"/>
        <w:spacing w:line="360" w:lineRule="auto"/>
        <w:rPr>
          <w:rFonts w:hint="eastAsia" w:ascii="宋体" w:hAnsi="宋体" w:cs="宋体"/>
          <w:color w:val="auto"/>
          <w:spacing w:val="6"/>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附件8—2</w:t>
      </w:r>
    </w:p>
    <w:p w14:paraId="56F57017">
      <w:pPr>
        <w:adjustRightInd w:val="0"/>
        <w:snapToGrid w:val="0"/>
        <w:spacing w:line="360" w:lineRule="auto"/>
        <w:jc w:val="center"/>
        <w:rPr>
          <w:rFonts w:hint="eastAsia" w:ascii="宋体" w:hAnsi="宋体" w:cs="宋体"/>
          <w:b/>
          <w:color w:val="auto"/>
          <w:spacing w:val="6"/>
          <w:sz w:val="28"/>
          <w:szCs w:val="28"/>
          <w:highlight w:val="none"/>
        </w:rPr>
      </w:pPr>
      <w:r>
        <w:rPr>
          <w:rFonts w:hint="eastAsia" w:ascii="宋体" w:hAnsi="宋体" w:cs="宋体"/>
          <w:b/>
          <w:color w:val="auto"/>
          <w:spacing w:val="6"/>
          <w:sz w:val="28"/>
          <w:szCs w:val="28"/>
          <w:highlight w:val="none"/>
        </w:rPr>
        <w:t>残疾人福利性单位声明函</w:t>
      </w:r>
    </w:p>
    <w:p w14:paraId="20DA020B">
      <w:pPr>
        <w:adjustRightInd w:val="0"/>
        <w:snapToGrid w:val="0"/>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(不属于残疾人福利性单位的无需填写)</w:t>
      </w:r>
    </w:p>
    <w:p w14:paraId="668D11BF">
      <w:pPr>
        <w:adjustRightInd w:val="0"/>
        <w:snapToGrid w:val="0"/>
        <w:spacing w:line="360" w:lineRule="auto"/>
        <w:ind w:firstLine="444" w:firstLineChars="200"/>
        <w:rPr>
          <w:rFonts w:hint="eastAsia" w:ascii="宋体" w:hAnsi="宋体" w:cs="宋体"/>
          <w:color w:val="auto"/>
          <w:spacing w:val="6"/>
          <w:szCs w:val="21"/>
          <w:highlight w:val="none"/>
        </w:rPr>
      </w:pPr>
    </w:p>
    <w:p w14:paraId="4CEEBD9A">
      <w:pPr>
        <w:adjustRightInd w:val="0"/>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ECA864">
      <w:pPr>
        <w:adjustRightInd w:val="0"/>
        <w:snapToGrid w:val="0"/>
        <w:spacing w:line="360" w:lineRule="auto"/>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B04F04C">
      <w:pPr>
        <w:adjustRightInd w:val="0"/>
        <w:snapToGrid w:val="0"/>
        <w:spacing w:line="360" w:lineRule="auto"/>
        <w:ind w:firstLine="444" w:firstLineChars="200"/>
        <w:rPr>
          <w:rFonts w:hint="eastAsia" w:ascii="宋体" w:hAnsi="宋体" w:cs="宋体"/>
          <w:color w:val="auto"/>
          <w:spacing w:val="6"/>
          <w:szCs w:val="21"/>
          <w:highlight w:val="none"/>
        </w:rPr>
      </w:pPr>
    </w:p>
    <w:p w14:paraId="07838A13">
      <w:pPr>
        <w:adjustRightInd w:val="0"/>
        <w:snapToGrid w:val="0"/>
        <w:spacing w:line="360" w:lineRule="auto"/>
        <w:ind w:firstLine="444" w:firstLineChars="200"/>
        <w:rPr>
          <w:rFonts w:hint="eastAsia" w:ascii="宋体" w:hAnsi="宋体" w:cs="宋体"/>
          <w:color w:val="auto"/>
          <w:spacing w:val="6"/>
          <w:szCs w:val="21"/>
          <w:highlight w:val="none"/>
        </w:rPr>
      </w:pPr>
    </w:p>
    <w:p w14:paraId="5C54B51F">
      <w:pPr>
        <w:tabs>
          <w:tab w:val="left" w:pos="4860"/>
        </w:tabs>
        <w:adjustRightInd w:val="0"/>
        <w:snapToGrid w:val="0"/>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单位名称（盖章）：</w:t>
      </w:r>
    </w:p>
    <w:p w14:paraId="38B54546">
      <w:pPr>
        <w:tabs>
          <w:tab w:val="left" w:pos="4860"/>
        </w:tabs>
        <w:adjustRightInd w:val="0"/>
        <w:snapToGrid w:val="0"/>
        <w:spacing w:line="360" w:lineRule="auto"/>
        <w:ind w:right="1560" w:firstLine="444" w:firstLineChars="200"/>
        <w:jc w:val="center"/>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14:paraId="1D2F4E32">
      <w:pPr>
        <w:widowControl/>
        <w:adjustRightInd w:val="0"/>
        <w:snapToGrid w:val="0"/>
        <w:spacing w:line="360" w:lineRule="auto"/>
        <w:jc w:val="left"/>
        <w:rPr>
          <w:rFonts w:hint="eastAsia" w:ascii="宋体" w:hAnsi="宋体" w:cs="宋体"/>
          <w:color w:val="auto"/>
          <w:kern w:val="0"/>
          <w:szCs w:val="21"/>
          <w:highlight w:val="none"/>
        </w:rPr>
      </w:pPr>
    </w:p>
    <w:p w14:paraId="3AD79DBF">
      <w:pPr>
        <w:keepNext/>
        <w:keepLines/>
        <w:spacing w:before="260" w:after="260" w:line="416" w:lineRule="auto"/>
        <w:outlineLvl w:val="2"/>
        <w:rPr>
          <w:rFonts w:hint="eastAsia" w:ascii="宋体" w:hAnsi="宋体" w:cs="宋体"/>
          <w:b/>
          <w:bCs/>
          <w:color w:val="auto"/>
          <w:szCs w:val="21"/>
          <w:highlight w:val="none"/>
        </w:rPr>
      </w:pPr>
      <w:bookmarkStart w:id="11" w:name="_Toc34637807"/>
      <w:bookmarkStart w:id="12" w:name="_Toc22201165"/>
      <w:r>
        <w:rPr>
          <w:rFonts w:hint="eastAsia" w:ascii="宋体" w:hAnsi="宋体" w:cs="宋体"/>
          <w:b/>
          <w:bCs/>
          <w:color w:val="auto"/>
          <w:kern w:val="0"/>
          <w:szCs w:val="21"/>
          <w:highlight w:val="none"/>
        </w:rPr>
        <w:br w:type="page"/>
      </w:r>
      <w:r>
        <w:rPr>
          <w:rFonts w:hint="eastAsia" w:ascii="宋体" w:hAnsi="宋体" w:cs="宋体"/>
          <w:color w:val="auto"/>
          <w:kern w:val="0"/>
          <w:szCs w:val="21"/>
          <w:highlight w:val="none"/>
        </w:rPr>
        <w:t>附件8-3</w:t>
      </w:r>
      <w:r>
        <w:rPr>
          <w:rFonts w:hint="eastAsia" w:ascii="宋体" w:hAnsi="宋体" w:cs="宋体"/>
          <w:b/>
          <w:bCs/>
          <w:color w:val="auto"/>
          <w:kern w:val="0"/>
          <w:szCs w:val="21"/>
          <w:highlight w:val="none"/>
        </w:rPr>
        <w:t xml:space="preserve"> </w:t>
      </w:r>
      <w:bookmarkEnd w:id="11"/>
      <w:bookmarkEnd w:id="12"/>
    </w:p>
    <w:p w14:paraId="7CCB6A18">
      <w:pPr>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监狱企业证明资料</w:t>
      </w:r>
    </w:p>
    <w:p w14:paraId="22B22663">
      <w:pPr>
        <w:adjustRightInd w:val="0"/>
        <w:snapToGrid w:val="0"/>
        <w:spacing w:line="360" w:lineRule="auto"/>
        <w:jc w:val="center"/>
        <w:rPr>
          <w:rFonts w:hint="eastAsia" w:ascii="宋体" w:hAnsi="宋体" w:cs="宋体"/>
          <w:b/>
          <w:color w:val="auto"/>
          <w:spacing w:val="6"/>
          <w:szCs w:val="21"/>
          <w:highlight w:val="none"/>
        </w:rPr>
      </w:pPr>
      <w:r>
        <w:rPr>
          <w:rFonts w:hint="eastAsia" w:ascii="宋体" w:hAnsi="宋体" w:cs="宋体"/>
          <w:b/>
          <w:color w:val="auto"/>
          <w:spacing w:val="6"/>
          <w:szCs w:val="21"/>
          <w:highlight w:val="none"/>
        </w:rPr>
        <w:t>(不属于监狱企业的无需提供)</w:t>
      </w:r>
    </w:p>
    <w:p w14:paraId="27776D9F">
      <w:pPr>
        <w:adjustRightInd w:val="0"/>
        <w:snapToGrid w:val="0"/>
        <w:spacing w:line="360" w:lineRule="auto"/>
        <w:rPr>
          <w:rFonts w:hint="eastAsia" w:ascii="宋体" w:hAnsi="宋体" w:cs="宋体"/>
          <w:color w:val="auto"/>
          <w:szCs w:val="21"/>
          <w:highlight w:val="none"/>
        </w:rPr>
      </w:pPr>
    </w:p>
    <w:p w14:paraId="2BB53572">
      <w:pPr>
        <w:adjustRightInd w:val="0"/>
        <w:snapToGrid w:val="0"/>
        <w:spacing w:line="360" w:lineRule="auto"/>
        <w:ind w:firstLine="444" w:firstLineChars="200"/>
        <w:rPr>
          <w:rFonts w:hint="eastAsia" w:ascii="宋体" w:hAnsi="宋体" w:cs="宋体"/>
          <w:color w:val="auto"/>
          <w:szCs w:val="21"/>
          <w:highlight w:val="none"/>
        </w:rPr>
      </w:pPr>
      <w:r>
        <w:rPr>
          <w:rFonts w:hint="eastAsia" w:ascii="宋体" w:hAnsi="宋体" w:cs="宋体"/>
          <w:bCs/>
          <w:color w:val="auto"/>
          <w:spacing w:val="6"/>
          <w:kern w:val="0"/>
          <w:szCs w:val="21"/>
          <w:highlight w:val="none"/>
        </w:rPr>
        <w:t>备注：</w:t>
      </w:r>
      <w:r>
        <w:rPr>
          <w:rFonts w:hint="eastAsia" w:ascii="宋体" w:hAnsi="宋体" w:cs="宋体"/>
          <w:color w:val="auto"/>
          <w:szCs w:val="21"/>
          <w:highlight w:val="none"/>
        </w:rPr>
        <w:t>按</w:t>
      </w:r>
      <w:r>
        <w:rPr>
          <w:rFonts w:hint="eastAsia" w:ascii="宋体" w:hAnsi="宋体" w:cs="宋体"/>
          <w:color w:val="auto"/>
          <w:spacing w:val="6"/>
          <w:szCs w:val="21"/>
          <w:highlight w:val="none"/>
        </w:rPr>
        <w:t>《</w:t>
      </w:r>
      <w:r>
        <w:rPr>
          <w:rFonts w:hint="eastAsia" w:ascii="宋体" w:hAnsi="宋体" w:cs="宋体"/>
          <w:color w:val="auto"/>
          <w:szCs w:val="21"/>
          <w:highlight w:val="none"/>
        </w:rPr>
        <w:t>财政部 司法部关于政府采购支持监狱企业发展有关问题的通知</w:t>
      </w:r>
      <w:r>
        <w:rPr>
          <w:rFonts w:hint="eastAsia" w:ascii="宋体" w:hAnsi="宋体" w:cs="宋体"/>
          <w:color w:val="auto"/>
          <w:spacing w:val="6"/>
          <w:szCs w:val="21"/>
          <w:highlight w:val="none"/>
        </w:rPr>
        <w:t>》</w:t>
      </w:r>
      <w:r>
        <w:rPr>
          <w:rFonts w:hint="eastAsia" w:ascii="宋体" w:hAnsi="宋体" w:cs="宋体"/>
          <w:color w:val="auto"/>
          <w:szCs w:val="21"/>
          <w:highlight w:val="none"/>
        </w:rPr>
        <w:t>(财库〔2014〕68号)文件规定提供证明文件（复印件）。</w:t>
      </w:r>
    </w:p>
    <w:p w14:paraId="61D0113B">
      <w:pPr>
        <w:adjustRightInd w:val="0"/>
        <w:snapToGrid w:val="0"/>
        <w:spacing w:line="360" w:lineRule="auto"/>
        <w:ind w:firstLine="420" w:firstLineChars="200"/>
        <w:rPr>
          <w:rFonts w:hint="eastAsia" w:ascii="宋体" w:hAnsi="宋体" w:cs="宋体"/>
          <w:color w:val="auto"/>
          <w:szCs w:val="21"/>
          <w:highlight w:val="none"/>
        </w:rPr>
      </w:pPr>
    </w:p>
    <w:p w14:paraId="0631F4D4">
      <w:pPr>
        <w:adjustRightInd w:val="0"/>
        <w:snapToGrid w:val="0"/>
        <w:spacing w:line="360" w:lineRule="auto"/>
        <w:ind w:firstLine="420" w:firstLineChars="200"/>
        <w:rPr>
          <w:rFonts w:hint="eastAsia" w:ascii="宋体" w:hAnsi="宋体" w:cs="宋体"/>
          <w:color w:val="auto"/>
          <w:szCs w:val="21"/>
          <w:highlight w:val="none"/>
        </w:rPr>
      </w:pPr>
    </w:p>
    <w:p w14:paraId="458A2E2D">
      <w:pPr>
        <w:rPr>
          <w:rFonts w:hint="eastAsia" w:ascii="宋体" w:hAnsi="宋体" w:cs="宋体"/>
          <w:b/>
          <w:bCs/>
          <w:color w:val="auto"/>
          <w:szCs w:val="21"/>
          <w:highlight w:val="none"/>
        </w:rPr>
      </w:pPr>
      <w:r>
        <w:rPr>
          <w:rFonts w:hint="eastAsia" w:ascii="宋体" w:hAnsi="宋体" w:cs="宋体"/>
          <w:color w:val="auto"/>
          <w:spacing w:val="6"/>
          <w:kern w:val="0"/>
          <w:highlight w:val="none"/>
        </w:rPr>
        <w:br w:type="page"/>
      </w:r>
    </w:p>
    <w:p w14:paraId="47399000">
      <w:pPr>
        <w:ind w:firstLine="803"/>
        <w:jc w:val="center"/>
        <w:rPr>
          <w:rFonts w:hint="eastAsia" w:ascii="宋体" w:hAnsi="宋体" w:cs="宋体"/>
          <w:b/>
          <w:color w:val="auto"/>
          <w:sz w:val="32"/>
          <w:szCs w:val="32"/>
          <w:highlight w:val="none"/>
        </w:rPr>
      </w:pP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w:t>
      </w:r>
      <w:r>
        <w:rPr>
          <w:rFonts w:hint="eastAsia" w:ascii="宋体" w:hAnsi="宋体" w:cs="宋体"/>
          <w:b/>
          <w:color w:val="auto"/>
          <w:sz w:val="32"/>
          <w:szCs w:val="32"/>
          <w:highlight w:val="none"/>
        </w:rPr>
        <w:t>报价一览表及报价文件</w:t>
      </w:r>
    </w:p>
    <w:p w14:paraId="065629EB">
      <w:pPr>
        <w:tabs>
          <w:tab w:val="left" w:pos="1680"/>
        </w:tabs>
        <w:adjustRightInd w:val="0"/>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附件9</w:t>
      </w:r>
      <w:r>
        <w:rPr>
          <w:rFonts w:hint="eastAsia" w:ascii="宋体" w:hAnsi="宋体" w:cs="宋体"/>
          <w:color w:val="auto"/>
          <w:sz w:val="30"/>
          <w:szCs w:val="30"/>
          <w:highlight w:val="none"/>
        </w:rPr>
        <w:tab/>
      </w:r>
    </w:p>
    <w:p w14:paraId="3292CEA6">
      <w:pPr>
        <w:adjustRightInd w:val="0"/>
        <w:snapToGrid w:val="0"/>
        <w:jc w:val="center"/>
        <w:rPr>
          <w:rFonts w:hint="eastAsia" w:ascii="宋体" w:hAnsi="宋体" w:cs="宋体"/>
          <w:bCs/>
          <w:color w:val="auto"/>
          <w:sz w:val="30"/>
          <w:szCs w:val="30"/>
          <w:highlight w:val="none"/>
        </w:rPr>
      </w:pPr>
    </w:p>
    <w:p w14:paraId="450E8B93">
      <w:pPr>
        <w:jc w:val="center"/>
        <w:rPr>
          <w:rFonts w:hint="eastAsia" w:ascii="宋体" w:hAnsi="宋体" w:cs="宋体"/>
          <w:color w:val="auto"/>
          <w:sz w:val="30"/>
          <w:szCs w:val="30"/>
          <w:highlight w:val="none"/>
        </w:rPr>
      </w:pPr>
      <w:r>
        <w:rPr>
          <w:rFonts w:hint="eastAsia" w:ascii="宋体" w:hAnsi="宋体" w:cs="宋体"/>
          <w:bCs/>
          <w:color w:val="auto"/>
          <w:sz w:val="30"/>
          <w:szCs w:val="30"/>
          <w:highlight w:val="none"/>
        </w:rPr>
        <w:t>报价一览表</w:t>
      </w:r>
    </w:p>
    <w:p w14:paraId="5A0D5500">
      <w:pPr>
        <w:adjustRightInd w:val="0"/>
        <w:snapToGrid w:val="0"/>
        <w:ind w:right="23" w:rightChars="11"/>
        <w:rPr>
          <w:rFonts w:hint="eastAsia" w:ascii="黑体" w:hAnsi="宋体" w:eastAsia="黑体"/>
          <w:color w:val="auto"/>
          <w:sz w:val="24"/>
          <w:highlight w:val="none"/>
        </w:rPr>
      </w:pPr>
    </w:p>
    <w:tbl>
      <w:tblPr>
        <w:tblStyle w:val="23"/>
        <w:tblW w:w="89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412"/>
        <w:gridCol w:w="3053"/>
        <w:gridCol w:w="1530"/>
        <w:gridCol w:w="2272"/>
      </w:tblGrid>
      <w:tr w14:paraId="1F61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651" w:type="dxa"/>
            <w:vMerge w:val="restart"/>
            <w:tcBorders>
              <w:top w:val="double" w:color="auto" w:sz="4" w:space="0"/>
              <w:left w:val="double" w:color="auto" w:sz="4" w:space="0"/>
              <w:bottom w:val="single" w:color="auto" w:sz="6" w:space="0"/>
              <w:right w:val="single" w:color="auto" w:sz="6" w:space="0"/>
            </w:tcBorders>
            <w:vAlign w:val="center"/>
          </w:tcPr>
          <w:p w14:paraId="4C82CF9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2" w:type="dxa"/>
            <w:vMerge w:val="restart"/>
            <w:tcBorders>
              <w:top w:val="double" w:color="auto" w:sz="4" w:space="0"/>
              <w:left w:val="single" w:color="auto" w:sz="6" w:space="0"/>
              <w:bottom w:val="single" w:color="auto" w:sz="6" w:space="0"/>
              <w:right w:val="single" w:color="auto" w:sz="6" w:space="0"/>
            </w:tcBorders>
            <w:vAlign w:val="center"/>
          </w:tcPr>
          <w:p w14:paraId="5162D7F4">
            <w:pPr>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3053" w:type="dxa"/>
            <w:vMerge w:val="restart"/>
            <w:tcBorders>
              <w:top w:val="double" w:color="auto" w:sz="4" w:space="0"/>
              <w:left w:val="single" w:color="auto" w:sz="6" w:space="0"/>
              <w:bottom w:val="single" w:color="auto" w:sz="6" w:space="0"/>
              <w:right w:val="single" w:color="auto" w:sz="6" w:space="0"/>
            </w:tcBorders>
            <w:vAlign w:val="center"/>
          </w:tcPr>
          <w:p w14:paraId="58038E65">
            <w:pPr>
              <w:ind w:left="-88" w:leftChars="-42"/>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园区土方调配总体规划及2025年建设项目土方平衡设计专题研究项目</w:t>
            </w:r>
          </w:p>
        </w:tc>
        <w:tc>
          <w:tcPr>
            <w:tcW w:w="1530" w:type="dxa"/>
            <w:tcBorders>
              <w:top w:val="double" w:color="auto" w:sz="4" w:space="0"/>
              <w:left w:val="single" w:color="auto" w:sz="6" w:space="0"/>
              <w:bottom w:val="single" w:color="auto" w:sz="6" w:space="0"/>
              <w:right w:val="single" w:color="auto" w:sz="6" w:space="0"/>
            </w:tcBorders>
            <w:vAlign w:val="center"/>
          </w:tcPr>
          <w:p w14:paraId="1B7AA1F8">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采 购 编 号</w:t>
            </w:r>
          </w:p>
        </w:tc>
        <w:tc>
          <w:tcPr>
            <w:tcW w:w="2272" w:type="dxa"/>
            <w:tcBorders>
              <w:top w:val="double" w:color="auto" w:sz="4" w:space="0"/>
              <w:left w:val="single" w:color="auto" w:sz="6" w:space="0"/>
              <w:bottom w:val="single" w:color="auto" w:sz="6" w:space="0"/>
              <w:right w:val="double" w:color="auto" w:sz="4" w:space="0"/>
            </w:tcBorders>
            <w:vAlign w:val="center"/>
          </w:tcPr>
          <w:p w14:paraId="4AA46270">
            <w:pPr>
              <w:spacing w:line="360" w:lineRule="auto"/>
              <w:jc w:val="center"/>
              <w:rPr>
                <w:rFonts w:hint="eastAsia" w:ascii="宋体" w:hAnsi="宋体" w:cs="宋体"/>
                <w:color w:val="auto"/>
                <w:szCs w:val="21"/>
                <w:highlight w:val="none"/>
              </w:rPr>
            </w:pPr>
          </w:p>
        </w:tc>
      </w:tr>
      <w:tr w14:paraId="2918E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651" w:type="dxa"/>
            <w:vMerge w:val="continue"/>
            <w:tcBorders>
              <w:top w:val="single" w:color="auto" w:sz="6" w:space="0"/>
              <w:left w:val="double" w:color="auto" w:sz="4" w:space="0"/>
              <w:bottom w:val="single" w:color="auto" w:sz="6" w:space="0"/>
              <w:right w:val="single" w:color="auto" w:sz="6" w:space="0"/>
            </w:tcBorders>
            <w:vAlign w:val="center"/>
          </w:tcPr>
          <w:p w14:paraId="6F8CE206">
            <w:pPr>
              <w:widowControl/>
              <w:ind w:left="-88" w:leftChars="-42"/>
              <w:jc w:val="center"/>
              <w:rPr>
                <w:rFonts w:hint="eastAsia" w:ascii="宋体" w:hAnsi="宋体" w:cs="宋体"/>
                <w:color w:val="auto"/>
                <w:szCs w:val="21"/>
                <w:highlight w:val="none"/>
              </w:rPr>
            </w:pPr>
          </w:p>
        </w:tc>
        <w:tc>
          <w:tcPr>
            <w:tcW w:w="1412" w:type="dxa"/>
            <w:vMerge w:val="continue"/>
            <w:tcBorders>
              <w:top w:val="single" w:color="auto" w:sz="6" w:space="0"/>
              <w:left w:val="single" w:color="auto" w:sz="6" w:space="0"/>
              <w:bottom w:val="single" w:color="auto" w:sz="6" w:space="0"/>
              <w:right w:val="single" w:color="auto" w:sz="6" w:space="0"/>
            </w:tcBorders>
            <w:vAlign w:val="center"/>
          </w:tcPr>
          <w:p w14:paraId="0AC7F5BF">
            <w:pPr>
              <w:widowControl/>
              <w:ind w:left="-88" w:leftChars="-42"/>
              <w:jc w:val="center"/>
              <w:rPr>
                <w:rFonts w:hint="eastAsia" w:ascii="宋体" w:hAnsi="宋体" w:cs="宋体"/>
                <w:color w:val="auto"/>
                <w:szCs w:val="21"/>
                <w:highlight w:val="none"/>
              </w:rPr>
            </w:pPr>
          </w:p>
        </w:tc>
        <w:tc>
          <w:tcPr>
            <w:tcW w:w="3053" w:type="dxa"/>
            <w:vMerge w:val="continue"/>
            <w:tcBorders>
              <w:top w:val="single" w:color="auto" w:sz="6" w:space="0"/>
              <w:left w:val="single" w:color="auto" w:sz="6" w:space="0"/>
              <w:bottom w:val="single" w:color="auto" w:sz="6" w:space="0"/>
              <w:right w:val="single" w:color="auto" w:sz="6" w:space="0"/>
            </w:tcBorders>
            <w:vAlign w:val="center"/>
          </w:tcPr>
          <w:p w14:paraId="342B53B7">
            <w:pPr>
              <w:widowControl/>
              <w:ind w:left="-88" w:leftChars="-42"/>
              <w:jc w:val="center"/>
              <w:rPr>
                <w:rFonts w:hint="eastAsia" w:ascii="宋体" w:hAnsi="宋体" w:cs="宋体"/>
                <w:color w:val="auto"/>
                <w:szCs w:val="21"/>
                <w:highlight w:val="none"/>
              </w:rPr>
            </w:pPr>
          </w:p>
        </w:tc>
        <w:tc>
          <w:tcPr>
            <w:tcW w:w="1530" w:type="dxa"/>
            <w:tcBorders>
              <w:top w:val="single" w:color="auto" w:sz="6" w:space="0"/>
              <w:left w:val="single" w:color="auto" w:sz="6" w:space="0"/>
              <w:bottom w:val="single" w:color="auto" w:sz="6" w:space="0"/>
              <w:right w:val="single" w:color="auto" w:sz="6" w:space="0"/>
            </w:tcBorders>
            <w:vAlign w:val="center"/>
          </w:tcPr>
          <w:p w14:paraId="7D375736">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采购代理编号</w:t>
            </w:r>
          </w:p>
        </w:tc>
        <w:tc>
          <w:tcPr>
            <w:tcW w:w="2272" w:type="dxa"/>
            <w:tcBorders>
              <w:top w:val="single" w:color="auto" w:sz="6" w:space="0"/>
              <w:left w:val="single" w:color="auto" w:sz="6" w:space="0"/>
              <w:bottom w:val="single" w:color="auto" w:sz="6" w:space="0"/>
              <w:right w:val="double" w:color="auto" w:sz="4" w:space="0"/>
            </w:tcBorders>
            <w:vAlign w:val="center"/>
          </w:tcPr>
          <w:p w14:paraId="4F19BA9D">
            <w:pPr>
              <w:spacing w:line="360" w:lineRule="auto"/>
              <w:jc w:val="center"/>
              <w:rPr>
                <w:rFonts w:hint="eastAsia" w:ascii="宋体" w:hAnsi="宋体" w:cs="宋体"/>
                <w:color w:val="auto"/>
                <w:szCs w:val="21"/>
                <w:highlight w:val="none"/>
              </w:rPr>
            </w:pPr>
          </w:p>
        </w:tc>
      </w:tr>
      <w:tr w14:paraId="4460B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651" w:type="dxa"/>
            <w:tcBorders>
              <w:top w:val="single" w:color="auto" w:sz="6" w:space="0"/>
              <w:left w:val="double" w:color="auto" w:sz="4" w:space="0"/>
              <w:bottom w:val="single" w:color="auto" w:sz="6" w:space="0"/>
              <w:right w:val="single" w:color="auto" w:sz="6" w:space="0"/>
            </w:tcBorders>
            <w:vAlign w:val="center"/>
          </w:tcPr>
          <w:p w14:paraId="3B52E242">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12" w:type="dxa"/>
            <w:tcBorders>
              <w:top w:val="single" w:color="auto" w:sz="6" w:space="0"/>
              <w:left w:val="single" w:color="auto" w:sz="6" w:space="0"/>
              <w:bottom w:val="single" w:color="auto" w:sz="6" w:space="0"/>
              <w:right w:val="single" w:color="auto" w:sz="6" w:space="0"/>
            </w:tcBorders>
            <w:vAlign w:val="center"/>
          </w:tcPr>
          <w:p w14:paraId="75BEC8AD">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服务内容</w:t>
            </w:r>
          </w:p>
        </w:tc>
        <w:tc>
          <w:tcPr>
            <w:tcW w:w="6855" w:type="dxa"/>
            <w:gridSpan w:val="3"/>
            <w:tcBorders>
              <w:top w:val="single" w:color="auto" w:sz="6" w:space="0"/>
              <w:left w:val="single" w:color="auto" w:sz="6" w:space="0"/>
              <w:bottom w:val="single" w:color="auto" w:sz="6" w:space="0"/>
              <w:right w:val="double" w:color="auto" w:sz="4" w:space="0"/>
            </w:tcBorders>
            <w:vAlign w:val="center"/>
          </w:tcPr>
          <w:p w14:paraId="332598B9">
            <w:pPr>
              <w:spacing w:line="360" w:lineRule="auto"/>
              <w:jc w:val="center"/>
              <w:rPr>
                <w:rFonts w:hint="eastAsia" w:ascii="宋体" w:hAnsi="宋体" w:cs="宋体"/>
                <w:color w:val="auto"/>
                <w:szCs w:val="21"/>
                <w:highlight w:val="none"/>
              </w:rPr>
            </w:pPr>
          </w:p>
        </w:tc>
      </w:tr>
      <w:tr w14:paraId="6C1B5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44" w:hRule="atLeast"/>
        </w:trPr>
        <w:tc>
          <w:tcPr>
            <w:tcW w:w="651" w:type="dxa"/>
            <w:tcBorders>
              <w:top w:val="single" w:color="auto" w:sz="6" w:space="0"/>
              <w:left w:val="double" w:color="auto" w:sz="4" w:space="0"/>
              <w:bottom w:val="single" w:color="auto" w:sz="6" w:space="0"/>
              <w:right w:val="single" w:color="auto" w:sz="6" w:space="0"/>
            </w:tcBorders>
            <w:vAlign w:val="center"/>
          </w:tcPr>
          <w:p w14:paraId="4E8E71B9">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12" w:type="dxa"/>
            <w:tcBorders>
              <w:top w:val="single" w:color="auto" w:sz="6" w:space="0"/>
              <w:left w:val="single" w:color="auto" w:sz="6" w:space="0"/>
              <w:bottom w:val="single" w:color="auto" w:sz="6" w:space="0"/>
              <w:right w:val="single" w:color="auto" w:sz="6" w:space="0"/>
            </w:tcBorders>
            <w:vAlign w:val="center"/>
          </w:tcPr>
          <w:p w14:paraId="49ADA6CA">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855" w:type="dxa"/>
            <w:gridSpan w:val="3"/>
            <w:tcBorders>
              <w:top w:val="single" w:color="auto" w:sz="6" w:space="0"/>
              <w:left w:val="single" w:color="auto" w:sz="6" w:space="0"/>
              <w:bottom w:val="single" w:color="auto" w:sz="6" w:space="0"/>
              <w:right w:val="double" w:color="auto" w:sz="4" w:space="0"/>
            </w:tcBorders>
            <w:vAlign w:val="center"/>
          </w:tcPr>
          <w:p w14:paraId="6B58F751">
            <w:pPr>
              <w:pStyle w:val="59"/>
              <w:adjustRightInd w:val="0"/>
              <w:snapToGrid w:val="0"/>
              <w:spacing w:line="400" w:lineRule="exact"/>
              <w:ind w:left="-88" w:leftChars="-42"/>
              <w:rPr>
                <w:rFonts w:hint="eastAsia" w:ascii="宋体" w:hAnsi="宋体" w:cs="宋体"/>
                <w:color w:val="auto"/>
                <w:sz w:val="21"/>
                <w:szCs w:val="21"/>
                <w:highlight w:val="none"/>
              </w:rPr>
            </w:pPr>
            <w:r>
              <w:rPr>
                <w:rFonts w:hint="eastAsia" w:ascii="宋体" w:hAnsi="宋体" w:cs="宋体"/>
                <w:color w:val="auto"/>
                <w:sz w:val="21"/>
                <w:szCs w:val="21"/>
                <w:highlight w:val="none"/>
              </w:rPr>
              <w:t>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元 </w:t>
            </w:r>
          </w:p>
          <w:p w14:paraId="4F14CD78">
            <w:pPr>
              <w:pStyle w:val="59"/>
              <w:adjustRightInd w:val="0"/>
              <w:snapToGrid w:val="0"/>
              <w:spacing w:line="400" w:lineRule="exact"/>
              <w:ind w:left="-88" w:leftChars="-42"/>
              <w:rPr>
                <w:rFonts w:hint="eastAsia" w:ascii="宋体" w:hAnsi="宋体" w:cs="宋体"/>
                <w:color w:val="auto"/>
                <w:sz w:val="21"/>
                <w:szCs w:val="21"/>
                <w:highlight w:val="none"/>
              </w:rPr>
            </w:pPr>
            <w:r>
              <w:rPr>
                <w:rFonts w:hint="eastAsia" w:ascii="宋体" w:hAnsi="宋体" w:cs="宋体"/>
                <w:color w:val="auto"/>
                <w:sz w:val="21"/>
                <w:szCs w:val="21"/>
                <w:highlight w:val="none"/>
              </w:rPr>
              <w:t>小写：</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u w:val="single" w:color="000000"/>
              </w:rPr>
              <w:t xml:space="preserve">                    </w:t>
            </w:r>
            <w:r>
              <w:rPr>
                <w:rFonts w:hint="eastAsia" w:ascii="宋体" w:hAnsi="宋体" w:cs="宋体"/>
                <w:color w:val="auto"/>
                <w:sz w:val="21"/>
                <w:szCs w:val="21"/>
                <w:highlight w:val="none"/>
              </w:rPr>
              <w:t>元</w:t>
            </w:r>
          </w:p>
        </w:tc>
      </w:tr>
      <w:tr w14:paraId="3FF1D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651" w:type="dxa"/>
            <w:tcBorders>
              <w:top w:val="single" w:color="auto" w:sz="6" w:space="0"/>
              <w:left w:val="double" w:color="auto" w:sz="4" w:space="0"/>
              <w:bottom w:val="single" w:color="auto" w:sz="6" w:space="0"/>
              <w:right w:val="single" w:color="auto" w:sz="6" w:space="0"/>
            </w:tcBorders>
            <w:vAlign w:val="center"/>
          </w:tcPr>
          <w:p w14:paraId="6FBC3D10">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12" w:type="dxa"/>
            <w:tcBorders>
              <w:top w:val="single" w:color="auto" w:sz="6" w:space="0"/>
              <w:left w:val="single" w:color="auto" w:sz="6" w:space="0"/>
              <w:bottom w:val="single" w:color="auto" w:sz="6" w:space="0"/>
              <w:right w:val="single" w:color="auto" w:sz="6" w:space="0"/>
            </w:tcBorders>
            <w:vAlign w:val="center"/>
          </w:tcPr>
          <w:p w14:paraId="237F723F">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合同周期</w:t>
            </w:r>
          </w:p>
        </w:tc>
        <w:tc>
          <w:tcPr>
            <w:tcW w:w="6855" w:type="dxa"/>
            <w:gridSpan w:val="3"/>
            <w:tcBorders>
              <w:top w:val="single" w:color="auto" w:sz="6" w:space="0"/>
              <w:left w:val="single" w:color="auto" w:sz="6" w:space="0"/>
              <w:bottom w:val="single" w:color="auto" w:sz="6" w:space="0"/>
              <w:right w:val="double" w:color="auto" w:sz="4" w:space="0"/>
            </w:tcBorders>
            <w:vAlign w:val="center"/>
          </w:tcPr>
          <w:p w14:paraId="6B4E8FDC">
            <w:pPr>
              <w:spacing w:line="360" w:lineRule="auto"/>
              <w:jc w:val="center"/>
              <w:rPr>
                <w:rFonts w:hint="eastAsia" w:ascii="宋体" w:hAnsi="宋体" w:cs="宋体"/>
                <w:color w:val="auto"/>
                <w:szCs w:val="21"/>
                <w:highlight w:val="none"/>
              </w:rPr>
            </w:pPr>
          </w:p>
        </w:tc>
      </w:tr>
      <w:tr w14:paraId="746DE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5" w:hRule="atLeast"/>
        </w:trPr>
        <w:tc>
          <w:tcPr>
            <w:tcW w:w="651" w:type="dxa"/>
            <w:tcBorders>
              <w:top w:val="single" w:color="auto" w:sz="6" w:space="0"/>
              <w:left w:val="double" w:color="auto" w:sz="4" w:space="0"/>
              <w:bottom w:val="single" w:color="auto" w:sz="6" w:space="0"/>
              <w:right w:val="single" w:color="auto" w:sz="6" w:space="0"/>
            </w:tcBorders>
            <w:vAlign w:val="center"/>
          </w:tcPr>
          <w:p w14:paraId="3B8042DB">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12" w:type="dxa"/>
            <w:tcBorders>
              <w:top w:val="single" w:color="auto" w:sz="6" w:space="0"/>
              <w:left w:val="single" w:color="auto" w:sz="6" w:space="0"/>
              <w:bottom w:val="single" w:color="auto" w:sz="6" w:space="0"/>
              <w:right w:val="single" w:color="auto" w:sz="6" w:space="0"/>
            </w:tcBorders>
            <w:vAlign w:val="center"/>
          </w:tcPr>
          <w:p w14:paraId="4291AF37">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6855" w:type="dxa"/>
            <w:gridSpan w:val="3"/>
            <w:tcBorders>
              <w:top w:val="single" w:color="auto" w:sz="6" w:space="0"/>
              <w:left w:val="single" w:color="auto" w:sz="6" w:space="0"/>
              <w:bottom w:val="single" w:color="auto" w:sz="6" w:space="0"/>
              <w:right w:val="double" w:color="auto" w:sz="4" w:space="0"/>
            </w:tcBorders>
            <w:vAlign w:val="center"/>
          </w:tcPr>
          <w:p w14:paraId="69FB9AC8">
            <w:pPr>
              <w:spacing w:line="360" w:lineRule="auto"/>
              <w:jc w:val="center"/>
              <w:rPr>
                <w:rFonts w:hint="eastAsia" w:ascii="宋体" w:hAnsi="宋体" w:cs="宋体"/>
                <w:color w:val="auto"/>
                <w:szCs w:val="21"/>
                <w:highlight w:val="none"/>
              </w:rPr>
            </w:pPr>
          </w:p>
        </w:tc>
      </w:tr>
      <w:tr w14:paraId="2251C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trPr>
        <w:tc>
          <w:tcPr>
            <w:tcW w:w="651" w:type="dxa"/>
            <w:tcBorders>
              <w:top w:val="single" w:color="auto" w:sz="6" w:space="0"/>
              <w:left w:val="double" w:color="auto" w:sz="4" w:space="0"/>
              <w:bottom w:val="single" w:color="auto" w:sz="6" w:space="0"/>
              <w:right w:val="single" w:color="auto" w:sz="6" w:space="0"/>
            </w:tcBorders>
            <w:vAlign w:val="center"/>
          </w:tcPr>
          <w:p w14:paraId="375C3128">
            <w:pPr>
              <w:widowControl/>
              <w:ind w:left="-88" w:leftChars="-42"/>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12" w:type="dxa"/>
            <w:tcBorders>
              <w:top w:val="single" w:color="auto" w:sz="6" w:space="0"/>
              <w:left w:val="single" w:color="auto" w:sz="6" w:space="0"/>
              <w:bottom w:val="single" w:color="auto" w:sz="6" w:space="0"/>
              <w:right w:val="single" w:color="auto" w:sz="6" w:space="0"/>
            </w:tcBorders>
            <w:vAlign w:val="center"/>
          </w:tcPr>
          <w:p w14:paraId="66D69662">
            <w:pPr>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55" w:type="dxa"/>
            <w:gridSpan w:val="3"/>
            <w:tcBorders>
              <w:top w:val="single" w:color="auto" w:sz="6" w:space="0"/>
              <w:left w:val="single" w:color="auto" w:sz="6" w:space="0"/>
              <w:bottom w:val="single" w:color="auto" w:sz="6" w:space="0"/>
              <w:right w:val="double" w:color="auto" w:sz="4" w:space="0"/>
            </w:tcBorders>
            <w:vAlign w:val="center"/>
          </w:tcPr>
          <w:p w14:paraId="5154190C">
            <w:pPr>
              <w:spacing w:line="360" w:lineRule="auto"/>
              <w:jc w:val="center"/>
              <w:rPr>
                <w:rFonts w:hint="eastAsia" w:ascii="宋体" w:hAnsi="宋体" w:cs="宋体"/>
                <w:color w:val="auto"/>
                <w:szCs w:val="21"/>
                <w:highlight w:val="none"/>
              </w:rPr>
            </w:pPr>
          </w:p>
        </w:tc>
      </w:tr>
    </w:tbl>
    <w:p w14:paraId="373F05E7">
      <w:pPr>
        <w:adjustRightInd w:val="0"/>
        <w:snapToGrid w:val="0"/>
        <w:spacing w:line="360" w:lineRule="auto"/>
        <w:ind w:left="-88" w:leftChars="-42"/>
        <w:rPr>
          <w:rFonts w:hint="eastAsia" w:ascii="宋体" w:hAnsi="宋体" w:cs="宋体"/>
          <w:color w:val="auto"/>
          <w:szCs w:val="21"/>
          <w:highlight w:val="none"/>
        </w:rPr>
      </w:pPr>
    </w:p>
    <w:p w14:paraId="07D2487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供应商（盖单位章）：</w:t>
      </w:r>
    </w:p>
    <w:p w14:paraId="29328CAB">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14:paraId="134B3FA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AE07DF9">
      <w:pPr>
        <w:rPr>
          <w:rFonts w:hint="eastAsia" w:ascii="宋体" w:hAnsi="宋体" w:cs="宋体"/>
          <w:b/>
          <w:color w:val="auto"/>
          <w:sz w:val="24"/>
          <w:highlight w:val="none"/>
        </w:rPr>
        <w:sectPr>
          <w:headerReference r:id="rId9" w:type="default"/>
          <w:footerReference r:id="rId10" w:type="default"/>
          <w:pgSz w:w="11906" w:h="16838"/>
          <w:pgMar w:top="1474" w:right="1474" w:bottom="232" w:left="1588" w:header="851" w:footer="992" w:gutter="0"/>
          <w:cols w:space="720" w:num="1"/>
          <w:docGrid w:type="lines" w:linePitch="312" w:charSpace="0"/>
        </w:sectPr>
      </w:pPr>
    </w:p>
    <w:p w14:paraId="2D04659B">
      <w:pPr>
        <w:adjustRightInd w:val="0"/>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附件9-1</w:t>
      </w:r>
    </w:p>
    <w:p w14:paraId="1CBABCFC">
      <w:pPr>
        <w:adjustRightInd w:val="0"/>
        <w:snapToGrid w:val="0"/>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分项价格表</w:t>
      </w:r>
    </w:p>
    <w:p w14:paraId="42F0C293">
      <w:pPr>
        <w:spacing w:line="360" w:lineRule="exact"/>
        <w:rPr>
          <w:rFonts w:hint="eastAsia" w:ascii="宋体" w:hAnsi="宋体" w:cs="宋体"/>
          <w:b/>
          <w:color w:val="auto"/>
          <w:highlight w:val="none"/>
        </w:rPr>
      </w:pPr>
      <w:r>
        <w:rPr>
          <w:rFonts w:hint="eastAsia" w:ascii="宋体" w:hAnsi="宋体" w:cs="宋体"/>
          <w:b/>
          <w:color w:val="auto"/>
          <w:highlight w:val="none"/>
        </w:rPr>
        <w:t xml:space="preserve">                                                                                              </w:t>
      </w:r>
    </w:p>
    <w:tbl>
      <w:tblPr>
        <w:tblStyle w:val="23"/>
        <w:tblpPr w:leftFromText="180" w:rightFromText="180" w:vertAnchor="text" w:horzAnchor="page" w:tblpX="1420" w:tblpY="361"/>
        <w:tblOverlap w:val="never"/>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950"/>
        <w:gridCol w:w="1176"/>
        <w:gridCol w:w="1176"/>
        <w:gridCol w:w="1176"/>
        <w:gridCol w:w="1176"/>
        <w:gridCol w:w="1176"/>
        <w:gridCol w:w="795"/>
      </w:tblGrid>
      <w:tr w14:paraId="04F49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35" w:type="dxa"/>
            <w:vAlign w:val="center"/>
          </w:tcPr>
          <w:p w14:paraId="28ADA0C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950" w:type="dxa"/>
            <w:vAlign w:val="center"/>
          </w:tcPr>
          <w:p w14:paraId="27CB60A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1176" w:type="dxa"/>
            <w:vAlign w:val="center"/>
          </w:tcPr>
          <w:p w14:paraId="4A88734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计量</w:t>
            </w:r>
          </w:p>
          <w:p w14:paraId="563795D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w:t>
            </w:r>
          </w:p>
        </w:tc>
        <w:tc>
          <w:tcPr>
            <w:tcW w:w="1176" w:type="dxa"/>
            <w:vAlign w:val="center"/>
          </w:tcPr>
          <w:p w14:paraId="4E80739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具体要求说明</w:t>
            </w:r>
          </w:p>
        </w:tc>
        <w:tc>
          <w:tcPr>
            <w:tcW w:w="1176" w:type="dxa"/>
            <w:vAlign w:val="center"/>
          </w:tcPr>
          <w:p w14:paraId="079B7A05">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单价</w:t>
            </w:r>
          </w:p>
        </w:tc>
        <w:tc>
          <w:tcPr>
            <w:tcW w:w="1176" w:type="dxa"/>
            <w:vAlign w:val="center"/>
          </w:tcPr>
          <w:p w14:paraId="0626939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176" w:type="dxa"/>
            <w:vAlign w:val="center"/>
          </w:tcPr>
          <w:p w14:paraId="769FF59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小计</w:t>
            </w:r>
          </w:p>
        </w:tc>
        <w:tc>
          <w:tcPr>
            <w:tcW w:w="795" w:type="dxa"/>
            <w:vAlign w:val="center"/>
          </w:tcPr>
          <w:p w14:paraId="62C466F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18252C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5" w:type="dxa"/>
            <w:vAlign w:val="center"/>
          </w:tcPr>
          <w:p w14:paraId="598D45A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50" w:type="dxa"/>
            <w:vAlign w:val="center"/>
          </w:tcPr>
          <w:p w14:paraId="3C58C6E4">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203A75D">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52D052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182F649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1A59CD1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6C4B5E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795" w:type="dxa"/>
            <w:vAlign w:val="center"/>
          </w:tcPr>
          <w:p w14:paraId="41E9B6CA">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CFBD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5" w:type="dxa"/>
            <w:vAlign w:val="center"/>
          </w:tcPr>
          <w:p w14:paraId="3C96B42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50" w:type="dxa"/>
            <w:vAlign w:val="center"/>
          </w:tcPr>
          <w:p w14:paraId="4F01E14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5AE5D86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03827B4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A2901E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6CCA016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910B91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795" w:type="dxa"/>
            <w:vAlign w:val="center"/>
          </w:tcPr>
          <w:p w14:paraId="6732F084">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045FAD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35" w:type="dxa"/>
            <w:vAlign w:val="center"/>
          </w:tcPr>
          <w:p w14:paraId="69B2F20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50" w:type="dxa"/>
            <w:vAlign w:val="center"/>
          </w:tcPr>
          <w:p w14:paraId="63D895E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1FD904D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628671C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13242E4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6866677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7F00E4A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795" w:type="dxa"/>
            <w:vAlign w:val="center"/>
          </w:tcPr>
          <w:p w14:paraId="6D3F402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0FD6B4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5" w:type="dxa"/>
            <w:vAlign w:val="center"/>
          </w:tcPr>
          <w:p w14:paraId="371B510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950" w:type="dxa"/>
            <w:vAlign w:val="center"/>
          </w:tcPr>
          <w:p w14:paraId="33EF9D50">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合计</w:t>
            </w:r>
          </w:p>
        </w:tc>
        <w:tc>
          <w:tcPr>
            <w:tcW w:w="1176" w:type="dxa"/>
            <w:vAlign w:val="center"/>
          </w:tcPr>
          <w:p w14:paraId="55D32E7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17159E18">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3A6B5B2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462CB99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1176" w:type="dxa"/>
            <w:vAlign w:val="center"/>
          </w:tcPr>
          <w:p w14:paraId="5BC7D5DC">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795" w:type="dxa"/>
            <w:vAlign w:val="center"/>
          </w:tcPr>
          <w:p w14:paraId="7022C5CB">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bl>
    <w:p w14:paraId="152157B1">
      <w:pPr>
        <w:adjustRightInd w:val="0"/>
        <w:snapToGrid w:val="0"/>
        <w:spacing w:line="360" w:lineRule="auto"/>
        <w:rPr>
          <w:rFonts w:hint="eastAsia" w:asciiTheme="minorEastAsia" w:hAnsiTheme="minorEastAsia" w:eastAsiaTheme="minorEastAsia" w:cstheme="minorEastAsia"/>
          <w:color w:val="auto"/>
          <w:szCs w:val="21"/>
          <w:highlight w:val="none"/>
          <w:lang w:val="en-US" w:eastAsia="zh-CN"/>
        </w:rPr>
      </w:pPr>
    </w:p>
    <w:p w14:paraId="6C13BE7E">
      <w:pPr>
        <w:adjustRightInd w:val="0"/>
        <w:snapToGrid w:val="0"/>
        <w:spacing w:line="36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val="en-US" w:eastAsia="zh-CN"/>
        </w:rPr>
        <w:t>投标报价</w:t>
      </w:r>
      <w:r>
        <w:rPr>
          <w:rFonts w:hint="eastAsia" w:asciiTheme="minorEastAsia" w:hAnsiTheme="minorEastAsia" w:eastAsiaTheme="minorEastAsia" w:cstheme="minorEastAsia"/>
          <w:color w:val="auto"/>
          <w:szCs w:val="21"/>
          <w:highlight w:val="none"/>
        </w:rPr>
        <w:t>：大写：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小写：</w:t>
      </w:r>
      <w:r>
        <w:rPr>
          <w:rFonts w:hint="eastAsia" w:asciiTheme="minorEastAsia" w:hAnsiTheme="minorEastAsia" w:eastAsiaTheme="minorEastAsia" w:cstheme="minorEastAsia"/>
          <w:color w:val="auto"/>
          <w:szCs w:val="21"/>
          <w:highlight w:val="none"/>
          <w:u w:val="single"/>
        </w:rPr>
        <w:t xml:space="preserve">                         </w:t>
      </w:r>
    </w:p>
    <w:p w14:paraId="4C7FEB46">
      <w:pPr>
        <w:adjustRightInd w:val="0"/>
        <w:snapToGrid w:val="0"/>
        <w:spacing w:line="360" w:lineRule="auto"/>
        <w:ind w:left="-88" w:leftChars="-42"/>
        <w:rPr>
          <w:rFonts w:hint="eastAsia" w:ascii="宋体" w:hAnsi="宋体" w:cs="宋体"/>
          <w:color w:val="auto"/>
          <w:szCs w:val="21"/>
          <w:highlight w:val="none"/>
        </w:rPr>
      </w:pPr>
      <w:r>
        <w:rPr>
          <w:rFonts w:hint="eastAsia" w:ascii="宋体" w:hAnsi="宋体" w:cs="宋体"/>
          <w:color w:val="auto"/>
          <w:szCs w:val="21"/>
          <w:highlight w:val="none"/>
        </w:rPr>
        <w:t>说明：</w:t>
      </w:r>
    </w:p>
    <w:p w14:paraId="6271ADE0">
      <w:pPr>
        <w:adjustRightInd w:val="0"/>
        <w:snapToGrid w:val="0"/>
        <w:spacing w:line="360" w:lineRule="auto"/>
        <w:ind w:left="-88" w:leftChars="-42" w:firstLine="315" w:firstLineChars="150"/>
        <w:rPr>
          <w:rFonts w:hint="eastAsia" w:ascii="宋体" w:hAnsi="宋体" w:cs="宋体"/>
          <w:color w:val="auto"/>
          <w:szCs w:val="21"/>
          <w:highlight w:val="none"/>
        </w:rPr>
      </w:pPr>
      <w:r>
        <w:rPr>
          <w:rFonts w:hint="eastAsia" w:ascii="宋体" w:hAnsi="宋体" w:cs="宋体"/>
          <w:color w:val="auto"/>
          <w:szCs w:val="21"/>
          <w:highlight w:val="none"/>
        </w:rPr>
        <w:t>1、本表包含磋商文件第四章《采购需求》或其他部分对该项目所有要求的详细报价。“合计”及“报价金额合计”应与附件9-1《报价一览表》“报价”一致；栏目“单价”为综合单价，应包含所有隐含的管理费、税金和利润等其他费用，并在“具体要求说明”中注明分类项取费标准和其他费用的计费率和金额。</w:t>
      </w:r>
    </w:p>
    <w:p w14:paraId="3E285539">
      <w:pPr>
        <w:adjustRightInd w:val="0"/>
        <w:snapToGrid w:val="0"/>
        <w:spacing w:line="360" w:lineRule="auto"/>
        <w:ind w:right="23" w:rightChars="11"/>
        <w:rPr>
          <w:rFonts w:hint="eastAsia" w:ascii="宋体" w:hAnsi="宋体"/>
          <w:color w:val="auto"/>
          <w:szCs w:val="21"/>
          <w:highlight w:val="none"/>
        </w:rPr>
      </w:pPr>
      <w:r>
        <w:rPr>
          <w:rFonts w:hint="eastAsia" w:ascii="宋体" w:hAnsi="宋体"/>
          <w:color w:val="auto"/>
          <w:szCs w:val="21"/>
          <w:highlight w:val="none"/>
        </w:rPr>
        <w:t>供应商（盖单位章）：</w:t>
      </w:r>
    </w:p>
    <w:p w14:paraId="2C5A464C">
      <w:pPr>
        <w:adjustRightInd w:val="0"/>
        <w:snapToGrid w:val="0"/>
        <w:spacing w:line="360" w:lineRule="auto"/>
        <w:ind w:right="23" w:rightChars="11"/>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E479C3E">
      <w:pPr>
        <w:adjustRightInd w:val="0"/>
        <w:snapToGrid w:val="0"/>
        <w:rPr>
          <w:rFonts w:hint="eastAsia" w:asciiTheme="minorEastAsia" w:hAnsiTheme="minorEastAsia" w:eastAsiaTheme="minorEastAsia" w:cstheme="minorEastAsia"/>
          <w:b/>
          <w:color w:val="auto"/>
          <w:sz w:val="24"/>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423A9A7">
      <w:pPr>
        <w:adjustRightInd w:val="0"/>
        <w:snapToGrid w:val="0"/>
        <w:spacing w:line="360" w:lineRule="auto"/>
        <w:ind w:left="-88" w:leftChars="-42"/>
        <w:jc w:val="center"/>
        <w:rPr>
          <w:rFonts w:hint="eastAsia" w:ascii="宋体" w:hAnsi="宋体" w:cs="宋体"/>
          <w:b/>
          <w:color w:val="auto"/>
          <w:sz w:val="32"/>
          <w:szCs w:val="32"/>
          <w:highlight w:val="none"/>
        </w:rPr>
        <w:sectPr>
          <w:pgSz w:w="11906" w:h="16838"/>
          <w:pgMar w:top="1704" w:right="1588" w:bottom="1474" w:left="1474" w:header="851" w:footer="992" w:gutter="0"/>
          <w:cols w:space="720" w:num="1"/>
          <w:docGrid w:type="linesAndChars" w:linePitch="312" w:charSpace="0"/>
        </w:sectPr>
      </w:pPr>
    </w:p>
    <w:p w14:paraId="3DA5195D">
      <w:pPr>
        <w:adjustRightInd w:val="0"/>
        <w:snapToGrid w:val="0"/>
        <w:spacing w:line="360" w:lineRule="auto"/>
        <w:ind w:left="-88" w:leftChars="-42"/>
        <w:jc w:val="center"/>
        <w:rPr>
          <w:rFonts w:hint="eastAsia" w:ascii="宋体" w:hAnsi="宋体" w:cs="宋体"/>
          <w:color w:val="auto"/>
          <w:sz w:val="28"/>
          <w:szCs w:val="28"/>
          <w:highlight w:val="none"/>
        </w:rPr>
      </w:pPr>
      <w:r>
        <w:rPr>
          <w:rFonts w:hint="eastAsia" w:ascii="宋体" w:hAnsi="宋体" w:cs="宋体"/>
          <w:b/>
          <w:color w:val="auto"/>
          <w:sz w:val="32"/>
          <w:szCs w:val="32"/>
          <w:highlight w:val="none"/>
          <w:lang w:val="en-US" w:eastAsia="zh-CN"/>
        </w:rPr>
        <w:t>七</w:t>
      </w:r>
      <w:r>
        <w:rPr>
          <w:rFonts w:hint="eastAsia" w:ascii="宋体" w:hAnsi="宋体" w:cs="宋体"/>
          <w:b/>
          <w:bCs/>
          <w:color w:val="auto"/>
          <w:sz w:val="32"/>
          <w:szCs w:val="32"/>
          <w:highlight w:val="none"/>
        </w:rPr>
        <w:t>、供应商认为需要提供的其它资料</w:t>
      </w:r>
    </w:p>
    <w:p w14:paraId="01CAD3B0">
      <w:pPr>
        <w:adjustRightInd w:val="0"/>
        <w:snapToGrid w:val="0"/>
        <w:spacing w:before="156" w:beforeLines="50" w:line="360" w:lineRule="auto"/>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lang w:val="en-US" w:eastAsia="zh-CN"/>
        </w:rPr>
        <w:t>八</w:t>
      </w:r>
      <w:r>
        <w:rPr>
          <w:rFonts w:hint="eastAsia" w:ascii="宋体" w:hAnsi="宋体" w:cs="宋体"/>
          <w:b/>
          <w:color w:val="auto"/>
          <w:sz w:val="32"/>
          <w:szCs w:val="32"/>
          <w:highlight w:val="none"/>
        </w:rPr>
        <w:t>、最后报价</w:t>
      </w:r>
    </w:p>
    <w:p w14:paraId="5D27C4AD">
      <w:pPr>
        <w:adjustRightInd w:val="0"/>
        <w:snapToGrid w:val="0"/>
        <w:ind w:left="-88" w:leftChars="-42"/>
        <w:rPr>
          <w:rFonts w:hint="eastAsia" w:ascii="宋体" w:hAnsi="宋体" w:cs="宋体"/>
          <w:color w:val="auto"/>
          <w:szCs w:val="21"/>
          <w:highlight w:val="none"/>
        </w:rPr>
      </w:pPr>
    </w:p>
    <w:p w14:paraId="59B11477">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说明：</w:t>
      </w:r>
    </w:p>
    <w:p w14:paraId="796AEE1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1、最后报价按第二章磋商须知第30条规定提供，格式按附件9、附件9-1提供。</w:t>
      </w:r>
    </w:p>
    <w:p w14:paraId="163E13C0">
      <w:pPr>
        <w:adjustRightInd w:val="0"/>
        <w:snapToGrid w:val="0"/>
        <w:spacing w:line="360" w:lineRule="auto"/>
        <w:ind w:left="-88" w:leftChars="-42" w:firstLine="525" w:firstLineChars="250"/>
        <w:rPr>
          <w:rFonts w:hint="eastAsia" w:ascii="宋体" w:hAnsi="宋体" w:cs="宋体"/>
          <w:color w:val="auto"/>
          <w:szCs w:val="21"/>
          <w:highlight w:val="none"/>
        </w:rPr>
      </w:pPr>
      <w:r>
        <w:rPr>
          <w:rFonts w:hint="eastAsia" w:ascii="宋体" w:hAnsi="宋体" w:cs="宋体"/>
          <w:color w:val="auto"/>
          <w:szCs w:val="21"/>
          <w:highlight w:val="none"/>
        </w:rPr>
        <w:t>2、最后报价需填列报价一览表和分项价格表。</w:t>
      </w:r>
    </w:p>
    <w:p w14:paraId="66886339">
      <w:pPr>
        <w:adjustRightInd w:val="0"/>
        <w:snapToGrid w:val="0"/>
        <w:spacing w:line="360" w:lineRule="auto"/>
        <w:ind w:left="-88" w:leftChars="-42" w:firstLine="525" w:firstLineChars="250"/>
        <w:rPr>
          <w:rFonts w:hint="eastAsia" w:ascii="宋体" w:hAnsi="宋体" w:cs="宋体"/>
          <w:color w:val="auto"/>
          <w:szCs w:val="21"/>
          <w:highlight w:val="none"/>
        </w:rPr>
      </w:pPr>
      <w:r>
        <w:rPr>
          <w:rFonts w:hint="eastAsia" w:ascii="宋体" w:hAnsi="宋体" w:cs="宋体"/>
          <w:color w:val="auto"/>
          <w:szCs w:val="21"/>
          <w:highlight w:val="none"/>
        </w:rPr>
        <w:t>3、供应商需准备最后报价文件（自行保管，不与响应文件一起递交），格式按附件9、附件9-1。进行最后报价时由法定代表人或其委托代理人填写并签字确认。</w:t>
      </w:r>
    </w:p>
    <w:p w14:paraId="19535D92">
      <w:pPr>
        <w:rPr>
          <w:rFonts w:hint="eastAsia" w:ascii="宋体" w:hAnsi="宋体" w:cs="宋体"/>
          <w:color w:val="auto"/>
          <w:highlight w:val="none"/>
        </w:rPr>
      </w:pPr>
    </w:p>
    <w:p w14:paraId="2E39780A">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6DBEF4D7">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51C3DACF">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61AE1708">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6EB673F5">
      <w:pPr>
        <w:widowControl/>
        <w:tabs>
          <w:tab w:val="left" w:pos="1393"/>
        </w:tabs>
        <w:spacing w:before="100" w:beforeAutospacing="1" w:after="100" w:afterAutospacing="1" w:line="40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14:paraId="688B66FA">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46FA7117">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10D16B41">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4D0C65AB">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6FA52EC7">
      <w:pPr>
        <w:widowControl/>
        <w:spacing w:before="100" w:beforeAutospacing="1" w:after="100" w:afterAutospacing="1" w:line="408" w:lineRule="auto"/>
        <w:rPr>
          <w:rFonts w:hint="eastAsia" w:asciiTheme="minorEastAsia" w:hAnsiTheme="minorEastAsia" w:eastAsiaTheme="minorEastAsia" w:cstheme="minorEastAsia"/>
          <w:color w:val="auto"/>
          <w:highlight w:val="none"/>
        </w:rPr>
      </w:pPr>
    </w:p>
    <w:p w14:paraId="2F008A72">
      <w:pPr>
        <w:rPr>
          <w:rFonts w:hint="eastAsia" w:asciiTheme="minorEastAsia" w:hAnsiTheme="minorEastAsia" w:eastAsiaTheme="minorEastAsia" w:cstheme="minorEastAsia"/>
          <w:color w:val="auto"/>
          <w:highlight w:val="none"/>
        </w:rPr>
      </w:pPr>
    </w:p>
    <w:p w14:paraId="42CBFE85">
      <w:pPr>
        <w:rPr>
          <w:rFonts w:hint="eastAsia" w:asciiTheme="minorEastAsia" w:hAnsiTheme="minorEastAsia" w:eastAsiaTheme="minorEastAsia" w:cstheme="minorEastAsia"/>
          <w:color w:val="auto"/>
          <w:highlight w:val="none"/>
        </w:rPr>
      </w:pPr>
    </w:p>
    <w:sectPr>
      <w:headerReference r:id="rId11" w:type="default"/>
      <w:footerReference r:id="rId12" w:type="default"/>
      <w:pgSz w:w="11906" w:h="16838"/>
      <w:pgMar w:top="1474" w:right="1474" w:bottom="232"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63B1B7-A4B6-415B-848B-1CD5244B3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2" w:fontKey="{6F4BA3C9-8C13-4A0F-B7FB-29D956EF0F08}"/>
  </w:font>
  <w:font w:name="隶书">
    <w:panose1 w:val="02010509060101010101"/>
    <w:charset w:val="86"/>
    <w:family w:val="modern"/>
    <w:pitch w:val="default"/>
    <w:sig w:usb0="00000001" w:usb1="080E0000" w:usb2="00000000" w:usb3="00000000" w:csb0="00040000" w:csb1="00000000"/>
    <w:embedRegular r:id="rId3" w:fontKey="{EECA850C-FB82-4725-B1FA-CB24DF4E831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1E55E">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2E55B">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E570C">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98D3D">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2298D3D">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D0AEA">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0A742">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60A742">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866B">
    <w:pPr>
      <w:snapToGrid w:val="0"/>
      <w:ind w:right="360"/>
      <w:jc w:val="center"/>
      <w:rPr>
        <w:rFonts w:hint="eastAsia" w:ascii="宋体" w:hAnsi="宋体" w:cs="宋体"/>
        <w:b/>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ADB0C">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F1ADB0C">
                    <w:pPr>
                      <w:pStyle w:val="15"/>
                    </w:pPr>
                    <w:r>
                      <w:fldChar w:fldCharType="begin"/>
                    </w:r>
                    <w:r>
                      <w:instrText xml:space="preserve"> PAGE  \* MERGEFORMAT </w:instrText>
                    </w:r>
                    <w:r>
                      <w:fldChar w:fldCharType="separate"/>
                    </w:r>
                    <w:r>
                      <w:t>34</w:t>
                    </w:r>
                    <w:r>
                      <w:fldChar w:fldCharType="end"/>
                    </w:r>
                  </w:p>
                </w:txbxContent>
              </v:textbox>
            </v:shape>
          </w:pict>
        </mc:Fallback>
      </mc:AlternateContent>
    </w:r>
    <w:r>
      <w:rPr>
        <w:rFonts w:hint="eastAsia" w:ascii="宋体" w:hAnsi="宋体" w:cs="宋体"/>
        <w:b/>
        <w:kern w:val="0"/>
        <w:szCs w:val="21"/>
      </w:rPr>
      <mc:AlternateContent>
        <mc:Choice Requires="wps">
          <w:drawing>
            <wp:anchor distT="0" distB="0" distL="114300" distR="114300" simplePos="0" relativeHeight="251659264" behindDoc="0" locked="0" layoutInCell="1" allowOverlap="1">
              <wp:simplePos x="0" y="0"/>
              <wp:positionH relativeFrom="margin">
                <wp:posOffset>5381625</wp:posOffset>
              </wp:positionH>
              <wp:positionV relativeFrom="paragraph">
                <wp:posOffset>23495</wp:posOffset>
              </wp:positionV>
              <wp:extent cx="234315" cy="1555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4315" cy="155575"/>
                      </a:xfrm>
                      <a:prstGeom prst="rect">
                        <a:avLst/>
                      </a:prstGeom>
                      <a:noFill/>
                      <a:ln>
                        <a:noFill/>
                      </a:ln>
                    </wps:spPr>
                    <wps:txbx>
                      <w:txbxContent>
                        <w:p w14:paraId="4C746961">
                          <w:pPr>
                            <w:snapToGrid w:val="0"/>
                            <w:jc w:val="left"/>
                            <w:rPr>
                              <w:rFonts w:hint="eastAsia" w:ascii="宋体" w:hAnsi="宋体" w:cs="宋体"/>
                              <w:b/>
                              <w:bCs/>
                              <w:sz w:val="24"/>
                            </w:rPr>
                          </w:pPr>
                        </w:p>
                      </w:txbxContent>
                    </wps:txbx>
                    <wps:bodyPr lIns="0" tIns="0" rIns="0" bIns="0"/>
                  </wps:wsp>
                </a:graphicData>
              </a:graphic>
            </wp:anchor>
          </w:drawing>
        </mc:Choice>
        <mc:Fallback>
          <w:pict>
            <v:shape id="_x0000_s1026" o:spid="_x0000_s1026" o:spt="202" type="#_x0000_t202" style="position:absolute;left:0pt;margin-left:423.75pt;margin-top:1.85pt;height:12.25pt;width:18.45pt;mso-position-horizontal-relative:margin;z-index:251659264;mso-width-relative:page;mso-height-relative:page;" filled="f" stroked="f" coordsize="21600,21600" o:gfxdata="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eQpFXYAAAACAEAAA8AAAAAAAAAAQAgAAAAIgAAAGRycy9kb3ducmV2LnhtbFBLAQIUABQAAAAI&#10;AIdO4kA7ok5htAEAAGUDAAAOAAAAAAAAAAEAIAAAACcBAABkcnMvZTJvRG9jLnhtbFBLBQYAAAAA&#10;BgAGAFkBAABNBQAAAAA=&#10;">
              <v:fill on="f" focussize="0,0"/>
              <v:stroke on="f"/>
              <v:imagedata o:title=""/>
              <o:lock v:ext="edit" aspectratio="f"/>
              <v:textbox inset="0mm,0mm,0mm,0mm">
                <w:txbxContent>
                  <w:p w14:paraId="4C746961">
                    <w:pPr>
                      <w:snapToGrid w:val="0"/>
                      <w:jc w:val="left"/>
                      <w:rPr>
                        <w:rFonts w:hint="eastAsia" w:ascii="宋体" w:hAnsi="宋体" w:cs="宋体"/>
                        <w:b/>
                        <w:bCs/>
                        <w:sz w:val="24"/>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9D29">
    <w:pPr>
      <w:pStyle w:val="15"/>
      <w:ind w:right="360"/>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78EEC">
                          <w:pPr>
                            <w:pStyle w:val="1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2B78EEC">
                    <w:pPr>
                      <w:pStyle w:val="15"/>
                    </w:pPr>
                    <w:r>
                      <w:fldChar w:fldCharType="begin"/>
                    </w:r>
                    <w:r>
                      <w:instrText xml:space="preserve"> PAGE  \* MERGEFORMAT </w:instrText>
                    </w:r>
                    <w:r>
                      <w:fldChar w:fldCharType="separate"/>
                    </w:r>
                    <w:r>
                      <w:t>55</w:t>
                    </w:r>
                    <w:r>
                      <w:fldChar w:fldCharType="end"/>
                    </w:r>
                  </w:p>
                </w:txbxContent>
              </v:textbox>
            </v:shape>
          </w:pict>
        </mc:Fallback>
      </mc:AlternateContent>
    </w:r>
    <w:r>
      <w:rPr>
        <w:rFonts w:hint="eastAsia" w:ascii="隶书" w:eastAsia="隶书"/>
        <w:b/>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25F6">
    <w:pPr>
      <w:pStyle w:val="16"/>
      <w:pBdr>
        <w:bottom w:val="none" w:color="auto" w:sz="0" w:space="0"/>
      </w:pBdr>
      <w:jc w:val="left"/>
      <w:rPr>
        <w:rFonts w:hint="eastAsia" w:asciiTheme="minorEastAsia" w:hAnsiTheme="minorEastAsia" w:eastAsiaTheme="minorEastAsia" w:cstheme="minorEastAsia"/>
        <w:sz w:val="21"/>
        <w:szCs w:val="21"/>
        <w:u w:val="single"/>
      </w:rPr>
    </w:pPr>
    <w:bookmarkStart w:id="13" w:name="OLE_LINK13"/>
    <w:r>
      <w:rPr>
        <w:rFonts w:hint="eastAsia" w:asciiTheme="minorEastAsia" w:hAnsiTheme="minorEastAsia" w:eastAsiaTheme="minorEastAsia" w:cstheme="minorEastAsia"/>
        <w:sz w:val="21"/>
        <w:szCs w:val="21"/>
        <w:u w:val="single"/>
        <w:lang w:eastAsia="zh-CN"/>
      </w:rPr>
      <w:t>园区土方调配总体规划及2025年建设项目土方平衡设计专题研究项目</w:t>
    </w:r>
    <w:r>
      <w:rPr>
        <w:rFonts w:hint="eastAsia" w:asciiTheme="minorEastAsia" w:hAnsiTheme="minorEastAsia" w:eastAsiaTheme="minorEastAsia" w:cstheme="minorEastAsia"/>
        <w:sz w:val="21"/>
        <w:szCs w:val="21"/>
        <w:u w:val="single"/>
      </w:rPr>
      <w:t xml:space="preserve">                竞争性磋商文件</w:t>
    </w:r>
    <w:bookmarkEnd w:id="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E073">
    <w:pPr>
      <w:snapToGrid w:val="0"/>
      <w:jc w:val="left"/>
      <w:rPr>
        <w:rFonts w:hint="eastAsia" w:asciiTheme="minorEastAsia" w:hAnsiTheme="minorEastAsia" w:eastAsiaTheme="minorEastAsia" w:cstheme="minorEastAsia"/>
        <w:szCs w:val="21"/>
        <w:u w:val="single"/>
      </w:rPr>
    </w:pPr>
    <w:bookmarkStart w:id="14" w:name="OLE_LINK7"/>
    <w:r>
      <w:rPr>
        <w:rFonts w:hint="eastAsia" w:asciiTheme="minorEastAsia" w:hAnsiTheme="minorEastAsia" w:eastAsiaTheme="minorEastAsia" w:cstheme="minorEastAsia"/>
        <w:szCs w:val="21"/>
        <w:u w:val="single"/>
        <w:lang w:eastAsia="zh-CN"/>
      </w:rPr>
      <w:t>园区土方调配总体规划及2025年建设项目土方平衡设计专题研究项目</w:t>
    </w:r>
    <w:r>
      <w:rPr>
        <w:rFonts w:hint="eastAsia" w:asciiTheme="minorEastAsia" w:hAnsiTheme="minorEastAsia" w:eastAsiaTheme="minorEastAsia" w:cstheme="minorEastAsia"/>
        <w:szCs w:val="21"/>
        <w:u w:val="single"/>
      </w:rPr>
      <w:t xml:space="preserve">                 竞争性磋商文件</w:t>
    </w:r>
  </w:p>
  <w:bookmarkEnd w:id="14"/>
  <w:p w14:paraId="74775F0F">
    <w:pPr>
      <w:pStyle w:val="16"/>
      <w:pBdr>
        <w:bottom w:val="none" w:color="auto" w:sz="0" w:space="0"/>
      </w:pBdr>
      <w:tabs>
        <w:tab w:val="clear" w:pos="4153"/>
      </w:tabs>
      <w:ind w:left="5040" w:hanging="5040" w:hangingChars="28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1683">
    <w:pPr>
      <w:snapToGrid w:val="0"/>
      <w:jc w:val="lef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lang w:eastAsia="zh-CN"/>
      </w:rPr>
      <w:t>园区土方调配总体规划及2025年建设项目土方平衡设计专题研究项目</w:t>
    </w:r>
    <w:r>
      <w:rPr>
        <w:rFonts w:hint="eastAsia" w:asciiTheme="minorEastAsia" w:hAnsiTheme="minorEastAsia" w:eastAsiaTheme="minorEastAsia" w:cstheme="minorEastAsia"/>
        <w:szCs w:val="21"/>
        <w:u w:val="single"/>
      </w:rPr>
      <w:t xml:space="preserve">         竞争性磋商文件</w:t>
    </w:r>
  </w:p>
  <w:p w14:paraId="5CC785A4">
    <w:pPr>
      <w:snapToGrid w:val="0"/>
      <w:jc w:val="left"/>
      <w:rPr>
        <w:rFonts w:hint="eastAsia" w:asciiTheme="minorEastAsia" w:hAnsiTheme="minorEastAsia" w:eastAsiaTheme="minorEastAsia" w:cstheme="minorEastAsia"/>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D4A7">
    <w:pPr>
      <w:snapToGrid w:val="0"/>
      <w:jc w:val="left"/>
      <w:rPr>
        <w:rFonts w:ascii="仿宋_GB2312" w:eastAsia="仿宋_GB2312"/>
        <w:b/>
        <w:sz w:val="18"/>
        <w:szCs w:val="18"/>
        <w:u w:val="single"/>
      </w:rPr>
    </w:pPr>
    <w:r>
      <w:rPr>
        <w:rFonts w:hint="eastAsia" w:asciiTheme="minorEastAsia" w:hAnsiTheme="minorEastAsia" w:eastAsiaTheme="minorEastAsia" w:cstheme="minorEastAsia"/>
        <w:szCs w:val="21"/>
        <w:u w:val="single"/>
        <w:lang w:eastAsia="zh-CN"/>
      </w:rPr>
      <w:t>园区土方调配总体规划及2025年建设项目土方平衡设计专题研究项目</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11C10"/>
    <w:multiLevelType w:val="multilevel"/>
    <w:tmpl w:val="20D11C10"/>
    <w:lvl w:ilvl="0" w:tentative="0">
      <w:start w:val="1"/>
      <w:numFmt w:val="chineseCountingThousand"/>
      <w:lvlText w:val="%1、"/>
      <w:lvlJc w:val="left"/>
      <w:pPr>
        <w:ind w:left="794" w:hanging="794"/>
      </w:pPr>
      <w:rPr>
        <w:rFonts w:hint="eastAsia" w:ascii="Times New Roman" w:hAnsi="Times New Roman" w:eastAsia="宋体" w:cs="Times New Roman"/>
        <w:b/>
        <w:i w:val="0"/>
        <w:sz w:val="21"/>
      </w:rPr>
    </w:lvl>
    <w:lvl w:ilvl="1" w:tentative="0">
      <w:start w:val="1"/>
      <w:numFmt w:val="japaneseCounting"/>
      <w:pStyle w:val="42"/>
      <w:lvlText w:val="第%2条、"/>
      <w:lvlJc w:val="left"/>
      <w:pPr>
        <w:ind w:left="794" w:hanging="794"/>
      </w:pPr>
      <w:rPr>
        <w:rFonts w:ascii="宋体" w:hAnsi="宋体" w:eastAsia="宋体" w:cs="Times New Roman"/>
        <w:b/>
        <w:i w:val="0"/>
        <w:sz w:val="21"/>
      </w:rPr>
    </w:lvl>
    <w:lvl w:ilvl="2" w:tentative="0">
      <w:start w:val="1"/>
      <w:numFmt w:val="decimal"/>
      <w:pStyle w:val="41"/>
      <w:lvlText w:val="%2.%3."/>
      <w:lvlJc w:val="left"/>
      <w:pPr>
        <w:ind w:left="794" w:hanging="794"/>
      </w:pPr>
      <w:rPr>
        <w:rFonts w:cs="Times New Roman"/>
        <w:b w:val="0"/>
      </w:rPr>
    </w:lvl>
    <w:lvl w:ilvl="3" w:tentative="0">
      <w:start w:val="1"/>
      <w:numFmt w:val="decimal"/>
      <w:lvlText w:val="%2.%3.%4."/>
      <w:lvlJc w:val="left"/>
      <w:pPr>
        <w:ind w:left="794" w:hanging="794"/>
      </w:pPr>
      <w:rPr>
        <w:rFonts w:cs="Times New Roman"/>
      </w:rPr>
    </w:lvl>
    <w:lvl w:ilvl="4" w:tentative="0">
      <w:start w:val="1"/>
      <w:numFmt w:val="upperLetter"/>
      <w:lvlText w:val="%5"/>
      <w:lvlJc w:val="left"/>
      <w:pPr>
        <w:tabs>
          <w:tab w:val="left" w:pos="794"/>
        </w:tabs>
        <w:ind w:left="794" w:hanging="794"/>
      </w:pPr>
      <w:rPr>
        <w:rFonts w:cs="Times New Roman"/>
      </w:rPr>
    </w:lvl>
    <w:lvl w:ilvl="5" w:tentative="0">
      <w:start w:val="1"/>
      <w:numFmt w:val="decimal"/>
      <w:lvlText w:val="%1.%2.%3.%4.%5.%6"/>
      <w:lvlJc w:val="left"/>
      <w:pPr>
        <w:ind w:left="794" w:hanging="794"/>
      </w:pPr>
      <w:rPr>
        <w:rFonts w:cs="Times New Roman"/>
      </w:rPr>
    </w:lvl>
    <w:lvl w:ilvl="6" w:tentative="0">
      <w:start w:val="1"/>
      <w:numFmt w:val="decimal"/>
      <w:lvlText w:val="%1.%2.%3.%4.%5.%6.%7"/>
      <w:lvlJc w:val="left"/>
      <w:pPr>
        <w:ind w:left="794" w:hanging="794"/>
      </w:pPr>
      <w:rPr>
        <w:rFonts w:cs="Times New Roman"/>
      </w:rPr>
    </w:lvl>
    <w:lvl w:ilvl="7" w:tentative="0">
      <w:start w:val="1"/>
      <w:numFmt w:val="decimal"/>
      <w:lvlText w:val="%1.%2.%3.%4.%5.%6.%7.%8"/>
      <w:lvlJc w:val="left"/>
      <w:pPr>
        <w:ind w:left="794" w:hanging="794"/>
      </w:pPr>
      <w:rPr>
        <w:rFonts w:cs="Times New Roman"/>
      </w:rPr>
    </w:lvl>
    <w:lvl w:ilvl="8" w:tentative="0">
      <w:start w:val="1"/>
      <w:numFmt w:val="decimal"/>
      <w:lvlText w:val="%1.%2.%3.%4.%5.%6.%7.%8.%9"/>
      <w:lvlJc w:val="left"/>
      <w:pPr>
        <w:ind w:left="794" w:hanging="79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liYjFhMmM4YjUyN2I0MGNkZDRmYzI1MDk5ZjIifQ=="/>
  </w:docVars>
  <w:rsids>
    <w:rsidRoot w:val="15C61566"/>
    <w:rsid w:val="00016D42"/>
    <w:rsid w:val="000267DA"/>
    <w:rsid w:val="00041C4E"/>
    <w:rsid w:val="00074F3B"/>
    <w:rsid w:val="00096F46"/>
    <w:rsid w:val="000B3A1E"/>
    <w:rsid w:val="000C5C71"/>
    <w:rsid w:val="000E5C67"/>
    <w:rsid w:val="001A0EB1"/>
    <w:rsid w:val="0024576F"/>
    <w:rsid w:val="00247D16"/>
    <w:rsid w:val="002579C3"/>
    <w:rsid w:val="00274A2D"/>
    <w:rsid w:val="0028508A"/>
    <w:rsid w:val="00287ECE"/>
    <w:rsid w:val="00290E5D"/>
    <w:rsid w:val="003752C8"/>
    <w:rsid w:val="00380017"/>
    <w:rsid w:val="003A63FF"/>
    <w:rsid w:val="003C2836"/>
    <w:rsid w:val="003E6344"/>
    <w:rsid w:val="00425221"/>
    <w:rsid w:val="0045213C"/>
    <w:rsid w:val="004C0647"/>
    <w:rsid w:val="004F1E09"/>
    <w:rsid w:val="0050356A"/>
    <w:rsid w:val="00553B7C"/>
    <w:rsid w:val="00560FFD"/>
    <w:rsid w:val="005D3166"/>
    <w:rsid w:val="0065239A"/>
    <w:rsid w:val="00655AE1"/>
    <w:rsid w:val="006B0967"/>
    <w:rsid w:val="006B1474"/>
    <w:rsid w:val="006E7313"/>
    <w:rsid w:val="00712E3E"/>
    <w:rsid w:val="0074014D"/>
    <w:rsid w:val="0078189D"/>
    <w:rsid w:val="007B70A4"/>
    <w:rsid w:val="007E48E5"/>
    <w:rsid w:val="007F4AF8"/>
    <w:rsid w:val="00841CCE"/>
    <w:rsid w:val="00845C36"/>
    <w:rsid w:val="008541DE"/>
    <w:rsid w:val="00893B73"/>
    <w:rsid w:val="008C24B0"/>
    <w:rsid w:val="00974129"/>
    <w:rsid w:val="00AF44A9"/>
    <w:rsid w:val="00B00BD6"/>
    <w:rsid w:val="00C36AA9"/>
    <w:rsid w:val="00CC153A"/>
    <w:rsid w:val="00D858B6"/>
    <w:rsid w:val="00DA3E77"/>
    <w:rsid w:val="00DC5613"/>
    <w:rsid w:val="00E510F1"/>
    <w:rsid w:val="00E614FC"/>
    <w:rsid w:val="00ED205E"/>
    <w:rsid w:val="00ED2C3F"/>
    <w:rsid w:val="00EF7D3F"/>
    <w:rsid w:val="00F35E1E"/>
    <w:rsid w:val="00F969B6"/>
    <w:rsid w:val="00FB62F5"/>
    <w:rsid w:val="00FB6C83"/>
    <w:rsid w:val="010A6538"/>
    <w:rsid w:val="010A65EE"/>
    <w:rsid w:val="01422176"/>
    <w:rsid w:val="01505F15"/>
    <w:rsid w:val="01564BF5"/>
    <w:rsid w:val="016D4D19"/>
    <w:rsid w:val="019B6C48"/>
    <w:rsid w:val="01C50ADD"/>
    <w:rsid w:val="01E23011"/>
    <w:rsid w:val="01EF3980"/>
    <w:rsid w:val="020B355F"/>
    <w:rsid w:val="02225B04"/>
    <w:rsid w:val="022E26FA"/>
    <w:rsid w:val="024E68F9"/>
    <w:rsid w:val="025F28B4"/>
    <w:rsid w:val="02704AC1"/>
    <w:rsid w:val="02712DC9"/>
    <w:rsid w:val="027415BD"/>
    <w:rsid w:val="028D5673"/>
    <w:rsid w:val="02A04374"/>
    <w:rsid w:val="02B349AE"/>
    <w:rsid w:val="030F42DA"/>
    <w:rsid w:val="03394157"/>
    <w:rsid w:val="03C244E5"/>
    <w:rsid w:val="04294F27"/>
    <w:rsid w:val="044E0E32"/>
    <w:rsid w:val="04751F27"/>
    <w:rsid w:val="04AD56A9"/>
    <w:rsid w:val="052027CE"/>
    <w:rsid w:val="05AB5E10"/>
    <w:rsid w:val="05B11678"/>
    <w:rsid w:val="05B64EE1"/>
    <w:rsid w:val="05F03B35"/>
    <w:rsid w:val="05F61781"/>
    <w:rsid w:val="05FD666C"/>
    <w:rsid w:val="061614DB"/>
    <w:rsid w:val="064A6DD3"/>
    <w:rsid w:val="066E7569"/>
    <w:rsid w:val="06976AC0"/>
    <w:rsid w:val="06AE7ADB"/>
    <w:rsid w:val="06C45701"/>
    <w:rsid w:val="06C673A5"/>
    <w:rsid w:val="06CB49BC"/>
    <w:rsid w:val="06CE0316"/>
    <w:rsid w:val="06F04422"/>
    <w:rsid w:val="07423ADF"/>
    <w:rsid w:val="07702E6D"/>
    <w:rsid w:val="07941252"/>
    <w:rsid w:val="07A80859"/>
    <w:rsid w:val="07BB0DC3"/>
    <w:rsid w:val="07C51BD7"/>
    <w:rsid w:val="084762C4"/>
    <w:rsid w:val="08751D73"/>
    <w:rsid w:val="08852948"/>
    <w:rsid w:val="08A66765"/>
    <w:rsid w:val="08A70B11"/>
    <w:rsid w:val="08DF474E"/>
    <w:rsid w:val="091A640F"/>
    <w:rsid w:val="0937514F"/>
    <w:rsid w:val="095C6374"/>
    <w:rsid w:val="09727371"/>
    <w:rsid w:val="09886320"/>
    <w:rsid w:val="09F45FD8"/>
    <w:rsid w:val="0A116B8A"/>
    <w:rsid w:val="0A1B17B6"/>
    <w:rsid w:val="0A2D14EA"/>
    <w:rsid w:val="0A432ABB"/>
    <w:rsid w:val="0A4F3F7B"/>
    <w:rsid w:val="0A60541B"/>
    <w:rsid w:val="0A911A78"/>
    <w:rsid w:val="0AA169BC"/>
    <w:rsid w:val="0AA5351E"/>
    <w:rsid w:val="0AB839A6"/>
    <w:rsid w:val="0ABF65E6"/>
    <w:rsid w:val="0AC534D0"/>
    <w:rsid w:val="0B093D05"/>
    <w:rsid w:val="0B106E41"/>
    <w:rsid w:val="0B266665"/>
    <w:rsid w:val="0B2F499E"/>
    <w:rsid w:val="0B3643CE"/>
    <w:rsid w:val="0B4D1E43"/>
    <w:rsid w:val="0B7F7B23"/>
    <w:rsid w:val="0B837613"/>
    <w:rsid w:val="0BB84DE3"/>
    <w:rsid w:val="0BC639A4"/>
    <w:rsid w:val="0BD25EA5"/>
    <w:rsid w:val="0C083FBC"/>
    <w:rsid w:val="0C453F4B"/>
    <w:rsid w:val="0C7E427E"/>
    <w:rsid w:val="0CAF578C"/>
    <w:rsid w:val="0CD12600"/>
    <w:rsid w:val="0CDA7707"/>
    <w:rsid w:val="0D006A41"/>
    <w:rsid w:val="0D3861DB"/>
    <w:rsid w:val="0D4E1EA3"/>
    <w:rsid w:val="0D5D4CBE"/>
    <w:rsid w:val="0DB53CD0"/>
    <w:rsid w:val="0DBD42A8"/>
    <w:rsid w:val="0DD71278"/>
    <w:rsid w:val="0E070B7C"/>
    <w:rsid w:val="0E184392"/>
    <w:rsid w:val="0E4D5CB6"/>
    <w:rsid w:val="0E5434E9"/>
    <w:rsid w:val="0E686F94"/>
    <w:rsid w:val="0E69320E"/>
    <w:rsid w:val="0E6A58D6"/>
    <w:rsid w:val="0E76345F"/>
    <w:rsid w:val="0E7771D7"/>
    <w:rsid w:val="0E9C3397"/>
    <w:rsid w:val="0EB61AAE"/>
    <w:rsid w:val="0EBE2D95"/>
    <w:rsid w:val="0EEC1973"/>
    <w:rsid w:val="0F5117D6"/>
    <w:rsid w:val="0F7A6F7F"/>
    <w:rsid w:val="0FB51D65"/>
    <w:rsid w:val="0FB900D1"/>
    <w:rsid w:val="0FBD0C1A"/>
    <w:rsid w:val="0FC03B56"/>
    <w:rsid w:val="0FD06B9F"/>
    <w:rsid w:val="0FDA17CC"/>
    <w:rsid w:val="0FE6229B"/>
    <w:rsid w:val="0FFA1E6E"/>
    <w:rsid w:val="104A6951"/>
    <w:rsid w:val="10725EA8"/>
    <w:rsid w:val="10B523FA"/>
    <w:rsid w:val="10C009C2"/>
    <w:rsid w:val="112E6273"/>
    <w:rsid w:val="115619D4"/>
    <w:rsid w:val="117619C8"/>
    <w:rsid w:val="117B5AB3"/>
    <w:rsid w:val="11827F8E"/>
    <w:rsid w:val="11934328"/>
    <w:rsid w:val="11BF6ECB"/>
    <w:rsid w:val="11DF131B"/>
    <w:rsid w:val="11E03176"/>
    <w:rsid w:val="11FA7F03"/>
    <w:rsid w:val="12103BCB"/>
    <w:rsid w:val="121D1E44"/>
    <w:rsid w:val="127001C5"/>
    <w:rsid w:val="128C71CF"/>
    <w:rsid w:val="12AB43E5"/>
    <w:rsid w:val="12BC165D"/>
    <w:rsid w:val="12F02B19"/>
    <w:rsid w:val="13224333"/>
    <w:rsid w:val="13274D28"/>
    <w:rsid w:val="13C0517C"/>
    <w:rsid w:val="140263D0"/>
    <w:rsid w:val="14333BA0"/>
    <w:rsid w:val="14373691"/>
    <w:rsid w:val="147541B9"/>
    <w:rsid w:val="147815B3"/>
    <w:rsid w:val="14983A03"/>
    <w:rsid w:val="14B51F18"/>
    <w:rsid w:val="14D42C8D"/>
    <w:rsid w:val="150A66AF"/>
    <w:rsid w:val="150D43F1"/>
    <w:rsid w:val="152C2AC9"/>
    <w:rsid w:val="156009C5"/>
    <w:rsid w:val="158346B4"/>
    <w:rsid w:val="15BB3038"/>
    <w:rsid w:val="15C61566"/>
    <w:rsid w:val="162A19AD"/>
    <w:rsid w:val="165D64C6"/>
    <w:rsid w:val="166B7621"/>
    <w:rsid w:val="16783E41"/>
    <w:rsid w:val="167F114C"/>
    <w:rsid w:val="16930926"/>
    <w:rsid w:val="16B40FC8"/>
    <w:rsid w:val="16BE1E47"/>
    <w:rsid w:val="17215F32"/>
    <w:rsid w:val="17614581"/>
    <w:rsid w:val="17996410"/>
    <w:rsid w:val="17A54DB5"/>
    <w:rsid w:val="17CF598E"/>
    <w:rsid w:val="17D336D0"/>
    <w:rsid w:val="17FC5493"/>
    <w:rsid w:val="18495740"/>
    <w:rsid w:val="18716A45"/>
    <w:rsid w:val="18720C7B"/>
    <w:rsid w:val="18A1732B"/>
    <w:rsid w:val="18A40BC9"/>
    <w:rsid w:val="18AC4201"/>
    <w:rsid w:val="18EF593B"/>
    <w:rsid w:val="19322678"/>
    <w:rsid w:val="198253AE"/>
    <w:rsid w:val="198D5B01"/>
    <w:rsid w:val="19D2396E"/>
    <w:rsid w:val="1A312D5D"/>
    <w:rsid w:val="1A325AA5"/>
    <w:rsid w:val="1A8C400A"/>
    <w:rsid w:val="1ACF155C"/>
    <w:rsid w:val="1ADA483D"/>
    <w:rsid w:val="1ADA6B24"/>
    <w:rsid w:val="1AE15926"/>
    <w:rsid w:val="1B067919"/>
    <w:rsid w:val="1B15245C"/>
    <w:rsid w:val="1B2D30F7"/>
    <w:rsid w:val="1B3574EC"/>
    <w:rsid w:val="1B927621"/>
    <w:rsid w:val="1BA91036"/>
    <w:rsid w:val="1BC670A8"/>
    <w:rsid w:val="1BEC3B8D"/>
    <w:rsid w:val="1BEC4D61"/>
    <w:rsid w:val="1C177904"/>
    <w:rsid w:val="1C1E4349"/>
    <w:rsid w:val="1C551F74"/>
    <w:rsid w:val="1C626DD1"/>
    <w:rsid w:val="1CA7512B"/>
    <w:rsid w:val="1CAC629E"/>
    <w:rsid w:val="1D556936"/>
    <w:rsid w:val="1D8611E5"/>
    <w:rsid w:val="1D9A582C"/>
    <w:rsid w:val="1DAC0C4B"/>
    <w:rsid w:val="1DB96EC4"/>
    <w:rsid w:val="1DC87107"/>
    <w:rsid w:val="1DCC0189"/>
    <w:rsid w:val="1DD3053D"/>
    <w:rsid w:val="1E320A25"/>
    <w:rsid w:val="1E4C1AE7"/>
    <w:rsid w:val="1E533C0C"/>
    <w:rsid w:val="1E5E2859"/>
    <w:rsid w:val="1EA336D1"/>
    <w:rsid w:val="1EB53B30"/>
    <w:rsid w:val="1ED65854"/>
    <w:rsid w:val="1F0625DD"/>
    <w:rsid w:val="1F1D7927"/>
    <w:rsid w:val="1F226CEB"/>
    <w:rsid w:val="1F282554"/>
    <w:rsid w:val="1F525822"/>
    <w:rsid w:val="1F5A46D7"/>
    <w:rsid w:val="1F6121D6"/>
    <w:rsid w:val="1F770DE5"/>
    <w:rsid w:val="1FC3402A"/>
    <w:rsid w:val="1FC97167"/>
    <w:rsid w:val="1FF00B97"/>
    <w:rsid w:val="200A3A07"/>
    <w:rsid w:val="200D1749"/>
    <w:rsid w:val="20112FE8"/>
    <w:rsid w:val="203E7B55"/>
    <w:rsid w:val="20474C5B"/>
    <w:rsid w:val="20566C4C"/>
    <w:rsid w:val="206F3728"/>
    <w:rsid w:val="20CF4C51"/>
    <w:rsid w:val="213F5933"/>
    <w:rsid w:val="2158294E"/>
    <w:rsid w:val="21611D4D"/>
    <w:rsid w:val="21690C01"/>
    <w:rsid w:val="21962484"/>
    <w:rsid w:val="21A32365"/>
    <w:rsid w:val="21B31E7D"/>
    <w:rsid w:val="21F20BF7"/>
    <w:rsid w:val="21F4496F"/>
    <w:rsid w:val="21F961C3"/>
    <w:rsid w:val="223C00C4"/>
    <w:rsid w:val="22521696"/>
    <w:rsid w:val="225E003A"/>
    <w:rsid w:val="22864988"/>
    <w:rsid w:val="229972C4"/>
    <w:rsid w:val="22A00653"/>
    <w:rsid w:val="22AD2D70"/>
    <w:rsid w:val="22BE2328"/>
    <w:rsid w:val="22ED1341"/>
    <w:rsid w:val="22F15352"/>
    <w:rsid w:val="22F53939"/>
    <w:rsid w:val="237320AF"/>
    <w:rsid w:val="237D6BE6"/>
    <w:rsid w:val="238B4E5F"/>
    <w:rsid w:val="23BE1434"/>
    <w:rsid w:val="23C03BCC"/>
    <w:rsid w:val="24264B88"/>
    <w:rsid w:val="24534A8E"/>
    <w:rsid w:val="24681644"/>
    <w:rsid w:val="246A53BC"/>
    <w:rsid w:val="248B0E8F"/>
    <w:rsid w:val="24AA7567"/>
    <w:rsid w:val="24AC1531"/>
    <w:rsid w:val="24DB0068"/>
    <w:rsid w:val="24E72569"/>
    <w:rsid w:val="252F660F"/>
    <w:rsid w:val="254C6870"/>
    <w:rsid w:val="25C27809"/>
    <w:rsid w:val="25C805EC"/>
    <w:rsid w:val="25CA383D"/>
    <w:rsid w:val="25E47A18"/>
    <w:rsid w:val="26040EF9"/>
    <w:rsid w:val="260D4251"/>
    <w:rsid w:val="26170C2C"/>
    <w:rsid w:val="261C6242"/>
    <w:rsid w:val="26235823"/>
    <w:rsid w:val="2629095F"/>
    <w:rsid w:val="26306192"/>
    <w:rsid w:val="266F6CBA"/>
    <w:rsid w:val="269E134D"/>
    <w:rsid w:val="26B30D08"/>
    <w:rsid w:val="26BE69D9"/>
    <w:rsid w:val="26EA6341"/>
    <w:rsid w:val="272F01F7"/>
    <w:rsid w:val="276F4A98"/>
    <w:rsid w:val="278247CB"/>
    <w:rsid w:val="27AC35F6"/>
    <w:rsid w:val="27C25A3A"/>
    <w:rsid w:val="27D50FFF"/>
    <w:rsid w:val="27DC212D"/>
    <w:rsid w:val="28177609"/>
    <w:rsid w:val="28843699"/>
    <w:rsid w:val="28B44BC4"/>
    <w:rsid w:val="28D252DE"/>
    <w:rsid w:val="28D9666D"/>
    <w:rsid w:val="28F11C08"/>
    <w:rsid w:val="28F2772E"/>
    <w:rsid w:val="292C49EE"/>
    <w:rsid w:val="293B7327"/>
    <w:rsid w:val="29763EBB"/>
    <w:rsid w:val="29807A50"/>
    <w:rsid w:val="2996455E"/>
    <w:rsid w:val="29A816D4"/>
    <w:rsid w:val="29BA5B22"/>
    <w:rsid w:val="29BB3FC4"/>
    <w:rsid w:val="29DE3C09"/>
    <w:rsid w:val="29DF15BE"/>
    <w:rsid w:val="29F00112"/>
    <w:rsid w:val="2A0D39EA"/>
    <w:rsid w:val="2A2102CB"/>
    <w:rsid w:val="2A571F3F"/>
    <w:rsid w:val="2A950CB9"/>
    <w:rsid w:val="2AD90BA6"/>
    <w:rsid w:val="2AE15CAC"/>
    <w:rsid w:val="2AF624B5"/>
    <w:rsid w:val="2AF860D3"/>
    <w:rsid w:val="2B125E66"/>
    <w:rsid w:val="2B2860EF"/>
    <w:rsid w:val="2B5841C1"/>
    <w:rsid w:val="2B5B780D"/>
    <w:rsid w:val="2B630D66"/>
    <w:rsid w:val="2B8E7BE2"/>
    <w:rsid w:val="2BB92785"/>
    <w:rsid w:val="2BCC4267"/>
    <w:rsid w:val="2BE23A8A"/>
    <w:rsid w:val="2BFD2672"/>
    <w:rsid w:val="2C736DD8"/>
    <w:rsid w:val="2C7F577D"/>
    <w:rsid w:val="2CAC176C"/>
    <w:rsid w:val="2CB74F17"/>
    <w:rsid w:val="2CD45CEF"/>
    <w:rsid w:val="2D2105E2"/>
    <w:rsid w:val="2D3227EF"/>
    <w:rsid w:val="2D5E5180"/>
    <w:rsid w:val="2D806BDB"/>
    <w:rsid w:val="2DC71461"/>
    <w:rsid w:val="2DD85145"/>
    <w:rsid w:val="2DDF4725"/>
    <w:rsid w:val="2DE955A4"/>
    <w:rsid w:val="2DF3590E"/>
    <w:rsid w:val="2E1D349F"/>
    <w:rsid w:val="2E556795"/>
    <w:rsid w:val="2E620EB2"/>
    <w:rsid w:val="2E725599"/>
    <w:rsid w:val="2E823302"/>
    <w:rsid w:val="2EA2374E"/>
    <w:rsid w:val="2EBD258D"/>
    <w:rsid w:val="2EC12E6E"/>
    <w:rsid w:val="2F250E42"/>
    <w:rsid w:val="2F27295A"/>
    <w:rsid w:val="2F57653D"/>
    <w:rsid w:val="2F6649D2"/>
    <w:rsid w:val="2F6A6270"/>
    <w:rsid w:val="2FA23C5C"/>
    <w:rsid w:val="2FA71273"/>
    <w:rsid w:val="2FC8743B"/>
    <w:rsid w:val="2FD47B8E"/>
    <w:rsid w:val="2FE14059"/>
    <w:rsid w:val="2FEA115F"/>
    <w:rsid w:val="2FFA3A61"/>
    <w:rsid w:val="3005243D"/>
    <w:rsid w:val="302204C8"/>
    <w:rsid w:val="30302C02"/>
    <w:rsid w:val="304A7E50"/>
    <w:rsid w:val="307F3C12"/>
    <w:rsid w:val="30963095"/>
    <w:rsid w:val="310444A3"/>
    <w:rsid w:val="31140B8A"/>
    <w:rsid w:val="312C5ACF"/>
    <w:rsid w:val="312D39F9"/>
    <w:rsid w:val="3130037D"/>
    <w:rsid w:val="313F372D"/>
    <w:rsid w:val="315A2315"/>
    <w:rsid w:val="315E3BB3"/>
    <w:rsid w:val="316D2048"/>
    <w:rsid w:val="31767311"/>
    <w:rsid w:val="317909ED"/>
    <w:rsid w:val="31857392"/>
    <w:rsid w:val="31AF440F"/>
    <w:rsid w:val="31C75BF4"/>
    <w:rsid w:val="31CA5C1E"/>
    <w:rsid w:val="31F63610"/>
    <w:rsid w:val="32317519"/>
    <w:rsid w:val="32715B68"/>
    <w:rsid w:val="327D450D"/>
    <w:rsid w:val="3287538B"/>
    <w:rsid w:val="328E671A"/>
    <w:rsid w:val="32A221C5"/>
    <w:rsid w:val="32AE46C6"/>
    <w:rsid w:val="32BE1CA1"/>
    <w:rsid w:val="32C4038E"/>
    <w:rsid w:val="331A1D5C"/>
    <w:rsid w:val="33263AAA"/>
    <w:rsid w:val="33574D5E"/>
    <w:rsid w:val="33925D96"/>
    <w:rsid w:val="33927790"/>
    <w:rsid w:val="33981556"/>
    <w:rsid w:val="33CB74FA"/>
    <w:rsid w:val="34264730"/>
    <w:rsid w:val="3464452F"/>
    <w:rsid w:val="34825E0A"/>
    <w:rsid w:val="348F0527"/>
    <w:rsid w:val="349A75F8"/>
    <w:rsid w:val="349F69BC"/>
    <w:rsid w:val="34C77CC1"/>
    <w:rsid w:val="34D04DC8"/>
    <w:rsid w:val="34D32B0A"/>
    <w:rsid w:val="34DA5C46"/>
    <w:rsid w:val="351E3EC4"/>
    <w:rsid w:val="352E5F92"/>
    <w:rsid w:val="353115DE"/>
    <w:rsid w:val="354D466A"/>
    <w:rsid w:val="3575771D"/>
    <w:rsid w:val="35902A29"/>
    <w:rsid w:val="35C3492C"/>
    <w:rsid w:val="3619279E"/>
    <w:rsid w:val="362353CB"/>
    <w:rsid w:val="364F61C0"/>
    <w:rsid w:val="36603F29"/>
    <w:rsid w:val="370039D9"/>
    <w:rsid w:val="37092813"/>
    <w:rsid w:val="37142504"/>
    <w:rsid w:val="371B42F4"/>
    <w:rsid w:val="37215DAE"/>
    <w:rsid w:val="37335AE2"/>
    <w:rsid w:val="37351036"/>
    <w:rsid w:val="375D5A67"/>
    <w:rsid w:val="37732382"/>
    <w:rsid w:val="37751C56"/>
    <w:rsid w:val="37865C12"/>
    <w:rsid w:val="37895702"/>
    <w:rsid w:val="379A346B"/>
    <w:rsid w:val="37AC29B5"/>
    <w:rsid w:val="37AD13F0"/>
    <w:rsid w:val="37B409D1"/>
    <w:rsid w:val="37BE14C0"/>
    <w:rsid w:val="37C60704"/>
    <w:rsid w:val="37D03331"/>
    <w:rsid w:val="37D83F93"/>
    <w:rsid w:val="3814146F"/>
    <w:rsid w:val="381E409C"/>
    <w:rsid w:val="3821593A"/>
    <w:rsid w:val="38482EC7"/>
    <w:rsid w:val="384855BD"/>
    <w:rsid w:val="3862042D"/>
    <w:rsid w:val="386378F0"/>
    <w:rsid w:val="389241CD"/>
    <w:rsid w:val="38971FA6"/>
    <w:rsid w:val="38A10829"/>
    <w:rsid w:val="38AD5420"/>
    <w:rsid w:val="38E3651A"/>
    <w:rsid w:val="39186D3D"/>
    <w:rsid w:val="39311BAD"/>
    <w:rsid w:val="394E09B1"/>
    <w:rsid w:val="39932868"/>
    <w:rsid w:val="39B90520"/>
    <w:rsid w:val="39C2045F"/>
    <w:rsid w:val="39C42A21"/>
    <w:rsid w:val="39E3734B"/>
    <w:rsid w:val="39F5707E"/>
    <w:rsid w:val="3A1510D0"/>
    <w:rsid w:val="3A485400"/>
    <w:rsid w:val="3A5E2E76"/>
    <w:rsid w:val="3AA20FB4"/>
    <w:rsid w:val="3AA7481D"/>
    <w:rsid w:val="3ADB6274"/>
    <w:rsid w:val="3B043A1D"/>
    <w:rsid w:val="3B196D9D"/>
    <w:rsid w:val="3B1D3EE2"/>
    <w:rsid w:val="3B1F0857"/>
    <w:rsid w:val="3B2714BA"/>
    <w:rsid w:val="3B2E0A9A"/>
    <w:rsid w:val="3B2E76B7"/>
    <w:rsid w:val="3B430836"/>
    <w:rsid w:val="3B44206B"/>
    <w:rsid w:val="3B47390A"/>
    <w:rsid w:val="3B7837BF"/>
    <w:rsid w:val="3B902ED6"/>
    <w:rsid w:val="3BF27D19"/>
    <w:rsid w:val="3BF82E56"/>
    <w:rsid w:val="3C0F5CEF"/>
    <w:rsid w:val="3C3976F6"/>
    <w:rsid w:val="3C3A346E"/>
    <w:rsid w:val="3C4340D1"/>
    <w:rsid w:val="3C591B47"/>
    <w:rsid w:val="3C990195"/>
    <w:rsid w:val="3CCF5D67"/>
    <w:rsid w:val="3CD04E10"/>
    <w:rsid w:val="3CDB07AE"/>
    <w:rsid w:val="3CDB69FF"/>
    <w:rsid w:val="3CDC4526"/>
    <w:rsid w:val="3D79202B"/>
    <w:rsid w:val="3D7F55DD"/>
    <w:rsid w:val="3D864BBD"/>
    <w:rsid w:val="3DB65437"/>
    <w:rsid w:val="3DEB0EC4"/>
    <w:rsid w:val="3DF32FC8"/>
    <w:rsid w:val="3E18158D"/>
    <w:rsid w:val="3E2C6DE7"/>
    <w:rsid w:val="3E3D10AA"/>
    <w:rsid w:val="3E646581"/>
    <w:rsid w:val="3E8F7AA2"/>
    <w:rsid w:val="3E9E4E87"/>
    <w:rsid w:val="3EBA43F3"/>
    <w:rsid w:val="3F0062A9"/>
    <w:rsid w:val="3F471B5B"/>
    <w:rsid w:val="3F566811"/>
    <w:rsid w:val="3F5922C0"/>
    <w:rsid w:val="3F6A7BC7"/>
    <w:rsid w:val="3F9C396C"/>
    <w:rsid w:val="3FA622DC"/>
    <w:rsid w:val="3FBF6165"/>
    <w:rsid w:val="3FEE6BFE"/>
    <w:rsid w:val="3FF57DD8"/>
    <w:rsid w:val="40061FE5"/>
    <w:rsid w:val="403B62A2"/>
    <w:rsid w:val="4041301D"/>
    <w:rsid w:val="40844CB8"/>
    <w:rsid w:val="408E38BD"/>
    <w:rsid w:val="409A44DC"/>
    <w:rsid w:val="40A9471F"/>
    <w:rsid w:val="40BA0DD8"/>
    <w:rsid w:val="40ED0AAF"/>
    <w:rsid w:val="410A78B3"/>
    <w:rsid w:val="414032D5"/>
    <w:rsid w:val="41483F38"/>
    <w:rsid w:val="41662610"/>
    <w:rsid w:val="41BF069E"/>
    <w:rsid w:val="41D571A9"/>
    <w:rsid w:val="41E2438C"/>
    <w:rsid w:val="41F145CF"/>
    <w:rsid w:val="42213106"/>
    <w:rsid w:val="423A5F76"/>
    <w:rsid w:val="42BA0E65"/>
    <w:rsid w:val="43014CE6"/>
    <w:rsid w:val="43654272"/>
    <w:rsid w:val="436A288B"/>
    <w:rsid w:val="43C55D14"/>
    <w:rsid w:val="43DD153F"/>
    <w:rsid w:val="43E066F5"/>
    <w:rsid w:val="43F108B7"/>
    <w:rsid w:val="43F77E57"/>
    <w:rsid w:val="44316F05"/>
    <w:rsid w:val="444529B0"/>
    <w:rsid w:val="44623562"/>
    <w:rsid w:val="448E25A9"/>
    <w:rsid w:val="44A1408B"/>
    <w:rsid w:val="44BC2C73"/>
    <w:rsid w:val="44E95A32"/>
    <w:rsid w:val="452D3B70"/>
    <w:rsid w:val="456A0921"/>
    <w:rsid w:val="4577128F"/>
    <w:rsid w:val="45791055"/>
    <w:rsid w:val="45A831F7"/>
    <w:rsid w:val="45BE2A1A"/>
    <w:rsid w:val="45C1250B"/>
    <w:rsid w:val="4622744D"/>
    <w:rsid w:val="46666A4F"/>
    <w:rsid w:val="466E2692"/>
    <w:rsid w:val="46733805"/>
    <w:rsid w:val="46734AD0"/>
    <w:rsid w:val="469B2D5C"/>
    <w:rsid w:val="46A460B4"/>
    <w:rsid w:val="46AE2A8F"/>
    <w:rsid w:val="46DC75FC"/>
    <w:rsid w:val="46E12E64"/>
    <w:rsid w:val="46FA3F26"/>
    <w:rsid w:val="473276AB"/>
    <w:rsid w:val="47370CD6"/>
    <w:rsid w:val="47392CA0"/>
    <w:rsid w:val="47486A40"/>
    <w:rsid w:val="474B6530"/>
    <w:rsid w:val="474D22A8"/>
    <w:rsid w:val="476F66C2"/>
    <w:rsid w:val="477A307F"/>
    <w:rsid w:val="47961EA1"/>
    <w:rsid w:val="47E56984"/>
    <w:rsid w:val="47EF15B1"/>
    <w:rsid w:val="480B1045"/>
    <w:rsid w:val="48141018"/>
    <w:rsid w:val="482E20D9"/>
    <w:rsid w:val="483B65A4"/>
    <w:rsid w:val="4851608C"/>
    <w:rsid w:val="48861F15"/>
    <w:rsid w:val="48965BB0"/>
    <w:rsid w:val="48A054FE"/>
    <w:rsid w:val="48D13ABF"/>
    <w:rsid w:val="48E21116"/>
    <w:rsid w:val="491246A2"/>
    <w:rsid w:val="49276B29"/>
    <w:rsid w:val="494C1A95"/>
    <w:rsid w:val="49543DC1"/>
    <w:rsid w:val="49A05B9D"/>
    <w:rsid w:val="49A10689"/>
    <w:rsid w:val="49D61C97"/>
    <w:rsid w:val="49F15983"/>
    <w:rsid w:val="49F17862"/>
    <w:rsid w:val="49F7474D"/>
    <w:rsid w:val="4A123335"/>
    <w:rsid w:val="4A91694F"/>
    <w:rsid w:val="4AA2290B"/>
    <w:rsid w:val="4AD66A58"/>
    <w:rsid w:val="4AE90539"/>
    <w:rsid w:val="4B125CE2"/>
    <w:rsid w:val="4B7F49FA"/>
    <w:rsid w:val="4B933752"/>
    <w:rsid w:val="4BC92119"/>
    <w:rsid w:val="4BDA1F5B"/>
    <w:rsid w:val="4BE40D01"/>
    <w:rsid w:val="4C3479F8"/>
    <w:rsid w:val="4C5365B2"/>
    <w:rsid w:val="4C746529"/>
    <w:rsid w:val="4C854292"/>
    <w:rsid w:val="4C8F5111"/>
    <w:rsid w:val="4CD8743D"/>
    <w:rsid w:val="4CE76C4A"/>
    <w:rsid w:val="4CF775C0"/>
    <w:rsid w:val="4D0E24D9"/>
    <w:rsid w:val="4D1D44CA"/>
    <w:rsid w:val="4D331F40"/>
    <w:rsid w:val="4D4001B9"/>
    <w:rsid w:val="4D521462"/>
    <w:rsid w:val="4D5A74CD"/>
    <w:rsid w:val="4D6D5452"/>
    <w:rsid w:val="4D736CF7"/>
    <w:rsid w:val="4D84279B"/>
    <w:rsid w:val="4D920C64"/>
    <w:rsid w:val="4DB27309"/>
    <w:rsid w:val="4DFF0074"/>
    <w:rsid w:val="4E086F29"/>
    <w:rsid w:val="4E191136"/>
    <w:rsid w:val="4E30647F"/>
    <w:rsid w:val="4E5959D6"/>
    <w:rsid w:val="4E5C467B"/>
    <w:rsid w:val="4E6C395B"/>
    <w:rsid w:val="4E7B1D71"/>
    <w:rsid w:val="4EC72940"/>
    <w:rsid w:val="4ED137BE"/>
    <w:rsid w:val="4F190D64"/>
    <w:rsid w:val="4F2A4ADE"/>
    <w:rsid w:val="4F2C30EB"/>
    <w:rsid w:val="4F535034"/>
    <w:rsid w:val="4F6E54B1"/>
    <w:rsid w:val="4F876C7F"/>
    <w:rsid w:val="4F9071D6"/>
    <w:rsid w:val="4F933653"/>
    <w:rsid w:val="4F9A700F"/>
    <w:rsid w:val="4FB01626"/>
    <w:rsid w:val="4FE439C5"/>
    <w:rsid w:val="4FEB1759"/>
    <w:rsid w:val="50055E16"/>
    <w:rsid w:val="500B0F52"/>
    <w:rsid w:val="50153B7F"/>
    <w:rsid w:val="503E1327"/>
    <w:rsid w:val="503E30D6"/>
    <w:rsid w:val="504D5E94"/>
    <w:rsid w:val="506863A4"/>
    <w:rsid w:val="510672C6"/>
    <w:rsid w:val="5107796B"/>
    <w:rsid w:val="51092E36"/>
    <w:rsid w:val="510C31D4"/>
    <w:rsid w:val="512247A5"/>
    <w:rsid w:val="515C3A4F"/>
    <w:rsid w:val="51B80C66"/>
    <w:rsid w:val="51DC4954"/>
    <w:rsid w:val="522E2B51"/>
    <w:rsid w:val="524E5126"/>
    <w:rsid w:val="52727066"/>
    <w:rsid w:val="527A767A"/>
    <w:rsid w:val="527C6137"/>
    <w:rsid w:val="52903990"/>
    <w:rsid w:val="52B23907"/>
    <w:rsid w:val="52E57838"/>
    <w:rsid w:val="52FE6B4C"/>
    <w:rsid w:val="530D6D8F"/>
    <w:rsid w:val="532A5B93"/>
    <w:rsid w:val="539059E6"/>
    <w:rsid w:val="5394125E"/>
    <w:rsid w:val="539B439B"/>
    <w:rsid w:val="53B76906"/>
    <w:rsid w:val="53D3385C"/>
    <w:rsid w:val="53F655B7"/>
    <w:rsid w:val="546E385E"/>
    <w:rsid w:val="547876BC"/>
    <w:rsid w:val="549A0F2F"/>
    <w:rsid w:val="54B716A8"/>
    <w:rsid w:val="54BA0218"/>
    <w:rsid w:val="54D20290"/>
    <w:rsid w:val="550C37A2"/>
    <w:rsid w:val="55322ADD"/>
    <w:rsid w:val="553B4087"/>
    <w:rsid w:val="55794BB0"/>
    <w:rsid w:val="559519EA"/>
    <w:rsid w:val="559A5CE1"/>
    <w:rsid w:val="559B2D78"/>
    <w:rsid w:val="55A439DB"/>
    <w:rsid w:val="55F06C20"/>
    <w:rsid w:val="55F354F6"/>
    <w:rsid w:val="55FD133D"/>
    <w:rsid w:val="56135F3E"/>
    <w:rsid w:val="56262642"/>
    <w:rsid w:val="56334D5F"/>
    <w:rsid w:val="563A433F"/>
    <w:rsid w:val="56501DBB"/>
    <w:rsid w:val="56674A08"/>
    <w:rsid w:val="56694C24"/>
    <w:rsid w:val="56905D0D"/>
    <w:rsid w:val="569629B4"/>
    <w:rsid w:val="569F6834"/>
    <w:rsid w:val="56BC4D54"/>
    <w:rsid w:val="56D225C2"/>
    <w:rsid w:val="56DF6C95"/>
    <w:rsid w:val="56E85B49"/>
    <w:rsid w:val="576C0528"/>
    <w:rsid w:val="57702786"/>
    <w:rsid w:val="57B679F5"/>
    <w:rsid w:val="57BF5F24"/>
    <w:rsid w:val="57E44562"/>
    <w:rsid w:val="58247055"/>
    <w:rsid w:val="584054D7"/>
    <w:rsid w:val="5862192B"/>
    <w:rsid w:val="594F7A51"/>
    <w:rsid w:val="598002BB"/>
    <w:rsid w:val="59843B9E"/>
    <w:rsid w:val="59AC5554"/>
    <w:rsid w:val="59DB3743"/>
    <w:rsid w:val="59DD74BB"/>
    <w:rsid w:val="5A0A5DD6"/>
    <w:rsid w:val="5A160C1F"/>
    <w:rsid w:val="5A1960FE"/>
    <w:rsid w:val="5A495E0B"/>
    <w:rsid w:val="5A8714B8"/>
    <w:rsid w:val="5A9658BC"/>
    <w:rsid w:val="5AAC50E0"/>
    <w:rsid w:val="5AC97F1D"/>
    <w:rsid w:val="5ACA26F4"/>
    <w:rsid w:val="5AE12FDB"/>
    <w:rsid w:val="5AEC478B"/>
    <w:rsid w:val="5B0D2022"/>
    <w:rsid w:val="5B0E625F"/>
    <w:rsid w:val="5B152C85"/>
    <w:rsid w:val="5B4377F2"/>
    <w:rsid w:val="5B4812AC"/>
    <w:rsid w:val="5B501F0F"/>
    <w:rsid w:val="5B6A2FD1"/>
    <w:rsid w:val="5B6F6839"/>
    <w:rsid w:val="5B90331D"/>
    <w:rsid w:val="5BA15EEC"/>
    <w:rsid w:val="5BA50427"/>
    <w:rsid w:val="5BA9046D"/>
    <w:rsid w:val="5BEE0BAB"/>
    <w:rsid w:val="5C1B42CB"/>
    <w:rsid w:val="5C311D40"/>
    <w:rsid w:val="5C3B2BBF"/>
    <w:rsid w:val="5C735EB5"/>
    <w:rsid w:val="5C7E6830"/>
    <w:rsid w:val="5C7F5723"/>
    <w:rsid w:val="5C86208C"/>
    <w:rsid w:val="5CA644DC"/>
    <w:rsid w:val="5CAE513F"/>
    <w:rsid w:val="5CB0535B"/>
    <w:rsid w:val="5CE60D7D"/>
    <w:rsid w:val="5D3970FE"/>
    <w:rsid w:val="5D465377"/>
    <w:rsid w:val="5D5522D8"/>
    <w:rsid w:val="5D5E0913"/>
    <w:rsid w:val="5D7E0FB5"/>
    <w:rsid w:val="5DB93D9B"/>
    <w:rsid w:val="5DE74C42"/>
    <w:rsid w:val="5E167440"/>
    <w:rsid w:val="5E4A533B"/>
    <w:rsid w:val="5E59187D"/>
    <w:rsid w:val="5E6C3504"/>
    <w:rsid w:val="5E875C48"/>
    <w:rsid w:val="5E9465B6"/>
    <w:rsid w:val="5E982A68"/>
    <w:rsid w:val="5ECC3FA2"/>
    <w:rsid w:val="5EDA0F44"/>
    <w:rsid w:val="5EEC1F4F"/>
    <w:rsid w:val="5F1F2324"/>
    <w:rsid w:val="5F2142EE"/>
    <w:rsid w:val="5F2711D9"/>
    <w:rsid w:val="5F2B6F1B"/>
    <w:rsid w:val="5F4158B5"/>
    <w:rsid w:val="5F6B7317"/>
    <w:rsid w:val="5FBC7B73"/>
    <w:rsid w:val="5FE5356E"/>
    <w:rsid w:val="5FFF5CB2"/>
    <w:rsid w:val="60602BF4"/>
    <w:rsid w:val="606A5821"/>
    <w:rsid w:val="606D5311"/>
    <w:rsid w:val="60820DBC"/>
    <w:rsid w:val="60822B6A"/>
    <w:rsid w:val="608A1A1F"/>
    <w:rsid w:val="608B4D11"/>
    <w:rsid w:val="60BC072A"/>
    <w:rsid w:val="60CA4511"/>
    <w:rsid w:val="611F485D"/>
    <w:rsid w:val="61202383"/>
    <w:rsid w:val="613025C6"/>
    <w:rsid w:val="613320B7"/>
    <w:rsid w:val="61412A26"/>
    <w:rsid w:val="61500EBB"/>
    <w:rsid w:val="61C777A9"/>
    <w:rsid w:val="61E11B13"/>
    <w:rsid w:val="62215048"/>
    <w:rsid w:val="622C012D"/>
    <w:rsid w:val="622E38B2"/>
    <w:rsid w:val="622F287E"/>
    <w:rsid w:val="623E6F65"/>
    <w:rsid w:val="62455CE7"/>
    <w:rsid w:val="624D0F56"/>
    <w:rsid w:val="62552F76"/>
    <w:rsid w:val="626562A0"/>
    <w:rsid w:val="62785B9F"/>
    <w:rsid w:val="628A3F58"/>
    <w:rsid w:val="62BB6808"/>
    <w:rsid w:val="62C90F25"/>
    <w:rsid w:val="62FB040C"/>
    <w:rsid w:val="6307201B"/>
    <w:rsid w:val="63352B53"/>
    <w:rsid w:val="633F11E7"/>
    <w:rsid w:val="635527B8"/>
    <w:rsid w:val="63CB2A7A"/>
    <w:rsid w:val="63D86F45"/>
    <w:rsid w:val="63DA0F0F"/>
    <w:rsid w:val="6468651B"/>
    <w:rsid w:val="64832B8F"/>
    <w:rsid w:val="64AE6331"/>
    <w:rsid w:val="64BB1BE8"/>
    <w:rsid w:val="64C44DAC"/>
    <w:rsid w:val="650F6997"/>
    <w:rsid w:val="651E6BDA"/>
    <w:rsid w:val="65221342"/>
    <w:rsid w:val="653A1C7A"/>
    <w:rsid w:val="65EC0A86"/>
    <w:rsid w:val="66214D1B"/>
    <w:rsid w:val="66293EF0"/>
    <w:rsid w:val="662D4566"/>
    <w:rsid w:val="662E109F"/>
    <w:rsid w:val="66552ACF"/>
    <w:rsid w:val="665705F5"/>
    <w:rsid w:val="666B23BE"/>
    <w:rsid w:val="668B029F"/>
    <w:rsid w:val="66B912B0"/>
    <w:rsid w:val="66D103A8"/>
    <w:rsid w:val="66D32372"/>
    <w:rsid w:val="67360A4C"/>
    <w:rsid w:val="674E7C4A"/>
    <w:rsid w:val="67917B37"/>
    <w:rsid w:val="67B0620F"/>
    <w:rsid w:val="67C47F0C"/>
    <w:rsid w:val="68185DB0"/>
    <w:rsid w:val="681A06FE"/>
    <w:rsid w:val="68386205"/>
    <w:rsid w:val="684E77D6"/>
    <w:rsid w:val="68582403"/>
    <w:rsid w:val="687234C5"/>
    <w:rsid w:val="688E4077"/>
    <w:rsid w:val="689E250C"/>
    <w:rsid w:val="68C7017F"/>
    <w:rsid w:val="68E731FC"/>
    <w:rsid w:val="690031C6"/>
    <w:rsid w:val="690E58E3"/>
    <w:rsid w:val="69180510"/>
    <w:rsid w:val="691E364C"/>
    <w:rsid w:val="69280983"/>
    <w:rsid w:val="69694595"/>
    <w:rsid w:val="69713A6A"/>
    <w:rsid w:val="697C61BE"/>
    <w:rsid w:val="69902D93"/>
    <w:rsid w:val="699A304F"/>
    <w:rsid w:val="69D87C9F"/>
    <w:rsid w:val="69EC374B"/>
    <w:rsid w:val="69FF522C"/>
    <w:rsid w:val="6A06480C"/>
    <w:rsid w:val="6A2E78BF"/>
    <w:rsid w:val="6A3273AF"/>
    <w:rsid w:val="6A3D4C2A"/>
    <w:rsid w:val="6A570BC4"/>
    <w:rsid w:val="6A6D6639"/>
    <w:rsid w:val="6A707ED8"/>
    <w:rsid w:val="6AB81293"/>
    <w:rsid w:val="6ADA0C60"/>
    <w:rsid w:val="6AF1726A"/>
    <w:rsid w:val="6B421874"/>
    <w:rsid w:val="6B430690"/>
    <w:rsid w:val="6B480E55"/>
    <w:rsid w:val="6B573D7E"/>
    <w:rsid w:val="6B637A3C"/>
    <w:rsid w:val="6B87372B"/>
    <w:rsid w:val="6BA75B7B"/>
    <w:rsid w:val="6BD526E8"/>
    <w:rsid w:val="6BF21765"/>
    <w:rsid w:val="6BFD579B"/>
    <w:rsid w:val="6C0E5BFA"/>
    <w:rsid w:val="6C411ECC"/>
    <w:rsid w:val="6C49093A"/>
    <w:rsid w:val="6C710631"/>
    <w:rsid w:val="6CC04BA7"/>
    <w:rsid w:val="6CE150BD"/>
    <w:rsid w:val="6CEC68FA"/>
    <w:rsid w:val="6D06067F"/>
    <w:rsid w:val="6D0A63C2"/>
    <w:rsid w:val="6D4B0788"/>
    <w:rsid w:val="6D4F2026"/>
    <w:rsid w:val="6D6F4477"/>
    <w:rsid w:val="6D7663B8"/>
    <w:rsid w:val="6D7A50E8"/>
    <w:rsid w:val="6D836174"/>
    <w:rsid w:val="6D9E6B0A"/>
    <w:rsid w:val="6DB63E53"/>
    <w:rsid w:val="6E71421E"/>
    <w:rsid w:val="6E851A78"/>
    <w:rsid w:val="6E8977BA"/>
    <w:rsid w:val="6EAC4A51"/>
    <w:rsid w:val="6EBC193D"/>
    <w:rsid w:val="6EDA0016"/>
    <w:rsid w:val="6F086931"/>
    <w:rsid w:val="6F1F1ECC"/>
    <w:rsid w:val="6F2614AD"/>
    <w:rsid w:val="6F502086"/>
    <w:rsid w:val="6F60186C"/>
    <w:rsid w:val="6F6873CF"/>
    <w:rsid w:val="6F997ED1"/>
    <w:rsid w:val="6FA40574"/>
    <w:rsid w:val="6FD74555"/>
    <w:rsid w:val="700B0251"/>
    <w:rsid w:val="700D3FF7"/>
    <w:rsid w:val="70313C65"/>
    <w:rsid w:val="708741CD"/>
    <w:rsid w:val="70EB475C"/>
    <w:rsid w:val="71463740"/>
    <w:rsid w:val="71520337"/>
    <w:rsid w:val="71BE59CD"/>
    <w:rsid w:val="71FB452B"/>
    <w:rsid w:val="720767AA"/>
    <w:rsid w:val="72077373"/>
    <w:rsid w:val="72167299"/>
    <w:rsid w:val="726227FC"/>
    <w:rsid w:val="72874010"/>
    <w:rsid w:val="72CE7313"/>
    <w:rsid w:val="72D8486C"/>
    <w:rsid w:val="7370719A"/>
    <w:rsid w:val="73724CC1"/>
    <w:rsid w:val="73AB1F81"/>
    <w:rsid w:val="73BD1429"/>
    <w:rsid w:val="73C31078"/>
    <w:rsid w:val="73DE4104"/>
    <w:rsid w:val="74051691"/>
    <w:rsid w:val="741E55FB"/>
    <w:rsid w:val="741E6BF6"/>
    <w:rsid w:val="742064CB"/>
    <w:rsid w:val="74654825"/>
    <w:rsid w:val="746D116A"/>
    <w:rsid w:val="74BA5BB7"/>
    <w:rsid w:val="75295853"/>
    <w:rsid w:val="753D30AC"/>
    <w:rsid w:val="755503F6"/>
    <w:rsid w:val="75862283"/>
    <w:rsid w:val="75B415C0"/>
    <w:rsid w:val="75C86E1A"/>
    <w:rsid w:val="75D752AF"/>
    <w:rsid w:val="75DB6DCF"/>
    <w:rsid w:val="75E23834"/>
    <w:rsid w:val="764F753B"/>
    <w:rsid w:val="76500BBD"/>
    <w:rsid w:val="76724FD8"/>
    <w:rsid w:val="767B3E8C"/>
    <w:rsid w:val="769907B6"/>
    <w:rsid w:val="76A333E3"/>
    <w:rsid w:val="76C84BF7"/>
    <w:rsid w:val="76DF2448"/>
    <w:rsid w:val="76FF4ABD"/>
    <w:rsid w:val="777A4144"/>
    <w:rsid w:val="778E7DD4"/>
    <w:rsid w:val="77E65C7D"/>
    <w:rsid w:val="77EB5041"/>
    <w:rsid w:val="77F24622"/>
    <w:rsid w:val="78210A63"/>
    <w:rsid w:val="7883171E"/>
    <w:rsid w:val="78B13B95"/>
    <w:rsid w:val="78D83818"/>
    <w:rsid w:val="79002D6F"/>
    <w:rsid w:val="790B7EA4"/>
    <w:rsid w:val="791505C8"/>
    <w:rsid w:val="793E3C37"/>
    <w:rsid w:val="795E51D8"/>
    <w:rsid w:val="799314ED"/>
    <w:rsid w:val="79CD2C51"/>
    <w:rsid w:val="79D815F5"/>
    <w:rsid w:val="7A2F7467"/>
    <w:rsid w:val="7A320D06"/>
    <w:rsid w:val="7A777060"/>
    <w:rsid w:val="7A7B08FF"/>
    <w:rsid w:val="7AB20098"/>
    <w:rsid w:val="7AD06F0C"/>
    <w:rsid w:val="7AEF309B"/>
    <w:rsid w:val="7AF95CC7"/>
    <w:rsid w:val="7B18614D"/>
    <w:rsid w:val="7B1E001F"/>
    <w:rsid w:val="7B8C08E9"/>
    <w:rsid w:val="7B8C6B3B"/>
    <w:rsid w:val="7B8D6492"/>
    <w:rsid w:val="7BAB0415"/>
    <w:rsid w:val="7BD209F2"/>
    <w:rsid w:val="7BEE5100"/>
    <w:rsid w:val="7C122B9D"/>
    <w:rsid w:val="7C3A0345"/>
    <w:rsid w:val="7C3F770A"/>
    <w:rsid w:val="7C4371FA"/>
    <w:rsid w:val="7C564B00"/>
    <w:rsid w:val="7C64432A"/>
    <w:rsid w:val="7C661B02"/>
    <w:rsid w:val="7C75312C"/>
    <w:rsid w:val="7C792C1C"/>
    <w:rsid w:val="7C9712F4"/>
    <w:rsid w:val="7C9F63FA"/>
    <w:rsid w:val="7CB54E1C"/>
    <w:rsid w:val="7CF76237"/>
    <w:rsid w:val="7D0746CC"/>
    <w:rsid w:val="7D426B9D"/>
    <w:rsid w:val="7D7E4262"/>
    <w:rsid w:val="7D807FDA"/>
    <w:rsid w:val="7E1A21DD"/>
    <w:rsid w:val="7E464D80"/>
    <w:rsid w:val="7E551467"/>
    <w:rsid w:val="7E593B47"/>
    <w:rsid w:val="7E7452A4"/>
    <w:rsid w:val="7E8F2BCB"/>
    <w:rsid w:val="7EA0293B"/>
    <w:rsid w:val="7EB63962"/>
    <w:rsid w:val="7EC07354"/>
    <w:rsid w:val="7EC7253D"/>
    <w:rsid w:val="7ECB797B"/>
    <w:rsid w:val="7EE36A72"/>
    <w:rsid w:val="7EF26CB5"/>
    <w:rsid w:val="7F030EC3"/>
    <w:rsid w:val="7F3E639F"/>
    <w:rsid w:val="7F7F2C3F"/>
    <w:rsid w:val="7FA50AB1"/>
    <w:rsid w:val="7FB328E9"/>
    <w:rsid w:val="7FCF6FF7"/>
    <w:rsid w:val="7FF13411"/>
    <w:rsid w:val="7FFF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link w:val="47"/>
    <w:qFormat/>
    <w:uiPriority w:val="0"/>
    <w:pPr>
      <w:keepNext/>
      <w:keepLines/>
      <w:spacing w:line="360" w:lineRule="auto"/>
      <w:outlineLvl w:val="1"/>
    </w:pPr>
    <w:rPr>
      <w:rFonts w:ascii="Arial" w:hAnsi="Arial"/>
      <w:b/>
      <w:bCs/>
      <w:kern w:val="0"/>
      <w:sz w:val="24"/>
      <w:szCs w:val="32"/>
    </w:rPr>
  </w:style>
  <w:style w:type="paragraph" w:styleId="4">
    <w:name w:val="heading 3"/>
    <w:basedOn w:val="1"/>
    <w:next w:val="1"/>
    <w:unhideWhenUsed/>
    <w:qFormat/>
    <w:uiPriority w:val="0"/>
    <w:pPr>
      <w:keepNext/>
      <w:keepLines/>
      <w:outlineLvl w:val="2"/>
    </w:pPr>
    <w:rPr>
      <w:b/>
    </w:rPr>
  </w:style>
  <w:style w:type="paragraph" w:styleId="5">
    <w:name w:val="heading 5"/>
    <w:basedOn w:val="1"/>
    <w:next w:val="1"/>
    <w:unhideWhenUsed/>
    <w:qFormat/>
    <w:uiPriority w:val="0"/>
    <w:pPr>
      <w:keepNext/>
      <w:keepLines/>
      <w:outlineLvl w:val="4"/>
    </w:pPr>
    <w:rPr>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widowControl/>
      <w:ind w:firstLine="420"/>
      <w:jc w:val="left"/>
    </w:pPr>
    <w:rPr>
      <w:kern w:val="0"/>
      <w:sz w:val="20"/>
      <w:szCs w:val="20"/>
    </w:rPr>
  </w:style>
  <w:style w:type="paragraph" w:customStyle="1" w:styleId="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annotation text"/>
    <w:basedOn w:val="1"/>
    <w:semiHidden/>
    <w:qFormat/>
    <w:uiPriority w:val="0"/>
    <w:pPr>
      <w:jc w:val="left"/>
    </w:pPr>
  </w:style>
  <w:style w:type="paragraph" w:styleId="9">
    <w:name w:val="Body Text"/>
    <w:basedOn w:val="1"/>
    <w:next w:val="7"/>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annotation subject"/>
    <w:basedOn w:val="8"/>
    <w:next w:val="1"/>
    <w:qFormat/>
    <w:uiPriority w:val="0"/>
    <w:rPr>
      <w:b/>
      <w:bCs/>
    </w:rPr>
  </w:style>
  <w:style w:type="paragraph" w:styleId="12">
    <w:name w:val="Block Text"/>
    <w:basedOn w:val="1"/>
    <w:qFormat/>
    <w:uiPriority w:val="0"/>
    <w:pPr>
      <w:ind w:left="1171" w:right="91" w:hanging="1080"/>
    </w:pPr>
    <w:rPr>
      <w:rFonts w:eastAsia="楷体_GB2312"/>
      <w:szCs w:val="20"/>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qFormat/>
    <w:uiPriority w:val="0"/>
    <w:pPr>
      <w:snapToGrid w:val="0"/>
      <w:jc w:val="left"/>
    </w:pPr>
    <w:rPr>
      <w:rFonts w:hint="eastAsia"/>
      <w:sz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22">
    <w:name w:val="Body Text First Indent 2"/>
    <w:basedOn w:val="10"/>
    <w:next w:val="6"/>
    <w:unhideWhenUsed/>
    <w:qFormat/>
    <w:uiPriority w:val="99"/>
    <w:pPr>
      <w:autoSpaceDE w:val="0"/>
      <w:autoSpaceDN w:val="0"/>
      <w:adjustRightInd w:val="0"/>
      <w:jc w:val="left"/>
    </w:pPr>
    <w:rPr>
      <w:kern w:val="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qFormat/>
    <w:uiPriority w:val="0"/>
  </w:style>
  <w:style w:type="character" w:styleId="28">
    <w:name w:val="Hyperlink"/>
    <w:qFormat/>
    <w:uiPriority w:val="0"/>
    <w:rPr>
      <w:color w:val="136EC2"/>
      <w:u w:val="single"/>
    </w:rPr>
  </w:style>
  <w:style w:type="character" w:styleId="29">
    <w:name w:val="annotation reference"/>
    <w:basedOn w:val="25"/>
    <w:qFormat/>
    <w:uiPriority w:val="0"/>
    <w:rPr>
      <w:sz w:val="21"/>
      <w:szCs w:val="21"/>
    </w:rPr>
  </w:style>
  <w:style w:type="paragraph" w:customStyle="1" w:styleId="30">
    <w:name w:val="列出段落1"/>
    <w:basedOn w:val="31"/>
    <w:qFormat/>
    <w:uiPriority w:val="0"/>
    <w:pPr>
      <w:ind w:firstLine="420" w:firstLineChars="200"/>
    </w:pPr>
  </w:style>
  <w:style w:type="paragraph" w:customStyle="1" w:styleId="31">
    <w:name w:val="Normal_8_0"/>
    <w:next w:val="3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目录 81"/>
    <w:basedOn w:val="1"/>
    <w:next w:val="1"/>
    <w:qFormat/>
    <w:uiPriority w:val="99"/>
    <w:pPr>
      <w:ind w:left="2940"/>
    </w:pPr>
    <w:rPr>
      <w:rFonts w:ascii="Calibri"/>
    </w:rPr>
  </w:style>
  <w:style w:type="paragraph" w:customStyle="1" w:styleId="33">
    <w:name w:val="p0"/>
    <w:basedOn w:val="1"/>
    <w:qFormat/>
    <w:uiPriority w:val="0"/>
    <w:pPr>
      <w:widowControl/>
    </w:pPr>
    <w:rPr>
      <w:kern w:val="0"/>
      <w:szCs w:val="21"/>
    </w:rPr>
  </w:style>
  <w:style w:type="paragraph" w:customStyle="1" w:styleId="34">
    <w:name w:val="正文（缩进）"/>
    <w:basedOn w:val="1"/>
    <w:qFormat/>
    <w:uiPriority w:val="0"/>
    <w:pPr>
      <w:spacing w:beforeLines="50" w:afterLines="50" w:line="360" w:lineRule="auto"/>
      <w:ind w:firstLine="480" w:firstLineChars="200"/>
    </w:pPr>
    <w:rPr>
      <w:sz w:val="24"/>
    </w:rPr>
  </w:style>
  <w:style w:type="character" w:customStyle="1" w:styleId="35">
    <w:name w:val="NormalCharacter"/>
    <w:semiHidden/>
    <w:qFormat/>
    <w:uiPriority w:val="0"/>
    <w:rPr>
      <w:kern w:val="2"/>
      <w:sz w:val="21"/>
      <w:szCs w:val="24"/>
      <w:lang w:val="en-US" w:eastAsia="zh-CN" w:bidi="ar-SA"/>
    </w:rPr>
  </w:style>
  <w:style w:type="paragraph" w:customStyle="1" w:styleId="36">
    <w:name w:val="Normal_0_0_0"/>
    <w:qFormat/>
    <w:uiPriority w:val="0"/>
    <w:rPr>
      <w:rFonts w:ascii="Calibri" w:hAnsi="Calibri" w:eastAsia="Times New Roman" w:cs="Times New Roman"/>
      <w:sz w:val="24"/>
      <w:szCs w:val="24"/>
      <w:lang w:val="en-US" w:eastAsia="zh-CN" w:bidi="ar-SA"/>
    </w:rPr>
  </w:style>
  <w:style w:type="paragraph" w:customStyle="1" w:styleId="37">
    <w:name w:val="Normal_0_2"/>
    <w:qFormat/>
    <w:uiPriority w:val="0"/>
    <w:rPr>
      <w:rFonts w:ascii="Times New Roman" w:hAnsi="Times New Roman" w:eastAsia="宋体" w:cs="Times New Roman"/>
      <w:sz w:val="24"/>
      <w:szCs w:val="24"/>
      <w:lang w:val="en-US" w:eastAsia="zh-CN" w:bidi="ar-SA"/>
    </w:rPr>
  </w:style>
  <w:style w:type="paragraph" w:customStyle="1" w:styleId="38">
    <w:name w:val="Normal_1"/>
    <w:qFormat/>
    <w:uiPriority w:val="0"/>
    <w:rPr>
      <w:rFonts w:ascii="Times New Roman" w:hAnsi="Times New Roman" w:eastAsia="宋体" w:cs="Times New Roman"/>
      <w:sz w:val="24"/>
      <w:szCs w:val="24"/>
      <w:lang w:val="en-US" w:eastAsia="zh-CN" w:bidi="ar-SA"/>
    </w:rPr>
  </w:style>
  <w:style w:type="character" w:customStyle="1" w:styleId="39">
    <w:name w:val="font41"/>
    <w:basedOn w:val="25"/>
    <w:qFormat/>
    <w:uiPriority w:val="0"/>
    <w:rPr>
      <w:rFonts w:hint="eastAsia" w:ascii="宋体" w:hAnsi="宋体" w:eastAsia="宋体" w:cs="宋体"/>
      <w:color w:val="000000"/>
      <w:sz w:val="24"/>
      <w:szCs w:val="24"/>
      <w:u w:val="none"/>
    </w:rPr>
  </w:style>
  <w:style w:type="character" w:customStyle="1" w:styleId="40">
    <w:name w:val="font51"/>
    <w:basedOn w:val="25"/>
    <w:qFormat/>
    <w:uiPriority w:val="0"/>
    <w:rPr>
      <w:rFonts w:hint="eastAsia" w:ascii="宋体" w:hAnsi="宋体" w:eastAsia="宋体" w:cs="宋体"/>
      <w:color w:val="000000"/>
      <w:sz w:val="24"/>
      <w:szCs w:val="24"/>
      <w:u w:val="none"/>
    </w:rPr>
  </w:style>
  <w:style w:type="paragraph" w:customStyle="1" w:styleId="41">
    <w:name w:val="样式8"/>
    <w:basedOn w:val="42"/>
    <w:qFormat/>
    <w:uiPriority w:val="0"/>
    <w:pPr>
      <w:numPr>
        <w:ilvl w:val="2"/>
      </w:numPr>
      <w:ind w:left="1588"/>
    </w:pPr>
  </w:style>
  <w:style w:type="paragraph" w:customStyle="1" w:styleId="42">
    <w:name w:val="样式2"/>
    <w:basedOn w:val="1"/>
    <w:qFormat/>
    <w:uiPriority w:val="0"/>
    <w:pPr>
      <w:numPr>
        <w:ilvl w:val="1"/>
        <w:numId w:val="1"/>
      </w:numPr>
      <w:spacing w:beforeLines="50" w:line="276" w:lineRule="auto"/>
      <w:ind w:left="1588"/>
    </w:pPr>
    <w:rPr>
      <w:rFonts w:ascii="宋体" w:hAnsi="宋体"/>
      <w:b/>
    </w:rPr>
  </w:style>
  <w:style w:type="character" w:customStyle="1" w:styleId="43">
    <w:name w:val="font31"/>
    <w:qFormat/>
    <w:uiPriority w:val="0"/>
    <w:rPr>
      <w:rFonts w:hint="eastAsia" w:ascii="宋体" w:hAnsi="宋体" w:eastAsia="宋体" w:cs="宋体"/>
      <w:color w:val="000000"/>
      <w:sz w:val="22"/>
      <w:szCs w:val="22"/>
      <w:u w:val="none"/>
    </w:rPr>
  </w:style>
  <w:style w:type="character" w:customStyle="1" w:styleId="44">
    <w:name w:val="font131"/>
    <w:qFormat/>
    <w:uiPriority w:val="0"/>
    <w:rPr>
      <w:rFonts w:hint="eastAsia" w:ascii="宋体" w:hAnsi="宋体" w:eastAsia="宋体" w:cs="宋体"/>
      <w:color w:val="FF0000"/>
      <w:sz w:val="22"/>
      <w:szCs w:val="22"/>
      <w:u w:val="none"/>
    </w:rPr>
  </w:style>
  <w:style w:type="paragraph" w:customStyle="1" w:styleId="45">
    <w:name w:val="Normal_10"/>
    <w:qFormat/>
    <w:uiPriority w:val="0"/>
    <w:rPr>
      <w:rFonts w:ascii="Times New Roman" w:hAnsi="Times New Roman" w:eastAsia="宋体" w:cs="Times New Roman"/>
      <w:sz w:val="24"/>
      <w:szCs w:val="24"/>
      <w:lang w:val="en-US" w:eastAsia="zh-CN" w:bidi="ar-SA"/>
    </w:rPr>
  </w:style>
  <w:style w:type="paragraph" w:customStyle="1" w:styleId="46">
    <w:name w:val="正文_5"/>
    <w:qFormat/>
    <w:uiPriority w:val="0"/>
    <w:pPr>
      <w:widowControl w:val="0"/>
      <w:jc w:val="both"/>
    </w:pPr>
    <w:rPr>
      <w:rFonts w:ascii="Calibri" w:hAnsi="Calibri" w:eastAsia="宋体" w:cs="Times New Roman"/>
      <w:kern w:val="2"/>
      <w:sz w:val="24"/>
      <w:szCs w:val="22"/>
      <w:lang w:val="en-US" w:eastAsia="zh-CN" w:bidi="ar-SA"/>
    </w:rPr>
  </w:style>
  <w:style w:type="character" w:customStyle="1" w:styleId="47">
    <w:name w:val="标题 2 字符"/>
    <w:link w:val="3"/>
    <w:qFormat/>
    <w:uiPriority w:val="99"/>
    <w:rPr>
      <w:rFonts w:ascii="Arial" w:hAnsi="Arial" w:eastAsia="宋体" w:cs="Times New Roman"/>
      <w:b/>
      <w:bCs/>
      <w:kern w:val="0"/>
      <w:sz w:val="24"/>
      <w:szCs w:val="32"/>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null3"/>
    <w:hidden/>
    <w:qFormat/>
    <w:uiPriority w:val="0"/>
    <w:rPr>
      <w:rFonts w:hint="eastAsia" w:asciiTheme="minorHAnsi" w:hAnsiTheme="minorHAnsi" w:eastAsiaTheme="minorEastAsia" w:cstheme="minorBidi"/>
      <w:lang w:val="en-US" w:eastAsia="zh-Hans" w:bidi="ar-SA"/>
    </w:rPr>
  </w:style>
  <w:style w:type="paragraph" w:customStyle="1" w:styleId="50">
    <w:name w:val="Normal_0_0"/>
    <w:qFormat/>
    <w:uiPriority w:val="0"/>
    <w:rPr>
      <w:rFonts w:ascii="Times New Roman" w:hAnsi="Times New Roman" w:eastAsia="宋体" w:cs="Times New Roman"/>
      <w:sz w:val="24"/>
      <w:szCs w:val="24"/>
      <w:lang w:val="en-US" w:eastAsia="zh-CN" w:bidi="ar-SA"/>
    </w:rPr>
  </w:style>
  <w:style w:type="paragraph" w:customStyle="1" w:styleId="51">
    <w:name w:val="UserStyle_50"/>
    <w:qFormat/>
    <w:uiPriority w:val="0"/>
    <w:pPr>
      <w:jc w:val="both"/>
      <w:textAlignment w:val="baseline"/>
    </w:pPr>
    <w:rPr>
      <w:rFonts w:ascii="Calibri" w:hAnsi="Calibri" w:eastAsia="宋体" w:cs="Times New Roman"/>
      <w:kern w:val="2"/>
      <w:sz w:val="21"/>
      <w:szCs w:val="21"/>
      <w:lang w:val="en-US" w:eastAsia="zh-CN" w:bidi="ar-SA"/>
    </w:rPr>
  </w:style>
  <w:style w:type="character" w:customStyle="1" w:styleId="52">
    <w:name w:val="15"/>
    <w:qFormat/>
    <w:uiPriority w:val="0"/>
    <w:rPr>
      <w:rFonts w:hint="default" w:ascii="Times New Roman" w:hAnsi="Times New Roman" w:cs="Times New Roman"/>
    </w:rPr>
  </w:style>
  <w:style w:type="paragraph" w:customStyle="1" w:styleId="53">
    <w:name w:val="UserStyle_96"/>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4">
    <w:name w:val="UserStyle_97"/>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5">
    <w:name w:val="UserStyle_98"/>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6">
    <w:name w:val="UserStyle_99"/>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7">
    <w:name w:val="UserStyle_100"/>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8">
    <w:name w:val="UserStyle_101"/>
    <w:qFormat/>
    <w:uiPriority w:val="0"/>
    <w:pPr>
      <w:jc w:val="both"/>
      <w:textAlignment w:val="baseline"/>
    </w:pPr>
    <w:rPr>
      <w:rFonts w:ascii="Calibri" w:hAnsi="Calibri" w:eastAsia="宋体" w:cs="Times New Roman"/>
      <w:kern w:val="2"/>
      <w:sz w:val="21"/>
      <w:szCs w:val="21"/>
      <w:lang w:val="en-US" w:eastAsia="zh-CN" w:bidi="ar-SA"/>
    </w:rPr>
  </w:style>
  <w:style w:type="paragraph" w:customStyle="1" w:styleId="59">
    <w:name w:val="Normal_5"/>
    <w:qFormat/>
    <w:uiPriority w:val="0"/>
    <w:rPr>
      <w:rFonts w:ascii="Times New Roman" w:hAnsi="Times New Roman" w:eastAsia="宋体" w:cs="Times New Roman"/>
      <w:sz w:val="24"/>
      <w:szCs w:val="24"/>
      <w:lang w:val="en-US" w:eastAsia="zh-CN" w:bidi="ar-SA"/>
    </w:rPr>
  </w:style>
  <w:style w:type="character" w:customStyle="1" w:styleId="60">
    <w:name w:val="15_0"/>
    <w:qFormat/>
    <w:uiPriority w:val="0"/>
    <w:rPr>
      <w:rFonts w:hint="default" w:ascii="Times New Roman" w:hAnsi="Times New Roman" w:eastAsia="宋体" w:cs="Times New Roman"/>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62">
    <w:name w:val="Normal_0_1"/>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28155</Words>
  <Characters>29727</Characters>
  <Lines>260</Lines>
  <Paragraphs>73</Paragraphs>
  <TotalTime>11</TotalTime>
  <ScaleCrop>false</ScaleCrop>
  <LinksUpToDate>false</LinksUpToDate>
  <CharactersWithSpaces>32519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2023-10-25T07:44:00Z</dcterms:created>
  <dc:creator>欣雨呀！</dc:creator>
  <cp:lastModifiedBy>Administrator</cp:lastModifiedBy>
  <cp:lastPrinted>2025-03-13T10:55:00Z</cp:lastPrinted>
  <dcterms:modified xsi:type="dcterms:W3CDTF">2025-04-18T05:58:52Z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A381236B36A244C8851F427FBDA0B064_13</vt:lpwstr>
  </property>
  <property fmtid="{D5CDD505-2E9C-101B-9397-08002B2CF9AE}" pid="4" name="KSOTemplateDocerSaveRecord">
    <vt:lpwstr>eyJoZGlkIjoiOWRmMmQ3MGYyZDdiNGQ3N2YwMTE2NDFjZTRlNTE5YWYiLCJ1c2VySWQiOiIzMjExNTU1NzcifQ==</vt:lpwstr>
  </property>
</Properties>
</file>