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E369A">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04955FB8">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4A7C61E0">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156F80DA">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56A22306">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30F14774">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3A0824CD">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7DE53CA">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5DBDE08">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7D0DDAA">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DCB63DB">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0B86631">
      <w:pPr>
        <w:tabs>
          <w:tab w:val="left" w:pos="2410"/>
        </w:tabs>
        <w:autoSpaceDE w:val="0"/>
        <w:autoSpaceDN w:val="0"/>
        <w:adjustRightInd w:val="0"/>
        <w:snapToGrid w:val="0"/>
        <w:spacing w:line="360" w:lineRule="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严桥乡兴隆村农产品加工项目</w:t>
      </w:r>
    </w:p>
    <w:p w14:paraId="0B748404">
      <w:pPr>
        <w:tabs>
          <w:tab w:val="left" w:pos="2410"/>
        </w:tabs>
        <w:autoSpaceDE w:val="0"/>
        <w:autoSpaceDN w:val="0"/>
        <w:adjustRightInd w:val="0"/>
        <w:snapToGrid w:val="0"/>
        <w:spacing w:line="360" w:lineRule="auto"/>
        <w:rPr>
          <w:rFonts w:hint="default"/>
          <w:b/>
          <w:color w:val="auto"/>
          <w:spacing w:val="20"/>
          <w:sz w:val="32"/>
          <w:szCs w:val="32"/>
          <w:highlight w:val="none"/>
          <w:lang w:val="en-US"/>
        </w:rPr>
      </w:pPr>
      <w:r>
        <w:rPr>
          <w:rFonts w:hint="eastAsia"/>
          <w:b/>
          <w:color w:val="auto"/>
          <w:spacing w:val="20"/>
          <w:sz w:val="32"/>
          <w:szCs w:val="32"/>
          <w:highlight w:val="none"/>
        </w:rPr>
        <w:t>项目编号：</w:t>
      </w:r>
      <w:r>
        <w:rPr>
          <w:rFonts w:hint="eastAsia"/>
          <w:b/>
          <w:color w:val="auto"/>
          <w:spacing w:val="20"/>
          <w:sz w:val="32"/>
          <w:szCs w:val="32"/>
          <w:highlight w:val="none"/>
          <w:u w:val="single"/>
        </w:rPr>
        <w:t>czdycg202504-009</w:t>
      </w:r>
    </w:p>
    <w:p w14:paraId="58A6DF7F">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定远县严桥乡人民政府</w:t>
      </w:r>
    </w:p>
    <w:p w14:paraId="20F6EFA1">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合普项目管理咨询集团有限公司</w:t>
      </w:r>
    </w:p>
    <w:p w14:paraId="280B2A84">
      <w:pPr>
        <w:tabs>
          <w:tab w:val="left" w:pos="2410"/>
        </w:tabs>
        <w:autoSpaceDE w:val="0"/>
        <w:autoSpaceDN w:val="0"/>
        <w:adjustRightInd w:val="0"/>
        <w:snapToGrid w:val="0"/>
        <w:spacing w:line="360" w:lineRule="auto"/>
        <w:jc w:val="center"/>
        <w:rPr>
          <w:b/>
          <w:color w:val="auto"/>
          <w:sz w:val="36"/>
          <w:highlight w:val="none"/>
        </w:rPr>
      </w:pPr>
    </w:p>
    <w:p w14:paraId="7DB3760E">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 xml:space="preserve"> 4 </w:t>
      </w:r>
      <w:r>
        <w:rPr>
          <w:rFonts w:hint="eastAsia"/>
          <w:b/>
          <w:color w:val="auto"/>
          <w:sz w:val="36"/>
          <w:highlight w:val="none"/>
        </w:rPr>
        <w:t>月</w:t>
      </w:r>
      <w:r>
        <w:rPr>
          <w:b/>
          <w:color w:val="auto"/>
          <w:sz w:val="36"/>
          <w:highlight w:val="none"/>
        </w:rPr>
        <w:br w:type="page"/>
      </w:r>
    </w:p>
    <w:p w14:paraId="408F01B2">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5F237C30">
      <w:pPr>
        <w:tabs>
          <w:tab w:val="left" w:pos="2410"/>
        </w:tabs>
        <w:autoSpaceDE w:val="0"/>
        <w:autoSpaceDN w:val="0"/>
        <w:adjustRightInd w:val="0"/>
        <w:snapToGrid w:val="0"/>
        <w:spacing w:line="360" w:lineRule="auto"/>
        <w:jc w:val="center"/>
        <w:rPr>
          <w:b/>
          <w:color w:val="auto"/>
          <w:sz w:val="28"/>
          <w:highlight w:val="none"/>
        </w:rPr>
      </w:pPr>
    </w:p>
    <w:p w14:paraId="58D7FD42">
      <w:pPr>
        <w:pStyle w:val="36"/>
        <w:tabs>
          <w:tab w:val="right" w:leader="dot" w:pos="8279"/>
        </w:tabs>
        <w:rPr>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_Toc11403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rPr>
          <w:highlight w:val="none"/>
        </w:rPr>
        <w:tab/>
      </w:r>
      <w:r>
        <w:rPr>
          <w:highlight w:val="none"/>
        </w:rPr>
        <w:fldChar w:fldCharType="begin"/>
      </w:r>
      <w:r>
        <w:rPr>
          <w:highlight w:val="none"/>
        </w:rPr>
        <w:instrText xml:space="preserve"> PAGEREF _Toc11403 \h </w:instrText>
      </w:r>
      <w:r>
        <w:rPr>
          <w:highlight w:val="none"/>
        </w:rPr>
        <w:fldChar w:fldCharType="separate"/>
      </w:r>
      <w:r>
        <w:rPr>
          <w:highlight w:val="none"/>
        </w:rPr>
        <w:t>1</w:t>
      </w:r>
      <w:r>
        <w:rPr>
          <w:highlight w:val="none"/>
        </w:rPr>
        <w:fldChar w:fldCharType="end"/>
      </w:r>
      <w:r>
        <w:rPr>
          <w:rFonts w:asciiTheme="minorEastAsia" w:hAnsiTheme="minorEastAsia"/>
          <w:color w:val="auto"/>
          <w:szCs w:val="24"/>
          <w:highlight w:val="none"/>
        </w:rPr>
        <w:fldChar w:fldCharType="end"/>
      </w:r>
    </w:p>
    <w:p w14:paraId="17785382">
      <w:pPr>
        <w:pStyle w:val="36"/>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_Toc28080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rPr>
          <w:highlight w:val="none"/>
        </w:rPr>
        <w:tab/>
      </w:r>
      <w:r>
        <w:rPr>
          <w:highlight w:val="none"/>
        </w:rPr>
        <w:fldChar w:fldCharType="begin"/>
      </w:r>
      <w:r>
        <w:rPr>
          <w:highlight w:val="none"/>
        </w:rPr>
        <w:instrText xml:space="preserve"> PAGEREF _Toc28080 \h </w:instrText>
      </w:r>
      <w:r>
        <w:rPr>
          <w:highlight w:val="none"/>
        </w:rPr>
        <w:fldChar w:fldCharType="separate"/>
      </w:r>
      <w:r>
        <w:rPr>
          <w:highlight w:val="none"/>
        </w:rPr>
        <w:t>7</w:t>
      </w:r>
      <w:r>
        <w:rPr>
          <w:highlight w:val="none"/>
        </w:rPr>
        <w:fldChar w:fldCharType="end"/>
      </w:r>
      <w:r>
        <w:rPr>
          <w:rFonts w:asciiTheme="minorEastAsia" w:hAnsiTheme="minorEastAsia"/>
          <w:color w:val="auto"/>
          <w:szCs w:val="24"/>
          <w:highlight w:val="none"/>
        </w:rPr>
        <w:fldChar w:fldCharType="end"/>
      </w:r>
    </w:p>
    <w:p w14:paraId="4F548415">
      <w:pPr>
        <w:pStyle w:val="36"/>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_Toc30873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第三章  采购需求</w:t>
      </w:r>
      <w:r>
        <w:rPr>
          <w:highlight w:val="none"/>
        </w:rPr>
        <w:tab/>
      </w:r>
      <w:r>
        <w:rPr>
          <w:highlight w:val="none"/>
        </w:rPr>
        <w:fldChar w:fldCharType="begin"/>
      </w:r>
      <w:r>
        <w:rPr>
          <w:highlight w:val="none"/>
        </w:rPr>
        <w:instrText xml:space="preserve"> PAGEREF _Toc30873 \h </w:instrText>
      </w:r>
      <w:r>
        <w:rPr>
          <w:highlight w:val="none"/>
        </w:rPr>
        <w:fldChar w:fldCharType="separate"/>
      </w:r>
      <w:r>
        <w:rPr>
          <w:highlight w:val="none"/>
        </w:rPr>
        <w:t>23</w:t>
      </w:r>
      <w:r>
        <w:rPr>
          <w:highlight w:val="none"/>
        </w:rPr>
        <w:fldChar w:fldCharType="end"/>
      </w:r>
      <w:r>
        <w:rPr>
          <w:rFonts w:asciiTheme="minorEastAsia" w:hAnsiTheme="minorEastAsia"/>
          <w:color w:val="auto"/>
          <w:szCs w:val="24"/>
          <w:highlight w:val="none"/>
        </w:rPr>
        <w:fldChar w:fldCharType="end"/>
      </w:r>
    </w:p>
    <w:p w14:paraId="1F3E78C4">
      <w:pPr>
        <w:pStyle w:val="36"/>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_Toc11353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第四章  评审方法和标准</w:t>
      </w:r>
      <w:r>
        <w:rPr>
          <w:highlight w:val="none"/>
        </w:rPr>
        <w:tab/>
      </w:r>
      <w:r>
        <w:rPr>
          <w:highlight w:val="none"/>
        </w:rPr>
        <w:fldChar w:fldCharType="begin"/>
      </w:r>
      <w:r>
        <w:rPr>
          <w:highlight w:val="none"/>
        </w:rPr>
        <w:instrText xml:space="preserve"> PAGEREF _Toc11353 \h </w:instrText>
      </w:r>
      <w:r>
        <w:rPr>
          <w:highlight w:val="none"/>
        </w:rPr>
        <w:fldChar w:fldCharType="separate"/>
      </w:r>
      <w:r>
        <w:rPr>
          <w:highlight w:val="none"/>
        </w:rPr>
        <w:t>25</w:t>
      </w:r>
      <w:r>
        <w:rPr>
          <w:highlight w:val="none"/>
        </w:rPr>
        <w:fldChar w:fldCharType="end"/>
      </w:r>
      <w:r>
        <w:rPr>
          <w:rFonts w:asciiTheme="minorEastAsia" w:hAnsiTheme="minorEastAsia"/>
          <w:color w:val="auto"/>
          <w:szCs w:val="24"/>
          <w:highlight w:val="none"/>
        </w:rPr>
        <w:fldChar w:fldCharType="end"/>
      </w:r>
    </w:p>
    <w:p w14:paraId="6901B599">
      <w:pPr>
        <w:pStyle w:val="36"/>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_Toc31277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rPr>
          <w:highlight w:val="none"/>
        </w:rPr>
        <w:tab/>
      </w:r>
      <w:r>
        <w:rPr>
          <w:highlight w:val="none"/>
        </w:rPr>
        <w:fldChar w:fldCharType="begin"/>
      </w:r>
      <w:r>
        <w:rPr>
          <w:highlight w:val="none"/>
        </w:rPr>
        <w:instrText xml:space="preserve"> PAGEREF _Toc31277 \h </w:instrText>
      </w:r>
      <w:r>
        <w:rPr>
          <w:highlight w:val="none"/>
        </w:rPr>
        <w:fldChar w:fldCharType="separate"/>
      </w:r>
      <w:r>
        <w:rPr>
          <w:highlight w:val="none"/>
        </w:rPr>
        <w:t>33</w:t>
      </w:r>
      <w:r>
        <w:rPr>
          <w:highlight w:val="none"/>
        </w:rPr>
        <w:fldChar w:fldCharType="end"/>
      </w:r>
      <w:r>
        <w:rPr>
          <w:rFonts w:asciiTheme="minorEastAsia" w:hAnsiTheme="minorEastAsia"/>
          <w:color w:val="auto"/>
          <w:szCs w:val="24"/>
          <w:highlight w:val="none"/>
        </w:rPr>
        <w:fldChar w:fldCharType="end"/>
      </w:r>
    </w:p>
    <w:p w14:paraId="4A12BAA8">
      <w:pPr>
        <w:pStyle w:val="36"/>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_Toc22734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第六章  响应文件格式</w:t>
      </w:r>
      <w:r>
        <w:rPr>
          <w:highlight w:val="none"/>
        </w:rPr>
        <w:tab/>
      </w:r>
      <w:r>
        <w:rPr>
          <w:highlight w:val="none"/>
        </w:rPr>
        <w:fldChar w:fldCharType="begin"/>
      </w:r>
      <w:r>
        <w:rPr>
          <w:highlight w:val="none"/>
        </w:rPr>
        <w:instrText xml:space="preserve"> PAGEREF _Toc22734 \h </w:instrText>
      </w:r>
      <w:r>
        <w:rPr>
          <w:highlight w:val="none"/>
        </w:rPr>
        <w:fldChar w:fldCharType="separate"/>
      </w:r>
      <w:r>
        <w:rPr>
          <w:highlight w:val="none"/>
        </w:rPr>
        <w:t>83</w:t>
      </w:r>
      <w:r>
        <w:rPr>
          <w:highlight w:val="none"/>
        </w:rPr>
        <w:fldChar w:fldCharType="end"/>
      </w:r>
      <w:r>
        <w:rPr>
          <w:rFonts w:asciiTheme="minorEastAsia" w:hAnsiTheme="minorEastAsia"/>
          <w:color w:val="auto"/>
          <w:szCs w:val="24"/>
          <w:highlight w:val="none"/>
        </w:rPr>
        <w:fldChar w:fldCharType="end"/>
      </w:r>
    </w:p>
    <w:p w14:paraId="775B7BF0">
      <w:pPr>
        <w:pStyle w:val="36"/>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_Toc24879 </w:instrText>
      </w:r>
      <w:r>
        <w:rPr>
          <w:rFonts w:asciiTheme="minorEastAsia" w:hAnsiTheme="minorEastAsia"/>
          <w:szCs w:val="24"/>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rPr>
          <w:highlight w:val="none"/>
        </w:rPr>
        <w:tab/>
      </w:r>
      <w:r>
        <w:rPr>
          <w:highlight w:val="none"/>
        </w:rPr>
        <w:fldChar w:fldCharType="begin"/>
      </w:r>
      <w:r>
        <w:rPr>
          <w:highlight w:val="none"/>
        </w:rPr>
        <w:instrText xml:space="preserve"> PAGEREF _Toc24879 \h </w:instrText>
      </w:r>
      <w:r>
        <w:rPr>
          <w:highlight w:val="none"/>
        </w:rPr>
        <w:fldChar w:fldCharType="separate"/>
      </w:r>
      <w:r>
        <w:rPr>
          <w:highlight w:val="none"/>
        </w:rPr>
        <w:t>101</w:t>
      </w:r>
      <w:r>
        <w:rPr>
          <w:highlight w:val="none"/>
        </w:rPr>
        <w:fldChar w:fldCharType="end"/>
      </w:r>
      <w:r>
        <w:rPr>
          <w:rFonts w:asciiTheme="minorEastAsia" w:hAnsiTheme="minorEastAsia"/>
          <w:color w:val="auto"/>
          <w:szCs w:val="24"/>
          <w:highlight w:val="none"/>
        </w:rPr>
        <w:fldChar w:fldCharType="end"/>
      </w:r>
    </w:p>
    <w:p w14:paraId="248F926C">
      <w:pPr>
        <w:pStyle w:val="46"/>
        <w:tabs>
          <w:tab w:val="right" w:leader="dot" w:pos="8296"/>
        </w:tabs>
        <w:rPr>
          <w:rFonts w:asciiTheme="minorEastAsia" w:hAnsiTheme="minorEastAsia"/>
          <w:b/>
          <w:color w:val="auto"/>
          <w:szCs w:val="24"/>
          <w:highlight w:val="none"/>
        </w:rPr>
      </w:pPr>
      <w:r>
        <w:rPr>
          <w:rFonts w:asciiTheme="minorEastAsia" w:hAnsiTheme="minorEastAsia"/>
          <w:color w:val="auto"/>
          <w:szCs w:val="24"/>
          <w:highlight w:val="none"/>
        </w:rPr>
        <w:fldChar w:fldCharType="end"/>
      </w:r>
    </w:p>
    <w:p w14:paraId="5B5F3A2D">
      <w:pPr>
        <w:pStyle w:val="5"/>
        <w:rPr>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1EEBD067">
      <w:pPr>
        <w:spacing w:line="360" w:lineRule="auto"/>
        <w:jc w:val="center"/>
        <w:outlineLvl w:val="0"/>
        <w:rPr>
          <w:rFonts w:asciiTheme="minorEastAsia" w:hAnsiTheme="minorEastAsia" w:eastAsiaTheme="minorEastAsia"/>
          <w:b/>
          <w:color w:val="auto"/>
          <w:sz w:val="28"/>
          <w:highlight w:val="none"/>
        </w:rPr>
      </w:pPr>
      <w:bookmarkStart w:id="1" w:name="_Toc1140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p>
    <w:p w14:paraId="12C14B79">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s="仿宋"/>
          <w:b w:val="0"/>
          <w:color w:val="auto"/>
          <w:sz w:val="28"/>
          <w:szCs w:val="28"/>
          <w:highlight w:val="none"/>
        </w:rPr>
      </w:pPr>
      <w:bookmarkStart w:id="2" w:name="_Toc35393790"/>
      <w:bookmarkStart w:id="3" w:name="_Toc28359079"/>
      <w:bookmarkStart w:id="4" w:name="_Toc28359002"/>
      <w:bookmarkStart w:id="5" w:name="_Toc35393621"/>
      <w:bookmarkStart w:id="6" w:name="_Hlk24379207"/>
      <w:r>
        <w:rPr>
          <w:rFonts w:hint="eastAsia" w:ascii="仿宋" w:hAnsi="仿宋" w:eastAsia="仿宋" w:cs="仿宋"/>
          <w:b w:val="0"/>
          <w:color w:val="auto"/>
          <w:sz w:val="28"/>
          <w:szCs w:val="28"/>
          <w:highlight w:val="none"/>
        </w:rPr>
        <w:t>项目概况</w:t>
      </w:r>
    </w:p>
    <w:p w14:paraId="54714C36">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single"/>
          <w:lang w:eastAsia="zh-CN"/>
        </w:rPr>
        <w:t>严桥乡兴隆村农产品加工项目</w:t>
      </w:r>
      <w:r>
        <w:rPr>
          <w:rFonts w:hint="eastAsia" w:ascii="仿宋" w:hAnsi="仿宋" w:eastAsia="仿宋" w:cs="仿宋"/>
          <w:b w:val="0"/>
          <w:color w:val="auto"/>
          <w:sz w:val="28"/>
          <w:szCs w:val="28"/>
          <w:highlight w:val="none"/>
        </w:rPr>
        <w:t>的潜在</w:t>
      </w:r>
      <w:r>
        <w:rPr>
          <w:rFonts w:hint="eastAsia" w:ascii="仿宋" w:hAnsi="仿宋" w:eastAsia="仿宋" w:cs="仿宋"/>
          <w:b w:val="0"/>
          <w:color w:val="auto"/>
          <w:sz w:val="28"/>
          <w:szCs w:val="28"/>
          <w:highlight w:val="none"/>
          <w:lang w:eastAsia="zh-CN"/>
        </w:rPr>
        <w:t>供应商</w:t>
      </w:r>
      <w:r>
        <w:rPr>
          <w:rFonts w:hint="eastAsia" w:ascii="仿宋" w:hAnsi="仿宋" w:eastAsia="仿宋" w:cs="仿宋"/>
          <w:b w:val="0"/>
          <w:color w:val="auto"/>
          <w:sz w:val="28"/>
          <w:szCs w:val="28"/>
          <w:highlight w:val="none"/>
        </w:rPr>
        <w:t>应在</w:t>
      </w:r>
      <w:r>
        <w:rPr>
          <w:rFonts w:hint="eastAsia" w:ascii="仿宋" w:hAnsi="仿宋" w:eastAsia="仿宋" w:cs="仿宋"/>
          <w:b w:val="0"/>
          <w:color w:val="auto"/>
          <w:sz w:val="28"/>
          <w:szCs w:val="28"/>
          <w:highlight w:val="none"/>
          <w:u w:val="single"/>
        </w:rPr>
        <w:t>滁州市公共资源交易中心网（</w:t>
      </w:r>
      <w:r>
        <w:rPr>
          <w:rFonts w:hint="eastAsia" w:ascii="仿宋" w:hAnsi="仿宋" w:eastAsia="仿宋" w:cs="仿宋"/>
          <w:b w:val="0"/>
          <w:color w:val="auto"/>
          <w:sz w:val="28"/>
          <w:szCs w:val="28"/>
          <w:highlight w:val="none"/>
          <w:u w:val="single"/>
          <w:lang w:eastAsia="zh-CN"/>
        </w:rPr>
        <w:t>http://ggzy.chuzhou.gov.cn/</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rPr>
        <w:t>获取</w:t>
      </w:r>
      <w:r>
        <w:rPr>
          <w:rFonts w:hint="eastAsia" w:ascii="仿宋" w:hAnsi="仿宋" w:eastAsia="仿宋" w:cs="仿宋"/>
          <w:b w:val="0"/>
          <w:color w:val="auto"/>
          <w:sz w:val="28"/>
          <w:szCs w:val="28"/>
          <w:highlight w:val="none"/>
          <w:lang w:eastAsia="zh-CN"/>
        </w:rPr>
        <w:t>采购文件</w:t>
      </w:r>
      <w:r>
        <w:rPr>
          <w:rFonts w:hint="eastAsia" w:ascii="仿宋" w:hAnsi="仿宋" w:eastAsia="仿宋" w:cs="仿宋"/>
          <w:b w:val="0"/>
          <w:color w:val="auto"/>
          <w:sz w:val="28"/>
          <w:szCs w:val="28"/>
          <w:highlight w:val="none"/>
        </w:rPr>
        <w:t>，并于</w:t>
      </w:r>
      <w:r>
        <w:rPr>
          <w:rFonts w:hint="eastAsia" w:ascii="仿宋" w:hAnsi="仿宋" w:eastAsia="仿宋" w:cs="仿宋"/>
          <w:b w:val="0"/>
          <w:color w:val="auto"/>
          <w:sz w:val="28"/>
          <w:szCs w:val="28"/>
          <w:highlight w:val="none"/>
          <w:u w:val="single"/>
          <w:lang w:val="en-US" w:eastAsia="zh-CN"/>
        </w:rPr>
        <w:t>2025</w:t>
      </w:r>
      <w:r>
        <w:rPr>
          <w:rFonts w:hint="eastAsia" w:ascii="仿宋" w:hAnsi="仿宋" w:eastAsia="仿宋" w:cs="仿宋"/>
          <w:b w:val="0"/>
          <w:color w:val="auto"/>
          <w:sz w:val="28"/>
          <w:szCs w:val="28"/>
          <w:highlight w:val="none"/>
          <w:u w:val="single"/>
        </w:rPr>
        <w:t>年</w:t>
      </w:r>
      <w:r>
        <w:rPr>
          <w:rFonts w:hint="eastAsia" w:ascii="仿宋" w:hAnsi="仿宋" w:eastAsia="仿宋" w:cs="仿宋"/>
          <w:b w:val="0"/>
          <w:color w:val="auto"/>
          <w:sz w:val="28"/>
          <w:szCs w:val="28"/>
          <w:highlight w:val="none"/>
          <w:u w:val="single"/>
          <w:lang w:val="en-US" w:eastAsia="zh-CN"/>
        </w:rPr>
        <w:t>04</w:t>
      </w:r>
      <w:r>
        <w:rPr>
          <w:rFonts w:hint="eastAsia" w:ascii="仿宋" w:hAnsi="仿宋" w:eastAsia="仿宋" w:cs="仿宋"/>
          <w:b w:val="0"/>
          <w:color w:val="auto"/>
          <w:sz w:val="28"/>
          <w:szCs w:val="28"/>
          <w:highlight w:val="none"/>
          <w:u w:val="single"/>
        </w:rPr>
        <w:t>月</w:t>
      </w:r>
      <w:r>
        <w:rPr>
          <w:rFonts w:hint="eastAsia" w:ascii="仿宋" w:hAnsi="仿宋" w:eastAsia="仿宋" w:cs="仿宋"/>
          <w:b w:val="0"/>
          <w:color w:val="auto"/>
          <w:sz w:val="28"/>
          <w:szCs w:val="28"/>
          <w:highlight w:val="none"/>
          <w:u w:val="single"/>
          <w:lang w:val="en-US" w:eastAsia="zh-CN"/>
        </w:rPr>
        <w:t>29</w:t>
      </w:r>
      <w:r>
        <w:rPr>
          <w:rFonts w:hint="eastAsia" w:ascii="仿宋" w:hAnsi="仿宋" w:eastAsia="仿宋" w:cs="仿宋"/>
          <w:b w:val="0"/>
          <w:color w:val="auto"/>
          <w:sz w:val="28"/>
          <w:szCs w:val="28"/>
          <w:highlight w:val="none"/>
          <w:u w:val="single"/>
        </w:rPr>
        <w:t>日</w:t>
      </w:r>
      <w:r>
        <w:rPr>
          <w:rFonts w:hint="eastAsia" w:ascii="仿宋" w:hAnsi="仿宋" w:eastAsia="仿宋" w:cs="仿宋"/>
          <w:b w:val="0"/>
          <w:color w:val="auto"/>
          <w:sz w:val="28"/>
          <w:szCs w:val="28"/>
          <w:highlight w:val="none"/>
          <w:u w:val="single"/>
          <w:lang w:val="en-US" w:eastAsia="zh-CN"/>
        </w:rPr>
        <w:t>8</w:t>
      </w:r>
      <w:r>
        <w:rPr>
          <w:rFonts w:hint="eastAsia" w:ascii="仿宋" w:hAnsi="仿宋" w:eastAsia="仿宋" w:cs="仿宋"/>
          <w:b w:val="0"/>
          <w:color w:val="auto"/>
          <w:sz w:val="28"/>
          <w:szCs w:val="28"/>
          <w:highlight w:val="none"/>
          <w:u w:val="single"/>
        </w:rPr>
        <w:t>点</w:t>
      </w:r>
      <w:r>
        <w:rPr>
          <w:rFonts w:hint="eastAsia" w:ascii="仿宋" w:hAnsi="仿宋" w:eastAsia="仿宋" w:cs="仿宋"/>
          <w:b w:val="0"/>
          <w:color w:val="auto"/>
          <w:sz w:val="28"/>
          <w:szCs w:val="28"/>
          <w:highlight w:val="none"/>
          <w:u w:val="single"/>
          <w:lang w:val="en-US" w:eastAsia="zh-CN"/>
        </w:rPr>
        <w:t>00</w:t>
      </w:r>
      <w:r>
        <w:rPr>
          <w:rFonts w:hint="eastAsia" w:ascii="仿宋" w:hAnsi="仿宋" w:eastAsia="仿宋" w:cs="仿宋"/>
          <w:b w:val="0"/>
          <w:color w:val="auto"/>
          <w:sz w:val="28"/>
          <w:szCs w:val="28"/>
          <w:highlight w:val="none"/>
          <w:u w:val="single"/>
        </w:rPr>
        <w:t>分</w:t>
      </w:r>
      <w:r>
        <w:rPr>
          <w:rFonts w:hint="eastAsia" w:ascii="仿宋" w:hAnsi="仿宋" w:eastAsia="仿宋" w:cs="仿宋"/>
          <w:b w:val="0"/>
          <w:color w:val="auto"/>
          <w:sz w:val="28"/>
          <w:szCs w:val="28"/>
          <w:highlight w:val="none"/>
        </w:rPr>
        <w:t>（北京时间）前递交</w:t>
      </w:r>
      <w:r>
        <w:rPr>
          <w:rFonts w:hint="eastAsia" w:ascii="仿宋" w:hAnsi="仿宋" w:eastAsia="仿宋" w:cs="仿宋"/>
          <w:b w:val="0"/>
          <w:color w:val="auto"/>
          <w:sz w:val="28"/>
          <w:szCs w:val="28"/>
          <w:highlight w:val="none"/>
          <w:lang w:eastAsia="zh-CN"/>
        </w:rPr>
        <w:t>响应文件</w:t>
      </w:r>
      <w:r>
        <w:rPr>
          <w:rFonts w:hint="eastAsia" w:ascii="仿宋" w:hAnsi="仿宋" w:eastAsia="仿宋" w:cs="仿宋"/>
          <w:b w:val="0"/>
          <w:color w:val="auto"/>
          <w:sz w:val="28"/>
          <w:szCs w:val="28"/>
          <w:highlight w:val="none"/>
        </w:rPr>
        <w:t>。</w:t>
      </w:r>
    </w:p>
    <w:p w14:paraId="731B5EAA">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一、项目基本情况</w:t>
      </w:r>
      <w:bookmarkEnd w:id="2"/>
      <w:bookmarkEnd w:id="3"/>
      <w:bookmarkEnd w:id="4"/>
      <w:bookmarkEnd w:id="5"/>
    </w:p>
    <w:p w14:paraId="554EDE54">
      <w:pPr>
        <w:pageBreakBefore w:val="0"/>
        <w:kinsoku/>
        <w:overflowPunct/>
        <w:topLinePunct w:val="0"/>
        <w:autoSpaceDE/>
        <w:autoSpaceDN/>
        <w:bidi w:val="0"/>
        <w:adjustRightInd/>
        <w:snapToGrid/>
        <w:ind w:firstLine="560" w:firstLineChars="200"/>
        <w:textAlignment w:val="auto"/>
        <w:outlineLvl w:val="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项目编号：czdycg202504-009</w:t>
      </w:r>
    </w:p>
    <w:p w14:paraId="233E80AE">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严桥乡兴隆村农产品加工项目</w:t>
      </w:r>
    </w:p>
    <w:bookmarkEnd w:id="6"/>
    <w:p w14:paraId="165D1CE2">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磋商</w:t>
      </w:r>
    </w:p>
    <w:p w14:paraId="0F922EF1">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390万</w:t>
      </w:r>
      <w:r>
        <w:rPr>
          <w:rFonts w:hint="eastAsia" w:ascii="仿宋" w:hAnsi="仿宋" w:eastAsia="仿宋"/>
          <w:color w:val="auto"/>
          <w:sz w:val="28"/>
          <w:szCs w:val="28"/>
          <w:highlight w:val="none"/>
        </w:rPr>
        <w:t>元</w:t>
      </w:r>
    </w:p>
    <w:p w14:paraId="1DBF1BCD">
      <w:pPr>
        <w:pageBreakBefore w:val="0"/>
        <w:kinsoku/>
        <w:overflowPunct/>
        <w:topLinePunct w:val="0"/>
        <w:autoSpaceDE/>
        <w:autoSpaceDN/>
        <w:bidi w:val="0"/>
        <w:adjustRightInd/>
        <w:snapToGrid/>
        <w:ind w:firstLine="560" w:firstLineChars="200"/>
        <w:textAlignment w:val="auto"/>
        <w:outlineLvl w:val="9"/>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390</w:t>
      </w: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*（1-下浮率）</w:t>
      </w:r>
      <w:r>
        <w:rPr>
          <w:rFonts w:hint="eastAsia" w:ascii="仿宋" w:hAnsi="仿宋" w:eastAsia="仿宋"/>
          <w:color w:val="auto"/>
          <w:sz w:val="28"/>
          <w:szCs w:val="28"/>
          <w:highlight w:val="none"/>
          <w:lang w:val="en-US" w:eastAsia="zh-CN"/>
        </w:rPr>
        <w:t>万元；下浮率=8%，投标人按费率报价不得小于下浮率，否则按无效标处理。</w:t>
      </w:r>
    </w:p>
    <w:p w14:paraId="37DE9A48">
      <w:pPr>
        <w:pageBreakBefore w:val="0"/>
        <w:kinsoku/>
        <w:overflowPunct/>
        <w:topLinePunct w:val="0"/>
        <w:autoSpaceDE/>
        <w:autoSpaceDN/>
        <w:bidi w:val="0"/>
        <w:adjustRightInd/>
        <w:snapToGrid/>
        <w:ind w:firstLine="560" w:firstLineChars="200"/>
        <w:textAlignment w:val="auto"/>
        <w:outlineLvl w:val="9"/>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建设内容及规模包含乡村整体方案规划设计，农产品加工车间方案及施工图设计、乡村文化体验中心方案及施工图设计、智慧菌房方案设计及附属道路等配套工程；其中农产品加工车间，地上1层，建筑高度6.15m，建筑面积约800㎡；乡村文化体验中心，地上1层，建筑高度5.85m，建筑面积350㎡、智慧菌房14座、停车不少于20辆的公共停车场以及路面硬化、供水、供电等配套建设等工程。</w:t>
      </w:r>
    </w:p>
    <w:p w14:paraId="4A506E8C">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不高于70个日历天（自合同签订之日至本项目整体竣工验收）</w:t>
      </w:r>
    </w:p>
    <w:p w14:paraId="13B3AB01">
      <w:pPr>
        <w:pageBreakBefore w:val="0"/>
        <w:kinsoku/>
        <w:overflowPunct/>
        <w:topLinePunct w:val="0"/>
        <w:autoSpaceDE/>
        <w:autoSpaceDN/>
        <w:bidi w:val="0"/>
        <w:adjustRightInd/>
        <w:snapToGrid/>
        <w:ind w:firstLine="560" w:firstLineChars="200"/>
        <w:textAlignment w:val="auto"/>
        <w:outlineLvl w:val="9"/>
        <w:rPr>
          <w:rFonts w:ascii="仿宋" w:hAnsi="仿宋" w:eastAsia="仿宋"/>
          <w:color w:val="auto"/>
          <w:sz w:val="28"/>
          <w:szCs w:val="28"/>
          <w:highlight w:val="none"/>
          <w:u w:val="single"/>
        </w:rPr>
      </w:pPr>
      <w:r>
        <w:rPr>
          <w:rFonts w:hint="eastAsia" w:ascii="仿宋" w:hAnsi="仿宋" w:eastAsia="仿宋"/>
          <w:color w:val="auto"/>
          <w:sz w:val="28"/>
          <w:szCs w:val="28"/>
          <w:highlight w:val="none"/>
          <w:lang w:val="en-US" w:eastAsia="zh-CN"/>
        </w:rPr>
        <w:t>合同签订后10天内（不含主管部门审批时间）完成本项目全部施工图设计并通过施工图审查；后续各单项工程工期根据项目实施实际需要由招标人及中标人共同确定。招标人对各单项工程进度有特殊要求的，中标人须按照招标人的要求组织该单项工程采购、施工任务，并在招标人审批的进度计划时间内完成项目建设任务。</w:t>
      </w:r>
    </w:p>
    <w:p w14:paraId="42E87FC4">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本项目接受联合体</w:t>
      </w:r>
      <w:r>
        <w:rPr>
          <w:rFonts w:hint="eastAsia" w:ascii="仿宋" w:hAnsi="仿宋" w:eastAsia="仿宋"/>
          <w:color w:val="auto"/>
          <w:sz w:val="28"/>
          <w:szCs w:val="28"/>
          <w:highlight w:val="none"/>
          <w:lang w:val="en-US" w:eastAsia="zh-CN"/>
        </w:rPr>
        <w:t>投标，应满足下列要求：</w:t>
      </w:r>
    </w:p>
    <w:p w14:paraId="08BEAE0D">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联合体参加投标的，联合体（牵头方和成员方）总数不得超过2家，牵头方须由施工单位担任。同一专业工程由一个单位承担的，按照承担单位资质确定资质等级；同一专业工程由两个单位共同承担的，按照资质等级较低的单位确定资质等级；不同专业工程由不同单位分别承担的，按照各单位的相应资质确定联合体的资质。联合体牵头人和联合体成员按专业分工确定的联合体资质须满足招标文件的要求。</w:t>
      </w:r>
    </w:p>
    <w:p w14:paraId="412DCC77">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2、联合体参加投标的，招标文件下载、投标保证金缴纳、投标文件编制、电子签章、网上递交标书、解密等工作均由其牵头人负责办理，其他联合体成员方按招标文件要求提供相关材料即可。</w:t>
      </w:r>
    </w:p>
    <w:p w14:paraId="4082D89B">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3、联合体参加投标的，一旦中标，联合体各方将向采购人承担连带责任，各方应服从招标人的管理。</w:t>
      </w:r>
    </w:p>
    <w:p w14:paraId="48ADB1D2">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若为联合体投标的，联合体投标牵头方必须在投标文件中填报派驻项目经理（建造师）A，联合体成员方可根据项目情况自行选择是否在投标文件中填报派驻项目经理（建造师）B岗，若派驻，AB岗须满足项目经理资格要求。如联合体成员方没有在投标文件中填报派驻项目经理（建造师）B岗的，视为放弃填报派驻项目经理（建造师）B岗的权利，中标后不予填报增派。</w:t>
      </w:r>
    </w:p>
    <w:p w14:paraId="564C0274">
      <w:pPr>
        <w:pageBreakBefore w:val="0"/>
        <w:kinsoku/>
        <w:overflowPunct/>
        <w:topLinePunct w:val="0"/>
        <w:autoSpaceDE/>
        <w:autoSpaceDN/>
        <w:bidi w:val="0"/>
        <w:adjustRightInd/>
        <w:snapToGrid/>
        <w:spacing w:line="240" w:lineRule="auto"/>
        <w:ind w:firstLine="560" w:firstLineChars="2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5、联合体牵头人及成员单位共同对所提交的投标文件及相关证书材料的真实合规性负责。如联合体任一方出现保证金不予退还的情形，联合体所缴纳的投标保证金均不予退还。</w:t>
      </w:r>
    </w:p>
    <w:p w14:paraId="2F9DCEF5">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7" w:name="_Toc35393622"/>
      <w:bookmarkStart w:id="8" w:name="_Toc35393791"/>
      <w:bookmarkStart w:id="9" w:name="_Toc28359003"/>
      <w:bookmarkStart w:id="10" w:name="_Toc28359080"/>
      <w:r>
        <w:rPr>
          <w:rFonts w:hint="eastAsia" w:ascii="黑体" w:hAnsi="黑体" w:eastAsia="黑体" w:cs="黑体"/>
          <w:b w:val="0"/>
          <w:color w:val="auto"/>
          <w:sz w:val="28"/>
          <w:szCs w:val="28"/>
          <w:highlight w:val="none"/>
        </w:rPr>
        <w:t>二、申请人的资格要求：</w:t>
      </w:r>
      <w:bookmarkEnd w:id="7"/>
      <w:bookmarkEnd w:id="8"/>
      <w:bookmarkEnd w:id="9"/>
      <w:bookmarkEnd w:id="10"/>
    </w:p>
    <w:p w14:paraId="3E8F177D">
      <w:pPr>
        <w:pageBreakBefore w:val="0"/>
        <w:kinsoku/>
        <w:overflowPunct/>
        <w:topLinePunct w:val="0"/>
        <w:autoSpaceDE/>
        <w:autoSpaceDN/>
        <w:bidi w:val="0"/>
        <w:adjustRightInd/>
        <w:snapToGrid/>
        <w:ind w:firstLine="560" w:firstLineChars="2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0AA2E23D">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s="仿宋"/>
          <w:i w:val="0"/>
          <w:iCs w:val="0"/>
          <w:caps w:val="0"/>
          <w:color w:val="000000"/>
          <w:spacing w:val="0"/>
          <w:sz w:val="28"/>
          <w:szCs w:val="28"/>
        </w:rPr>
      </w:pPr>
      <w:bookmarkStart w:id="11" w:name="_Toc28359081"/>
      <w:bookmarkStart w:id="12" w:name="_Toc28359004"/>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hint="eastAsia" w:ascii="仿宋" w:hAnsi="仿宋" w:eastAsia="仿宋" w:cs="仿宋"/>
          <w:i w:val="0"/>
          <w:iCs w:val="0"/>
          <w:caps w:val="0"/>
          <w:color w:val="000000"/>
          <w:spacing w:val="0"/>
          <w:sz w:val="28"/>
          <w:szCs w:val="28"/>
        </w:rPr>
        <w:t>落实政府采购政策需满足的资格要求：按照财政部、工业和信息化部制定的《政府采购促进中小企业发展管理办法》（财库〔2020〕46号），本项目为专门面向中小企业采购项目。企业划型标准按照《关于印发中小企业划型标准规定的通知》（工信部联企业〔2011〕300号）规定执行。</w:t>
      </w:r>
    </w:p>
    <w:p w14:paraId="223F2B14">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i/>
          <w:iCs/>
          <w:color w:val="auto"/>
          <w:sz w:val="28"/>
          <w:szCs w:val="28"/>
          <w:highlight w:val="none"/>
          <w:u w:val="single"/>
          <w:lang w:eastAsia="zh-CN"/>
        </w:rPr>
      </w:pPr>
      <w:r>
        <w:rPr>
          <w:rFonts w:hint="eastAsia" w:ascii="仿宋" w:hAnsi="仿宋" w:eastAsia="仿宋"/>
          <w:color w:val="auto"/>
          <w:sz w:val="28"/>
          <w:szCs w:val="28"/>
          <w:highlight w:val="none"/>
        </w:rPr>
        <w:t>3.本项目的特定资格要求：</w:t>
      </w:r>
    </w:p>
    <w:p w14:paraId="79572FE6">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kern w:val="2"/>
          <w:sz w:val="28"/>
          <w:szCs w:val="28"/>
          <w:highlight w:val="none"/>
          <w:lang w:val="en-US" w:eastAsia="zh-CN"/>
        </w:rPr>
      </w:pPr>
      <w:r>
        <w:rPr>
          <w:rFonts w:hint="eastAsia" w:ascii="仿宋" w:hAnsi="仿宋" w:eastAsia="仿宋" w:cs="宋体"/>
          <w:color w:val="auto"/>
          <w:kern w:val="2"/>
          <w:sz w:val="28"/>
          <w:szCs w:val="28"/>
          <w:highlight w:val="none"/>
          <w:lang w:val="en-US" w:eastAsia="zh-CN"/>
        </w:rPr>
        <w:t>供应商同时具有</w:t>
      </w:r>
      <w:r>
        <w:rPr>
          <w:rFonts w:hint="eastAsia" w:ascii="仿宋" w:hAnsi="仿宋" w:eastAsia="仿宋" w:cs="宋体"/>
          <w:color w:val="auto"/>
          <w:kern w:val="2"/>
          <w:sz w:val="28"/>
          <w:szCs w:val="28"/>
          <w:highlight w:val="none"/>
        </w:rPr>
        <w:t>：</w:t>
      </w:r>
      <w:r>
        <w:rPr>
          <w:rFonts w:hint="eastAsia" w:ascii="仿宋" w:hAnsi="仿宋" w:eastAsia="仿宋" w:cs="宋体"/>
          <w:color w:val="auto"/>
          <w:kern w:val="2"/>
          <w:sz w:val="28"/>
          <w:szCs w:val="28"/>
          <w:highlight w:val="none"/>
          <w:lang w:val="en-US" w:eastAsia="zh-CN"/>
        </w:rPr>
        <w:t>①工程设计综合甲级资质或具有建筑行业（建筑工程）设计乙级及以上资质；</w:t>
      </w:r>
    </w:p>
    <w:p w14:paraId="1073B726">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lang w:val="en-US" w:eastAsia="zh-CN"/>
        </w:rPr>
        <w:t>②建筑工程施工总承包二级及以上资质,且具备有效的安全生产许可证。</w:t>
      </w:r>
    </w:p>
    <w:p w14:paraId="1CF8C333">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kern w:val="2"/>
          <w:sz w:val="28"/>
          <w:szCs w:val="28"/>
          <w:highlight w:val="none"/>
          <w:lang w:val="en-US" w:eastAsia="zh-CN"/>
        </w:rPr>
      </w:pPr>
      <w:r>
        <w:rPr>
          <w:rFonts w:hint="eastAsia" w:ascii="仿宋" w:hAnsi="仿宋" w:eastAsia="仿宋" w:cs="宋体"/>
          <w:color w:val="auto"/>
          <w:kern w:val="2"/>
          <w:sz w:val="28"/>
          <w:szCs w:val="28"/>
          <w:highlight w:val="none"/>
          <w:lang w:eastAsia="zh-CN"/>
        </w:rPr>
        <w:t>项目总承包经理</w:t>
      </w:r>
      <w:r>
        <w:rPr>
          <w:rFonts w:hint="eastAsia" w:ascii="仿宋" w:hAnsi="仿宋" w:eastAsia="仿宋" w:cs="宋体"/>
          <w:color w:val="auto"/>
          <w:kern w:val="2"/>
          <w:sz w:val="28"/>
          <w:szCs w:val="28"/>
          <w:highlight w:val="none"/>
        </w:rPr>
        <w:t>：</w:t>
      </w:r>
      <w:r>
        <w:rPr>
          <w:rFonts w:hint="eastAsia" w:ascii="仿宋" w:hAnsi="仿宋" w:eastAsia="仿宋" w:cs="宋体"/>
          <w:color w:val="auto"/>
          <w:kern w:val="2"/>
          <w:sz w:val="28"/>
          <w:szCs w:val="28"/>
          <w:highlight w:val="none"/>
          <w:lang w:val="en-US" w:eastAsia="zh-CN"/>
        </w:rPr>
        <w:t xml:space="preserve">①总承包项目经理须具备建筑工程专业二级注册建造师资格，且具有有效的安全生产考核合格证书（B证）；  </w:t>
      </w:r>
    </w:p>
    <w:p w14:paraId="3012D17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kern w:val="2"/>
          <w:sz w:val="28"/>
          <w:szCs w:val="28"/>
          <w:highlight w:val="none"/>
          <w:lang w:val="en-US" w:eastAsia="zh-CN"/>
        </w:rPr>
      </w:pPr>
      <w:r>
        <w:rPr>
          <w:rFonts w:hint="eastAsia" w:ascii="仿宋" w:hAnsi="仿宋" w:eastAsia="仿宋" w:cs="宋体"/>
          <w:color w:val="auto"/>
          <w:kern w:val="2"/>
          <w:sz w:val="28"/>
          <w:szCs w:val="28"/>
          <w:highlight w:val="none"/>
          <w:lang w:val="en-US" w:eastAsia="zh-CN"/>
        </w:rPr>
        <w:t>②设计负责人须具有建筑工程相关专业中级工程师及以上职称；</w:t>
      </w:r>
    </w:p>
    <w:p w14:paraId="0836A9A6">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kern w:val="2"/>
          <w:sz w:val="28"/>
          <w:szCs w:val="28"/>
          <w:highlight w:val="none"/>
          <w:lang w:val="en-US" w:eastAsia="zh-CN"/>
        </w:rPr>
      </w:pPr>
      <w:r>
        <w:rPr>
          <w:rFonts w:hint="eastAsia" w:ascii="仿宋" w:hAnsi="仿宋" w:eastAsia="仿宋" w:cs="宋体"/>
          <w:color w:val="auto"/>
          <w:kern w:val="2"/>
          <w:sz w:val="28"/>
          <w:szCs w:val="28"/>
          <w:highlight w:val="none"/>
          <w:lang w:val="en-US" w:eastAsia="zh-CN"/>
        </w:rPr>
        <w:t>注：总承包项目经理可由施工负责人兼任，但设计负责人、施工负责人须为独立设置，不能一个人同时兼任。</w:t>
      </w:r>
    </w:p>
    <w:p w14:paraId="3F59D51E">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供应商</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14:paraId="39E26E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i w:val="0"/>
          <w:iCs w:val="0"/>
          <w:caps w:val="0"/>
          <w:color w:val="auto"/>
          <w:spacing w:val="0"/>
          <w:sz w:val="21"/>
          <w:szCs w:val="21"/>
          <w:highlight w:val="none"/>
        </w:rPr>
      </w:pPr>
      <w:bookmarkStart w:id="13" w:name="_Toc35393792"/>
      <w:bookmarkStart w:id="14" w:name="_Toc35393623"/>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①供应商被人民法院列入失信被执行人的；</w:t>
      </w:r>
    </w:p>
    <w:p w14:paraId="391B18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②供应商或其法定代表人或拟派项目经理（建造师）前三年有行贿犯罪行为的；</w:t>
      </w:r>
    </w:p>
    <w:p w14:paraId="538161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③供应商被市场监督管理部门列入经营异常名录或者严重违法企业名单，且未被移除的；</w:t>
      </w:r>
    </w:p>
    <w:p w14:paraId="0491C5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④供应商被税务部门列入重大税收违法案件当事人的；</w:t>
      </w:r>
    </w:p>
    <w:p w14:paraId="6DCCE5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⑤供应商被政府采购监管部门列入政府采购严重违法失信行为记录名单的；</w:t>
      </w:r>
    </w:p>
    <w:p w14:paraId="0C04A5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仿宋" w:cs="微软雅黑"/>
          <w:i w:val="0"/>
          <w:iCs w:val="0"/>
          <w:caps w:val="0"/>
          <w:color w:val="auto"/>
          <w:spacing w:val="0"/>
          <w:sz w:val="21"/>
          <w:szCs w:val="21"/>
          <w:highlight w:val="none"/>
          <w:lang w:eastAsia="zh-CN"/>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⑥在“信用中国”网站上披露仍在公示期的严重失信行为的；</w:t>
      </w:r>
    </w:p>
    <w:p w14:paraId="1EBEBE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5.供应商所属分公司、办事处等分支机构存在第4款信誉要求①-⑥项情形之一的，接受供应商参加本项目。</w:t>
      </w:r>
    </w:p>
    <w:p w14:paraId="51AC52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ind w:left="0" w:right="0" w:firstLine="560" w:firstLineChars="200"/>
        <w:jc w:val="left"/>
        <w:textAlignment w:val="auto"/>
        <w:outlineLvl w:val="9"/>
        <w:rPr>
          <w:rFonts w:hint="eastAsia" w:ascii="微软雅黑" w:hAnsi="微软雅黑" w:eastAsia="微软雅黑" w:cs="微软雅黑"/>
          <w:b w:val="0"/>
          <w:bCs w:val="0"/>
          <w:i w:val="0"/>
          <w:iCs w:val="0"/>
          <w:caps w:val="0"/>
          <w:color w:val="auto"/>
          <w:spacing w:val="0"/>
          <w:sz w:val="21"/>
          <w:szCs w:val="21"/>
          <w:highlight w:val="none"/>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
        </w:rPr>
        <w:t>备注：第4、5条按照“关于联合惩戒失信行为 加强信用查询管理的通知”查询或承诺。</w:t>
      </w:r>
    </w:p>
    <w:p w14:paraId="47CADE28">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eastAsia="zh-CN"/>
        </w:rPr>
      </w:pPr>
      <w:r>
        <w:rPr>
          <w:rFonts w:hint="eastAsia" w:ascii="黑体" w:hAnsi="黑体" w:eastAsia="黑体" w:cs="黑体"/>
          <w:b w:val="0"/>
          <w:color w:val="auto"/>
          <w:sz w:val="28"/>
          <w:szCs w:val="28"/>
          <w:highlight w:val="none"/>
        </w:rPr>
        <w:t>三、获取</w:t>
      </w:r>
      <w:bookmarkEnd w:id="11"/>
      <w:bookmarkEnd w:id="12"/>
      <w:bookmarkEnd w:id="13"/>
      <w:bookmarkEnd w:id="14"/>
      <w:r>
        <w:rPr>
          <w:rFonts w:hint="eastAsia" w:ascii="黑体" w:hAnsi="黑体" w:eastAsia="黑体" w:cs="黑体"/>
          <w:b w:val="0"/>
          <w:color w:val="auto"/>
          <w:sz w:val="28"/>
          <w:szCs w:val="28"/>
          <w:highlight w:val="none"/>
          <w:lang w:eastAsia="zh-CN"/>
        </w:rPr>
        <w:t>采购文件</w:t>
      </w:r>
    </w:p>
    <w:p w14:paraId="693ABD24">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u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p>
    <w:p w14:paraId="30265F0A">
      <w:pPr>
        <w:pageBreakBefore w:val="0"/>
        <w:kinsoku/>
        <w:overflowPunct/>
        <w:topLinePunct w:val="0"/>
        <w:autoSpaceDE/>
        <w:autoSpaceDN/>
        <w:bidi w:val="0"/>
        <w:adjustRightInd/>
        <w:snapToGrid/>
        <w:spacing w:line="240" w:lineRule="auto"/>
        <w:ind w:firstLine="560" w:firstLineChars="200"/>
        <w:textAlignment w:val="auto"/>
        <w:outlineLvl w:val="9"/>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1F211EA9">
      <w:pPr>
        <w:pageBreakBefore w:val="0"/>
        <w:kinsoku/>
        <w:overflowPunct/>
        <w:topLinePunct w:val="0"/>
        <w:autoSpaceDE/>
        <w:autoSpaceDN/>
        <w:bidi w:val="0"/>
        <w:adjustRightInd/>
        <w:snapToGrid/>
        <w:spacing w:line="240" w:lineRule="auto"/>
        <w:ind w:firstLine="560" w:firstLineChars="200"/>
        <w:textAlignment w:val="auto"/>
        <w:outlineLvl w:val="9"/>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w:t>
      </w:r>
      <w:r>
        <w:rPr>
          <w:rFonts w:hint="eastAsia" w:ascii="仿宋" w:hAnsi="仿宋" w:eastAsia="仿宋" w:cs="宋体"/>
          <w:color w:val="auto"/>
          <w:sz w:val="28"/>
          <w:szCs w:val="28"/>
          <w:highlight w:val="none"/>
          <w:lang w:eastAsia="zh-CN"/>
        </w:rPr>
        <w:t>网上下载</w:t>
      </w:r>
    </w:p>
    <w:p w14:paraId="186B4333">
      <w:pPr>
        <w:pageBreakBefore w:val="0"/>
        <w:kinsoku/>
        <w:overflowPunct/>
        <w:topLinePunct w:val="0"/>
        <w:autoSpaceDE/>
        <w:autoSpaceDN/>
        <w:bidi w:val="0"/>
        <w:adjustRightInd/>
        <w:snapToGrid/>
        <w:spacing w:line="240" w:lineRule="auto"/>
        <w:ind w:firstLine="560" w:firstLineChars="200"/>
        <w:textAlignment w:val="auto"/>
        <w:outlineLvl w:val="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0元</w:t>
      </w:r>
    </w:p>
    <w:p w14:paraId="1C134A71">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5" w:name="_Toc28359082"/>
      <w:bookmarkStart w:id="16" w:name="_Toc28359005"/>
      <w:bookmarkStart w:id="17" w:name="_Toc35393793"/>
      <w:bookmarkStart w:id="18" w:name="_Toc35393624"/>
      <w:r>
        <w:rPr>
          <w:rFonts w:hint="eastAsia" w:ascii="黑体" w:hAnsi="黑体" w:eastAsia="黑体" w:cs="黑体"/>
          <w:b w:val="0"/>
          <w:color w:val="auto"/>
          <w:sz w:val="28"/>
          <w:szCs w:val="28"/>
          <w:highlight w:val="none"/>
        </w:rPr>
        <w:t>四、</w:t>
      </w:r>
      <w:bookmarkEnd w:id="15"/>
      <w:bookmarkEnd w:id="16"/>
      <w:r>
        <w:rPr>
          <w:rFonts w:hint="eastAsia" w:ascii="黑体" w:hAnsi="黑体" w:eastAsia="黑体" w:cs="黑体"/>
          <w:b w:val="0"/>
          <w:color w:val="auto"/>
          <w:sz w:val="28"/>
          <w:szCs w:val="28"/>
          <w:highlight w:val="none"/>
          <w:lang w:eastAsia="zh-CN"/>
        </w:rPr>
        <w:t>响应文件</w:t>
      </w:r>
      <w:r>
        <w:rPr>
          <w:rFonts w:hint="eastAsia" w:ascii="黑体" w:hAnsi="黑体" w:eastAsia="黑体" w:cs="黑体"/>
          <w:b w:val="0"/>
          <w:color w:val="auto"/>
          <w:sz w:val="28"/>
          <w:szCs w:val="28"/>
          <w:highlight w:val="none"/>
        </w:rPr>
        <w:t>提交</w:t>
      </w:r>
      <w:bookmarkEnd w:id="17"/>
      <w:bookmarkEnd w:id="18"/>
    </w:p>
    <w:p w14:paraId="0C24F855">
      <w:pPr>
        <w:pageBreakBefore w:val="0"/>
        <w:kinsoku/>
        <w:overflowPunct/>
        <w:topLinePunct w:val="0"/>
        <w:autoSpaceDE/>
        <w:autoSpaceDN/>
        <w:bidi w:val="0"/>
        <w:adjustRightInd/>
        <w:snapToGrid/>
        <w:ind w:firstLine="560" w:firstLineChars="200"/>
        <w:textAlignment w:val="auto"/>
        <w:outlineLvl w:val="9"/>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截止时间：</w:t>
      </w:r>
      <w:r>
        <w:rPr>
          <w:rFonts w:hint="eastAsia" w:ascii="仿宋" w:hAnsi="仿宋" w:eastAsia="仿宋"/>
          <w:bCs/>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04</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29</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8</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u w:val="none"/>
        </w:rPr>
        <w:t>（北京时间）</w:t>
      </w:r>
    </w:p>
    <w:p w14:paraId="6E6C8342">
      <w:pPr>
        <w:pageBreakBefore w:val="0"/>
        <w:kinsoku/>
        <w:overflowPunct/>
        <w:topLinePunct w:val="0"/>
        <w:autoSpaceDE/>
        <w:autoSpaceDN/>
        <w:bidi w:val="0"/>
        <w:adjustRightInd/>
        <w:snapToGrid/>
        <w:ind w:firstLine="560" w:firstLineChars="200"/>
        <w:textAlignment w:val="auto"/>
        <w:outlineLvl w:val="9"/>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地点：按照电子标规定上传至指定位置</w:t>
      </w:r>
    </w:p>
    <w:p w14:paraId="6F9F51BC">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9" w:name="_Toc28359084"/>
      <w:bookmarkStart w:id="20" w:name="_Toc35393794"/>
      <w:bookmarkStart w:id="21" w:name="_Toc35393625"/>
      <w:bookmarkStart w:id="22" w:name="_Toc28359007"/>
      <w:r>
        <w:rPr>
          <w:rFonts w:hint="eastAsia" w:ascii="黑体" w:hAnsi="黑体" w:eastAsia="黑体" w:cs="黑体"/>
          <w:b w:val="0"/>
          <w:color w:val="auto"/>
          <w:sz w:val="28"/>
          <w:szCs w:val="28"/>
          <w:highlight w:val="none"/>
        </w:rPr>
        <w:t>五、开启</w:t>
      </w:r>
    </w:p>
    <w:p w14:paraId="27F3E9AE">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时间：202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04</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29</w:t>
      </w:r>
      <w:r>
        <w:rPr>
          <w:rFonts w:hint="eastAsia" w:ascii="仿宋" w:hAnsi="仿宋" w:eastAsia="仿宋" w:cs="Times New Roman"/>
          <w:color w:val="auto"/>
          <w:sz w:val="28"/>
          <w:szCs w:val="28"/>
          <w:highlight w:val="none"/>
        </w:rPr>
        <w:t>日</w:t>
      </w:r>
      <w:r>
        <w:rPr>
          <w:rFonts w:hint="eastAsia" w:ascii="仿宋" w:hAnsi="仿宋" w:eastAsia="仿宋" w:cs="Times New Roman"/>
          <w:color w:val="auto"/>
          <w:sz w:val="28"/>
          <w:szCs w:val="28"/>
          <w:highlight w:val="none"/>
          <w:lang w:val="en-US" w:eastAsia="zh-CN"/>
        </w:rPr>
        <w:t>8</w:t>
      </w:r>
      <w:r>
        <w:rPr>
          <w:rFonts w:hint="eastAsia" w:ascii="仿宋" w:hAnsi="仿宋" w:eastAsia="仿宋" w:cs="Times New Roman"/>
          <w:color w:val="auto"/>
          <w:sz w:val="28"/>
          <w:szCs w:val="28"/>
          <w:highlight w:val="none"/>
        </w:rPr>
        <w:t>点</w:t>
      </w:r>
      <w:r>
        <w:rPr>
          <w:rFonts w:hint="eastAsia" w:ascii="仿宋" w:hAnsi="仿宋" w:eastAsia="仿宋" w:cs="Times New Roman"/>
          <w:color w:val="auto"/>
          <w:sz w:val="28"/>
          <w:szCs w:val="28"/>
          <w:highlight w:val="none"/>
          <w:lang w:val="en-US" w:eastAsia="zh-CN"/>
        </w:rPr>
        <w:t>0</w:t>
      </w:r>
      <w:r>
        <w:rPr>
          <w:rFonts w:hint="eastAsia" w:ascii="仿宋" w:hAnsi="仿宋" w:eastAsia="仿宋" w:cs="Times New Roman"/>
          <w:color w:val="auto"/>
          <w:sz w:val="28"/>
          <w:szCs w:val="28"/>
          <w:highlight w:val="none"/>
        </w:rPr>
        <w:t>0分（北京时间）</w:t>
      </w:r>
    </w:p>
    <w:p w14:paraId="346BBE7D">
      <w:pPr>
        <w:pageBreakBefore w:val="0"/>
        <w:kinsoku/>
        <w:overflowPunct/>
        <w:topLinePunct w:val="0"/>
        <w:autoSpaceDE/>
        <w:autoSpaceDN/>
        <w:bidi w:val="0"/>
        <w:adjustRightInd/>
        <w:snapToGrid/>
        <w:ind w:firstLine="560" w:firstLineChars="200"/>
        <w:textAlignment w:val="auto"/>
        <w:outlineLvl w:val="9"/>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地点：定远县新行政服务中心三楼</w:t>
      </w:r>
      <w:r>
        <w:rPr>
          <w:rFonts w:hint="eastAsia" w:ascii="仿宋" w:hAnsi="仿宋" w:eastAsia="仿宋" w:cs="Times New Roman"/>
          <w:color w:val="auto"/>
          <w:sz w:val="28"/>
          <w:szCs w:val="28"/>
          <w:highlight w:val="none"/>
          <w:lang w:eastAsia="zh-CN"/>
        </w:rPr>
        <w:t>第</w:t>
      </w:r>
      <w:r>
        <w:rPr>
          <w:rFonts w:hint="eastAsia" w:ascii="仿宋" w:hAnsi="仿宋" w:eastAsia="仿宋" w:cs="Times New Roman"/>
          <w:color w:val="auto"/>
          <w:sz w:val="28"/>
          <w:szCs w:val="28"/>
          <w:highlight w:val="none"/>
          <w:lang w:val="en-US" w:eastAsia="zh-CN"/>
        </w:rPr>
        <w:t>一</w:t>
      </w:r>
      <w:r>
        <w:rPr>
          <w:rFonts w:hint="eastAsia" w:ascii="仿宋" w:hAnsi="仿宋" w:eastAsia="仿宋" w:cs="Times New Roman"/>
          <w:color w:val="auto"/>
          <w:sz w:val="28"/>
          <w:szCs w:val="28"/>
          <w:highlight w:val="none"/>
          <w:lang w:eastAsia="zh-CN"/>
        </w:rPr>
        <w:t>开标室</w:t>
      </w:r>
      <w:r>
        <w:rPr>
          <w:rFonts w:hint="eastAsia" w:ascii="仿宋" w:hAnsi="仿宋" w:eastAsia="仿宋" w:cs="Times New Roman"/>
          <w:color w:val="auto"/>
          <w:sz w:val="28"/>
          <w:szCs w:val="28"/>
          <w:highlight w:val="none"/>
        </w:rPr>
        <w:t>（地址：定远县永康路与泉坞山路交叉口东侧300米）</w:t>
      </w:r>
    </w:p>
    <w:p w14:paraId="3BE755FE">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六</w:t>
      </w:r>
      <w:r>
        <w:rPr>
          <w:rFonts w:hint="eastAsia" w:ascii="黑体" w:hAnsi="黑体" w:eastAsia="黑体" w:cs="黑体"/>
          <w:b w:val="0"/>
          <w:color w:val="auto"/>
          <w:sz w:val="28"/>
          <w:szCs w:val="28"/>
          <w:highlight w:val="none"/>
        </w:rPr>
        <w:t>、公告期限</w:t>
      </w:r>
      <w:bookmarkEnd w:id="19"/>
      <w:bookmarkEnd w:id="20"/>
      <w:bookmarkEnd w:id="21"/>
      <w:bookmarkEnd w:id="22"/>
    </w:p>
    <w:p w14:paraId="290EAC98">
      <w:pPr>
        <w:pageBreakBefore w:val="0"/>
        <w:kinsoku/>
        <w:overflowPunct/>
        <w:topLinePunct w:val="0"/>
        <w:autoSpaceDE/>
        <w:autoSpaceDN/>
        <w:bidi w:val="0"/>
        <w:adjustRightInd/>
        <w:snapToGrid/>
        <w:ind w:firstLine="560" w:firstLineChars="200"/>
        <w:textAlignment w:val="auto"/>
        <w:outlineLvl w:val="9"/>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ACA3419">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七、保证金金额及缴纳账户</w:t>
      </w:r>
    </w:p>
    <w:p w14:paraId="38BA15EB">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提交保证金：不要求</w:t>
      </w:r>
    </w:p>
    <w:p w14:paraId="191AE7CB">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val="en-US" w:eastAsia="zh-CN"/>
        </w:rPr>
      </w:pPr>
      <w:bookmarkStart w:id="23" w:name="_Toc35393626"/>
      <w:bookmarkStart w:id="24" w:name="_Toc35393795"/>
      <w:r>
        <w:rPr>
          <w:rFonts w:hint="eastAsia" w:ascii="黑体" w:hAnsi="黑体" w:eastAsia="黑体" w:cs="黑体"/>
          <w:b w:val="0"/>
          <w:color w:val="auto"/>
          <w:sz w:val="28"/>
          <w:szCs w:val="28"/>
          <w:highlight w:val="none"/>
          <w:lang w:val="en-US" w:eastAsia="zh-CN"/>
        </w:rPr>
        <w:t>八、其他补充事宜</w:t>
      </w:r>
      <w:bookmarkEnd w:id="23"/>
      <w:bookmarkEnd w:id="24"/>
    </w:p>
    <w:p w14:paraId="00CA33EF">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1.本项目只接受在安徽省公共资源交易市场主体库（http://ggzy.ah.gov.cn/ahggfwpt-zhutiku/dengludenglu）登记并进行信息确认提交的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参加</w:t>
      </w:r>
      <w:r>
        <w:rPr>
          <w:rFonts w:hint="eastAsia" w:ascii="仿宋" w:hAnsi="仿宋" w:eastAsia="仿宋" w:cs="仿宋"/>
          <w:color w:val="auto"/>
          <w:sz w:val="28"/>
          <w:szCs w:val="28"/>
          <w:highlight w:val="none"/>
        </w:rPr>
        <w:t>，未登记的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请及时办理CA数字证书并登录安徽省公共资源交易市场主体库进行信息填写及确认提交；已办理过CA数字证书视为已在省库登记，进行信息更新及确认提交即可。办理流程为</w:t>
      </w:r>
      <w:r>
        <w:rPr>
          <w:rFonts w:hint="eastAsia" w:ascii="仿宋" w:hAnsi="仿宋" w:eastAsia="仿宋" w:cs="仿宋"/>
          <w:color w:val="auto"/>
          <w:sz w:val="28"/>
          <w:szCs w:val="28"/>
          <w:highlight w:val="none"/>
          <w:lang w:eastAsia="zh-CN"/>
        </w:rPr>
        <w:t>登录</w:t>
      </w:r>
      <w:r>
        <w:rPr>
          <w:rFonts w:hint="eastAsia" w:ascii="仿宋" w:hAnsi="仿宋" w:eastAsia="仿宋" w:cs="仿宋"/>
          <w:color w:val="auto"/>
          <w:sz w:val="28"/>
          <w:szCs w:val="28"/>
          <w:highlight w:val="none"/>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参加本项目的，责任自负。为保证系统使用过程中产生的问题能够及时得到解决，请各主体在工作时间进行主体信息登记、更新、</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制作等相关操作。</w:t>
      </w:r>
    </w:p>
    <w:p w14:paraId="62801805">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14:paraId="5EA6D6D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3.本项目采用不见面（远程解密)方式，</w:t>
      </w:r>
      <w:r>
        <w:rPr>
          <w:rFonts w:hint="eastAsia" w:ascii="仿宋" w:hAnsi="仿宋" w:eastAsia="仿宋" w:cs="仿宋"/>
          <w:color w:val="auto"/>
          <w:sz w:val="28"/>
          <w:szCs w:val="28"/>
          <w:highlight w:val="none"/>
          <w:lang w:val="en-US" w:eastAsia="zh-CN"/>
        </w:rPr>
        <w:t>开启</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无须至现场进行解密，采取远程解密方式解密</w:t>
      </w:r>
      <w:r>
        <w:rPr>
          <w:rFonts w:hint="eastAsia" w:ascii="仿宋" w:hAnsi="仿宋" w:eastAsia="仿宋" w:cs="仿宋"/>
          <w:color w:val="auto"/>
          <w:sz w:val="28"/>
          <w:szCs w:val="28"/>
          <w:highlight w:val="none"/>
          <w:lang w:eastAsia="zh-CN"/>
        </w:rPr>
        <w:t>响应文件，供应商远程解密方式：供应商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开启</w:t>
      </w:r>
      <w:r>
        <w:rPr>
          <w:rFonts w:hint="eastAsia" w:ascii="仿宋" w:hAnsi="仿宋" w:eastAsia="仿宋" w:cs="仿宋"/>
          <w:color w:val="auto"/>
          <w:sz w:val="28"/>
          <w:szCs w:val="28"/>
          <w:highlight w:val="none"/>
        </w:rPr>
        <w:t>前使用CA数字证书登录滁州市“不见面开标系统”，网址为</w:t>
      </w:r>
      <w:r>
        <w:rPr>
          <w:rFonts w:hint="eastAsia" w:ascii="仿宋" w:hAnsi="仿宋" w:eastAsia="仿宋" w:cs="仿宋"/>
          <w:color w:val="auto"/>
          <w:sz w:val="28"/>
          <w:szCs w:val="28"/>
          <w:highlight w:val="none"/>
          <w:lang w:eastAsia="zh-CN"/>
        </w:rPr>
        <w:t>https:</w:t>
      </w:r>
      <w:r>
        <w:rPr>
          <w:rFonts w:hint="eastAsia" w:ascii="仿宋" w:hAnsi="仿宋" w:eastAsia="仿宋" w:cs="仿宋"/>
          <w:color w:val="auto"/>
          <w:sz w:val="28"/>
          <w:szCs w:val="28"/>
          <w:highlight w:val="none"/>
        </w:rPr>
        <w:t>//ggzy.chuzhou.gov.cn/BidOpening,等待</w:t>
      </w:r>
      <w:r>
        <w:rPr>
          <w:rFonts w:hint="eastAsia" w:ascii="仿宋" w:hAnsi="仿宋" w:eastAsia="仿宋" w:cs="仿宋"/>
          <w:color w:val="auto"/>
          <w:sz w:val="28"/>
          <w:szCs w:val="28"/>
          <w:highlight w:val="none"/>
          <w:lang w:val="en-US" w:eastAsia="zh-CN"/>
        </w:rPr>
        <w:t>开启</w:t>
      </w:r>
      <w:r>
        <w:rPr>
          <w:rFonts w:hint="eastAsia" w:ascii="仿宋" w:hAnsi="仿宋" w:eastAsia="仿宋" w:cs="仿宋"/>
          <w:color w:val="auto"/>
          <w:sz w:val="28"/>
          <w:szCs w:val="28"/>
          <w:highlight w:val="none"/>
        </w:rPr>
        <w:t>并按系统提示进行相应的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解密等事项，无需到现场。采用本方式可以观看现场音视频直播并进行互动交流。具体操作方法见中心网站&gt;服务指南&gt;交易须知中的《滁州市不见面开标系统操作手册》。</w:t>
      </w:r>
    </w:p>
    <w:p w14:paraId="359FB328">
      <w:pPr>
        <w:pageBreakBefore w:val="0"/>
        <w:kinsoku/>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接到远程解密指令后，须在规定时间内解密。因</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自身原因导致</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在规定时间内未能解密、解密失败或解密超时，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无效；因采购代理机构原因或网上平台发生故障，导致无法按时完成</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解密的，经采购代理机构申请后可延迟解密时间。</w:t>
      </w:r>
    </w:p>
    <w:p w14:paraId="45E02EA4">
      <w:pPr>
        <w:keepNext w:val="0"/>
        <w:keepLines w:val="0"/>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九</w:t>
      </w:r>
      <w:r>
        <w:rPr>
          <w:rFonts w:hint="eastAsia" w:ascii="黑体" w:hAnsi="黑体" w:eastAsia="黑体" w:cs="黑体"/>
          <w:b w:val="0"/>
          <w:color w:val="auto"/>
          <w:sz w:val="28"/>
          <w:szCs w:val="28"/>
          <w:highlight w:val="none"/>
        </w:rPr>
        <w:t>、凡对本次</w:t>
      </w:r>
      <w:r>
        <w:rPr>
          <w:rFonts w:hint="eastAsia" w:ascii="黑体" w:hAnsi="黑体" w:eastAsia="黑体" w:cs="黑体"/>
          <w:b w:val="0"/>
          <w:color w:val="auto"/>
          <w:sz w:val="28"/>
          <w:szCs w:val="28"/>
          <w:highlight w:val="none"/>
          <w:lang w:val="en-US" w:eastAsia="zh-CN"/>
        </w:rPr>
        <w:t>采购</w:t>
      </w:r>
      <w:r>
        <w:rPr>
          <w:rFonts w:hint="eastAsia" w:ascii="黑体" w:hAnsi="黑体" w:eastAsia="黑体" w:cs="黑体"/>
          <w:b w:val="0"/>
          <w:color w:val="auto"/>
          <w:sz w:val="28"/>
          <w:szCs w:val="28"/>
          <w:highlight w:val="none"/>
        </w:rPr>
        <w:t>提出询问，请按以下方式联系</w:t>
      </w:r>
    </w:p>
    <w:p w14:paraId="46C087F6">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ascii="仿宋_GB2312" w:eastAsia="仿宋_GB2312"/>
          <w:color w:val="auto"/>
          <w:sz w:val="28"/>
          <w:szCs w:val="28"/>
          <w:highlight w:val="none"/>
        </w:rPr>
      </w:pPr>
      <w:r>
        <w:rPr>
          <w:rFonts w:hint="eastAsia" w:ascii="仿宋" w:hAnsi="仿宋" w:eastAsia="仿宋" w:cs="宋体"/>
          <w:color w:val="auto"/>
          <w:sz w:val="28"/>
          <w:szCs w:val="28"/>
          <w:highlight w:val="none"/>
        </w:rPr>
        <w:t>1.采购人信息</w:t>
      </w:r>
    </w:p>
    <w:p w14:paraId="0128F167">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rPr>
        <w:t>名</w:t>
      </w:r>
      <w:r>
        <w:rPr>
          <w:rFonts w:hint="eastAsia" w:ascii="仿宋" w:hAnsi="仿宋" w:eastAsia="仿宋"/>
          <w:color w:val="auto"/>
          <w:sz w:val="28"/>
          <w:szCs w:val="28"/>
          <w:highlight w:val="none"/>
          <w:u w:val="none"/>
        </w:rPr>
        <w:t>称：</w:t>
      </w:r>
      <w:r>
        <w:rPr>
          <w:rFonts w:hint="eastAsia" w:ascii="仿宋" w:hAnsi="仿宋" w:eastAsia="仿宋"/>
          <w:color w:val="auto"/>
          <w:sz w:val="28"/>
          <w:szCs w:val="28"/>
          <w:highlight w:val="none"/>
          <w:u w:val="none"/>
          <w:lang w:eastAsia="zh-CN"/>
        </w:rPr>
        <w:t>定远县严桥乡人民政府</w:t>
      </w:r>
    </w:p>
    <w:p w14:paraId="11483844">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w:t>
      </w:r>
      <w:r>
        <w:rPr>
          <w:rFonts w:hint="eastAsia" w:ascii="仿宋" w:hAnsi="仿宋" w:eastAsia="仿宋"/>
          <w:color w:val="auto"/>
          <w:sz w:val="28"/>
          <w:szCs w:val="28"/>
          <w:highlight w:val="none"/>
          <w:u w:val="none"/>
          <w:lang w:val="en-US" w:eastAsia="zh-CN"/>
        </w:rPr>
        <w:t>定远县严桥乡街道</w:t>
      </w:r>
    </w:p>
    <w:p w14:paraId="2BC99346">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联系方式：</w:t>
      </w:r>
      <w:bookmarkStart w:id="25" w:name="_Toc28359009"/>
      <w:bookmarkStart w:id="26" w:name="_Toc28359086"/>
      <w:r>
        <w:rPr>
          <w:rFonts w:hint="eastAsia" w:ascii="仿宋" w:hAnsi="仿宋" w:eastAsia="仿宋"/>
          <w:color w:val="auto"/>
          <w:sz w:val="28"/>
          <w:szCs w:val="28"/>
          <w:highlight w:val="none"/>
          <w:lang w:val="en-US" w:eastAsia="zh-CN"/>
        </w:rPr>
        <w:t>许主任，15955095880</w:t>
      </w:r>
    </w:p>
    <w:p w14:paraId="682016AF">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2.采购代理机构信息</w:t>
      </w:r>
      <w:bookmarkEnd w:id="25"/>
      <w:bookmarkEnd w:id="26"/>
    </w:p>
    <w:p w14:paraId="405779A4">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名称：</w:t>
      </w:r>
      <w:r>
        <w:rPr>
          <w:rFonts w:hint="eastAsia" w:ascii="仿宋" w:hAnsi="仿宋" w:eastAsia="仿宋" w:cs="宋体"/>
          <w:color w:val="auto"/>
          <w:sz w:val="28"/>
          <w:szCs w:val="28"/>
          <w:highlight w:val="none"/>
          <w:lang w:eastAsia="zh-CN"/>
        </w:rPr>
        <w:t>合普项目管理咨询集团有限公司</w:t>
      </w:r>
    </w:p>
    <w:p w14:paraId="1B36DD44">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地址：</w:t>
      </w:r>
      <w:r>
        <w:rPr>
          <w:rFonts w:hint="eastAsia" w:ascii="仿宋" w:hAnsi="仿宋" w:eastAsia="仿宋" w:cs="宋体"/>
          <w:color w:val="auto"/>
          <w:sz w:val="28"/>
          <w:szCs w:val="28"/>
          <w:highlight w:val="none"/>
          <w:lang w:eastAsia="zh-CN"/>
        </w:rPr>
        <w:t>定远县岱山路古城上河坊3栋207室</w:t>
      </w:r>
    </w:p>
    <w:p w14:paraId="0B4B2ECB">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联系方式：</w:t>
      </w:r>
      <w:bookmarkStart w:id="27" w:name="_Toc28359010"/>
      <w:bookmarkStart w:id="28" w:name="_Toc28359087"/>
      <w:r>
        <w:rPr>
          <w:rFonts w:hint="eastAsia" w:ascii="仿宋" w:hAnsi="仿宋" w:eastAsia="仿宋" w:cs="宋体"/>
          <w:color w:val="auto"/>
          <w:sz w:val="28"/>
          <w:szCs w:val="28"/>
          <w:highlight w:val="none"/>
          <w:lang w:val="en-US" w:eastAsia="zh-CN"/>
        </w:rPr>
        <w:t>姜总，</w:t>
      </w:r>
      <w:r>
        <w:rPr>
          <w:rFonts w:hint="eastAsia" w:ascii="仿宋" w:hAnsi="仿宋" w:eastAsia="仿宋" w:cs="宋体"/>
          <w:color w:val="auto"/>
          <w:sz w:val="28"/>
          <w:szCs w:val="28"/>
          <w:highlight w:val="none"/>
          <w:lang w:eastAsia="zh-CN"/>
        </w:rPr>
        <w:t>15155023358</w:t>
      </w:r>
    </w:p>
    <w:bookmarkEnd w:id="27"/>
    <w:bookmarkEnd w:id="28"/>
    <w:p w14:paraId="24D5924B">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3.政府采购监督管理部门信息</w:t>
      </w:r>
    </w:p>
    <w:p w14:paraId="0AEC960B">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lang w:val="en-US" w:eastAsia="zh-CN"/>
        </w:rPr>
        <w:t>名称</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val="en-US" w:eastAsia="zh-CN"/>
        </w:rPr>
        <w:t>定远县财政局</w:t>
      </w:r>
    </w:p>
    <w:p w14:paraId="7F0FF2F3">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地址：定远县定城镇幸福路广电大厦三楼311室</w:t>
      </w:r>
    </w:p>
    <w:p w14:paraId="2E3D70E4">
      <w:pPr>
        <w:keepNext w:val="0"/>
        <w:keepLines w:val="0"/>
        <w:pageBreakBefore w:val="0"/>
        <w:widowControl/>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val="en-US" w:eastAsia="zh-CN"/>
        </w:rPr>
        <w:t>联系方式</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0550-4025140</w:t>
      </w:r>
    </w:p>
    <w:p w14:paraId="15E6B203">
      <w:pPr>
        <w:spacing w:line="360" w:lineRule="auto"/>
        <w:ind w:firstLine="435"/>
        <w:rPr>
          <w:color w:val="auto"/>
          <w:sz w:val="24"/>
          <w:szCs w:val="18"/>
          <w:highlight w:val="none"/>
        </w:rPr>
      </w:pPr>
      <w:r>
        <w:rPr>
          <w:color w:val="auto"/>
          <w:sz w:val="24"/>
          <w:szCs w:val="18"/>
          <w:highlight w:val="none"/>
        </w:rPr>
        <w:br w:type="page"/>
      </w:r>
    </w:p>
    <w:p w14:paraId="46F70172">
      <w:pPr>
        <w:spacing w:line="360" w:lineRule="auto"/>
        <w:jc w:val="center"/>
        <w:outlineLvl w:val="0"/>
        <w:rPr>
          <w:rFonts w:asciiTheme="minorEastAsia" w:hAnsiTheme="minorEastAsia" w:eastAsiaTheme="minorEastAsia"/>
          <w:b/>
          <w:color w:val="auto"/>
          <w:sz w:val="28"/>
          <w:highlight w:val="none"/>
        </w:rPr>
      </w:pPr>
      <w:bookmarkStart w:id="29" w:name="_Toc2808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9"/>
    </w:p>
    <w:p w14:paraId="698F4472">
      <w:pPr>
        <w:spacing w:line="360" w:lineRule="auto"/>
        <w:jc w:val="center"/>
        <w:outlineLvl w:val="1"/>
        <w:rPr>
          <w:rFonts w:asciiTheme="minorEastAsia" w:hAnsiTheme="minorEastAsia" w:eastAsiaTheme="minorEastAsia"/>
          <w:b/>
          <w:color w:val="auto"/>
          <w:sz w:val="24"/>
          <w:highlight w:val="none"/>
        </w:rPr>
      </w:pPr>
      <w:bookmarkStart w:id="30" w:name="_Toc18621"/>
      <w:bookmarkStart w:id="31"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30"/>
      <w:bookmarkEnd w:id="31"/>
    </w:p>
    <w:p w14:paraId="46D6302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752F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5" w:type="pct"/>
            <w:vAlign w:val="center"/>
          </w:tcPr>
          <w:p w14:paraId="76ECE04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7B5B0A0B">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bCs w:val="0"/>
                <w:color w:val="auto"/>
                <w:kern w:val="2"/>
                <w:sz w:val="24"/>
                <w:szCs w:val="20"/>
                <w:highlight w:val="none"/>
              </w:rPr>
            </w:pPr>
            <w:r>
              <w:rPr>
                <w:rFonts w:hint="eastAsia"/>
                <w:bCs w:val="0"/>
                <w:color w:val="auto"/>
                <w:kern w:val="2"/>
                <w:sz w:val="24"/>
                <w:szCs w:val="20"/>
                <w:highlight w:val="none"/>
              </w:rPr>
              <w:t>条款名称</w:t>
            </w:r>
          </w:p>
        </w:tc>
        <w:tc>
          <w:tcPr>
            <w:tcW w:w="3556" w:type="pct"/>
            <w:vAlign w:val="center"/>
          </w:tcPr>
          <w:p w14:paraId="10BA3C52">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bCs w:val="0"/>
                <w:color w:val="auto"/>
                <w:kern w:val="2"/>
                <w:sz w:val="24"/>
                <w:szCs w:val="20"/>
                <w:highlight w:val="none"/>
              </w:rPr>
            </w:pPr>
            <w:r>
              <w:rPr>
                <w:rFonts w:hint="eastAsia"/>
                <w:bCs w:val="0"/>
                <w:color w:val="auto"/>
                <w:kern w:val="2"/>
                <w:sz w:val="24"/>
                <w:szCs w:val="20"/>
                <w:highlight w:val="none"/>
              </w:rPr>
              <w:t>内容、说明与要求</w:t>
            </w:r>
          </w:p>
        </w:tc>
      </w:tr>
      <w:tr w14:paraId="0CE3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D263621">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711" w:type="dxa"/>
            <w:vAlign w:val="center"/>
          </w:tcPr>
          <w:p w14:paraId="2D4E065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229" w:type="dxa"/>
            <w:vAlign w:val="center"/>
          </w:tcPr>
          <w:p w14:paraId="49634E4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6C86A1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31F30C0E">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bCs/>
                <w:color w:val="auto"/>
                <w:sz w:val="24"/>
                <w:highlight w:val="none"/>
                <w:u w:val="single"/>
                <w:lang w:val="en-US" w:eastAsia="zh-CN"/>
              </w:rPr>
              <w:t>/</w:t>
            </w:r>
            <w:r>
              <w:rPr>
                <w:rFonts w:hint="eastAsia" w:ascii="宋体" w:hAnsi="宋体" w:eastAsia="宋体"/>
                <w:bCs/>
                <w:color w:val="auto"/>
                <w:sz w:val="24"/>
                <w:highlight w:val="none"/>
              </w:rPr>
              <w:t>年</w:t>
            </w:r>
            <w:r>
              <w:rPr>
                <w:rFonts w:hint="eastAsia"/>
                <w:bCs/>
                <w:color w:val="auto"/>
                <w:sz w:val="24"/>
                <w:highlight w:val="none"/>
                <w:u w:val="single"/>
                <w:lang w:val="en-US" w:eastAsia="zh-CN"/>
              </w:rPr>
              <w:t>/</w:t>
            </w:r>
            <w:r>
              <w:rPr>
                <w:rFonts w:hint="eastAsia" w:ascii="宋体" w:hAnsi="宋体" w:eastAsia="宋体"/>
                <w:bCs/>
                <w:color w:val="auto"/>
                <w:sz w:val="24"/>
                <w:highlight w:val="none"/>
              </w:rPr>
              <w:t>月</w:t>
            </w:r>
            <w:r>
              <w:rPr>
                <w:rFonts w:hint="eastAsia"/>
                <w:bCs/>
                <w:color w:val="auto"/>
                <w:sz w:val="24"/>
                <w:highlight w:val="none"/>
                <w:u w:val="single"/>
                <w:lang w:val="en-US" w:eastAsia="zh-CN"/>
              </w:rPr>
              <w:t>/</w:t>
            </w:r>
            <w:r>
              <w:rPr>
                <w:rFonts w:hint="eastAsia" w:ascii="宋体" w:hAnsi="宋体" w:eastAsia="宋体"/>
                <w:bCs/>
                <w:color w:val="auto"/>
                <w:sz w:val="24"/>
                <w:highlight w:val="none"/>
              </w:rPr>
              <w:t>日</w:t>
            </w:r>
            <w:r>
              <w:rPr>
                <w:rFonts w:hint="eastAsia"/>
                <w:bCs/>
                <w:color w:val="auto"/>
                <w:sz w:val="24"/>
                <w:highlight w:val="none"/>
                <w:u w:val="single"/>
                <w:lang w:val="en-US" w:eastAsia="zh-CN"/>
              </w:rPr>
              <w:t>/</w:t>
            </w:r>
            <w:r>
              <w:rPr>
                <w:rFonts w:hint="eastAsia" w:ascii="宋体" w:hAnsi="宋体" w:eastAsia="宋体"/>
                <w:bCs/>
                <w:color w:val="auto"/>
                <w:sz w:val="24"/>
                <w:highlight w:val="none"/>
              </w:rPr>
              <w:t>时</w:t>
            </w:r>
            <w:r>
              <w:rPr>
                <w:rFonts w:hint="eastAsia"/>
                <w:bCs/>
                <w:color w:val="auto"/>
                <w:sz w:val="24"/>
                <w:highlight w:val="none"/>
                <w:u w:val="single"/>
                <w:lang w:val="en-US" w:eastAsia="zh-CN"/>
              </w:rPr>
              <w:t>/</w:t>
            </w:r>
            <w:r>
              <w:rPr>
                <w:rFonts w:hint="eastAsia" w:ascii="宋体" w:hAnsi="宋体" w:eastAsia="宋体"/>
                <w:bCs/>
                <w:color w:val="auto"/>
                <w:sz w:val="24"/>
                <w:highlight w:val="none"/>
              </w:rPr>
              <w:t>分</w:t>
            </w:r>
          </w:p>
          <w:p w14:paraId="512E01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bCs/>
                <w:color w:val="auto"/>
                <w:sz w:val="24"/>
                <w:highlight w:val="none"/>
                <w:u w:val="single"/>
                <w:lang w:val="en-US" w:eastAsia="zh-CN"/>
              </w:rPr>
              <w:t>/</w:t>
            </w:r>
          </w:p>
          <w:p w14:paraId="5FFDB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bCs/>
                <w:color w:val="auto"/>
                <w:sz w:val="24"/>
                <w:highlight w:val="none"/>
                <w:u w:val="single"/>
                <w:lang w:val="en-US" w:eastAsia="zh-CN"/>
              </w:rPr>
              <w:t>/</w:t>
            </w:r>
          </w:p>
          <w:p w14:paraId="31E44A3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22C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F515293">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6370136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b w:val="0"/>
                <w:color w:val="auto"/>
                <w:sz w:val="24"/>
                <w:highlight w:val="none"/>
              </w:rPr>
            </w:pPr>
            <w:r>
              <w:rPr>
                <w:rFonts w:hint="eastAsia"/>
                <w:b w:val="0"/>
                <w:color w:val="auto"/>
                <w:sz w:val="24"/>
                <w:highlight w:val="none"/>
              </w:rPr>
              <w:t>网上询问截止时间</w:t>
            </w:r>
          </w:p>
        </w:tc>
        <w:tc>
          <w:tcPr>
            <w:tcW w:w="3556" w:type="pct"/>
            <w:vAlign w:val="center"/>
          </w:tcPr>
          <w:p w14:paraId="05E4B40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rPr>
              <w:t>年</w:t>
            </w:r>
            <w:r>
              <w:rPr>
                <w:rFonts w:hint="eastAsia"/>
                <w:b w:val="0"/>
                <w:color w:val="auto"/>
                <w:sz w:val="24"/>
                <w:highlight w:val="none"/>
                <w:u w:val="single"/>
                <w:lang w:val="en-US" w:eastAsia="zh-CN"/>
              </w:rPr>
              <w:t xml:space="preserve">04 </w:t>
            </w:r>
            <w:r>
              <w:rPr>
                <w:b w:val="0"/>
                <w:color w:val="auto"/>
                <w:sz w:val="24"/>
                <w:highlight w:val="none"/>
              </w:rPr>
              <w:t>月</w:t>
            </w:r>
            <w:r>
              <w:rPr>
                <w:rFonts w:hint="eastAsia"/>
                <w:b w:val="0"/>
                <w:color w:val="auto"/>
                <w:sz w:val="24"/>
                <w:highlight w:val="none"/>
                <w:u w:val="single"/>
                <w:lang w:val="en-US" w:eastAsia="zh-CN"/>
              </w:rPr>
              <w:t>22</w:t>
            </w:r>
            <w:r>
              <w:rPr>
                <w:b w:val="0"/>
                <w:color w:val="auto"/>
                <w:sz w:val="24"/>
                <w:highlight w:val="none"/>
              </w:rPr>
              <w:t>日</w:t>
            </w:r>
            <w:r>
              <w:rPr>
                <w:rFonts w:hint="eastAsia"/>
                <w:b w:val="0"/>
                <w:color w:val="auto"/>
                <w:sz w:val="24"/>
                <w:highlight w:val="none"/>
                <w:u w:val="single"/>
                <w:lang w:val="en-US" w:eastAsia="zh-CN"/>
              </w:rPr>
              <w:t>17</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rPr>
              <w:t>分</w:t>
            </w:r>
          </w:p>
        </w:tc>
      </w:tr>
      <w:tr w14:paraId="51AF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8FA2CC9">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1FD9025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b w:val="0"/>
                <w:color w:val="auto"/>
                <w:sz w:val="24"/>
                <w:highlight w:val="none"/>
              </w:rPr>
            </w:pPr>
            <w:r>
              <w:rPr>
                <w:rFonts w:hint="eastAsia"/>
                <w:b w:val="0"/>
                <w:color w:val="auto"/>
                <w:sz w:val="24"/>
                <w:highlight w:val="none"/>
              </w:rPr>
              <w:t>包别划分</w:t>
            </w:r>
          </w:p>
        </w:tc>
        <w:tc>
          <w:tcPr>
            <w:tcW w:w="3556" w:type="pct"/>
            <w:vAlign w:val="center"/>
          </w:tcPr>
          <w:p w14:paraId="22FDD41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bCs w:val="0"/>
                <w:color w:val="auto"/>
                <w:sz w:val="24"/>
                <w:szCs w:val="24"/>
                <w:highlight w:val="none"/>
                <w:lang w:eastAsia="zh-CN"/>
              </w:rPr>
              <w:t>☑</w:t>
            </w:r>
            <w:r>
              <w:rPr>
                <w:b w:val="0"/>
                <w:color w:val="auto"/>
                <w:sz w:val="24"/>
                <w:highlight w:val="none"/>
              </w:rPr>
              <w:t>不分包     □分为</w:t>
            </w:r>
            <w:r>
              <w:rPr>
                <w:rFonts w:hint="eastAsia"/>
                <w:b w:val="0"/>
                <w:color w:val="auto"/>
                <w:sz w:val="24"/>
                <w:highlight w:val="none"/>
                <w:lang w:val="en-US" w:eastAsia="zh-CN"/>
              </w:rPr>
              <w:t>/</w:t>
            </w:r>
            <w:r>
              <w:rPr>
                <w:b w:val="0"/>
                <w:color w:val="auto"/>
                <w:sz w:val="24"/>
                <w:highlight w:val="none"/>
              </w:rPr>
              <w:t>个包</w:t>
            </w:r>
          </w:p>
          <w:p w14:paraId="51DEFA2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eastAsia="宋体"/>
                <w:b w:val="0"/>
                <w:color w:val="auto"/>
                <w:sz w:val="24"/>
                <w:highlight w:val="none"/>
                <w:lang w:val="en-US" w:eastAsia="zh-CN"/>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lang w:val="en-US" w:eastAsia="zh-CN"/>
              </w:rPr>
              <w:t xml:space="preserve">  / </w:t>
            </w:r>
          </w:p>
        </w:tc>
      </w:tr>
      <w:tr w14:paraId="3263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389D1DD8">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35F11146">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b w:val="0"/>
                <w:color w:val="auto"/>
                <w:sz w:val="24"/>
                <w:highlight w:val="none"/>
              </w:rPr>
            </w:pPr>
            <w:r>
              <w:rPr>
                <w:rFonts w:hint="eastAsia"/>
                <w:b w:val="0"/>
                <w:color w:val="auto"/>
                <w:sz w:val="24"/>
                <w:highlight w:val="none"/>
              </w:rPr>
              <w:t>磋商保证金</w:t>
            </w:r>
          </w:p>
        </w:tc>
        <w:tc>
          <w:tcPr>
            <w:tcW w:w="3556" w:type="pct"/>
            <w:vAlign w:val="center"/>
          </w:tcPr>
          <w:p w14:paraId="2204E72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不收取</w:t>
            </w:r>
          </w:p>
        </w:tc>
      </w:tr>
      <w:tr w14:paraId="4175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A8239FF">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7FA4520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磋商有效期</w:t>
            </w:r>
          </w:p>
        </w:tc>
        <w:tc>
          <w:tcPr>
            <w:tcW w:w="3556" w:type="pct"/>
            <w:vAlign w:val="center"/>
          </w:tcPr>
          <w:p w14:paraId="4E9E317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2539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A265A0C">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2F623B4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响应文件解密时间</w:t>
            </w:r>
          </w:p>
        </w:tc>
        <w:tc>
          <w:tcPr>
            <w:tcW w:w="3556" w:type="pct"/>
            <w:vAlign w:val="center"/>
          </w:tcPr>
          <w:p w14:paraId="637973A6">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2B4D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895EEB4">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0908988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评审方法</w:t>
            </w:r>
          </w:p>
        </w:tc>
        <w:tc>
          <w:tcPr>
            <w:tcW w:w="3556" w:type="pct"/>
            <w:vAlign w:val="center"/>
          </w:tcPr>
          <w:p w14:paraId="77A9F1C6">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u w:val="none"/>
              </w:rPr>
              <w:t>综合评分法</w:t>
            </w:r>
          </w:p>
        </w:tc>
      </w:tr>
      <w:tr w14:paraId="6CAE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50724E3">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17857DC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最后报价扣除</w:t>
            </w:r>
          </w:p>
          <w:p w14:paraId="7291B3B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i/>
                <w:color w:val="auto"/>
                <w:sz w:val="24"/>
                <w:highlight w:val="none"/>
              </w:rPr>
              <w:t>（非专门面向中小企业采购项目适用）</w:t>
            </w:r>
          </w:p>
        </w:tc>
        <w:tc>
          <w:tcPr>
            <w:tcW w:w="3556" w:type="pct"/>
            <w:vAlign w:val="center"/>
          </w:tcPr>
          <w:p w14:paraId="19BA18F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lang w:val="en-US" w:eastAsia="zh-CN"/>
              </w:rPr>
              <w:t>对小型和微型企业产品的价格给予10%的扣除后参与评审；其评审价=投标报价*90%</w:t>
            </w:r>
            <w:r>
              <w:rPr>
                <w:rFonts w:hint="eastAsia" w:ascii="宋体" w:hAnsi="宋体" w:eastAsia="宋体" w:cs="宋体"/>
                <w:b w:val="0"/>
                <w:color w:val="auto"/>
                <w:sz w:val="24"/>
                <w:highlight w:val="none"/>
              </w:rPr>
              <w:t>。</w:t>
            </w:r>
          </w:p>
          <w:p w14:paraId="79A0AE1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4BD2F5B2">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73E8C1D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cs="宋体"/>
                <w:b w:val="0"/>
                <w:color w:val="auto"/>
                <w:sz w:val="24"/>
                <w:highlight w:val="none"/>
              </w:rPr>
              <w:t>。</w:t>
            </w:r>
          </w:p>
          <w:p w14:paraId="191DDC0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b w:val="0"/>
                <w:i/>
                <w:color w:val="auto"/>
                <w:sz w:val="24"/>
                <w:highlight w:val="none"/>
              </w:rPr>
              <w:t>（允许大中型企业向小微企业分包的项目适用）</w:t>
            </w:r>
          </w:p>
        </w:tc>
      </w:tr>
      <w:tr w14:paraId="59F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5D0CB107">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4FFED09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6" w:type="pct"/>
            <w:vAlign w:val="center"/>
          </w:tcPr>
          <w:p w14:paraId="544F317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0F89386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0169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26C57E7D">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p>
        </w:tc>
        <w:tc>
          <w:tcPr>
            <w:tcW w:w="977" w:type="pct"/>
            <w:vMerge w:val="continue"/>
            <w:vAlign w:val="center"/>
          </w:tcPr>
          <w:p w14:paraId="0DA931B2">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p>
        </w:tc>
        <w:tc>
          <w:tcPr>
            <w:tcW w:w="3556" w:type="pct"/>
            <w:vAlign w:val="center"/>
          </w:tcPr>
          <w:p w14:paraId="60E879E7">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确定成交供应商：</w:t>
            </w:r>
          </w:p>
          <w:p w14:paraId="68B719E9">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ascii="宋体" w:hAnsi="宋体" w:eastAsia="宋体" w:cs="宋体"/>
                <w:b w:val="0"/>
                <w:bCs/>
                <w:color w:val="auto"/>
                <w:sz w:val="24"/>
                <w:szCs w:val="24"/>
                <w:highlight w:val="none"/>
                <w:lang w:val="en-US" w:eastAsia="zh-CN"/>
              </w:rPr>
              <w:t>□</w:t>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2415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21747E5">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3CE5E4B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随成交结果公告同时公告的内容</w:t>
            </w:r>
          </w:p>
        </w:tc>
        <w:tc>
          <w:tcPr>
            <w:tcW w:w="3556" w:type="pct"/>
            <w:vAlign w:val="center"/>
          </w:tcPr>
          <w:p w14:paraId="4A879E41">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2CDFF8A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5F4A8D31">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tc>
      </w:tr>
      <w:tr w14:paraId="0486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1F44EA4">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2D26FAD9">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成交通知书发出的形式</w:t>
            </w:r>
          </w:p>
        </w:tc>
        <w:tc>
          <w:tcPr>
            <w:tcW w:w="3556" w:type="pct"/>
            <w:vAlign w:val="center"/>
          </w:tcPr>
          <w:p w14:paraId="25084741">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Cs/>
                <w:color w:val="auto"/>
                <w:sz w:val="24"/>
                <w:szCs w:val="28"/>
                <w:highlight w:val="none"/>
                <w:lang w:eastAsia="zh-CN"/>
              </w:rPr>
              <w:t>☑</w:t>
            </w:r>
            <w:r>
              <w:rPr>
                <w:rFonts w:hint="eastAsia"/>
                <w:b w:val="0"/>
                <w:color w:val="auto"/>
                <w:sz w:val="24"/>
                <w:highlight w:val="none"/>
              </w:rPr>
              <w:t>数据电文</w:t>
            </w:r>
          </w:p>
        </w:tc>
      </w:tr>
      <w:tr w14:paraId="2311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C603ECA">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13E37F5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告知磋商结果的形式</w:t>
            </w:r>
          </w:p>
        </w:tc>
        <w:tc>
          <w:tcPr>
            <w:tcW w:w="3556" w:type="pct"/>
            <w:vAlign w:val="center"/>
          </w:tcPr>
          <w:p w14:paraId="0E0B8603">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bCs w:val="0"/>
                <w:color w:val="auto"/>
                <w:sz w:val="24"/>
                <w:szCs w:val="24"/>
                <w:highlight w:val="none"/>
              </w:rPr>
            </w:pPr>
            <w:r>
              <w:rPr>
                <w:rFonts w:hint="eastAsia"/>
                <w:bCs/>
                <w:color w:val="auto"/>
                <w:sz w:val="24"/>
                <w:szCs w:val="28"/>
                <w:highlight w:val="none"/>
                <w:lang w:eastAsia="zh-CN"/>
              </w:rPr>
              <w:t>☑</w:t>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47FBA002">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color w:val="auto"/>
                <w:sz w:val="24"/>
                <w:highlight w:val="none"/>
              </w:rPr>
            </w:pPr>
            <w:r>
              <w:rPr>
                <w:rFonts w:hint="eastAsia"/>
                <w:b w:val="0"/>
                <w:color w:val="auto"/>
                <w:sz w:val="24"/>
                <w:highlight w:val="none"/>
              </w:rPr>
              <w:t>□磋商现场告知</w:t>
            </w:r>
          </w:p>
        </w:tc>
      </w:tr>
      <w:tr w14:paraId="62EC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0E37DDD">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7C7D7CF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履约保证金</w:t>
            </w:r>
          </w:p>
        </w:tc>
        <w:tc>
          <w:tcPr>
            <w:tcW w:w="3556" w:type="pct"/>
          </w:tcPr>
          <w:p w14:paraId="05D0B7AF">
            <w:pPr>
              <w:keepNext w:val="0"/>
              <w:keepLines w:val="0"/>
              <w:pageBreakBefore w:val="0"/>
              <w:kinsoku/>
              <w:wordWrap/>
              <w:overflowPunct/>
              <w:topLinePunct w:val="0"/>
              <w:autoSpaceDE/>
              <w:autoSpaceDN/>
              <w:bidi w:val="0"/>
              <w:adjustRightInd/>
              <w:snapToGrid/>
              <w:spacing w:line="360" w:lineRule="auto"/>
              <w:textAlignment w:val="auto"/>
              <w:rPr>
                <w:bCs/>
                <w:color w:val="auto"/>
                <w:sz w:val="24"/>
                <w:szCs w:val="28"/>
                <w:highlight w:val="none"/>
              </w:rPr>
            </w:pPr>
            <w:r>
              <w:rPr>
                <w:rFonts w:hint="eastAsia"/>
                <w:bCs/>
                <w:color w:val="auto"/>
                <w:sz w:val="24"/>
                <w:szCs w:val="28"/>
                <w:highlight w:val="none"/>
              </w:rPr>
              <w:t>（1）金额：</w:t>
            </w:r>
          </w:p>
          <w:p w14:paraId="59B47E08">
            <w:pPr>
              <w:keepNext w:val="0"/>
              <w:keepLines w:val="0"/>
              <w:pageBreakBefore w:val="0"/>
              <w:kinsoku/>
              <w:wordWrap/>
              <w:overflowPunct/>
              <w:topLinePunct w:val="0"/>
              <w:autoSpaceDE/>
              <w:autoSpaceDN/>
              <w:bidi w:val="0"/>
              <w:adjustRightInd/>
              <w:snapToGrid/>
              <w:spacing w:line="360" w:lineRule="auto"/>
              <w:textAlignment w:val="auto"/>
              <w:rPr>
                <w:bCs/>
                <w:color w:val="auto"/>
                <w:sz w:val="24"/>
                <w:szCs w:val="28"/>
                <w:highlight w:val="none"/>
              </w:rPr>
            </w:pPr>
            <w:r>
              <w:rPr>
                <w:bCs/>
                <w:color w:val="auto"/>
                <w:sz w:val="24"/>
                <w:szCs w:val="28"/>
                <w:highlight w:val="none"/>
              </w:rPr>
              <w:t>□</w:t>
            </w:r>
            <w:r>
              <w:rPr>
                <w:rFonts w:hint="eastAsia"/>
                <w:bCs/>
                <w:color w:val="auto"/>
                <w:sz w:val="24"/>
                <w:szCs w:val="28"/>
                <w:highlight w:val="none"/>
              </w:rPr>
              <w:t>免收</w:t>
            </w:r>
          </w:p>
          <w:p w14:paraId="7F260C99">
            <w:pPr>
              <w:keepNext w:val="0"/>
              <w:keepLines w:val="0"/>
              <w:pageBreakBefore w:val="0"/>
              <w:kinsoku/>
              <w:wordWrap/>
              <w:overflowPunct/>
              <w:topLinePunct w:val="0"/>
              <w:autoSpaceDE/>
              <w:autoSpaceDN/>
              <w:bidi w:val="0"/>
              <w:adjustRightInd/>
              <w:snapToGrid/>
              <w:spacing w:line="360" w:lineRule="auto"/>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合同价的</w:t>
            </w:r>
            <w:r>
              <w:rPr>
                <w:rFonts w:hint="eastAsia"/>
                <w:bCs/>
                <w:color w:val="auto"/>
                <w:sz w:val="24"/>
                <w:szCs w:val="28"/>
                <w:highlight w:val="none"/>
                <w:u w:val="single"/>
                <w:lang w:val="en-US" w:eastAsia="zh-CN"/>
              </w:rPr>
              <w:t>2</w:t>
            </w:r>
            <w:r>
              <w:rPr>
                <w:bCs/>
                <w:color w:val="auto"/>
                <w:sz w:val="24"/>
                <w:szCs w:val="28"/>
                <w:highlight w:val="none"/>
              </w:rPr>
              <w:t>%</w:t>
            </w:r>
          </w:p>
          <w:p w14:paraId="1D90464A">
            <w:pPr>
              <w:keepNext w:val="0"/>
              <w:keepLines w:val="0"/>
              <w:pageBreakBefore w:val="0"/>
              <w:kinsoku/>
              <w:wordWrap/>
              <w:overflowPunct/>
              <w:topLinePunct w:val="0"/>
              <w:autoSpaceDE/>
              <w:autoSpaceDN/>
              <w:bidi w:val="0"/>
              <w:adjustRightInd/>
              <w:snapToGrid/>
              <w:spacing w:line="360" w:lineRule="auto"/>
              <w:textAlignment w:val="auto"/>
              <w:rPr>
                <w:bCs/>
                <w:color w:val="auto"/>
                <w:sz w:val="24"/>
                <w:szCs w:val="28"/>
                <w:highlight w:val="none"/>
              </w:rPr>
            </w:pPr>
            <w:r>
              <w:rPr>
                <w:bCs/>
                <w:color w:val="auto"/>
                <w:sz w:val="24"/>
                <w:szCs w:val="28"/>
                <w:highlight w:val="none"/>
              </w:rPr>
              <w:t>□</w:t>
            </w:r>
            <w:r>
              <w:rPr>
                <w:rFonts w:hint="eastAsia"/>
                <w:bCs/>
                <w:color w:val="auto"/>
                <w:sz w:val="24"/>
                <w:szCs w:val="28"/>
                <w:highlight w:val="none"/>
              </w:rPr>
              <w:t>定额收取：人民币</w:t>
            </w:r>
            <w:r>
              <w:rPr>
                <w:rFonts w:hint="eastAsia"/>
                <w:bCs/>
                <w:color w:val="auto"/>
                <w:sz w:val="24"/>
                <w:szCs w:val="28"/>
                <w:highlight w:val="none"/>
                <w:u w:val="single"/>
              </w:rPr>
              <w:t xml:space="preserve">              </w:t>
            </w:r>
            <w:r>
              <w:rPr>
                <w:rFonts w:hint="eastAsia"/>
                <w:bCs/>
                <w:color w:val="auto"/>
                <w:sz w:val="24"/>
                <w:szCs w:val="28"/>
                <w:highlight w:val="none"/>
              </w:rPr>
              <w:t>元</w:t>
            </w:r>
          </w:p>
          <w:p w14:paraId="6B9144CC">
            <w:pPr>
              <w:keepNext w:val="0"/>
              <w:keepLines w:val="0"/>
              <w:pageBreakBefore w:val="0"/>
              <w:kinsoku/>
              <w:wordWrap/>
              <w:overflowPunct/>
              <w:topLinePunct w:val="0"/>
              <w:autoSpaceDE/>
              <w:autoSpaceDN/>
              <w:bidi w:val="0"/>
              <w:adjustRightInd/>
              <w:snapToGrid/>
              <w:spacing w:line="360" w:lineRule="auto"/>
              <w:textAlignment w:val="auto"/>
              <w:rPr>
                <w:bCs/>
                <w:color w:val="auto"/>
                <w:sz w:val="24"/>
                <w:szCs w:val="28"/>
                <w:highlight w:val="none"/>
              </w:rPr>
            </w:pPr>
            <w:r>
              <w:rPr>
                <w:rFonts w:hint="eastAsia"/>
                <w:bCs/>
                <w:color w:val="auto"/>
                <w:sz w:val="24"/>
                <w:szCs w:val="28"/>
                <w:highlight w:val="none"/>
              </w:rPr>
              <w:t>（2）支付方式：</w:t>
            </w:r>
          </w:p>
          <w:p w14:paraId="6815A1FD">
            <w:pPr>
              <w:keepNext w:val="0"/>
              <w:keepLines w:val="0"/>
              <w:pageBreakBefore w:val="0"/>
              <w:kinsoku/>
              <w:wordWrap/>
              <w:overflowPunct/>
              <w:topLinePunct w:val="0"/>
              <w:autoSpaceDE/>
              <w:autoSpaceDN/>
              <w:bidi w:val="0"/>
              <w:adjustRightInd/>
              <w:snapToGrid/>
              <w:spacing w:line="360" w:lineRule="auto"/>
              <w:textAlignment w:val="auto"/>
              <w:rPr>
                <w:bCs/>
                <w:color w:val="auto"/>
                <w:sz w:val="24"/>
                <w:szCs w:val="28"/>
                <w:highlight w:val="none"/>
              </w:rPr>
            </w:pPr>
            <w:r>
              <w:rPr>
                <w:rFonts w:hint="eastAsia"/>
                <w:bCs/>
                <w:color w:val="auto"/>
                <w:sz w:val="24"/>
                <w:szCs w:val="28"/>
                <w:highlight w:val="none"/>
                <w:lang w:eastAsia="zh-CN"/>
              </w:rPr>
              <w:t>☑</w:t>
            </w:r>
            <w:r>
              <w:rPr>
                <w:bCs/>
                <w:color w:val="auto"/>
                <w:sz w:val="24"/>
                <w:szCs w:val="28"/>
                <w:highlight w:val="none"/>
              </w:rPr>
              <w:t>转账/电汇</w:t>
            </w:r>
            <w:r>
              <w:rPr>
                <w:rFonts w:hint="eastAsia"/>
                <w:bCs/>
                <w:color w:val="auto"/>
                <w:sz w:val="24"/>
                <w:szCs w:val="28"/>
                <w:highlight w:val="none"/>
              </w:rPr>
              <w:t xml:space="preserve"> </w:t>
            </w:r>
            <w:r>
              <w:rPr>
                <w:rFonts w:hint="eastAsia"/>
                <w:bCs/>
                <w:color w:val="auto"/>
                <w:sz w:val="24"/>
                <w:szCs w:val="28"/>
                <w:highlight w:val="none"/>
                <w:lang w:eastAsia="zh-CN"/>
              </w:rPr>
              <w:t>☑</w:t>
            </w:r>
            <w:r>
              <w:rPr>
                <w:bCs/>
                <w:color w:val="auto"/>
                <w:sz w:val="24"/>
                <w:szCs w:val="28"/>
                <w:highlight w:val="none"/>
              </w:rPr>
              <w:t xml:space="preserve">支票 </w:t>
            </w:r>
            <w:r>
              <w:rPr>
                <w:rFonts w:hint="eastAsia"/>
                <w:bCs/>
                <w:color w:val="auto"/>
                <w:sz w:val="24"/>
                <w:szCs w:val="28"/>
                <w:highlight w:val="none"/>
                <w:lang w:eastAsia="zh-CN"/>
              </w:rPr>
              <w:t>☑</w:t>
            </w:r>
            <w:r>
              <w:rPr>
                <w:bCs/>
                <w:color w:val="auto"/>
                <w:sz w:val="24"/>
                <w:szCs w:val="28"/>
                <w:highlight w:val="none"/>
              </w:rPr>
              <w:t>汇票</w:t>
            </w:r>
            <w:r>
              <w:rPr>
                <w:rFonts w:hint="eastAsia"/>
                <w:bCs/>
                <w:color w:val="auto"/>
                <w:sz w:val="24"/>
                <w:szCs w:val="28"/>
                <w:highlight w:val="none"/>
              </w:rPr>
              <w:t xml:space="preserve"> </w:t>
            </w:r>
            <w:r>
              <w:rPr>
                <w:rFonts w:hint="eastAsia"/>
                <w:bCs/>
                <w:color w:val="auto"/>
                <w:sz w:val="24"/>
                <w:szCs w:val="28"/>
                <w:highlight w:val="none"/>
                <w:lang w:eastAsia="zh-CN"/>
              </w:rPr>
              <w:t>☑</w:t>
            </w:r>
            <w:r>
              <w:rPr>
                <w:rFonts w:hint="eastAsia"/>
                <w:bCs/>
                <w:color w:val="auto"/>
                <w:sz w:val="24"/>
                <w:szCs w:val="28"/>
                <w:highlight w:val="none"/>
              </w:rPr>
              <w:t xml:space="preserve">本票 </w:t>
            </w:r>
            <w:r>
              <w:rPr>
                <w:rFonts w:hint="eastAsia"/>
                <w:bCs/>
                <w:color w:val="auto"/>
                <w:sz w:val="24"/>
                <w:szCs w:val="28"/>
                <w:highlight w:val="none"/>
                <w:lang w:eastAsia="zh-CN"/>
              </w:rPr>
              <w:t>☑</w:t>
            </w:r>
            <w:r>
              <w:rPr>
                <w:bCs/>
                <w:color w:val="auto"/>
                <w:sz w:val="24"/>
                <w:szCs w:val="28"/>
                <w:highlight w:val="none"/>
              </w:rPr>
              <w:t>保</w:t>
            </w:r>
            <w:r>
              <w:rPr>
                <w:rFonts w:hint="eastAsia"/>
                <w:bCs/>
                <w:color w:val="auto"/>
                <w:sz w:val="24"/>
                <w:szCs w:val="28"/>
                <w:highlight w:val="none"/>
              </w:rPr>
              <w:t xml:space="preserve">险 </w:t>
            </w:r>
            <w:r>
              <w:rPr>
                <w:rFonts w:hint="eastAsia"/>
                <w:bCs/>
                <w:color w:val="auto"/>
                <w:sz w:val="24"/>
                <w:szCs w:val="28"/>
                <w:highlight w:val="none"/>
                <w:lang w:eastAsia="zh-CN"/>
              </w:rPr>
              <w:t>☑</w:t>
            </w:r>
            <w:r>
              <w:rPr>
                <w:rFonts w:hint="eastAsia"/>
                <w:bCs/>
                <w:color w:val="auto"/>
                <w:sz w:val="24"/>
                <w:szCs w:val="28"/>
                <w:highlight w:val="none"/>
              </w:rPr>
              <w:t>保</w:t>
            </w:r>
            <w:r>
              <w:rPr>
                <w:bCs/>
                <w:color w:val="auto"/>
                <w:sz w:val="24"/>
                <w:szCs w:val="28"/>
                <w:highlight w:val="none"/>
              </w:rPr>
              <w:t>函</w:t>
            </w:r>
          </w:p>
          <w:p w14:paraId="4785D6E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另行通知</w:t>
            </w:r>
          </w:p>
          <w:p w14:paraId="31D7AE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另行通知</w:t>
            </w:r>
          </w:p>
          <w:p w14:paraId="573D1C6B">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①采用银行转账方式：工程竣工验收合格后，一次性退还；②采用支票、汇票、本票、保函等方式：有效期为自合同签订之日起至工程竣工验收合格后止。</w:t>
            </w:r>
          </w:p>
          <w:p w14:paraId="0EDDFD00">
            <w:pPr>
              <w:keepNext w:val="0"/>
              <w:keepLines w:val="0"/>
              <w:pageBreakBefore w:val="0"/>
              <w:kinsoku/>
              <w:wordWrap/>
              <w:overflowPunct/>
              <w:topLinePunct w:val="0"/>
              <w:autoSpaceDE/>
              <w:autoSpaceDN/>
              <w:bidi w:val="0"/>
              <w:adjustRightInd/>
              <w:snapToGrid/>
              <w:spacing w:line="360" w:lineRule="auto"/>
              <w:textAlignment w:val="auto"/>
              <w:rPr>
                <w:b/>
                <w:bCs/>
                <w:color w:val="auto"/>
                <w:sz w:val="24"/>
                <w:szCs w:val="24"/>
                <w:highlight w:val="none"/>
              </w:rPr>
            </w:pPr>
            <w:r>
              <w:rPr>
                <w:rFonts w:hint="eastAsia"/>
                <w:b/>
                <w:bCs/>
                <w:color w:val="auto"/>
                <w:sz w:val="24"/>
                <w:szCs w:val="24"/>
                <w:highlight w:val="none"/>
              </w:rPr>
              <w:t>注意事项：</w:t>
            </w:r>
          </w:p>
          <w:p w14:paraId="059ADC59">
            <w:pPr>
              <w:keepNext w:val="0"/>
              <w:keepLines w:val="0"/>
              <w:pageBreakBefore w:val="0"/>
              <w:kinsoku/>
              <w:wordWrap/>
              <w:overflowPunct/>
              <w:topLinePunct w:val="0"/>
              <w:autoSpaceDE/>
              <w:autoSpaceDN/>
              <w:bidi w:val="0"/>
              <w:adjustRightInd/>
              <w:snapToGrid/>
              <w:spacing w:line="360" w:lineRule="auto"/>
              <w:textAlignment w:val="auto"/>
              <w:rPr>
                <w:b/>
                <w:bCs/>
                <w:color w:val="auto"/>
                <w:sz w:val="24"/>
                <w:szCs w:val="24"/>
                <w:highlight w:val="none"/>
              </w:rPr>
            </w:pPr>
            <w:r>
              <w:rPr>
                <w:rFonts w:hint="eastAsia"/>
                <w:b/>
                <w:bCs/>
                <w:color w:val="auto"/>
                <w:sz w:val="24"/>
                <w:szCs w:val="24"/>
                <w:highlight w:val="none"/>
              </w:rPr>
              <w:t>（1）以上各类机构出具的以担保函、保证保险承担责任的方式均须满足无条件见索即付条件。</w:t>
            </w:r>
          </w:p>
          <w:p w14:paraId="0D6A930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bCs w:val="0"/>
                <w:color w:val="auto"/>
                <w:sz w:val="24"/>
                <w:szCs w:val="24"/>
                <w:highlight w:val="none"/>
              </w:rPr>
              <w:t>（2）以担保函、保证保险形式缴纳履约保证金的，受益人和收取单位须为采购人。</w:t>
            </w:r>
          </w:p>
        </w:tc>
      </w:tr>
      <w:tr w14:paraId="6B34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C1DBB4A">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7AD46716">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6" w:type="pct"/>
            <w:vAlign w:val="center"/>
          </w:tcPr>
          <w:p w14:paraId="28A9F8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cs="宋体"/>
                <w:b w:val="0"/>
                <w:bCs/>
                <w:color w:val="auto"/>
                <w:sz w:val="24"/>
                <w:szCs w:val="24"/>
                <w:highlight w:val="none"/>
                <w:lang w:val="en-US" w:eastAsia="zh-CN"/>
              </w:rPr>
              <w:t>□</w:t>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w:t>
            </w:r>
            <w:r>
              <w:rPr>
                <w:rFonts w:hint="eastAsia"/>
                <w:bCs/>
                <w:color w:val="auto"/>
                <w:kern w:val="0"/>
                <w:sz w:val="24"/>
                <w:szCs w:val="28"/>
                <w:highlight w:val="none"/>
                <w:lang w:val="en-US" w:eastAsia="zh-CN"/>
              </w:rPr>
              <w:t>成交供应商</w:t>
            </w:r>
          </w:p>
          <w:p w14:paraId="7789E3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color="auto"/>
              </w:rPr>
              <w:t>中标人在领取中标通知书时一次性支付给代理机构</w:t>
            </w:r>
          </w:p>
          <w:p w14:paraId="30C52A2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宋体"/>
                <w:b w:val="0"/>
                <w:bCs w:val="0"/>
                <w:color w:val="auto"/>
                <w:sz w:val="24"/>
                <w:szCs w:val="24"/>
                <w:highlight w:val="none"/>
                <w:u w:val="single" w:color="auto"/>
                <w:lang w:val="en-US" w:eastAsia="zh-CN"/>
              </w:rPr>
              <w:t>15150.00</w:t>
            </w:r>
            <w:r>
              <w:rPr>
                <w:rFonts w:hint="eastAsia" w:ascii="宋体" w:hAnsi="宋体" w:eastAsia="宋体" w:cs="宋体"/>
                <w:b w:val="0"/>
                <w:bCs w:val="0"/>
                <w:color w:val="auto"/>
                <w:sz w:val="24"/>
                <w:szCs w:val="24"/>
                <w:highlight w:val="none"/>
                <w:u w:val="single" w:color="auto"/>
              </w:rPr>
              <w:t>元</w:t>
            </w:r>
            <w:r>
              <w:rPr>
                <w:rFonts w:hint="eastAsia" w:ascii="宋体" w:hAnsi="宋体" w:eastAsia="宋体" w:cs="宋体"/>
                <w:b w:val="0"/>
                <w:bCs w:val="0"/>
                <w:sz w:val="24"/>
                <w:szCs w:val="24"/>
                <w:highlight w:val="none"/>
                <w:u w:val="single" w:color="auto"/>
              </w:rPr>
              <w:t>；按照滁公管综〔2023〕19号文《关于进一步明确代理费计取标准的通知》执行</w:t>
            </w:r>
          </w:p>
        </w:tc>
      </w:tr>
      <w:tr w14:paraId="1383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22DEDEF">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7F829B28">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6" w:type="pct"/>
            <w:vAlign w:val="center"/>
          </w:tcPr>
          <w:p w14:paraId="1852F1A9">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7B03A712">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4B9B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8C1B8C3">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6E3DBFD6">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质疑函递交方式、接收部门、联系电话和通讯地址</w:t>
            </w:r>
          </w:p>
        </w:tc>
        <w:tc>
          <w:tcPr>
            <w:tcW w:w="3556" w:type="pct"/>
            <w:vAlign w:val="center"/>
          </w:tcPr>
          <w:p w14:paraId="14E94F1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s="宋体"/>
                <w:b w:val="0"/>
                <w:bCs w:val="0"/>
                <w:color w:val="auto"/>
                <w:kern w:val="0"/>
                <w:sz w:val="24"/>
                <w:szCs w:val="28"/>
                <w:highlight w:val="none"/>
                <w:u w:val="single"/>
              </w:rPr>
              <w:t>如</w:t>
            </w:r>
            <w:r>
              <w:rPr>
                <w:rFonts w:hint="eastAsia" w:ascii="宋体" w:hAnsi="宋体" w:eastAsia="宋体" w:cs="宋体"/>
                <w:b w:val="0"/>
                <w:bCs w:val="0"/>
                <w:color w:val="auto"/>
                <w:kern w:val="0"/>
                <w:sz w:val="24"/>
                <w:szCs w:val="28"/>
                <w:highlight w:val="none"/>
                <w:u w:val="single"/>
                <w:lang w:val="en-US" w:eastAsia="zh-CN"/>
              </w:rPr>
              <w:t>供应商</w:t>
            </w:r>
            <w:r>
              <w:rPr>
                <w:rFonts w:hint="eastAsia" w:ascii="宋体" w:hAnsi="宋体" w:eastAsia="宋体" w:cs="宋体"/>
                <w:b w:val="0"/>
                <w:bCs w:val="0"/>
                <w:color w:val="auto"/>
                <w:kern w:val="0"/>
                <w:sz w:val="24"/>
                <w:szCs w:val="28"/>
                <w:highlight w:val="none"/>
                <w:u w:val="single"/>
              </w:rPr>
              <w:t>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2BE75A88">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cs="宋体"/>
                <w:b w:val="0"/>
                <w:bCs/>
                <w:color w:val="auto"/>
                <w:kern w:val="0"/>
                <w:sz w:val="24"/>
                <w:szCs w:val="28"/>
                <w:highlight w:val="none"/>
                <w:u w:val="single"/>
                <w:lang w:val="en-US" w:eastAsia="zh-CN"/>
              </w:rPr>
              <w:t>定远县严桥乡人民政府</w:t>
            </w:r>
            <w:r>
              <w:rPr>
                <w:rFonts w:hint="eastAsia" w:ascii="宋体" w:hAnsi="宋体" w:eastAsia="宋体" w:cs="宋体"/>
                <w:b w:val="0"/>
                <w:bCs/>
                <w:color w:val="auto"/>
                <w:kern w:val="0"/>
                <w:sz w:val="24"/>
                <w:szCs w:val="28"/>
                <w:highlight w:val="none"/>
                <w:u w:val="single"/>
                <w:lang w:val="en-US" w:eastAsia="zh-CN"/>
              </w:rPr>
              <w:t>、</w:t>
            </w:r>
            <w:r>
              <w:rPr>
                <w:rFonts w:hint="eastAsia" w:cs="宋体"/>
                <w:b w:val="0"/>
                <w:bCs/>
                <w:color w:val="auto"/>
                <w:kern w:val="0"/>
                <w:sz w:val="24"/>
                <w:szCs w:val="28"/>
                <w:highlight w:val="none"/>
                <w:u w:val="single"/>
                <w:lang w:val="en-US" w:eastAsia="zh-CN"/>
              </w:rPr>
              <w:t>合普项目管理咨询集团有限公司</w:t>
            </w:r>
          </w:p>
          <w:p w14:paraId="18FBB989">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cs="宋体"/>
                <w:b w:val="0"/>
                <w:bCs/>
                <w:color w:val="auto"/>
                <w:kern w:val="0"/>
                <w:sz w:val="24"/>
                <w:szCs w:val="28"/>
                <w:highlight w:val="none"/>
                <w:u w:val="single"/>
                <w:lang w:eastAsia="zh-CN"/>
              </w:rPr>
              <w:t>15955095880</w:t>
            </w:r>
            <w:r>
              <w:rPr>
                <w:rFonts w:hint="eastAsia" w:ascii="宋体" w:hAnsi="宋体" w:eastAsia="宋体" w:cs="宋体"/>
                <w:b w:val="0"/>
                <w:bCs/>
                <w:color w:val="auto"/>
                <w:kern w:val="0"/>
                <w:sz w:val="24"/>
                <w:szCs w:val="28"/>
                <w:highlight w:val="none"/>
                <w:u w:val="single"/>
                <w:lang w:eastAsia="zh-CN"/>
              </w:rPr>
              <w:t>、</w:t>
            </w:r>
            <w:r>
              <w:rPr>
                <w:rFonts w:hint="eastAsia" w:cs="宋体"/>
                <w:b w:val="0"/>
                <w:bCs/>
                <w:color w:val="auto"/>
                <w:kern w:val="0"/>
                <w:sz w:val="24"/>
                <w:szCs w:val="28"/>
                <w:highlight w:val="none"/>
                <w:u w:val="single"/>
                <w:lang w:val="en-US" w:eastAsia="zh-CN"/>
              </w:rPr>
              <w:t>15155023358</w:t>
            </w:r>
          </w:p>
          <w:p w14:paraId="798AE31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ascii="宋体" w:hAnsi="宋体" w:eastAsia="宋体"/>
                <w:b w:val="0"/>
                <w:color w:val="auto"/>
                <w:sz w:val="24"/>
                <w:highlight w:val="none"/>
              </w:rPr>
              <w:t>通讯</w:t>
            </w:r>
            <w:r>
              <w:rPr>
                <w:rFonts w:hint="eastAsia" w:ascii="宋体" w:hAnsi="宋体" w:eastAsia="宋体"/>
                <w:b w:val="0"/>
                <w:bCs/>
                <w:color w:val="auto"/>
                <w:sz w:val="24"/>
                <w:highlight w:val="none"/>
              </w:rPr>
              <w:t>地址：</w:t>
            </w:r>
            <w:r>
              <w:rPr>
                <w:rFonts w:hint="eastAsia"/>
                <w:b w:val="0"/>
                <w:bCs/>
                <w:color w:val="auto"/>
                <w:sz w:val="24"/>
                <w:highlight w:val="none"/>
                <w:u w:val="single"/>
                <w:lang w:val="en-US" w:eastAsia="zh-CN"/>
              </w:rPr>
              <w:t>定远县严桥乡街道</w:t>
            </w:r>
            <w:r>
              <w:rPr>
                <w:rFonts w:hint="eastAsia" w:ascii="宋体" w:hAnsi="宋体" w:eastAsia="宋体"/>
                <w:b w:val="0"/>
                <w:bCs/>
                <w:color w:val="auto"/>
                <w:kern w:val="0"/>
                <w:sz w:val="24"/>
                <w:szCs w:val="28"/>
                <w:highlight w:val="none"/>
                <w:u w:val="single"/>
              </w:rPr>
              <w:t>、</w:t>
            </w:r>
            <w:r>
              <w:rPr>
                <w:rFonts w:hint="eastAsia"/>
                <w:b w:val="0"/>
                <w:bCs/>
                <w:color w:val="auto"/>
                <w:kern w:val="0"/>
                <w:sz w:val="24"/>
                <w:szCs w:val="28"/>
                <w:highlight w:val="none"/>
                <w:u w:val="single"/>
                <w:lang w:eastAsia="zh-CN"/>
              </w:rPr>
              <w:t>安徽省滁州市定远县岱山路古城上河坊3栋207室</w:t>
            </w:r>
          </w:p>
        </w:tc>
      </w:tr>
      <w:tr w14:paraId="737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7D1E433">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19E5EA18">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其他内容</w:t>
            </w:r>
          </w:p>
        </w:tc>
        <w:tc>
          <w:tcPr>
            <w:tcW w:w="3556" w:type="pct"/>
            <w:vAlign w:val="center"/>
          </w:tcPr>
          <w:p w14:paraId="5B30062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32A7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1C08D66">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73C76E7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承包方式</w:t>
            </w:r>
          </w:p>
        </w:tc>
        <w:tc>
          <w:tcPr>
            <w:tcW w:w="3556" w:type="pct"/>
            <w:vAlign w:val="center"/>
          </w:tcPr>
          <w:p w14:paraId="12CFBA7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 xml:space="preserve">□施工总承包  □专业承包  </w:t>
            </w:r>
            <w:r>
              <w:rPr>
                <w:rFonts w:hint="eastAsia"/>
                <w:b w:val="0"/>
                <w:color w:val="auto"/>
                <w:sz w:val="24"/>
                <w:highlight w:val="none"/>
                <w:lang w:eastAsia="zh-CN"/>
              </w:rPr>
              <w:t>☑</w:t>
            </w:r>
            <w:r>
              <w:rPr>
                <w:rFonts w:hint="eastAsia"/>
                <w:b w:val="0"/>
                <w:color w:val="auto"/>
                <w:sz w:val="24"/>
                <w:highlight w:val="none"/>
                <w:lang w:val="en-US" w:eastAsia="zh-CN"/>
              </w:rPr>
              <w:t>工程总</w:t>
            </w:r>
            <w:r>
              <w:rPr>
                <w:rFonts w:hint="eastAsia"/>
                <w:b w:val="0"/>
                <w:color w:val="auto"/>
                <w:sz w:val="24"/>
                <w:highlight w:val="none"/>
              </w:rPr>
              <w:t>承包</w:t>
            </w:r>
          </w:p>
        </w:tc>
      </w:tr>
      <w:tr w14:paraId="2CD3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C419162">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65EBF5D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计价方式</w:t>
            </w:r>
          </w:p>
        </w:tc>
        <w:tc>
          <w:tcPr>
            <w:tcW w:w="3556" w:type="pct"/>
            <w:vAlign w:val="center"/>
          </w:tcPr>
          <w:p w14:paraId="5EBF74A9">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□工程量清单综合单价报价法</w:t>
            </w:r>
          </w:p>
          <w:p w14:paraId="11FA17A7">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color w:val="auto"/>
                <w:sz w:val="24"/>
                <w:highlight w:val="none"/>
              </w:rPr>
            </w:pPr>
            <w:r>
              <w:rPr>
                <w:rFonts w:hint="eastAsia"/>
                <w:b w:val="0"/>
                <w:color w:val="auto"/>
                <w:sz w:val="24"/>
                <w:highlight w:val="none"/>
              </w:rPr>
              <w:t>□全费用综合单价报价法</w:t>
            </w:r>
          </w:p>
          <w:p w14:paraId="1F7D74E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color w:val="auto"/>
                <w:sz w:val="24"/>
                <w:highlight w:val="none"/>
              </w:rPr>
            </w:pPr>
            <w:r>
              <w:rPr>
                <w:rFonts w:hint="eastAsia"/>
                <w:b w:val="0"/>
                <w:color w:val="auto"/>
                <w:sz w:val="24"/>
                <w:highlight w:val="none"/>
                <w:lang w:eastAsia="zh-CN"/>
              </w:rPr>
              <w:t>☑</w:t>
            </w:r>
            <w:r>
              <w:rPr>
                <w:rFonts w:hint="eastAsia"/>
                <w:b w:val="0"/>
                <w:color w:val="auto"/>
                <w:sz w:val="24"/>
                <w:highlight w:val="none"/>
                <w:lang w:val="en-US" w:eastAsia="zh-CN"/>
              </w:rPr>
              <w:t>费率报价</w:t>
            </w:r>
            <w:r>
              <w:rPr>
                <w:rFonts w:hint="eastAsia"/>
                <w:b w:val="0"/>
                <w:color w:val="auto"/>
                <w:sz w:val="24"/>
                <w:highlight w:val="none"/>
              </w:rPr>
              <w:t>法</w:t>
            </w:r>
          </w:p>
        </w:tc>
      </w:tr>
      <w:tr w14:paraId="0678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2FEDC59">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5936522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56" w:type="pct"/>
            <w:vAlign w:val="center"/>
          </w:tcPr>
          <w:p w14:paraId="59EBF08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color w:val="auto"/>
                <w:sz w:val="24"/>
                <w:highlight w:val="none"/>
                <w:lang w:val="en-US" w:eastAsia="zh-CN"/>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lang w:val="en-US" w:eastAsia="zh-CN"/>
              </w:rPr>
              <w:t>不高于70个日历天（自合同签订之日至本项目整体竣工验收）</w:t>
            </w:r>
          </w:p>
          <w:p w14:paraId="4AA7098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lang w:val="en-US" w:eastAsia="zh-CN"/>
              </w:rPr>
              <w:t>合同签订后10天内（不含主管部门审批时间）完成本项目全部施工图设计并通过施工图审查；后续各单项工程工期根据项目实施实际需要由招标人及中标人共同确定。招标人对各单项工程进度有特殊要求的，中标人须按照招标人的要求组织该单项工程采购、施工任务，并在招标人审批的进度计划时间内完成项目建设任务。</w:t>
            </w:r>
          </w:p>
          <w:p w14:paraId="0368A462">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b w:val="0"/>
                <w:color w:val="auto"/>
                <w:sz w:val="24"/>
                <w:highlight w:val="none"/>
              </w:rPr>
              <w:t>计划开工日期：</w:t>
            </w:r>
            <w:r>
              <w:rPr>
                <w:rFonts w:hint="eastAsia"/>
                <w:b w:val="0"/>
                <w:color w:val="auto"/>
                <w:sz w:val="24"/>
                <w:highlight w:val="none"/>
                <w:u w:val="single"/>
                <w:lang w:val="en-US" w:eastAsia="zh-CN"/>
              </w:rPr>
              <w:t>/</w:t>
            </w:r>
            <w:r>
              <w:rPr>
                <w:b w:val="0"/>
                <w:color w:val="auto"/>
                <w:sz w:val="24"/>
                <w:highlight w:val="none"/>
              </w:rPr>
              <w:t>年</w:t>
            </w:r>
            <w:r>
              <w:rPr>
                <w:rFonts w:hint="eastAsia"/>
                <w:b w:val="0"/>
                <w:color w:val="auto"/>
                <w:sz w:val="24"/>
                <w:highlight w:val="none"/>
                <w:u w:val="single"/>
                <w:lang w:val="en-US" w:eastAsia="zh-CN"/>
              </w:rPr>
              <w:t>/</w:t>
            </w:r>
            <w:r>
              <w:rPr>
                <w:b w:val="0"/>
                <w:color w:val="auto"/>
                <w:sz w:val="24"/>
                <w:highlight w:val="none"/>
              </w:rPr>
              <w:t>月</w:t>
            </w:r>
            <w:r>
              <w:rPr>
                <w:rFonts w:hint="eastAsia"/>
                <w:b w:val="0"/>
                <w:color w:val="auto"/>
                <w:sz w:val="24"/>
                <w:highlight w:val="none"/>
                <w:u w:val="single"/>
                <w:lang w:val="en-US" w:eastAsia="zh-CN"/>
              </w:rPr>
              <w:t>/</w:t>
            </w:r>
            <w:r>
              <w:rPr>
                <w:b w:val="0"/>
                <w:color w:val="auto"/>
                <w:sz w:val="24"/>
                <w:highlight w:val="none"/>
              </w:rPr>
              <w:t>日</w:t>
            </w:r>
            <w:r>
              <w:rPr>
                <w:rFonts w:hint="eastAsia"/>
                <w:b w:val="0"/>
                <w:color w:val="auto"/>
                <w:sz w:val="24"/>
                <w:highlight w:val="none"/>
              </w:rPr>
              <w:t>，</w:t>
            </w:r>
            <w:bookmarkStart w:id="32" w:name="EB2a2e1a22d449405a860670c095486ab8"/>
            <w:r>
              <w:rPr>
                <w:rFonts w:hint="eastAsia"/>
                <w:b w:val="0"/>
                <w:color w:val="auto"/>
                <w:sz w:val="24"/>
                <w:highlight w:val="none"/>
              </w:rPr>
              <w:t>具体开工时间以开工令为准。</w:t>
            </w:r>
            <w:bookmarkEnd w:id="32"/>
          </w:p>
        </w:tc>
      </w:tr>
      <w:tr w14:paraId="2E6C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6144A8D">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080FDBF9">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质量标准要求</w:t>
            </w:r>
          </w:p>
        </w:tc>
        <w:tc>
          <w:tcPr>
            <w:tcW w:w="3556" w:type="pct"/>
            <w:vAlign w:val="center"/>
          </w:tcPr>
          <w:p w14:paraId="1529E879">
            <w:pPr>
              <w:pStyle w:val="102"/>
              <w:keepNext w:val="0"/>
              <w:keepLines w:val="0"/>
              <w:pageBreakBefore w:val="0"/>
              <w:tabs>
                <w:tab w:val="left" w:pos="1152"/>
              </w:tabs>
              <w:kinsoku/>
              <w:wordWrap/>
              <w:overflowPunct/>
              <w:topLinePunct w:val="0"/>
              <w:autoSpaceDE/>
              <w:autoSpaceDN/>
              <w:bidi w:val="0"/>
              <w:adjustRightInd/>
              <w:snapToGrid/>
              <w:spacing w:before="0" w:beforeAutospacing="0" w:after="0" w:afterAutospacing="0" w:line="360" w:lineRule="auto"/>
              <w:textAlignment w:val="auto"/>
              <w:rPr>
                <w:rFonts w:hint="eastAsia"/>
                <w:b/>
                <w:color w:val="auto"/>
                <w:highlight w:val="none"/>
              </w:rPr>
            </w:pPr>
            <w:r>
              <w:rPr>
                <w:rFonts w:hint="eastAsia"/>
                <w:b/>
                <w:color w:val="auto"/>
                <w:highlight w:val="none"/>
              </w:rPr>
              <w:t>1、设计要求的质量标准：满足国家及地方的相关法律法规以及技术规范、标准、规程要求，符合总体规划要求，设计成果通过政府相关部门及招标人委托的第三方机构的审查，达到施工深度要求。</w:t>
            </w:r>
          </w:p>
          <w:p w14:paraId="757C647E">
            <w:pPr>
              <w:pStyle w:val="102"/>
              <w:keepNext w:val="0"/>
              <w:keepLines w:val="0"/>
              <w:pageBreakBefore w:val="0"/>
              <w:tabs>
                <w:tab w:val="left" w:pos="1152"/>
              </w:tabs>
              <w:kinsoku/>
              <w:wordWrap/>
              <w:overflowPunct/>
              <w:topLinePunct w:val="0"/>
              <w:autoSpaceDE/>
              <w:autoSpaceDN/>
              <w:bidi w:val="0"/>
              <w:adjustRightInd/>
              <w:snapToGrid/>
              <w:spacing w:before="0" w:beforeAutospacing="0" w:after="0" w:afterAutospacing="0" w:line="360" w:lineRule="auto"/>
              <w:textAlignment w:val="auto"/>
              <w:rPr>
                <w:b/>
                <w:color w:val="auto"/>
                <w:highlight w:val="none"/>
              </w:rPr>
            </w:pPr>
            <w:r>
              <w:rPr>
                <w:rFonts w:hint="eastAsia"/>
                <w:b/>
                <w:color w:val="auto"/>
                <w:highlight w:val="none"/>
              </w:rPr>
              <w:t>2、施工要求的质量标准：满足国家及地方的相关法律法规以及相关规范要求，通过主管部门验收。</w:t>
            </w:r>
          </w:p>
        </w:tc>
      </w:tr>
      <w:tr w14:paraId="68C5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C113B59">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1ABB74F7">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安全文明要求</w:t>
            </w:r>
          </w:p>
        </w:tc>
        <w:tc>
          <w:tcPr>
            <w:tcW w:w="3556" w:type="pct"/>
            <w:vAlign w:val="center"/>
          </w:tcPr>
          <w:p w14:paraId="523FF7A9">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1DF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DBC5EF5">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2C2CDA5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总包及分包规定</w:t>
            </w:r>
          </w:p>
        </w:tc>
        <w:tc>
          <w:tcPr>
            <w:tcW w:w="3556" w:type="pct"/>
            <w:vAlign w:val="center"/>
          </w:tcPr>
          <w:p w14:paraId="7CD1289A">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662C3550">
            <w:pPr>
              <w:keepNext w:val="0"/>
              <w:keepLines w:val="0"/>
              <w:pageBreakBefore w:val="0"/>
              <w:kinsoku/>
              <w:wordWrap/>
              <w:overflowPunct/>
              <w:topLinePunct w:val="0"/>
              <w:autoSpaceDE/>
              <w:autoSpaceDN/>
              <w:bidi w:val="0"/>
              <w:adjustRightInd/>
              <w:snapToGrid/>
              <w:spacing w:line="360" w:lineRule="auto"/>
              <w:jc w:val="left"/>
              <w:textAlignment w:val="auto"/>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0FE6486E">
            <w:pPr>
              <w:keepNext w:val="0"/>
              <w:keepLines w:val="0"/>
              <w:pageBreakBefore w:val="0"/>
              <w:kinsoku/>
              <w:wordWrap/>
              <w:overflowPunct/>
              <w:topLinePunct w:val="0"/>
              <w:autoSpaceDE/>
              <w:autoSpaceDN/>
              <w:bidi w:val="0"/>
              <w:adjustRightInd/>
              <w:snapToGrid/>
              <w:spacing w:line="360" w:lineRule="auto"/>
              <w:jc w:val="left"/>
              <w:textAlignment w:val="auto"/>
              <w:rPr>
                <w:rFonts w:cs="Times New Roman"/>
                <w:b w:val="0"/>
                <w:bCs w:val="0"/>
                <w:color w:val="auto"/>
                <w:kern w:val="2"/>
                <w:sz w:val="24"/>
                <w:szCs w:val="22"/>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4338EFB8">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bCs w:val="0"/>
                <w:color w:val="auto"/>
                <w:sz w:val="24"/>
                <w:highlight w:val="none"/>
              </w:rPr>
            </w:pPr>
            <w:r>
              <w:rPr>
                <w:rFonts w:hint="eastAsia" w:cs="Times New Roman"/>
                <w:b w:val="0"/>
                <w:bCs w:val="0"/>
                <w:color w:val="auto"/>
                <w:kern w:val="2"/>
                <w:sz w:val="24"/>
                <w:szCs w:val="22"/>
                <w:highlight w:val="none"/>
              </w:rPr>
              <w:t>□不允许</w:t>
            </w:r>
          </w:p>
        </w:tc>
      </w:tr>
      <w:tr w14:paraId="56D3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914C857">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73757FE3">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现场条件</w:t>
            </w:r>
          </w:p>
        </w:tc>
        <w:tc>
          <w:tcPr>
            <w:tcW w:w="3556" w:type="pct"/>
            <w:vAlign w:val="center"/>
          </w:tcPr>
          <w:p w14:paraId="4E17E8E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bCs w:val="0"/>
                <w:color w:val="auto"/>
                <w:sz w:val="24"/>
                <w:highlight w:val="none"/>
              </w:rPr>
              <w:t>具备开工条件</w:t>
            </w:r>
          </w:p>
        </w:tc>
      </w:tr>
      <w:tr w14:paraId="7FBC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6307111">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030B59FE">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bCs w:val="0"/>
                <w:color w:val="auto"/>
                <w:sz w:val="24"/>
                <w:highlight w:val="none"/>
              </w:rPr>
              <w:t>采购人提供的资料</w:t>
            </w:r>
          </w:p>
        </w:tc>
        <w:tc>
          <w:tcPr>
            <w:tcW w:w="3556" w:type="pct"/>
            <w:vAlign w:val="center"/>
          </w:tcPr>
          <w:p w14:paraId="08A4998C">
            <w:pPr>
              <w:keepNext w:val="0"/>
              <w:keepLines w:val="0"/>
              <w:pageBreakBefore w:val="0"/>
              <w:kinsoku/>
              <w:wordWrap/>
              <w:overflowPunct/>
              <w:topLinePunct w:val="0"/>
              <w:autoSpaceDE/>
              <w:autoSpaceDN/>
              <w:bidi w:val="0"/>
              <w:adjustRightInd/>
              <w:snapToGrid/>
              <w:spacing w:line="360" w:lineRule="auto"/>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7E4DDFA2">
            <w:pPr>
              <w:keepNext w:val="0"/>
              <w:keepLines w:val="0"/>
              <w:pageBreakBefore w:val="0"/>
              <w:kinsoku/>
              <w:wordWrap/>
              <w:overflowPunct/>
              <w:topLinePunct w:val="0"/>
              <w:autoSpaceDE/>
              <w:autoSpaceDN/>
              <w:bidi w:val="0"/>
              <w:adjustRightInd/>
              <w:snapToGrid/>
              <w:spacing w:line="360" w:lineRule="auto"/>
              <w:jc w:val="left"/>
              <w:textAlignment w:val="auto"/>
              <w:rPr>
                <w:bCs/>
                <w:color w:val="auto"/>
                <w:sz w:val="24"/>
                <w:szCs w:val="28"/>
                <w:highlight w:val="none"/>
              </w:rPr>
            </w:pPr>
            <w:r>
              <w:rPr>
                <w:rFonts w:hint="eastAsia"/>
                <w:bCs/>
                <w:color w:val="auto"/>
                <w:sz w:val="24"/>
                <w:szCs w:val="28"/>
                <w:highlight w:val="none"/>
              </w:rPr>
              <w:t>□工程量清单</w:t>
            </w:r>
          </w:p>
          <w:p w14:paraId="43C3F358">
            <w:pPr>
              <w:keepNext w:val="0"/>
              <w:keepLines w:val="0"/>
              <w:pageBreakBefore w:val="0"/>
              <w:kinsoku/>
              <w:wordWrap/>
              <w:overflowPunct/>
              <w:topLinePunct w:val="0"/>
              <w:autoSpaceDE/>
              <w:autoSpaceDN/>
              <w:bidi w:val="0"/>
              <w:adjustRightInd/>
              <w:snapToGrid/>
              <w:spacing w:line="360" w:lineRule="auto"/>
              <w:jc w:val="left"/>
              <w:textAlignment w:val="auto"/>
              <w:rPr>
                <w:bCs/>
                <w:color w:val="auto"/>
                <w:sz w:val="24"/>
                <w:szCs w:val="28"/>
                <w:highlight w:val="none"/>
              </w:rPr>
            </w:pPr>
            <w:r>
              <w:rPr>
                <w:rFonts w:hint="eastAsia"/>
                <w:bCs/>
                <w:color w:val="auto"/>
                <w:sz w:val="24"/>
                <w:szCs w:val="28"/>
                <w:highlight w:val="none"/>
              </w:rPr>
              <w:t>□最高投标限价</w:t>
            </w:r>
          </w:p>
          <w:p w14:paraId="16D789BE">
            <w:pPr>
              <w:keepNext w:val="0"/>
              <w:keepLines w:val="0"/>
              <w:pageBreakBefore w:val="0"/>
              <w:kinsoku/>
              <w:wordWrap/>
              <w:overflowPunct/>
              <w:topLinePunct w:val="0"/>
              <w:autoSpaceDE/>
              <w:autoSpaceDN/>
              <w:bidi w:val="0"/>
              <w:adjustRightInd/>
              <w:snapToGrid/>
              <w:spacing w:line="360" w:lineRule="auto"/>
              <w:jc w:val="left"/>
              <w:textAlignment w:val="auto"/>
              <w:rPr>
                <w:bCs/>
                <w:color w:val="auto"/>
                <w:sz w:val="24"/>
                <w:szCs w:val="28"/>
                <w:highlight w:val="none"/>
              </w:rPr>
            </w:pPr>
            <w:r>
              <w:rPr>
                <w:rFonts w:hint="eastAsia"/>
                <w:bCs/>
                <w:color w:val="auto"/>
                <w:sz w:val="24"/>
                <w:szCs w:val="28"/>
                <w:highlight w:val="none"/>
              </w:rPr>
              <w:t>□电子版图纸</w:t>
            </w:r>
          </w:p>
          <w:p w14:paraId="520F5025">
            <w:pPr>
              <w:keepNext w:val="0"/>
              <w:keepLines w:val="0"/>
              <w:pageBreakBefore w:val="0"/>
              <w:kinsoku/>
              <w:wordWrap/>
              <w:overflowPunct/>
              <w:topLinePunct w:val="0"/>
              <w:autoSpaceDE/>
              <w:autoSpaceDN/>
              <w:bidi w:val="0"/>
              <w:adjustRightInd/>
              <w:snapToGrid/>
              <w:spacing w:line="360" w:lineRule="auto"/>
              <w:jc w:val="left"/>
              <w:textAlignment w:val="auto"/>
              <w:rPr>
                <w:bCs/>
                <w:color w:val="auto"/>
                <w:sz w:val="24"/>
                <w:szCs w:val="28"/>
                <w:highlight w:val="none"/>
              </w:rPr>
            </w:pPr>
            <w:r>
              <w:rPr>
                <w:rFonts w:hint="eastAsia"/>
                <w:bCs/>
                <w:color w:val="auto"/>
                <w:sz w:val="24"/>
                <w:szCs w:val="28"/>
                <w:highlight w:val="none"/>
              </w:rPr>
              <w:t>获得方式：网上下载</w:t>
            </w:r>
          </w:p>
          <w:p w14:paraId="5168CAC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6148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EE3D8B9">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977" w:type="pct"/>
            <w:vAlign w:val="center"/>
          </w:tcPr>
          <w:p w14:paraId="78D5E55B">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bCs w:val="0"/>
                <w:color w:val="auto"/>
                <w:sz w:val="24"/>
                <w:highlight w:val="none"/>
              </w:rPr>
              <w:t>工程量清单和最高限价编制费</w:t>
            </w:r>
          </w:p>
        </w:tc>
        <w:tc>
          <w:tcPr>
            <w:tcW w:w="3556" w:type="pct"/>
            <w:vAlign w:val="center"/>
          </w:tcPr>
          <w:p w14:paraId="25BB6E32">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highlight w:val="none"/>
                <w:lang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cs="宋体"/>
                <w:sz w:val="24"/>
                <w:szCs w:val="24"/>
                <w:highlight w:val="none"/>
                <w:u w:val="single" w:color="auto"/>
                <w:lang w:val="en-US" w:eastAsia="zh-CN"/>
              </w:rPr>
              <w:t>招标人</w:t>
            </w:r>
          </w:p>
          <w:p w14:paraId="1D80915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lang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cs="宋体"/>
                <w:sz w:val="24"/>
                <w:szCs w:val="24"/>
                <w:highlight w:val="none"/>
                <w:u w:val="single" w:color="auto"/>
                <w:lang w:val="en-US" w:eastAsia="zh-CN"/>
              </w:rPr>
              <w:t>/</w:t>
            </w:r>
          </w:p>
          <w:p w14:paraId="236F9D40">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eastAsia="宋体"/>
                <w:b w:val="0"/>
                <w:color w:val="auto"/>
                <w:sz w:val="24"/>
                <w:highlight w:val="none"/>
                <w:lang w:eastAsia="zh-CN"/>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收费标准：工程量清单及最高限价编制费用按“皖价服[2007]86号”文件的规定计取，计取基数按</w:t>
            </w:r>
            <w:r>
              <w:rPr>
                <w:rFonts w:hint="eastAsia" w:cs="@仿宋_GB2312"/>
                <w:b w:val="0"/>
                <w:bCs/>
                <w:color w:val="auto"/>
                <w:kern w:val="0"/>
                <w:sz w:val="24"/>
                <w:szCs w:val="28"/>
                <w:highlight w:val="none"/>
                <w:lang w:val="en-US" w:eastAsia="zh-CN" w:bidi="ar-SA"/>
              </w:rPr>
              <w:t>390</w:t>
            </w:r>
            <w:r>
              <w:rPr>
                <w:rFonts w:hint="default" w:ascii="宋体" w:hAnsi="宋体" w:eastAsia="宋体" w:cs="@仿宋_GB2312"/>
                <w:b w:val="0"/>
                <w:bCs/>
                <w:color w:val="auto"/>
                <w:kern w:val="0"/>
                <w:sz w:val="24"/>
                <w:szCs w:val="28"/>
                <w:highlight w:val="none"/>
                <w:lang w:val="en-US" w:eastAsia="zh-CN" w:bidi="ar-SA"/>
              </w:rPr>
              <w:t>*（1-中标下浮率）。</w:t>
            </w:r>
          </w:p>
        </w:tc>
      </w:tr>
      <w:tr w14:paraId="1CC0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F6DF7EE">
            <w:pPr>
              <w:pStyle w:val="7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977" w:type="pct"/>
            <w:vAlign w:val="center"/>
          </w:tcPr>
          <w:p w14:paraId="621AA076">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 w:val="0"/>
                <w:color w:val="auto"/>
                <w:sz w:val="24"/>
                <w:highlight w:val="none"/>
              </w:rPr>
            </w:pPr>
            <w:r>
              <w:rPr>
                <w:rFonts w:hint="eastAsia"/>
                <w:b w:val="0"/>
                <w:color w:val="auto"/>
                <w:sz w:val="24"/>
                <w:highlight w:val="none"/>
              </w:rPr>
              <w:t>其他补充说明</w:t>
            </w:r>
          </w:p>
        </w:tc>
        <w:tc>
          <w:tcPr>
            <w:tcW w:w="3556" w:type="pct"/>
            <w:vAlign w:val="center"/>
          </w:tcPr>
          <w:p w14:paraId="6BE2EFE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4245D31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3B684B0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6156961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76604F7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587BDC51">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18512CE4">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7C97F41E">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3" w:name="_Toc18784"/>
      <w:bookmarkStart w:id="34"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33"/>
      <w:bookmarkEnd w:id="34"/>
    </w:p>
    <w:p w14:paraId="0D0D089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16EE3F5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97C789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6B47263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22AC909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2F4B8CC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56F16D0D">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6557DAF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highlight w:val="none"/>
        </w:rPr>
        <w:t>联合体参加磋商的，</w:t>
      </w:r>
      <w:r>
        <w:rPr>
          <w:rFonts w:hint="eastAsia"/>
          <w:b w:val="0"/>
          <w:sz w:val="24"/>
          <w:highlight w:val="none"/>
        </w:rPr>
        <w:t>磋商文件获取</w:t>
      </w:r>
      <w:r>
        <w:rPr>
          <w:b w:val="0"/>
          <w:sz w:val="24"/>
          <w:highlight w:val="none"/>
        </w:rPr>
        <w:t>手续由联合体</w:t>
      </w:r>
      <w:r>
        <w:rPr>
          <w:rFonts w:hint="eastAsia"/>
          <w:b w:val="0"/>
          <w:sz w:val="24"/>
          <w:highlight w:val="none"/>
        </w:rPr>
        <w:t>中</w:t>
      </w:r>
      <w:r>
        <w:rPr>
          <w:b w:val="0"/>
          <w:sz w:val="24"/>
          <w:highlight w:val="none"/>
        </w:rPr>
        <w:t>任一</w:t>
      </w:r>
      <w:r>
        <w:rPr>
          <w:rFonts w:hint="eastAsia"/>
          <w:b w:val="0"/>
          <w:sz w:val="24"/>
          <w:highlight w:val="none"/>
        </w:rPr>
        <w:t>成员单位</w:t>
      </w:r>
      <w:r>
        <w:rPr>
          <w:b w:val="0"/>
          <w:sz w:val="24"/>
          <w:highlight w:val="none"/>
        </w:rPr>
        <w:t>办理均可。</w:t>
      </w:r>
    </w:p>
    <w:p w14:paraId="4A64786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390BC71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4639384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B3E8C5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158CAE1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2B6DD16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6DEDB00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46D19E4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5324B9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15F23A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4E54F728">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659BB45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059D45F6">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1118E0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6F97ACCC">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038AB41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186C379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C7F2D1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3DD5C8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7CFFBD3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B47BE4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2CA3DFC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6923B6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0956F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3328EC3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5F51A3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660EC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5" w:name="_Hlk16458572"/>
      <w:r>
        <w:rPr>
          <w:rFonts w:hint="eastAsia"/>
          <w:color w:val="auto"/>
          <w:sz w:val="24"/>
          <w:szCs w:val="18"/>
          <w:highlight w:val="none"/>
        </w:rPr>
        <w:t>安徽省政府采购网</w:t>
      </w:r>
      <w:bookmarkEnd w:id="35"/>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27B5ACDA">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60DE8413">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562F8C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0DF0E1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BF5EC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732062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957AA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04EC38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265A7696">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6319AED0">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6" w:name="_Hlk11703583"/>
      <w:r>
        <w:rPr>
          <w:rFonts w:hint="eastAsia" w:asciiTheme="minorEastAsia" w:hAnsiTheme="minorEastAsia" w:eastAsiaTheme="minorEastAsia"/>
          <w:color w:val="auto"/>
          <w:sz w:val="24"/>
          <w:highlight w:val="none"/>
        </w:rPr>
        <w:t>。</w:t>
      </w:r>
      <w:bookmarkEnd w:id="36"/>
    </w:p>
    <w:p w14:paraId="479926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40F8E6E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48E48B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4F0008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61D44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933F5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1F75BB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71649E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7230FF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33280B1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B59F4F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BE0F8D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6139D7A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223828B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74BAD7D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20E63112">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367B06F5">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618E067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028E2E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6DC497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109313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A0F2BAB">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660159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7CFB1D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16AF61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1C7301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264BCF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501D96A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5FADDE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BFE9177">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550CE1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55F2EE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56CC3B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290EEB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4B0D4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.4.1为保证磋商活动顺利进行，供应商可派相关技术人员进行网上答疑；</w:t>
      </w:r>
    </w:p>
    <w:p w14:paraId="3F3E76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64D7C42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61341C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18526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D0898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0855D86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1BA8F8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0E4F70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471161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3AB686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4EAF53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5173D4E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17AF0B0D">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DEF3B89">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3BFC4E9F">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5D0771E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694B29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25B2A8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439619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0565136C">
      <w:pPr>
        <w:spacing w:line="360" w:lineRule="auto"/>
        <w:ind w:firstLine="435"/>
        <w:rPr>
          <w:rFonts w:asciiTheme="majorEastAsia" w:hAnsiTheme="majorEastAsia" w:eastAsiaTheme="majorEastAsia"/>
          <w:color w:val="auto"/>
          <w:sz w:val="24"/>
          <w:highlight w:val="none"/>
        </w:rPr>
      </w:pPr>
      <w:bookmarkStart w:id="37"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452AAE93">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2D000104">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7"/>
    </w:p>
    <w:p w14:paraId="3D6202AE">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B98F04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08F4C186">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57A23A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4E0E617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697D3639">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3EF45CBF">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B96D4C9">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18BD3C21">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91285B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76250FC7">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616FA46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0091DB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C1A698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714A9AB8">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6B6C273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3F03D4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DF74C1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E885C89">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72B57F69">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316734AB">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307649B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8207E0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6E37291E">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3CA1D72A">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5F69CC33">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34F59889">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7877053F">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0B141B13">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77B9147D">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17FCFAAD">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F12CE0D">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6705785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6DFC58C6">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6617B1AC">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4C421F30">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16E8F772">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F7F6FF7">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6E5C7B7E">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121DDFD1">
      <w:pPr>
        <w:spacing w:line="360" w:lineRule="auto"/>
        <w:ind w:firstLine="470" w:firstLineChars="196"/>
        <w:rPr>
          <w:color w:val="auto"/>
          <w:sz w:val="24"/>
          <w:highlight w:val="none"/>
        </w:rPr>
      </w:pPr>
      <w:bookmarkStart w:id="38"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8"/>
    </w:p>
    <w:p w14:paraId="55F12B50">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0FF25F02">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03C54133">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4BF6638F">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45390037">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277CF4F0">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6029C7D3">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078D586E">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75A751F">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7E776CDD">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488AE820">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14D78B20">
      <w:pPr>
        <w:spacing w:line="360" w:lineRule="auto"/>
        <w:jc w:val="center"/>
        <w:outlineLvl w:val="0"/>
        <w:rPr>
          <w:rFonts w:asciiTheme="minorEastAsia" w:hAnsiTheme="minorEastAsia" w:eastAsiaTheme="minorEastAsia"/>
          <w:b/>
          <w:color w:val="auto"/>
          <w:sz w:val="28"/>
          <w:highlight w:val="none"/>
        </w:rPr>
      </w:pPr>
      <w:bookmarkStart w:id="39" w:name="_Toc30873"/>
      <w:r>
        <w:rPr>
          <w:rFonts w:hint="eastAsia" w:asciiTheme="minorEastAsia" w:hAnsiTheme="minorEastAsia" w:eastAsiaTheme="minorEastAsia"/>
          <w:b/>
          <w:color w:val="auto"/>
          <w:sz w:val="28"/>
          <w:highlight w:val="none"/>
        </w:rPr>
        <w:t>第三章  采购需求</w:t>
      </w:r>
      <w:bookmarkEnd w:id="39"/>
    </w:p>
    <w:tbl>
      <w:tblPr>
        <w:tblStyle w:val="10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24A8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943F228">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4FDB7303">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1FFD5C4C">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09D5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ACC4A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1F1FD050">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488B1FFE">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项目部管理人员上下班实行考勤，考</w:t>
            </w:r>
            <w:r>
              <w:rPr>
                <w:rFonts w:hint="eastAsia" w:cs="@仿宋_GB2312" w:asciiTheme="minorEastAsia" w:hAnsiTheme="minorEastAsia" w:eastAsiaTheme="minorEastAsia"/>
                <w:color w:val="000000" w:themeColor="text1"/>
                <w:kern w:val="2"/>
                <w:sz w:val="24"/>
                <w:szCs w:val="22"/>
                <w:highlight w:val="none"/>
                <w:lang w:eastAsia="zh-CN"/>
                <w14:textFill>
                  <w14:solidFill>
                    <w14:schemeClr w14:val="tx1"/>
                  </w14:solidFill>
                </w14:textFill>
              </w:rPr>
              <w:t>勤</w:t>
            </w: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由发包人项目组负责，承包人须建立人脸识别系统，每</w:t>
            </w: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月</w:t>
            </w: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在岗时间不得少于22天，施工期间必须保证在岗履责。</w:t>
            </w:r>
          </w:p>
        </w:tc>
      </w:tr>
      <w:tr w14:paraId="3DD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D7C9F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54E948CD">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3FDBCABE">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主要材料由</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rPr>
              <w:t>自行采购</w:t>
            </w:r>
          </w:p>
        </w:tc>
      </w:tr>
      <w:tr w14:paraId="20C1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2AF9D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79B330B1">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3E2531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rPr>
              <w:t>根据项目实际情况自行确定</w:t>
            </w:r>
          </w:p>
        </w:tc>
      </w:tr>
      <w:tr w14:paraId="2A25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C8BEE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09C1096D">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46CD7C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公布的最高限价</w:t>
            </w:r>
            <w:r>
              <w:rPr>
                <w:rFonts w:hint="eastAsia" w:cs="@仿宋_GB2312" w:asciiTheme="minorEastAsia" w:hAnsiTheme="minorEastAsia" w:eastAsiaTheme="minorEastAsia"/>
                <w:color w:val="auto"/>
                <w:kern w:val="2"/>
                <w:sz w:val="24"/>
                <w:szCs w:val="22"/>
                <w:highlight w:val="none"/>
                <w:lang w:val="en-US" w:eastAsia="zh-CN"/>
              </w:rPr>
              <w:t>=390*（1-下浮率）；下浮率=8%，投标人按费率报价不得小于下浮率，否则按无效标处理。</w:t>
            </w:r>
          </w:p>
          <w:p w14:paraId="4AD372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 xml:space="preserve">1.限额设计：设计概算（含工程费用、工程建设其他费等）不得超过 390 万元。投标人的设计概算若超出规定的限额（非承包人原因引起的变更之外），须无条件优化设计，直至符合招标文件的要求；如最终结算价超出限额，将不予调整，仍以限额价结算。 </w:t>
            </w:r>
          </w:p>
          <w:p w14:paraId="01C07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设计费：投标报价中已包含设计费，设计费报价不单列。设计费包括但不限于本项目初步设计优化、施工图设计、各阶段图纸审查（施工图图审、过程评审）、配合竣工图编制以及后续的配合服务且确保满足节能环保要求等；设计主持、管理、指导；设计与施工的协调；配合设计成果报备相关行政主管部门及报批报建等工作，并承担项目全部设计责任。</w:t>
            </w:r>
          </w:p>
          <w:p w14:paraId="711571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3.工程费用：工程费用以《关于发布《安徽省建设工程计价依据动态调整(第1期)》的公告》（安徽省住房和城乡建设厅公告第51号）及相关配套文件为编制依据，采用下浮率方式（最低下浮率为8%）。图审合格后代理（造价咨询）机构编制的双方核对后提交造价管理部门和审计管理部门备案审核审定的最高限价不得高于390*（1-下浮率）万元。</w:t>
            </w:r>
          </w:p>
          <w:p w14:paraId="235E5C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4.签约合同价=（最高限价-暂估价-暂列金-经询价采购或招标方式确定的材料设备价格）*（1-中标下浮率）+暂列金+暂估价+经询价采购或招标方式确定的材料设备价格。</w:t>
            </w:r>
          </w:p>
          <w:p w14:paraId="0B569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注：（1）投标单位所报下浮率不得低于招标人发布的最低下浮率，否则按无效标处理。</w:t>
            </w:r>
          </w:p>
          <w:p w14:paraId="3B6B83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2）最高限价包含采用信息价确定的工程量清单预算和由询价（或招标，具体方式由招标人确定为准）确定的价格两部分。采用信息价确定的价格按中标人报价费率下浮，询价（或招标，具体方式由招标人确定为准）部分不下浮。</w:t>
            </w:r>
          </w:p>
          <w:p w14:paraId="03AD1C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kern w:val="2"/>
                <w:sz w:val="21"/>
                <w:szCs w:val="22"/>
                <w:highlight w:val="none"/>
                <w:lang w:val="en-US" w:eastAsia="zh-CN"/>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（3）工程量清单及最高投标限价编制费用作为独立费用，不参与下浮，按实际发生结算。</w:t>
            </w:r>
          </w:p>
        </w:tc>
      </w:tr>
      <w:tr w14:paraId="16EB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0CE9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2B9228EE">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7D51D3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1、</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295897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786042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521C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6309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0EE2859A">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8" w:type="pct"/>
            <w:vAlign w:val="center"/>
          </w:tcPr>
          <w:p w14:paraId="650F5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 xml:space="preserve">①总承包项目经理须具备建筑工程专业二级注册建造师资格，且具备有效的安全生产考核合格证书（B证）；  </w:t>
            </w:r>
          </w:p>
          <w:p w14:paraId="49D64FCF">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②设计负责人须具有建筑工程相关专业中级工程师及以上职称；</w:t>
            </w:r>
          </w:p>
        </w:tc>
      </w:tr>
      <w:tr w14:paraId="71DD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0B3D1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70837E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295BEBB4">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color w:val="auto"/>
                <w:kern w:val="2"/>
                <w:sz w:val="24"/>
                <w:highlight w:val="none"/>
                <w:lang w:eastAsia="zh-CN"/>
              </w:rPr>
            </w:pPr>
            <w:r>
              <w:rPr>
                <w:rFonts w:hint="eastAsia" w:asciiTheme="minorEastAsia" w:hAnsiTheme="minorEastAsia" w:eastAsiaTheme="minorEastAsia" w:cstheme="minorEastAsia"/>
                <w:b w:val="0"/>
                <w:color w:val="auto"/>
                <w:kern w:val="2"/>
                <w:sz w:val="24"/>
                <w:highlight w:val="none"/>
              </w:rPr>
              <w:t>标的名称：</w:t>
            </w:r>
            <w:r>
              <w:rPr>
                <w:rFonts w:hint="eastAsia" w:asciiTheme="minorEastAsia" w:hAnsiTheme="minorEastAsia" w:eastAsiaTheme="minorEastAsia" w:cstheme="minorEastAsia"/>
                <w:b w:val="0"/>
                <w:color w:val="auto"/>
                <w:kern w:val="2"/>
                <w:sz w:val="24"/>
                <w:highlight w:val="none"/>
                <w:lang w:eastAsia="zh-CN"/>
              </w:rPr>
              <w:t>严桥乡兴隆村农产品加工项目</w:t>
            </w:r>
          </w:p>
          <w:p w14:paraId="37034C07">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hAnsiTheme="minorHAnsi" w:eastAsiaTheme="minorEastAsia"/>
                <w:color w:val="auto"/>
                <w:kern w:val="2"/>
                <w:sz w:val="24"/>
                <w:szCs w:val="22"/>
                <w:highlight w:val="none"/>
              </w:rPr>
            </w:pPr>
            <w:r>
              <w:rPr>
                <w:rFonts w:hint="eastAsia" w:asciiTheme="minorEastAsia" w:hAnsiTheme="minorEastAsia" w:eastAsiaTheme="minorEastAsia" w:cstheme="minorEastAsia"/>
                <w:b w:val="0"/>
                <w:color w:val="auto"/>
                <w:kern w:val="2"/>
                <w:sz w:val="24"/>
                <w:szCs w:val="22"/>
                <w:highlight w:val="none"/>
              </w:rPr>
              <w:t>所属行业：</w:t>
            </w:r>
            <w:r>
              <w:rPr>
                <w:rFonts w:hint="eastAsia" w:asciiTheme="minorEastAsia" w:hAnsiTheme="minorEastAsia" w:eastAsiaTheme="minorEastAsia" w:cstheme="minorEastAsia"/>
                <w:b w:val="0"/>
                <w:color w:val="auto"/>
                <w:kern w:val="2"/>
                <w:sz w:val="24"/>
                <w:szCs w:val="22"/>
                <w:highlight w:val="none"/>
                <w:lang w:val="en-US" w:eastAsia="zh-CN"/>
              </w:rPr>
              <w:t>建筑业</w:t>
            </w:r>
          </w:p>
        </w:tc>
      </w:tr>
      <w:tr w14:paraId="42E3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C627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277" w:type="dxa"/>
            <w:vAlign w:val="center"/>
          </w:tcPr>
          <w:p w14:paraId="49F70E0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cs="@仿宋_GB2312" w:asciiTheme="minorEastAsia" w:hAnsiTheme="minorEastAsia" w:eastAsiaTheme="minorEastAsia"/>
                <w:color w:val="auto"/>
                <w:kern w:val="2"/>
                <w:sz w:val="24"/>
                <w:szCs w:val="22"/>
                <w:highlight w:val="none"/>
              </w:rPr>
            </w:pPr>
            <w:r>
              <w:rPr>
                <w:rFonts w:hint="eastAsia" w:asciiTheme="minorHAnsi" w:hAnsiTheme="minorHAnsi" w:eastAsiaTheme="minorEastAsia"/>
                <w:b w:val="0"/>
                <w:color w:val="auto"/>
                <w:kern w:val="2"/>
                <w:sz w:val="24"/>
                <w:highlight w:val="none"/>
                <w:lang w:val="en-US" w:eastAsia="zh-CN"/>
              </w:rPr>
              <w:t>其他</w:t>
            </w:r>
          </w:p>
        </w:tc>
        <w:tc>
          <w:tcPr>
            <w:tcW w:w="6287" w:type="dxa"/>
            <w:vAlign w:val="center"/>
          </w:tcPr>
          <w:p w14:paraId="3BA58E2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color w:val="auto"/>
                <w:kern w:val="2"/>
                <w:sz w:val="24"/>
                <w:highlight w:val="none"/>
                <w:lang w:val="en-US" w:eastAsia="zh-CN"/>
              </w:rPr>
            </w:pPr>
            <w:r>
              <w:rPr>
                <w:rFonts w:hint="eastAsia" w:asciiTheme="minorEastAsia" w:hAnsiTheme="minorEastAsia" w:eastAsiaTheme="minorEastAsia" w:cstheme="minorEastAsia"/>
                <w:b w:val="0"/>
                <w:color w:val="auto"/>
                <w:kern w:val="2"/>
                <w:sz w:val="24"/>
                <w:highlight w:val="none"/>
                <w:lang w:val="en-US" w:eastAsia="zh-CN"/>
              </w:rPr>
              <w:t>本项目采用设计施工一体化总承包模式，总承包人负责但不限于建设项目的设计、设备材料采购、施工、竣工验收等全过程，对建设项目的质量、安全、造价和进度负责，包括但不限于以下事项：</w:t>
            </w:r>
          </w:p>
          <w:p w14:paraId="11D6E797">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color w:val="auto"/>
                <w:kern w:val="2"/>
                <w:sz w:val="24"/>
                <w:highlight w:val="none"/>
                <w:lang w:val="en-US" w:eastAsia="zh-CN"/>
              </w:rPr>
            </w:pPr>
            <w:r>
              <w:rPr>
                <w:rFonts w:hint="eastAsia" w:asciiTheme="minorEastAsia" w:hAnsiTheme="minorEastAsia" w:eastAsiaTheme="minorEastAsia" w:cstheme="minorEastAsia"/>
                <w:b w:val="0"/>
                <w:color w:val="auto"/>
                <w:kern w:val="2"/>
                <w:sz w:val="24"/>
                <w:highlight w:val="none"/>
                <w:lang w:val="en-US" w:eastAsia="zh-CN"/>
              </w:rPr>
              <w:t>（1）设计部分：本次招标的中标人负责本项目工程设计管理、初步设计优化和深化、施工图设计及审查、并提交经审查合格后的施工图成果，确保工程投资在本项目的限额范围内；设计管理具体包括：设计主持、管理、指导，设计与施工的协调，设计成果报备相关行政主管部门及报批报建等工作。</w:t>
            </w:r>
          </w:p>
          <w:p w14:paraId="002DEAD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cs="@仿宋_GB2312" w:asciiTheme="minorEastAsia" w:hAnsiTheme="minorEastAsia" w:eastAsiaTheme="minorEastAsia"/>
                <w:color w:val="auto"/>
                <w:kern w:val="2"/>
                <w:sz w:val="24"/>
                <w:szCs w:val="22"/>
                <w:highlight w:val="none"/>
              </w:rPr>
            </w:pPr>
            <w:r>
              <w:rPr>
                <w:rFonts w:hint="eastAsia" w:asciiTheme="minorEastAsia" w:hAnsiTheme="minorEastAsia" w:eastAsiaTheme="minorEastAsia" w:cstheme="minorEastAsia"/>
                <w:b w:val="0"/>
                <w:color w:val="auto"/>
                <w:kern w:val="2"/>
                <w:sz w:val="24"/>
                <w:highlight w:val="none"/>
                <w:lang w:val="en-US" w:eastAsia="zh-CN"/>
              </w:rPr>
              <w:t>（2）施工部分：本项目所有工程材料、设备、设施的采购、保管、安装及调试；工程施工、验收、移交、备案和保修服务等；工程施工包含工程设计范围内所有主体工程、专项工程和附属工程等。直至项目竣工验收合格并整体移交、工程保修期内的缺陷修复和保修工作。</w:t>
            </w:r>
          </w:p>
        </w:tc>
      </w:tr>
    </w:tbl>
    <w:p w14:paraId="2C0F01B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C568793">
      <w:pPr>
        <w:spacing w:line="360" w:lineRule="auto"/>
        <w:jc w:val="center"/>
        <w:outlineLvl w:val="0"/>
        <w:rPr>
          <w:rFonts w:asciiTheme="minorEastAsia" w:hAnsiTheme="minorEastAsia" w:eastAsiaTheme="minorEastAsia"/>
          <w:b/>
          <w:color w:val="auto"/>
          <w:sz w:val="28"/>
          <w:highlight w:val="none"/>
        </w:rPr>
      </w:pPr>
      <w:bookmarkStart w:id="40" w:name="_Toc11353"/>
      <w:r>
        <w:rPr>
          <w:rFonts w:hint="eastAsia" w:asciiTheme="minorEastAsia" w:hAnsiTheme="minorEastAsia" w:eastAsiaTheme="minorEastAsia"/>
          <w:b/>
          <w:color w:val="auto"/>
          <w:sz w:val="28"/>
          <w:highlight w:val="none"/>
        </w:rPr>
        <w:t>第四章  评审方法和标准</w:t>
      </w:r>
      <w:bookmarkEnd w:id="40"/>
    </w:p>
    <w:p w14:paraId="3F459CE4">
      <w:pPr>
        <w:spacing w:line="360" w:lineRule="auto"/>
        <w:ind w:firstLine="437"/>
        <w:outlineLvl w:val="1"/>
        <w:rPr>
          <w:rFonts w:asciiTheme="minorEastAsia" w:hAnsiTheme="minorEastAsia" w:eastAsiaTheme="minorEastAsia"/>
          <w:b/>
          <w:color w:val="auto"/>
          <w:sz w:val="24"/>
          <w:highlight w:val="none"/>
        </w:rPr>
      </w:pPr>
      <w:bookmarkStart w:id="41" w:name="_Toc31533"/>
      <w:bookmarkStart w:id="42" w:name="_Toc3679"/>
      <w:r>
        <w:rPr>
          <w:rFonts w:hint="eastAsia" w:asciiTheme="minorEastAsia" w:hAnsiTheme="minorEastAsia" w:eastAsiaTheme="minorEastAsia"/>
          <w:b/>
          <w:color w:val="auto"/>
          <w:sz w:val="24"/>
          <w:highlight w:val="none"/>
        </w:rPr>
        <w:t>一、总则</w:t>
      </w:r>
      <w:bookmarkEnd w:id="41"/>
      <w:bookmarkEnd w:id="42"/>
    </w:p>
    <w:p w14:paraId="3009BF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7E82087C">
      <w:pPr>
        <w:spacing w:line="360" w:lineRule="auto"/>
        <w:ind w:firstLine="437"/>
        <w:outlineLvl w:val="1"/>
        <w:rPr>
          <w:rFonts w:asciiTheme="minorEastAsia" w:hAnsiTheme="minorEastAsia" w:eastAsiaTheme="minorEastAsia"/>
          <w:b/>
          <w:color w:val="auto"/>
          <w:sz w:val="24"/>
          <w:highlight w:val="none"/>
        </w:rPr>
      </w:pPr>
      <w:bookmarkStart w:id="43" w:name="_Toc16232"/>
      <w:bookmarkStart w:id="44" w:name="_Toc13405"/>
      <w:r>
        <w:rPr>
          <w:rFonts w:hint="eastAsia" w:asciiTheme="minorEastAsia" w:hAnsiTheme="minorEastAsia" w:eastAsiaTheme="minorEastAsia"/>
          <w:b/>
          <w:color w:val="auto"/>
          <w:sz w:val="24"/>
          <w:highlight w:val="none"/>
        </w:rPr>
        <w:t>二、评审方法</w:t>
      </w:r>
      <w:bookmarkEnd w:id="43"/>
      <w:bookmarkEnd w:id="44"/>
    </w:p>
    <w:p w14:paraId="780F5F19">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48C322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7522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4D610EE">
            <w:pPr>
              <w:adjustRightInd w:val="0"/>
              <w:snapToGrid w:val="0"/>
              <w:ind w:right="-10"/>
              <w:jc w:val="center"/>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68E6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296B8A7B">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5CCB4ACC">
            <w:pPr>
              <w:pStyle w:val="76"/>
              <w:pBdr>
                <w:bottom w:val="none" w:color="auto" w:sz="0" w:space="0"/>
              </w:pBdr>
              <w:tabs>
                <w:tab w:val="clear" w:pos="4153"/>
                <w:tab w:val="clear" w:pos="8306"/>
              </w:tabs>
              <w:snapToGrid w:val="0"/>
              <w:spacing w:line="36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2268" w:type="pct"/>
            <w:tcBorders>
              <w:bottom w:val="single" w:color="auto" w:sz="4" w:space="0"/>
            </w:tcBorders>
            <w:vAlign w:val="center"/>
          </w:tcPr>
          <w:p w14:paraId="735C269E">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0A6C9FF6">
            <w:pPr>
              <w:adjustRightInd w:val="0"/>
              <w:snapToGrid w:val="0"/>
              <w:spacing w:line="360" w:lineRule="auto"/>
              <w:ind w:right="-10" w:rightChars="0"/>
              <w:jc w:val="center"/>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057D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507C186F">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14294063">
            <w:pPr>
              <w:spacing w:after="50" w:line="360" w:lineRule="auto"/>
              <w:ind w:right="-10" w:rightChars="0"/>
              <w:jc w:val="center"/>
              <w:rPr>
                <w:rFonts w:ascii="Calibri" w:hAnsi="Calibri" w:cs="Times New Roman"/>
                <w:color w:val="auto"/>
                <w:kern w:val="2"/>
                <w:sz w:val="24"/>
                <w:szCs w:val="24"/>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268" w:type="pct"/>
            <w:tcBorders>
              <w:bottom w:val="single" w:color="auto" w:sz="4" w:space="0"/>
            </w:tcBorders>
            <w:vAlign w:val="center"/>
          </w:tcPr>
          <w:p w14:paraId="19DD97D5">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71BE6389">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2D7C350A">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037A5E1D">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1E96918E">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524" w:type="pct"/>
            <w:tcBorders>
              <w:bottom w:val="single" w:color="auto" w:sz="4" w:space="0"/>
            </w:tcBorders>
            <w:vAlign w:val="center"/>
          </w:tcPr>
          <w:p w14:paraId="74623B6A">
            <w:pPr>
              <w:spacing w:line="360" w:lineRule="auto"/>
              <w:jc w:val="left"/>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4BD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2A0852E">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174925ED">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2B256CB7">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w:t>
            </w:r>
            <w:r>
              <w:rPr>
                <w:rFonts w:hint="eastAsia" w:cs="宋体"/>
                <w:sz w:val="24"/>
                <w:szCs w:val="24"/>
                <w:highlight w:val="none"/>
                <w:lang w:val="en-US" w:eastAsia="zh-CN"/>
              </w:rPr>
              <w:t>磋商</w:t>
            </w:r>
            <w:r>
              <w:rPr>
                <w:rFonts w:ascii="宋体" w:hAnsi="宋体" w:eastAsia="宋体" w:cs="宋体"/>
                <w:sz w:val="24"/>
                <w:szCs w:val="24"/>
                <w:highlight w:val="none"/>
              </w:rPr>
              <w:t>文件要求的《</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资格声明书》</w:t>
            </w:r>
            <w:r>
              <w:rPr>
                <w:rFonts w:hint="eastAsia" w:ascii="宋体" w:hAnsi="宋体" w:eastAsia="宋体" w:cs="宋体"/>
                <w:sz w:val="24"/>
                <w:szCs w:val="24"/>
                <w:highlight w:val="none"/>
                <w:lang w:eastAsia="zh-CN"/>
              </w:rPr>
              <w:t>。</w:t>
            </w:r>
          </w:p>
        </w:tc>
        <w:tc>
          <w:tcPr>
            <w:tcW w:w="1524" w:type="pct"/>
            <w:vAlign w:val="center"/>
          </w:tcPr>
          <w:p w14:paraId="3A1D22AC">
            <w:pPr>
              <w:spacing w:line="360" w:lineRule="auto"/>
              <w:jc w:val="left"/>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B8E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1897D25">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21540E58">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639E474E">
            <w:pPr>
              <w:spacing w:after="50" w:line="360" w:lineRule="auto"/>
              <w:ind w:right="-10" w:rightChars="0"/>
              <w:jc w:val="left"/>
              <w:rPr>
                <w:rFonts w:ascii="Calibri" w:hAnsi="Calibri" w:cs="Times New Roman"/>
                <w:color w:val="auto"/>
                <w:kern w:val="2"/>
                <w:sz w:val="24"/>
                <w:szCs w:val="22"/>
                <w:highlight w:val="none"/>
              </w:rPr>
            </w:pPr>
            <w:r>
              <w:rPr>
                <w:rFonts w:hint="eastAsia" w:cs="宋体"/>
                <w:sz w:val="24"/>
                <w:szCs w:val="24"/>
                <w:highlight w:val="none"/>
                <w:lang w:val="en-US" w:eastAsia="zh-CN"/>
              </w:rPr>
              <w:t>供应商</w:t>
            </w:r>
            <w:r>
              <w:rPr>
                <w:rFonts w:hint="eastAsia" w:ascii="宋体" w:hAnsi="宋体" w:eastAsia="宋体" w:cs="宋体"/>
                <w:sz w:val="24"/>
                <w:szCs w:val="24"/>
                <w:highlight w:val="none"/>
                <w:lang w:val="zh-CN" w:eastAsia="zh-CN"/>
              </w:rPr>
              <w:t>不得存在</w:t>
            </w:r>
            <w:r>
              <w:rPr>
                <w:rFonts w:hint="eastAsia" w:cs="宋体"/>
                <w:sz w:val="24"/>
                <w:szCs w:val="24"/>
                <w:highlight w:val="none"/>
                <w:lang w:val="en-US" w:eastAsia="zh-CN"/>
              </w:rPr>
              <w:t>供应商</w:t>
            </w:r>
            <w:r>
              <w:rPr>
                <w:rFonts w:hint="eastAsia" w:ascii="宋体" w:hAnsi="宋体" w:eastAsia="宋体" w:cs="宋体"/>
                <w:sz w:val="24"/>
                <w:szCs w:val="24"/>
                <w:highlight w:val="none"/>
                <w:lang w:val="zh-CN" w:eastAsia="zh-CN"/>
              </w:rPr>
              <w:t>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3E5A74D6">
            <w:pPr>
              <w:spacing w:line="360" w:lineRule="auto"/>
              <w:jc w:val="left"/>
              <w:rPr>
                <w:rFonts w:hint="eastAsia" w:cs="Times New Roman"/>
                <w:color w:val="auto"/>
                <w:kern w:val="2"/>
                <w:sz w:val="24"/>
                <w:szCs w:val="22"/>
                <w:highlight w:val="none"/>
              </w:rPr>
            </w:pPr>
            <w:r>
              <w:rPr>
                <w:rFonts w:hint="eastAsia" w:ascii="宋体" w:hAnsi="宋体" w:eastAsia="宋体" w:cs="宋体"/>
                <w:sz w:val="24"/>
                <w:szCs w:val="24"/>
                <w:highlight w:val="none"/>
              </w:rPr>
              <w:t>无须</w:t>
            </w:r>
            <w:r>
              <w:rPr>
                <w:rFonts w:hint="eastAsia" w:ascii="宋体" w:hAnsi="宋体" w:eastAsia="宋体" w:cs="宋体"/>
                <w:sz w:val="24"/>
                <w:szCs w:val="24"/>
                <w:highlight w:val="none"/>
                <w:lang w:val="en-US" w:eastAsia="zh-CN"/>
              </w:rPr>
              <w:t>供应商提</w:t>
            </w:r>
            <w:r>
              <w:rPr>
                <w:rFonts w:hint="eastAsia" w:ascii="宋体" w:hAnsi="宋体" w:eastAsia="宋体" w:cs="宋体"/>
                <w:sz w:val="24"/>
                <w:szCs w:val="24"/>
                <w:highlight w:val="none"/>
              </w:rPr>
              <w:t>供，由采购人或采购代理机构查询。</w:t>
            </w:r>
          </w:p>
        </w:tc>
      </w:tr>
      <w:tr w14:paraId="08A5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C3C16F9">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1FA560DB">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268" w:type="pct"/>
            <w:vAlign w:val="top"/>
          </w:tcPr>
          <w:p w14:paraId="12DC8C33">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58AF6AD1">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148AADEF">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524" w:type="pct"/>
            <w:vAlign w:val="center"/>
          </w:tcPr>
          <w:p w14:paraId="36600C0E">
            <w:pPr>
              <w:spacing w:after="50" w:line="360" w:lineRule="auto"/>
              <w:ind w:right="-10" w:rightChars="0"/>
              <w:jc w:val="center"/>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9EE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10" w:type="pct"/>
            <w:vAlign w:val="center"/>
          </w:tcPr>
          <w:p w14:paraId="056B3337">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5</w:t>
            </w:r>
          </w:p>
        </w:tc>
        <w:tc>
          <w:tcPr>
            <w:tcW w:w="796" w:type="pct"/>
            <w:vAlign w:val="top"/>
          </w:tcPr>
          <w:p w14:paraId="15288EFA">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拟分包情况说明及分包意向协议（</w:t>
            </w:r>
            <w:r>
              <w:rPr>
                <w:rFonts w:hint="eastAsia" w:ascii="宋体" w:hAnsi="宋体" w:eastAsia="宋体" w:cs="宋体"/>
                <w:i/>
                <w:iCs/>
                <w:color w:val="auto"/>
                <w:sz w:val="24"/>
                <w:szCs w:val="24"/>
                <w:highlight w:val="none"/>
                <w:lang w:val="en-US" w:eastAsia="zh-CN"/>
              </w:rPr>
              <w:t>适用于合同分包预留中小企业采购份额项目</w:t>
            </w:r>
            <w:r>
              <w:rPr>
                <w:rFonts w:hint="eastAsia" w:ascii="宋体" w:hAnsi="宋体" w:eastAsia="宋体" w:cs="宋体"/>
                <w:color w:val="auto"/>
                <w:sz w:val="24"/>
                <w:szCs w:val="24"/>
                <w:highlight w:val="none"/>
              </w:rPr>
              <w:t>）</w:t>
            </w:r>
          </w:p>
        </w:tc>
        <w:tc>
          <w:tcPr>
            <w:tcW w:w="2268" w:type="pct"/>
            <w:vAlign w:val="center"/>
          </w:tcPr>
          <w:p w14:paraId="240BB95E">
            <w:pPr>
              <w:spacing w:after="50" w:line="360" w:lineRule="auto"/>
              <w:ind w:right="-10" w:rightChars="0"/>
              <w:jc w:val="both"/>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rPr>
              <w:t>通过分包措施预留部分采购份额面向中小企业采购、且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因落实政府采购政策拟进行分包的。</w:t>
            </w:r>
          </w:p>
        </w:tc>
        <w:tc>
          <w:tcPr>
            <w:tcW w:w="1524" w:type="pct"/>
            <w:vAlign w:val="center"/>
          </w:tcPr>
          <w:p w14:paraId="04429D80">
            <w:pPr>
              <w:spacing w:after="50" w:line="360" w:lineRule="auto"/>
              <w:ind w:right="-10" w:rightChars="0"/>
              <w:jc w:val="both"/>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B38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6CE4B7F">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6</w:t>
            </w:r>
          </w:p>
        </w:tc>
        <w:tc>
          <w:tcPr>
            <w:tcW w:w="796" w:type="pct"/>
            <w:vAlign w:val="center"/>
          </w:tcPr>
          <w:p w14:paraId="37EC8B9F">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268" w:type="pct"/>
            <w:vAlign w:val="center"/>
          </w:tcPr>
          <w:p w14:paraId="1620C4DA">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spacing w:val="-2"/>
                <w:sz w:val="24"/>
                <w:szCs w:val="24"/>
                <w:highlight w:val="none"/>
              </w:rPr>
              <w:t>如有，见第一章《</w:t>
            </w:r>
            <w:r>
              <w:rPr>
                <w:rFonts w:hint="eastAsia" w:ascii="宋体" w:hAnsi="宋体" w:eastAsia="宋体" w:cs="宋体"/>
                <w:spacing w:val="-2"/>
                <w:sz w:val="24"/>
                <w:szCs w:val="24"/>
                <w:highlight w:val="none"/>
              </w:rPr>
              <w:t>磋商邀请</w:t>
            </w:r>
            <w:r>
              <w:rPr>
                <w:rFonts w:ascii="宋体" w:hAnsi="宋体" w:eastAsia="宋体" w:cs="宋体"/>
                <w:spacing w:val="-2"/>
                <w:sz w:val="24"/>
                <w:szCs w:val="24"/>
                <w:highlight w:val="none"/>
              </w:rPr>
              <w:t>》</w:t>
            </w:r>
          </w:p>
        </w:tc>
        <w:tc>
          <w:tcPr>
            <w:tcW w:w="1524" w:type="pct"/>
            <w:vAlign w:val="center"/>
          </w:tcPr>
          <w:p w14:paraId="30E1E6C7">
            <w:pPr>
              <w:spacing w:after="50" w:line="360" w:lineRule="auto"/>
              <w:ind w:right="-10" w:rightChars="0"/>
              <w:jc w:val="both"/>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929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B9F01FE">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7</w:t>
            </w:r>
          </w:p>
        </w:tc>
        <w:tc>
          <w:tcPr>
            <w:tcW w:w="796" w:type="pct"/>
            <w:vAlign w:val="center"/>
          </w:tcPr>
          <w:p w14:paraId="49ED0FFB">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spacing w:val="10"/>
                <w:sz w:val="24"/>
                <w:szCs w:val="24"/>
                <w:highlight w:val="none"/>
              </w:rPr>
              <w:t>本项目对于联合</w:t>
            </w:r>
            <w:r>
              <w:rPr>
                <w:rFonts w:ascii="宋体" w:hAnsi="宋体" w:eastAsia="宋体" w:cs="宋体"/>
                <w:spacing w:val="-2"/>
                <w:sz w:val="24"/>
                <w:szCs w:val="24"/>
                <w:highlight w:val="none"/>
              </w:rPr>
              <w:t>体的要求</w:t>
            </w:r>
            <w:r>
              <w:rPr>
                <w:rFonts w:hint="eastAsia" w:ascii="宋体" w:hAnsi="宋体" w:eastAsia="宋体" w:cs="宋体"/>
                <w:spacing w:val="-2"/>
                <w:sz w:val="24"/>
                <w:szCs w:val="24"/>
                <w:highlight w:val="none"/>
                <w:lang w:eastAsia="zh-CN"/>
              </w:rPr>
              <w:t>（</w:t>
            </w:r>
            <w:r>
              <w:rPr>
                <w:rFonts w:hint="eastAsia" w:ascii="宋体" w:hAnsi="宋体" w:eastAsia="宋体" w:cs="宋体"/>
                <w:i/>
                <w:iCs/>
                <w:spacing w:val="-2"/>
                <w:sz w:val="24"/>
                <w:szCs w:val="24"/>
                <w:highlight w:val="none"/>
                <w:lang w:val="en-US" w:eastAsia="zh-CN"/>
              </w:rPr>
              <w:t>适用于接受联合体磋商项目</w:t>
            </w:r>
            <w:r>
              <w:rPr>
                <w:rFonts w:hint="eastAsia" w:ascii="宋体" w:hAnsi="宋体" w:eastAsia="宋体" w:cs="宋体"/>
                <w:spacing w:val="-2"/>
                <w:sz w:val="24"/>
                <w:szCs w:val="24"/>
                <w:highlight w:val="none"/>
                <w:lang w:eastAsia="zh-CN"/>
              </w:rPr>
              <w:t>）</w:t>
            </w:r>
          </w:p>
        </w:tc>
        <w:tc>
          <w:tcPr>
            <w:tcW w:w="2268" w:type="pct"/>
            <w:vAlign w:val="center"/>
          </w:tcPr>
          <w:p w14:paraId="76E88AE2">
            <w:pPr>
              <w:spacing w:after="50" w:line="360" w:lineRule="auto"/>
              <w:ind w:right="-10" w:rightChars="0"/>
              <w:jc w:val="both"/>
              <w:rPr>
                <w:rFonts w:ascii="Calibri" w:hAnsi="Calibri" w:cs="Times New Roman"/>
                <w:color w:val="auto"/>
                <w:kern w:val="2"/>
                <w:sz w:val="24"/>
                <w:szCs w:val="22"/>
                <w:highlight w:val="none"/>
              </w:rPr>
            </w:pPr>
            <w:r>
              <w:rPr>
                <w:rFonts w:hint="eastAsia" w:ascii="宋体" w:hAnsi="宋体" w:eastAsia="宋体" w:cs="宋体"/>
                <w:spacing w:val="-2"/>
                <w:sz w:val="24"/>
                <w:szCs w:val="24"/>
                <w:highlight w:val="none"/>
                <w:lang w:val="en-US" w:eastAsia="zh-CN"/>
              </w:rPr>
              <w:t>联合体磋商的</w:t>
            </w:r>
            <w:r>
              <w:rPr>
                <w:rFonts w:hint="eastAsia" w:ascii="宋体" w:hAnsi="宋体" w:eastAsia="宋体" w:cs="宋体"/>
                <w:spacing w:val="10"/>
                <w:kern w:val="2"/>
                <w:sz w:val="24"/>
                <w:szCs w:val="24"/>
                <w:highlight w:val="none"/>
                <w:lang w:val="en-US" w:eastAsia="zh-CN" w:bidi="ar-SA"/>
              </w:rPr>
              <w:t>详见</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eastAsia="zh-CN"/>
              </w:rPr>
              <w:t>须知正文第</w:t>
            </w:r>
            <w:r>
              <w:rPr>
                <w:rFonts w:hint="eastAsia" w:ascii="宋体" w:hAnsi="宋体" w:eastAsia="宋体" w:cs="宋体"/>
                <w:sz w:val="24"/>
                <w:szCs w:val="24"/>
                <w:highlight w:val="none"/>
                <w:lang w:val="en-US" w:eastAsia="zh-CN"/>
              </w:rPr>
              <w:t>1.5，且</w:t>
            </w:r>
            <w:r>
              <w:rPr>
                <w:rFonts w:hint="eastAsia" w:ascii="宋体" w:hAnsi="宋体" w:eastAsia="宋体" w:cs="宋体"/>
                <w:spacing w:val="10"/>
                <w:kern w:val="2"/>
                <w:sz w:val="24"/>
                <w:szCs w:val="24"/>
                <w:highlight w:val="none"/>
                <w:lang w:val="en-US" w:eastAsia="zh-CN" w:bidi="ar-SA"/>
              </w:rPr>
              <w:t>提</w:t>
            </w:r>
            <w:r>
              <w:rPr>
                <w:rFonts w:ascii="宋体" w:hAnsi="宋体" w:eastAsia="宋体" w:cs="宋体"/>
                <w:spacing w:val="10"/>
                <w:kern w:val="2"/>
                <w:sz w:val="24"/>
                <w:szCs w:val="24"/>
                <w:highlight w:val="none"/>
                <w:lang w:val="en-US" w:eastAsia="zh-CN" w:bidi="ar-SA"/>
              </w:rPr>
              <w:t>供《联合协议》。</w:t>
            </w:r>
          </w:p>
        </w:tc>
        <w:tc>
          <w:tcPr>
            <w:tcW w:w="1524" w:type="pct"/>
            <w:vAlign w:val="center"/>
          </w:tcPr>
          <w:p w14:paraId="72A7B24C">
            <w:pPr>
              <w:spacing w:after="50" w:line="360" w:lineRule="auto"/>
              <w:ind w:right="-10" w:rightChars="0"/>
              <w:jc w:val="both"/>
              <w:rPr>
                <w:rFonts w:hint="eastAsia" w:cs="Times New Roman"/>
                <w:color w:val="auto"/>
                <w:kern w:val="2"/>
                <w:sz w:val="24"/>
                <w:szCs w:val="22"/>
                <w:highlight w:val="none"/>
              </w:rPr>
            </w:pPr>
            <w:r>
              <w:rPr>
                <w:rFonts w:ascii="宋体" w:hAnsi="宋体" w:eastAsia="宋体" w:cs="宋体"/>
                <w:spacing w:val="10"/>
                <w:kern w:val="2"/>
                <w:sz w:val="24"/>
                <w:szCs w:val="24"/>
                <w:highlight w:val="none"/>
                <w:lang w:val="en-US" w:eastAsia="zh-CN" w:bidi="ar-SA"/>
              </w:rPr>
              <w:t>《联合协议》</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22A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5A5BA3CE">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8</w:t>
            </w:r>
          </w:p>
        </w:tc>
        <w:tc>
          <w:tcPr>
            <w:tcW w:w="796" w:type="pct"/>
            <w:vAlign w:val="center"/>
          </w:tcPr>
          <w:p w14:paraId="71BE2F8C">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spacing w:val="10"/>
                <w:sz w:val="24"/>
                <w:szCs w:val="24"/>
                <w:highlight w:val="none"/>
              </w:rPr>
              <w:t>其他特定资格要求</w:t>
            </w:r>
          </w:p>
        </w:tc>
        <w:tc>
          <w:tcPr>
            <w:tcW w:w="2268" w:type="pct"/>
            <w:vAlign w:val="center"/>
          </w:tcPr>
          <w:p w14:paraId="481C979C">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spacing w:val="10"/>
                <w:sz w:val="24"/>
                <w:szCs w:val="24"/>
                <w:highlight w:val="none"/>
              </w:rPr>
              <w:t>如有，见第一章《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4" w:type="pct"/>
            <w:vAlign w:val="center"/>
          </w:tcPr>
          <w:p w14:paraId="3FBB7DB7">
            <w:pPr>
              <w:spacing w:after="50" w:line="360" w:lineRule="auto"/>
              <w:ind w:right="-10" w:rightChars="0"/>
              <w:jc w:val="both"/>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605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8D7EBD">
            <w:pPr>
              <w:adjustRightInd w:val="0"/>
              <w:snapToGrid w:val="0"/>
              <w:spacing w:line="360" w:lineRule="auto"/>
              <w:ind w:right="-10" w:rightChars="0"/>
              <w:jc w:val="center"/>
              <w:rPr>
                <w:rFonts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rPr>
              <w:t>9</w:t>
            </w:r>
          </w:p>
        </w:tc>
        <w:tc>
          <w:tcPr>
            <w:tcW w:w="796" w:type="pct"/>
            <w:vAlign w:val="center"/>
          </w:tcPr>
          <w:p w14:paraId="749151BE">
            <w:pPr>
              <w:adjustRightInd w:val="0"/>
              <w:snapToGrid w:val="0"/>
              <w:spacing w:line="36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2268" w:type="pct"/>
            <w:vAlign w:val="center"/>
          </w:tcPr>
          <w:p w14:paraId="27F1AB4E">
            <w:pPr>
              <w:adjustRightInd w:val="0"/>
              <w:snapToGrid w:val="0"/>
              <w:spacing w:line="360" w:lineRule="auto"/>
              <w:ind w:right="-10" w:rightChars="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68F9F856">
            <w:pPr>
              <w:adjustRightInd w:val="0"/>
              <w:snapToGrid w:val="0"/>
              <w:spacing w:line="360" w:lineRule="auto"/>
              <w:ind w:right="-10" w:rightChars="0"/>
              <w:jc w:val="left"/>
              <w:rPr>
                <w:rFonts w:hint="eastAsia" w:cs="Times New Roman"/>
                <w:color w:val="auto"/>
                <w:kern w:val="2"/>
                <w:sz w:val="24"/>
                <w:szCs w:val="22"/>
                <w:highlight w:val="none"/>
              </w:rPr>
            </w:pPr>
            <w:r>
              <w:rPr>
                <w:rFonts w:hint="eastAsia" w:ascii="宋体" w:hAnsi="宋体" w:eastAsia="宋体" w:cs="宋体"/>
                <w:color w:val="000000"/>
                <w:kern w:val="0"/>
                <w:sz w:val="24"/>
                <w:szCs w:val="24"/>
                <w:highlight w:val="none"/>
                <w:lang w:val="en-US" w:eastAsia="zh-CN" w:bidi="ar"/>
              </w:rPr>
              <w:t>详见第六章响应文件格式；检验电子标书。</w:t>
            </w:r>
          </w:p>
        </w:tc>
      </w:tr>
      <w:tr w14:paraId="3478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17EFE84">
            <w:pPr>
              <w:adjustRightInd w:val="0"/>
              <w:snapToGrid w:val="0"/>
              <w:spacing w:line="360" w:lineRule="auto"/>
              <w:ind w:right="-10" w:rightChars="0"/>
              <w:jc w:val="center"/>
              <w:rPr>
                <w:rFonts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rPr>
              <w:t>10</w:t>
            </w:r>
          </w:p>
        </w:tc>
        <w:tc>
          <w:tcPr>
            <w:tcW w:w="796" w:type="pct"/>
            <w:vAlign w:val="center"/>
          </w:tcPr>
          <w:p w14:paraId="03E42D7A">
            <w:pPr>
              <w:adjustRightInd w:val="0"/>
              <w:snapToGrid w:val="0"/>
              <w:spacing w:line="36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highlight w:val="none"/>
                <w:lang w:val="en-US" w:eastAsia="zh-CN"/>
              </w:rPr>
              <w:t>磋商</w:t>
            </w:r>
            <w:r>
              <w:rPr>
                <w:rFonts w:hint="eastAsia" w:cs="Times New Roman"/>
                <w:color w:val="auto"/>
                <w:kern w:val="2"/>
                <w:sz w:val="24"/>
                <w:highlight w:val="none"/>
              </w:rPr>
              <w:t>响应函</w:t>
            </w:r>
          </w:p>
        </w:tc>
        <w:tc>
          <w:tcPr>
            <w:tcW w:w="2268" w:type="pct"/>
            <w:vAlign w:val="center"/>
          </w:tcPr>
          <w:p w14:paraId="43C66782">
            <w:pPr>
              <w:adjustRightInd w:val="0"/>
              <w:snapToGrid w:val="0"/>
              <w:spacing w:line="360" w:lineRule="auto"/>
              <w:ind w:right="-10" w:rightChars="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29EDB61B">
            <w:pPr>
              <w:adjustRightInd w:val="0"/>
              <w:snapToGrid w:val="0"/>
              <w:spacing w:line="360" w:lineRule="auto"/>
              <w:ind w:right="-10" w:rightChars="0"/>
              <w:jc w:val="left"/>
              <w:rPr>
                <w:rFonts w:hint="eastAsia" w:cs="Times New Roman"/>
                <w:color w:val="auto"/>
                <w:kern w:val="2"/>
                <w:sz w:val="24"/>
                <w:szCs w:val="22"/>
                <w:highlight w:val="none"/>
              </w:rPr>
            </w:pPr>
            <w:r>
              <w:rPr>
                <w:rFonts w:hint="eastAsia" w:ascii="宋体" w:hAnsi="宋体" w:eastAsia="宋体" w:cs="宋体"/>
                <w:color w:val="000000"/>
                <w:kern w:val="0"/>
                <w:sz w:val="24"/>
                <w:szCs w:val="24"/>
                <w:highlight w:val="none"/>
                <w:lang w:val="en-US" w:eastAsia="zh-CN" w:bidi="ar"/>
              </w:rPr>
              <w:t>详见第六章响应文件格式；检验电子标书。</w:t>
            </w:r>
          </w:p>
        </w:tc>
      </w:tr>
      <w:tr w14:paraId="13E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395415A">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rPr>
              <w:t>11</w:t>
            </w:r>
          </w:p>
        </w:tc>
        <w:tc>
          <w:tcPr>
            <w:tcW w:w="796" w:type="pct"/>
            <w:vAlign w:val="center"/>
          </w:tcPr>
          <w:p w14:paraId="6DCB9285">
            <w:pPr>
              <w:spacing w:after="50" w:line="360" w:lineRule="auto"/>
              <w:ind w:right="-10" w:rightChars="0"/>
              <w:jc w:val="center"/>
              <w:rPr>
                <w:rFonts w:ascii="Calibri" w:hAnsi="Calibri"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268" w:type="pct"/>
            <w:vAlign w:val="center"/>
          </w:tcPr>
          <w:p w14:paraId="1221565E">
            <w:pPr>
              <w:spacing w:after="50" w:line="360" w:lineRule="auto"/>
              <w:ind w:right="-10" w:rightChars="0"/>
              <w:jc w:val="both"/>
              <w:rPr>
                <w:rFonts w:ascii="Calibri" w:hAnsi="Calibri"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w:t>
            </w:r>
            <w:r>
              <w:rPr>
                <w:rFonts w:hint="eastAsia" w:cs="Times New Roman"/>
                <w:color w:val="auto"/>
                <w:kern w:val="2"/>
                <w:sz w:val="24"/>
                <w:szCs w:val="22"/>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1524" w:type="pct"/>
            <w:vAlign w:val="center"/>
          </w:tcPr>
          <w:p w14:paraId="7D91A904">
            <w:pPr>
              <w:adjustRightInd w:val="0"/>
              <w:snapToGrid w:val="0"/>
              <w:spacing w:line="360" w:lineRule="auto"/>
              <w:ind w:right="-10" w:rightChars="0"/>
              <w:jc w:val="both"/>
              <w:rPr>
                <w:rFonts w:hint="eastAsia" w:cs="Times New Roman"/>
                <w:color w:val="auto"/>
                <w:kern w:val="2"/>
                <w:sz w:val="24"/>
                <w:szCs w:val="22"/>
                <w:highlight w:val="none"/>
              </w:rPr>
            </w:pPr>
            <w:r>
              <w:rPr>
                <w:rFonts w:hint="eastAsia" w:ascii="宋体" w:hAnsi="宋体" w:eastAsia="宋体" w:cs="宋体"/>
                <w:color w:val="000000"/>
                <w:kern w:val="0"/>
                <w:sz w:val="24"/>
                <w:szCs w:val="24"/>
                <w:highlight w:val="none"/>
                <w:lang w:val="en-US" w:eastAsia="zh-CN" w:bidi="ar"/>
              </w:rPr>
              <w:t>详见第六章响应文件格式；检验电子标书。</w:t>
            </w:r>
          </w:p>
        </w:tc>
      </w:tr>
      <w:tr w14:paraId="6B3B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3ECCADC3">
            <w:pPr>
              <w:adjustRightInd w:val="0"/>
              <w:snapToGrid w:val="0"/>
              <w:ind w:right="-10"/>
              <w:jc w:val="left"/>
              <w:rPr>
                <w:rFonts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0C97C288">
            <w:pPr>
              <w:adjustRightInd w:val="0"/>
              <w:snapToGrid w:val="0"/>
              <w:ind w:right="-10"/>
              <w:jc w:val="left"/>
              <w:rPr>
                <w:rFonts w:hint="eastAsia" w:ascii="Calibri" w:hAnsi="Calibri" w:cs="Times New Roman"/>
                <w:color w:val="auto"/>
                <w:kern w:val="2"/>
                <w:sz w:val="24"/>
                <w:szCs w:val="22"/>
                <w:highlight w:val="none"/>
              </w:rPr>
            </w:pPr>
          </w:p>
        </w:tc>
      </w:tr>
    </w:tbl>
    <w:p w14:paraId="247A91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7B3A30C5">
      <w:pPr>
        <w:spacing w:line="360" w:lineRule="auto"/>
        <w:ind w:firstLine="435"/>
        <w:outlineLvl w:val="2"/>
        <w:rPr>
          <w:rFonts w:hint="eastAsia" w:asciiTheme="minorEastAsia" w:hAnsiTheme="minorEastAsia" w:eastAsiaTheme="minorEastAsia"/>
          <w:b/>
          <w:color w:val="auto"/>
          <w:sz w:val="24"/>
          <w:highlight w:val="none"/>
        </w:rPr>
      </w:pPr>
    </w:p>
    <w:p w14:paraId="5FFB5251">
      <w:pPr>
        <w:spacing w:line="360" w:lineRule="auto"/>
        <w:ind w:firstLine="435"/>
        <w:outlineLvl w:val="2"/>
        <w:rPr>
          <w:rFonts w:hint="eastAsia" w:asciiTheme="minorEastAsia" w:hAnsiTheme="minorEastAsia" w:eastAsiaTheme="minorEastAsia"/>
          <w:b/>
          <w:color w:val="auto"/>
          <w:sz w:val="24"/>
          <w:highlight w:val="none"/>
        </w:rPr>
      </w:pPr>
    </w:p>
    <w:p w14:paraId="48FA55D2">
      <w:pPr>
        <w:spacing w:line="360" w:lineRule="auto"/>
        <w:ind w:firstLine="435"/>
        <w:outlineLvl w:val="2"/>
        <w:rPr>
          <w:rFonts w:hint="eastAsia" w:asciiTheme="minorEastAsia" w:hAnsiTheme="minorEastAsia" w:eastAsiaTheme="minorEastAsia"/>
          <w:b/>
          <w:color w:val="auto"/>
          <w:sz w:val="24"/>
          <w:highlight w:val="none"/>
        </w:rPr>
      </w:pPr>
    </w:p>
    <w:p w14:paraId="04BFFB51">
      <w:pPr>
        <w:spacing w:line="360" w:lineRule="auto"/>
        <w:ind w:firstLine="435"/>
        <w:outlineLvl w:val="2"/>
        <w:rPr>
          <w:rFonts w:hint="eastAsia" w:asciiTheme="minorEastAsia" w:hAnsiTheme="minorEastAsia" w:eastAsiaTheme="minorEastAsia"/>
          <w:b/>
          <w:color w:val="auto"/>
          <w:sz w:val="24"/>
          <w:highlight w:val="none"/>
        </w:rPr>
      </w:pPr>
    </w:p>
    <w:p w14:paraId="775A1A84">
      <w:pPr>
        <w:spacing w:line="360" w:lineRule="auto"/>
        <w:ind w:firstLine="435"/>
        <w:outlineLvl w:val="2"/>
        <w:rPr>
          <w:rFonts w:hint="eastAsia" w:asciiTheme="minorEastAsia" w:hAnsiTheme="minorEastAsia" w:eastAsiaTheme="minorEastAsia"/>
          <w:b/>
          <w:color w:val="auto"/>
          <w:sz w:val="24"/>
          <w:highlight w:val="none"/>
        </w:rPr>
      </w:pPr>
    </w:p>
    <w:p w14:paraId="1604D434">
      <w:pPr>
        <w:spacing w:line="360" w:lineRule="auto"/>
        <w:ind w:firstLine="435"/>
        <w:outlineLvl w:val="2"/>
        <w:rPr>
          <w:rFonts w:hint="eastAsia" w:asciiTheme="minorEastAsia" w:hAnsiTheme="minorEastAsia" w:eastAsiaTheme="minorEastAsia"/>
          <w:b/>
          <w:color w:val="auto"/>
          <w:sz w:val="24"/>
          <w:highlight w:val="none"/>
        </w:rPr>
      </w:pPr>
    </w:p>
    <w:p w14:paraId="446D6B12">
      <w:pPr>
        <w:spacing w:line="360" w:lineRule="auto"/>
        <w:ind w:firstLine="435"/>
        <w:outlineLvl w:val="2"/>
        <w:rPr>
          <w:rFonts w:hint="eastAsia" w:asciiTheme="minorEastAsia" w:hAnsiTheme="minorEastAsia" w:eastAsiaTheme="minorEastAsia"/>
          <w:b/>
          <w:color w:val="auto"/>
          <w:sz w:val="24"/>
          <w:highlight w:val="none"/>
        </w:rPr>
      </w:pPr>
    </w:p>
    <w:p w14:paraId="3D2E450F">
      <w:pPr>
        <w:spacing w:line="360" w:lineRule="auto"/>
        <w:ind w:firstLine="435"/>
        <w:outlineLvl w:val="2"/>
        <w:rPr>
          <w:rFonts w:hint="eastAsia" w:asciiTheme="minorEastAsia" w:hAnsiTheme="minorEastAsia" w:eastAsiaTheme="minorEastAsia"/>
          <w:b/>
          <w:color w:val="auto"/>
          <w:sz w:val="24"/>
          <w:highlight w:val="none"/>
        </w:rPr>
      </w:pPr>
    </w:p>
    <w:p w14:paraId="2218ED40">
      <w:pPr>
        <w:spacing w:line="360" w:lineRule="auto"/>
        <w:ind w:firstLine="435"/>
        <w:outlineLvl w:val="2"/>
        <w:rPr>
          <w:rFonts w:hint="eastAsia" w:asciiTheme="minorEastAsia" w:hAnsiTheme="minorEastAsia" w:eastAsiaTheme="minorEastAsia"/>
          <w:b/>
          <w:color w:val="auto"/>
          <w:sz w:val="24"/>
          <w:highlight w:val="none"/>
        </w:rPr>
      </w:pPr>
    </w:p>
    <w:p w14:paraId="5FE8AAE2">
      <w:pPr>
        <w:spacing w:line="360" w:lineRule="auto"/>
        <w:ind w:firstLine="435"/>
        <w:outlineLvl w:val="2"/>
        <w:rPr>
          <w:rFonts w:hint="eastAsia" w:asciiTheme="minorEastAsia" w:hAnsiTheme="minorEastAsia" w:eastAsiaTheme="minorEastAsia"/>
          <w:b/>
          <w:color w:val="auto"/>
          <w:sz w:val="24"/>
          <w:highlight w:val="none"/>
        </w:rPr>
      </w:pPr>
    </w:p>
    <w:p w14:paraId="40581B23">
      <w:pPr>
        <w:spacing w:line="360" w:lineRule="auto"/>
        <w:ind w:firstLine="435"/>
        <w:outlineLvl w:val="2"/>
        <w:rPr>
          <w:rFonts w:hint="eastAsia" w:asciiTheme="minorEastAsia" w:hAnsiTheme="minorEastAsia" w:eastAsiaTheme="minorEastAsia"/>
          <w:b/>
          <w:color w:val="auto"/>
          <w:sz w:val="24"/>
          <w:highlight w:val="none"/>
        </w:rPr>
      </w:pPr>
    </w:p>
    <w:p w14:paraId="2EFF0E21">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2A4F39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1A0D50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lang w:val="en-US" w:eastAsia="zh-CN"/>
        </w:rPr>
        <w:t>90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488"/>
        <w:gridCol w:w="4532"/>
        <w:gridCol w:w="1024"/>
      </w:tblGrid>
      <w:tr w14:paraId="409A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1F494F67">
            <w:pPr>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71B09B5">
            <w:pPr>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4532" w:type="dxa"/>
            <w:tcBorders>
              <w:top w:val="single" w:color="auto" w:sz="4" w:space="0"/>
              <w:left w:val="single" w:color="auto" w:sz="4" w:space="0"/>
              <w:bottom w:val="single" w:color="auto" w:sz="4" w:space="0"/>
              <w:right w:val="single" w:color="auto" w:sz="4" w:space="0"/>
            </w:tcBorders>
            <w:noWrap w:val="0"/>
            <w:vAlign w:val="center"/>
          </w:tcPr>
          <w:p w14:paraId="22BDAD1F">
            <w:pPr>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95B5331">
            <w:pPr>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30BA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vMerge w:val="restart"/>
            <w:tcBorders>
              <w:top w:val="single" w:color="auto" w:sz="4" w:space="0"/>
              <w:left w:val="single" w:color="auto" w:sz="4" w:space="0"/>
              <w:right w:val="single" w:color="auto" w:sz="4" w:space="0"/>
            </w:tcBorders>
            <w:noWrap w:val="0"/>
            <w:vAlign w:val="center"/>
          </w:tcPr>
          <w:p w14:paraId="09D840D4">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技术资信分</w:t>
            </w:r>
          </w:p>
          <w:p w14:paraId="25D300D0">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分）</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60A2AB5">
            <w:pPr>
              <w:spacing w:after="0" w:line="360" w:lineRule="auto"/>
              <w:jc w:val="center"/>
              <w:rPr>
                <w:rFonts w:hint="eastAsia" w:ascii="宋体" w:hAnsi="宋体" w:eastAsia="宋体" w:cs="Times New Roman"/>
                <w:b/>
                <w:bCs/>
                <w:color w:val="auto"/>
                <w:sz w:val="24"/>
                <w:szCs w:val="24"/>
                <w:highlight w:val="none"/>
                <w:lang w:val="en-US" w:eastAsia="zh-CN" w:bidi="ar-SA"/>
              </w:rPr>
            </w:pPr>
            <w:r>
              <w:rPr>
                <w:rFonts w:hint="eastAsia" w:ascii="宋体" w:hAnsi="宋体" w:cs="宋体"/>
                <w:color w:val="000000"/>
                <w:kern w:val="0"/>
                <w:sz w:val="24"/>
                <w:szCs w:val="24"/>
                <w:highlight w:val="none"/>
                <w:lang w:val="en-US" w:eastAsia="zh-CN" w:bidi="ar"/>
              </w:rPr>
              <w:t>1、</w:t>
            </w:r>
            <w:r>
              <w:rPr>
                <w:rFonts w:ascii="宋体" w:hAnsi="宋体" w:eastAsia="宋体" w:cs="宋体"/>
                <w:color w:val="000000"/>
                <w:kern w:val="0"/>
                <w:sz w:val="24"/>
                <w:szCs w:val="24"/>
                <w:highlight w:val="none"/>
                <w:lang w:val="en-US" w:eastAsia="zh-CN" w:bidi="ar"/>
              </w:rPr>
              <w:t>设计团队</w:t>
            </w:r>
          </w:p>
        </w:tc>
        <w:tc>
          <w:tcPr>
            <w:tcW w:w="4532" w:type="dxa"/>
            <w:tcBorders>
              <w:top w:val="single" w:color="auto" w:sz="4" w:space="0"/>
              <w:left w:val="single" w:color="auto" w:sz="4" w:space="0"/>
              <w:bottom w:val="single" w:color="auto" w:sz="4" w:space="0"/>
              <w:right w:val="single" w:color="auto" w:sz="4" w:space="0"/>
            </w:tcBorders>
            <w:noWrap w:val="0"/>
            <w:vAlign w:val="center"/>
          </w:tcPr>
          <w:p w14:paraId="0D34049F">
            <w:pPr>
              <w:rPr>
                <w:rFonts w:hint="eastAsia"/>
                <w:lang w:val="en-US" w:eastAsia="zh-CN"/>
              </w:rPr>
            </w:pPr>
            <w:r>
              <w:rPr>
                <w:rFonts w:hint="eastAsia"/>
                <w:lang w:val="en-US" w:eastAsia="zh-CN"/>
              </w:rPr>
              <w:t>投标人设计项目负责人具有二级及以上注册建筑师的得2分。</w:t>
            </w:r>
          </w:p>
          <w:p w14:paraId="55690177">
            <w:pPr>
              <w:rPr>
                <w:rFonts w:hint="default"/>
                <w:lang w:val="en-US" w:eastAsia="zh-CN"/>
              </w:rPr>
            </w:pPr>
            <w:r>
              <w:rPr>
                <w:rFonts w:hint="eastAsia"/>
                <w:lang w:val="en-US" w:eastAsia="zh-CN"/>
              </w:rPr>
              <w:t>项目管理团队具有结构、暖通、电气、给排水等注册专业的有一个得 2分，最高8分。本小项最高得10分。</w:t>
            </w:r>
            <w:bookmarkStart w:id="263" w:name="_GoBack"/>
            <w:bookmarkEnd w:id="263"/>
          </w:p>
          <w:p w14:paraId="67901B10">
            <w:pPr>
              <w:rPr>
                <w:rFonts w:hint="eastAsia" w:ascii="宋体" w:hAnsi="宋体" w:eastAsia="宋体" w:cs="Times New Roman"/>
                <w:b/>
                <w:bCs/>
                <w:color w:val="auto"/>
                <w:sz w:val="24"/>
                <w:szCs w:val="24"/>
                <w:highlight w:val="none"/>
                <w:lang w:val="en-US" w:eastAsia="zh-CN" w:bidi="ar-SA"/>
              </w:rPr>
            </w:pPr>
            <w:r>
              <w:rPr>
                <w:rFonts w:hint="eastAsia"/>
                <w:lang w:val="en-US" w:eastAsia="zh-CN"/>
              </w:rPr>
              <w:t>注：须提供职称证书和专业注册证书原件扫描件。</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54A64F0">
            <w:pPr>
              <w:spacing w:after="0" w:line="360" w:lineRule="auto"/>
              <w:jc w:val="center"/>
              <w:rPr>
                <w:rFonts w:hint="eastAsia" w:ascii="宋体" w:hAnsi="宋体" w:eastAsia="宋体" w:cs="Times New Roman"/>
                <w:b/>
                <w:bCs/>
                <w:color w:val="auto"/>
                <w:sz w:val="24"/>
                <w:szCs w:val="24"/>
                <w:highlight w:val="none"/>
                <w:lang w:val="en-US" w:eastAsia="zh-CN" w:bidi="ar-SA"/>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2659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vMerge w:val="continue"/>
            <w:tcBorders>
              <w:left w:val="single" w:color="auto" w:sz="4" w:space="0"/>
              <w:right w:val="single" w:color="auto" w:sz="4" w:space="0"/>
            </w:tcBorders>
            <w:noWrap w:val="0"/>
            <w:vAlign w:val="center"/>
          </w:tcPr>
          <w:p w14:paraId="56C70AE0">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C93B24E">
            <w:pPr>
              <w:pStyle w:val="54"/>
              <w:keepNext w:val="0"/>
              <w:keepLines w:val="0"/>
              <w:pageBreakBefore w:val="0"/>
              <w:tabs>
                <w:tab w:val="left" w:pos="-213"/>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设计</w:t>
            </w:r>
            <w:r>
              <w:rPr>
                <w:rFonts w:hint="eastAsia" w:ascii="宋体" w:hAnsi="宋体" w:cs="宋体"/>
                <w:color w:val="000000"/>
                <w:kern w:val="0"/>
                <w:sz w:val="24"/>
                <w:szCs w:val="24"/>
                <w:highlight w:val="none"/>
                <w:lang w:val="en-US" w:eastAsia="zh-CN" w:bidi="ar"/>
              </w:rPr>
              <w:t>方案</w:t>
            </w:r>
          </w:p>
          <w:p w14:paraId="3487D2E6">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b w:val="0"/>
                <w:bCs w:val="0"/>
                <w:spacing w:val="10"/>
                <w:sz w:val="24"/>
                <w:szCs w:val="24"/>
                <w:highlight w:val="none"/>
                <w:lang w:val="en-US" w:eastAsia="zh-CN" w:bidi="ar-SA"/>
              </w:rPr>
            </w:pPr>
          </w:p>
        </w:tc>
        <w:tc>
          <w:tcPr>
            <w:tcW w:w="4532" w:type="dxa"/>
            <w:tcBorders>
              <w:top w:val="single" w:color="auto" w:sz="4" w:space="0"/>
              <w:left w:val="single" w:color="auto" w:sz="4" w:space="0"/>
              <w:bottom w:val="single" w:color="auto" w:sz="4" w:space="0"/>
              <w:right w:val="single" w:color="auto" w:sz="4" w:space="0"/>
            </w:tcBorders>
            <w:noWrap w:val="0"/>
            <w:vAlign w:val="center"/>
          </w:tcPr>
          <w:p w14:paraId="2C522597">
            <w:pPr>
              <w:rPr>
                <w:rFonts w:hint="eastAsia"/>
                <w:lang w:val="en-US" w:eastAsia="zh-CN"/>
              </w:rPr>
            </w:pPr>
            <w:r>
              <w:rPr>
                <w:rFonts w:hint="eastAsia"/>
                <w:lang w:val="en-US" w:eastAsia="zh-CN"/>
              </w:rPr>
              <w:t>投标人提交设计成果</w:t>
            </w:r>
          </w:p>
          <w:p w14:paraId="3A657BF6">
            <w:pPr>
              <w:rPr>
                <w:rFonts w:hint="eastAsia"/>
                <w:b/>
                <w:bCs/>
                <w:lang w:val="en-US" w:eastAsia="zh-CN"/>
              </w:rPr>
            </w:pPr>
            <w:r>
              <w:rPr>
                <w:rFonts w:hint="eastAsia"/>
                <w:b/>
                <w:bCs/>
                <w:lang w:val="en-US" w:eastAsia="zh-CN"/>
              </w:rPr>
              <w:t>1.总体规划设计（5分）</w:t>
            </w:r>
          </w:p>
          <w:p w14:paraId="191B9451">
            <w:pPr>
              <w:rPr>
                <w:rFonts w:hint="eastAsia"/>
                <w:lang w:val="en-US" w:eastAsia="zh-CN"/>
              </w:rPr>
            </w:pPr>
            <w:r>
              <w:rPr>
                <w:rFonts w:hint="eastAsia"/>
                <w:lang w:val="en-US" w:eastAsia="zh-CN"/>
              </w:rPr>
              <w:t>方案设计应符合美好乡村建设，建筑风格应节约大方，方案设计内容应充分挖掘本地特产资源，展示设计主题内容应符合当地农产品文化品牌定位，总平面布置应因地制宜，节约土地，布局合理不影响邻里日照人居环境。</w:t>
            </w:r>
          </w:p>
          <w:p w14:paraId="20E45299">
            <w:pPr>
              <w:rPr>
                <w:rFonts w:hint="eastAsia"/>
                <w:lang w:val="en-US" w:eastAsia="zh-CN"/>
              </w:rPr>
            </w:pPr>
            <w:r>
              <w:rPr>
                <w:rFonts w:hint="eastAsia"/>
                <w:lang w:val="en-US" w:eastAsia="zh-CN"/>
              </w:rPr>
              <w:t>①总体规划布局合理优秀、全面、详细得5分，</w:t>
            </w:r>
          </w:p>
          <w:p w14:paraId="760B8FA3">
            <w:pPr>
              <w:rPr>
                <w:rFonts w:hint="eastAsia"/>
                <w:lang w:val="en-US" w:eastAsia="zh-CN"/>
              </w:rPr>
            </w:pPr>
            <w:r>
              <w:rPr>
                <w:rFonts w:hint="eastAsia"/>
                <w:lang w:val="en-US" w:eastAsia="zh-CN"/>
              </w:rPr>
              <w:t>②总体规划方案能够满足施工需求的得 4 分；</w:t>
            </w:r>
          </w:p>
          <w:p w14:paraId="2B0C3C0B">
            <w:pPr>
              <w:rPr>
                <w:rFonts w:hint="eastAsia"/>
                <w:lang w:val="en-US" w:eastAsia="zh-CN"/>
              </w:rPr>
            </w:pPr>
            <w:r>
              <w:rPr>
                <w:rFonts w:hint="eastAsia"/>
                <w:lang w:val="en-US" w:eastAsia="zh-CN"/>
              </w:rPr>
              <w:t>③总体规划清晰，但缺项或关键点缺失或出现非专门本项目特性内容的得3分；</w:t>
            </w:r>
          </w:p>
          <w:p w14:paraId="0D4B4EB9">
            <w:pPr>
              <w:rPr>
                <w:rFonts w:hint="eastAsia"/>
                <w:lang w:val="en-US" w:eastAsia="zh-CN"/>
              </w:rPr>
            </w:pPr>
            <w:r>
              <w:rPr>
                <w:rFonts w:hint="eastAsia"/>
                <w:lang w:val="en-US" w:eastAsia="zh-CN"/>
              </w:rPr>
              <w:t>④总体规划方案不能满足项目实施要求或未提供的不得分。</w:t>
            </w:r>
          </w:p>
          <w:p w14:paraId="6F320DBF">
            <w:pPr>
              <w:rPr>
                <w:rFonts w:hint="eastAsia"/>
                <w:b/>
                <w:bCs/>
                <w:lang w:val="en-US" w:eastAsia="zh-CN"/>
              </w:rPr>
            </w:pPr>
            <w:r>
              <w:rPr>
                <w:rFonts w:hint="eastAsia"/>
                <w:b/>
                <w:bCs/>
                <w:lang w:val="en-US" w:eastAsia="zh-CN"/>
              </w:rPr>
              <w:t>2.整体方案展示（5分）</w:t>
            </w:r>
          </w:p>
          <w:p w14:paraId="26E199A3">
            <w:pPr>
              <w:rPr>
                <w:rFonts w:hint="eastAsia"/>
                <w:lang w:val="en-US" w:eastAsia="zh-CN"/>
              </w:rPr>
            </w:pPr>
            <w:r>
              <w:rPr>
                <w:rFonts w:hint="eastAsia"/>
                <w:lang w:val="en-US" w:eastAsia="zh-CN"/>
              </w:rPr>
              <w:t>效果图应充分展示设计思路，充分表达设计思想的鸟瞰效果图、分析图等，且每个单体应有透视图展示。</w:t>
            </w:r>
          </w:p>
          <w:p w14:paraId="5C57B349">
            <w:pPr>
              <w:rPr>
                <w:rFonts w:hint="eastAsia"/>
                <w:lang w:val="en-US" w:eastAsia="zh-CN"/>
              </w:rPr>
            </w:pPr>
            <w:r>
              <w:rPr>
                <w:rFonts w:hint="eastAsia"/>
                <w:lang w:val="en-US" w:eastAsia="zh-CN"/>
              </w:rPr>
              <w:t>①效果图表达全面、详细得5分；</w:t>
            </w:r>
          </w:p>
          <w:p w14:paraId="14C6E103">
            <w:pPr>
              <w:rPr>
                <w:rFonts w:hint="eastAsia"/>
                <w:lang w:val="en-US" w:eastAsia="zh-CN"/>
              </w:rPr>
            </w:pPr>
            <w:r>
              <w:rPr>
                <w:rFonts w:hint="eastAsia"/>
                <w:lang w:val="en-US" w:eastAsia="zh-CN"/>
              </w:rPr>
              <w:t>②效果图表达一般、单体效果图较全面得4分，</w:t>
            </w:r>
          </w:p>
          <w:p w14:paraId="4A1A3351">
            <w:pPr>
              <w:rPr>
                <w:rFonts w:hint="eastAsia"/>
                <w:lang w:val="en-US" w:eastAsia="zh-CN"/>
              </w:rPr>
            </w:pPr>
            <w:r>
              <w:rPr>
                <w:rFonts w:hint="eastAsia"/>
                <w:lang w:val="en-US" w:eastAsia="zh-CN"/>
              </w:rPr>
              <w:t>③效果图表达较差、单体效果图不全面得3分。</w:t>
            </w:r>
          </w:p>
          <w:p w14:paraId="2AA46C47">
            <w:pPr>
              <w:rPr>
                <w:rFonts w:hint="eastAsia"/>
                <w:lang w:val="en-US" w:eastAsia="zh-CN"/>
              </w:rPr>
            </w:pPr>
            <w:r>
              <w:rPr>
                <w:rFonts w:hint="eastAsia"/>
                <w:lang w:val="en-US" w:eastAsia="zh-CN"/>
              </w:rPr>
              <w:t>④效果图表达差、缺少单体效果图或未提供的不得分。</w:t>
            </w:r>
          </w:p>
          <w:p w14:paraId="0F7853FD">
            <w:pPr>
              <w:rPr>
                <w:rFonts w:hint="eastAsia"/>
                <w:b/>
                <w:bCs/>
                <w:lang w:val="en-US" w:eastAsia="zh-CN"/>
              </w:rPr>
            </w:pPr>
            <w:r>
              <w:rPr>
                <w:rFonts w:hint="eastAsia"/>
                <w:b/>
                <w:bCs/>
                <w:lang w:val="en-US" w:eastAsia="zh-CN"/>
              </w:rPr>
              <w:t>3.加工车间单体方案设计（5分）</w:t>
            </w:r>
          </w:p>
          <w:p w14:paraId="6A4C8FA5">
            <w:pPr>
              <w:rPr>
                <w:rFonts w:hint="eastAsia"/>
                <w:lang w:val="en-US" w:eastAsia="zh-CN"/>
              </w:rPr>
            </w:pPr>
            <w:r>
              <w:rPr>
                <w:rFonts w:hint="eastAsia"/>
                <w:lang w:val="en-US" w:eastAsia="zh-CN"/>
              </w:rPr>
              <w:t>加工车间单体方案设计应满足使用功能要求，结构柱网布局合理，经济美观，需采用较为经济的结构形式。</w:t>
            </w:r>
          </w:p>
          <w:p w14:paraId="08470D5E">
            <w:pPr>
              <w:rPr>
                <w:rFonts w:hint="eastAsia"/>
                <w:lang w:val="en-US" w:eastAsia="zh-CN"/>
              </w:rPr>
            </w:pPr>
            <w:r>
              <w:rPr>
                <w:rFonts w:hint="eastAsia"/>
                <w:lang w:val="en-US" w:eastAsia="zh-CN"/>
              </w:rPr>
              <w:t>①单体方案设计满足使用功能要求，平面合理、结构选型经济得5分，</w:t>
            </w:r>
          </w:p>
          <w:p w14:paraId="34CDDB7E">
            <w:pPr>
              <w:rPr>
                <w:rFonts w:hint="default"/>
                <w:lang w:val="en-US" w:eastAsia="zh-CN"/>
              </w:rPr>
            </w:pPr>
            <w:r>
              <w:rPr>
                <w:rFonts w:hint="eastAsia"/>
                <w:lang w:val="en-US" w:eastAsia="zh-CN"/>
              </w:rPr>
              <w:t>②单体方案设计满足使用功能要求，平面合理、结构选型较经济得4分。</w:t>
            </w:r>
          </w:p>
          <w:p w14:paraId="73AB659A">
            <w:pPr>
              <w:rPr>
                <w:rFonts w:hint="default"/>
                <w:lang w:val="en-US" w:eastAsia="zh-CN"/>
              </w:rPr>
            </w:pPr>
            <w:r>
              <w:rPr>
                <w:rFonts w:hint="eastAsia"/>
                <w:lang w:val="en-US" w:eastAsia="zh-CN"/>
              </w:rPr>
              <w:t>③单体方案设计基本满足使用功能要求，平面较合理、结构选型较较经济得3分。</w:t>
            </w:r>
          </w:p>
          <w:p w14:paraId="7282198D">
            <w:pPr>
              <w:rPr>
                <w:rFonts w:hint="eastAsia"/>
                <w:lang w:val="en-US" w:eastAsia="zh-CN"/>
              </w:rPr>
            </w:pPr>
            <w:r>
              <w:rPr>
                <w:rFonts w:hint="eastAsia"/>
                <w:lang w:val="en-US" w:eastAsia="zh-CN"/>
              </w:rPr>
              <w:t>④单体方案设计不满足使用功能要求，平面不合理、结构选型不经济或未提供的不得分。</w:t>
            </w:r>
          </w:p>
          <w:p w14:paraId="41B47DA1">
            <w:pPr>
              <w:rPr>
                <w:rFonts w:hint="eastAsia"/>
                <w:b/>
                <w:bCs/>
                <w:lang w:val="en-US" w:eastAsia="zh-CN"/>
              </w:rPr>
            </w:pPr>
            <w:r>
              <w:rPr>
                <w:rFonts w:hint="eastAsia"/>
                <w:b/>
                <w:bCs/>
                <w:lang w:val="en-US" w:eastAsia="zh-CN"/>
              </w:rPr>
              <w:t>4.文化体验中心单体方案设计（5分）</w:t>
            </w:r>
          </w:p>
          <w:p w14:paraId="3E5D5A42">
            <w:pPr>
              <w:rPr>
                <w:rFonts w:hint="eastAsia"/>
                <w:lang w:val="en-US" w:eastAsia="zh-CN"/>
              </w:rPr>
            </w:pPr>
            <w:r>
              <w:rPr>
                <w:rFonts w:hint="eastAsia"/>
                <w:lang w:val="en-US" w:eastAsia="zh-CN"/>
              </w:rPr>
              <w:t>平面合理利用地形，优先选择现状空置宅基地建设，突出乡村形象，布置位置应有利于对外宣传、交流等。其中文化体验中心需提供不少于3张的室内装饰效果图，采用室内装饰意向图或P图均视为未提供。</w:t>
            </w:r>
          </w:p>
          <w:p w14:paraId="04B08A32">
            <w:pPr>
              <w:rPr>
                <w:rFonts w:hint="eastAsia"/>
                <w:lang w:val="en-US" w:eastAsia="zh-CN"/>
              </w:rPr>
            </w:pPr>
            <w:r>
              <w:rPr>
                <w:rFonts w:hint="eastAsia"/>
                <w:lang w:val="en-US" w:eastAsia="zh-CN"/>
              </w:rPr>
              <w:t>①单体方案设计全面、详细得5分</w:t>
            </w:r>
          </w:p>
          <w:p w14:paraId="2FA48DD6">
            <w:pPr>
              <w:rPr>
                <w:rFonts w:hint="eastAsia"/>
                <w:lang w:val="en-US" w:eastAsia="zh-CN"/>
              </w:rPr>
            </w:pPr>
            <w:r>
              <w:rPr>
                <w:rFonts w:hint="eastAsia"/>
                <w:lang w:val="en-US" w:eastAsia="zh-CN"/>
              </w:rPr>
              <w:t>②单体方案设计平面合理、布置位置较好得4分</w:t>
            </w:r>
          </w:p>
          <w:p w14:paraId="23DC8FD0">
            <w:pPr>
              <w:rPr>
                <w:rFonts w:hint="eastAsia"/>
                <w:lang w:val="en-US" w:eastAsia="zh-CN"/>
              </w:rPr>
            </w:pPr>
            <w:r>
              <w:rPr>
                <w:rFonts w:hint="eastAsia"/>
                <w:lang w:val="en-US" w:eastAsia="zh-CN"/>
              </w:rPr>
              <w:t>③单体方案设计平面布置一般得3分</w:t>
            </w:r>
          </w:p>
          <w:p w14:paraId="462C869E">
            <w:pPr>
              <w:rPr>
                <w:rFonts w:hint="eastAsia"/>
                <w:lang w:val="en-US" w:eastAsia="zh-CN"/>
              </w:rPr>
            </w:pPr>
            <w:r>
              <w:rPr>
                <w:rFonts w:hint="eastAsia"/>
                <w:lang w:val="en-US" w:eastAsia="zh-CN"/>
              </w:rPr>
              <w:t>④单体方案设计平面布置不合理或缺少室内效果图或未提供的不得分。</w:t>
            </w:r>
          </w:p>
          <w:p w14:paraId="37FD4208">
            <w:pPr>
              <w:rPr>
                <w:rFonts w:hint="eastAsia"/>
                <w:b/>
                <w:bCs/>
                <w:lang w:val="en-US" w:eastAsia="zh-CN"/>
              </w:rPr>
            </w:pPr>
            <w:r>
              <w:rPr>
                <w:rFonts w:hint="eastAsia"/>
                <w:b/>
                <w:bCs/>
                <w:lang w:val="en-US" w:eastAsia="zh-CN"/>
              </w:rPr>
              <w:t>5.加工车间单体施工图设计（5分）</w:t>
            </w:r>
          </w:p>
          <w:p w14:paraId="58F72D4C">
            <w:pPr>
              <w:rPr>
                <w:rFonts w:hint="eastAsia"/>
                <w:lang w:val="en-US" w:eastAsia="zh-CN"/>
              </w:rPr>
            </w:pPr>
            <w:r>
              <w:rPr>
                <w:rFonts w:hint="eastAsia"/>
                <w:lang w:val="en-US" w:eastAsia="zh-CN"/>
              </w:rPr>
              <w:t>加工车间及文化体验中心单体需提供各专业说明及技术图纸，各专业图纸应详细全面，满足施工图设计深度要求。</w:t>
            </w:r>
          </w:p>
          <w:p w14:paraId="772CA886">
            <w:pPr>
              <w:rPr>
                <w:rFonts w:hint="eastAsia"/>
                <w:lang w:val="en-US" w:eastAsia="zh-CN"/>
              </w:rPr>
            </w:pPr>
            <w:r>
              <w:rPr>
                <w:rFonts w:hint="eastAsia"/>
                <w:lang w:val="en-US" w:eastAsia="zh-CN"/>
              </w:rPr>
              <w:t>①各专业图纸详细全面，满足施工图设计深度要求，得5分。</w:t>
            </w:r>
          </w:p>
          <w:p w14:paraId="0DC95DF2">
            <w:pPr>
              <w:rPr>
                <w:rFonts w:hint="eastAsia"/>
                <w:lang w:val="en-US" w:eastAsia="zh-CN"/>
              </w:rPr>
            </w:pPr>
            <w:r>
              <w:rPr>
                <w:rFonts w:hint="default"/>
                <w:lang w:val="en-US" w:eastAsia="zh-CN"/>
              </w:rPr>
              <w:t>②</w:t>
            </w:r>
            <w:r>
              <w:rPr>
                <w:rFonts w:hint="eastAsia"/>
                <w:lang w:val="en-US" w:eastAsia="zh-CN"/>
              </w:rPr>
              <w:t>各专业图纸较详细全面，基本满足施工图设计深度要求，得4分。</w:t>
            </w:r>
          </w:p>
          <w:p w14:paraId="5A715081">
            <w:pPr>
              <w:rPr>
                <w:rFonts w:hint="eastAsia"/>
                <w:lang w:val="en-US" w:eastAsia="zh-CN"/>
              </w:rPr>
            </w:pPr>
            <w:r>
              <w:rPr>
                <w:rFonts w:hint="eastAsia"/>
                <w:lang w:val="en-US" w:eastAsia="zh-CN"/>
              </w:rPr>
              <w:t>③各专业图纸一般，基本满足施工图设计深度要求，得3分。</w:t>
            </w:r>
          </w:p>
          <w:p w14:paraId="41E06BD0">
            <w:pPr>
              <w:rPr>
                <w:rFonts w:hint="eastAsia"/>
                <w:lang w:val="en-US" w:eastAsia="zh-CN"/>
              </w:rPr>
            </w:pPr>
            <w:r>
              <w:rPr>
                <w:rFonts w:hint="eastAsia"/>
                <w:lang w:val="en-US" w:eastAsia="zh-CN"/>
              </w:rPr>
              <w:t>④各专业图纸应不详细全面，不能满足施工图设计深度要求或未提供的不得分。</w:t>
            </w:r>
          </w:p>
          <w:p w14:paraId="690A9F29">
            <w:pPr>
              <w:rPr>
                <w:rFonts w:hint="eastAsia"/>
                <w:b/>
                <w:bCs/>
                <w:lang w:val="en-US" w:eastAsia="zh-CN"/>
              </w:rPr>
            </w:pPr>
            <w:r>
              <w:rPr>
                <w:rFonts w:hint="eastAsia"/>
                <w:b/>
                <w:bCs/>
                <w:lang w:val="en-US" w:eastAsia="zh-CN"/>
              </w:rPr>
              <w:t>6.文化体验中心单体施工图设计（5分）</w:t>
            </w:r>
          </w:p>
          <w:p w14:paraId="33D2086B">
            <w:pPr>
              <w:rPr>
                <w:rFonts w:hint="eastAsia"/>
                <w:lang w:val="en-US" w:eastAsia="zh-CN"/>
              </w:rPr>
            </w:pPr>
            <w:r>
              <w:rPr>
                <w:rFonts w:hint="eastAsia"/>
                <w:lang w:val="en-US" w:eastAsia="zh-CN"/>
              </w:rPr>
              <w:t>文化体验中心单体需提供建筑、结构、给排水、电气各专业说明、技术图纸、大样图等，各专业图纸应详细全面，满足施工图设计深度要求。</w:t>
            </w:r>
          </w:p>
          <w:p w14:paraId="5E9F1A4B">
            <w:pPr>
              <w:rPr>
                <w:rFonts w:hint="eastAsia"/>
                <w:lang w:val="en-US" w:eastAsia="zh-CN"/>
              </w:rPr>
            </w:pPr>
            <w:r>
              <w:rPr>
                <w:rFonts w:hint="eastAsia"/>
                <w:lang w:val="en-US" w:eastAsia="zh-CN"/>
              </w:rPr>
              <w:t>①各专业图纸详细全面，满足施工图设计深度要求，得5分。</w:t>
            </w:r>
          </w:p>
          <w:p w14:paraId="448238A4">
            <w:pPr>
              <w:rPr>
                <w:rFonts w:hint="eastAsia"/>
                <w:lang w:val="en-US" w:eastAsia="zh-CN"/>
              </w:rPr>
            </w:pPr>
            <w:r>
              <w:rPr>
                <w:rFonts w:hint="eastAsia"/>
                <w:lang w:val="en-US" w:eastAsia="zh-CN"/>
              </w:rPr>
              <w:t>②各专业图纸较详细全面，基本满足施工图设计深度要求，得4分。</w:t>
            </w:r>
          </w:p>
          <w:p w14:paraId="028ED4CB">
            <w:pPr>
              <w:rPr>
                <w:rFonts w:hint="eastAsia"/>
                <w:lang w:val="en-US" w:eastAsia="zh-CN"/>
              </w:rPr>
            </w:pPr>
            <w:r>
              <w:rPr>
                <w:rFonts w:hint="eastAsia"/>
                <w:lang w:val="en-US" w:eastAsia="zh-CN"/>
              </w:rPr>
              <w:t>③各专业图纸一般，基本满足施工图设计深度要求，得3分。</w:t>
            </w:r>
          </w:p>
          <w:p w14:paraId="0099AB7C">
            <w:pPr>
              <w:rPr>
                <w:rFonts w:hint="eastAsia"/>
                <w:lang w:val="en-US" w:eastAsia="zh-CN"/>
              </w:rPr>
            </w:pPr>
            <w:r>
              <w:rPr>
                <w:rFonts w:hint="eastAsia"/>
                <w:lang w:val="en-US" w:eastAsia="zh-CN"/>
              </w:rPr>
              <w:t>④各专业图纸应不详细全面，不能满足施工图设计深度要求或未提供的不得分。</w:t>
            </w:r>
          </w:p>
          <w:p w14:paraId="036EA490">
            <w:pPr>
              <w:rPr>
                <w:rFonts w:hint="eastAsia"/>
                <w:b/>
                <w:bCs/>
                <w:lang w:val="en-US" w:eastAsia="zh-CN"/>
              </w:rPr>
            </w:pPr>
            <w:r>
              <w:rPr>
                <w:rFonts w:hint="eastAsia"/>
                <w:b/>
                <w:bCs/>
                <w:lang w:val="en-US" w:eastAsia="zh-CN"/>
              </w:rPr>
              <w:t>7.配套设计（5分）</w:t>
            </w:r>
          </w:p>
          <w:p w14:paraId="46C7BB19">
            <w:pPr>
              <w:rPr>
                <w:rFonts w:hint="eastAsia"/>
                <w:lang w:val="en-US" w:eastAsia="zh-CN"/>
              </w:rPr>
            </w:pPr>
            <w:r>
              <w:rPr>
                <w:rFonts w:hint="eastAsia"/>
                <w:lang w:val="en-US" w:eastAsia="zh-CN"/>
              </w:rPr>
              <w:t>停车场、机动车道路、步行道等应提供具体工程做法；菌房需提供总平面具体落位点及相关设计参数。</w:t>
            </w:r>
          </w:p>
          <w:p w14:paraId="170998DF">
            <w:pPr>
              <w:rPr>
                <w:rFonts w:hint="eastAsia"/>
                <w:lang w:val="en-US" w:eastAsia="zh-CN"/>
              </w:rPr>
            </w:pPr>
            <w:r>
              <w:rPr>
                <w:rFonts w:hint="eastAsia"/>
                <w:lang w:val="en-US" w:eastAsia="zh-CN"/>
              </w:rPr>
              <w:t>①提供具体全面工程做法；菌房提供总平面具体落位点及相关设计参数全面、详细得5分</w:t>
            </w:r>
          </w:p>
          <w:p w14:paraId="5B66798F">
            <w:pPr>
              <w:rPr>
                <w:rFonts w:hint="eastAsia"/>
                <w:lang w:val="en-US" w:eastAsia="zh-CN"/>
              </w:rPr>
            </w:pPr>
            <w:r>
              <w:rPr>
                <w:rFonts w:hint="eastAsia"/>
                <w:lang w:val="en-US" w:eastAsia="zh-CN"/>
              </w:rPr>
              <w:t>②提供工程做法较全面；菌房提供总平面具体落位点及相关设计参数全面、详细得4分。</w:t>
            </w:r>
          </w:p>
          <w:p w14:paraId="662067BE">
            <w:pPr>
              <w:rPr>
                <w:rFonts w:hint="eastAsia"/>
                <w:lang w:val="en-US" w:eastAsia="zh-CN"/>
              </w:rPr>
            </w:pPr>
            <w:r>
              <w:rPr>
                <w:rFonts w:hint="eastAsia"/>
                <w:lang w:val="en-US" w:eastAsia="zh-CN"/>
              </w:rPr>
              <w:t>③停车场、机动车道路、步行道等提供体工程做法较全面；菌房提供总平面具体落位点及相关设计参数较全面得3分。</w:t>
            </w:r>
          </w:p>
          <w:p w14:paraId="617CAB05">
            <w:pPr>
              <w:rPr>
                <w:rFonts w:hint="eastAsia"/>
                <w:lang w:val="en-US" w:eastAsia="zh-CN"/>
              </w:rPr>
            </w:pPr>
            <w:r>
              <w:rPr>
                <w:rFonts w:hint="eastAsia"/>
                <w:lang w:val="en-US" w:eastAsia="zh-CN"/>
              </w:rPr>
              <w:t>④停车场、机动车道路、步行道等提供工程做法不全面；</w:t>
            </w:r>
          </w:p>
          <w:p w14:paraId="168FDD62">
            <w:pPr>
              <w:rPr>
                <w:rFonts w:hint="eastAsia"/>
                <w:lang w:val="en-US" w:eastAsia="zh-CN"/>
              </w:rPr>
            </w:pPr>
            <w:r>
              <w:rPr>
                <w:rFonts w:hint="eastAsia"/>
                <w:lang w:val="en-US" w:eastAsia="zh-CN"/>
              </w:rPr>
              <w:t>菌房提供总平面具体落位点及相关设计参数不明确或未提供的不得分。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E72F5A6">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b/>
                <w:bCs/>
                <w:color w:val="auto"/>
                <w:sz w:val="24"/>
                <w:szCs w:val="24"/>
                <w:highlight w:val="none"/>
                <w:lang w:val="en-US" w:eastAsia="zh-CN"/>
              </w:rPr>
              <w:t>0-3</w:t>
            </w:r>
            <w:r>
              <w:rPr>
                <w:rFonts w:hint="eastAsia"/>
                <w:b/>
                <w:bCs/>
                <w:color w:val="auto"/>
                <w:sz w:val="24"/>
                <w:szCs w:val="24"/>
                <w:highlight w:val="none"/>
                <w:lang w:val="en-US" w:eastAsia="zh-CN"/>
              </w:rPr>
              <w:t>5</w:t>
            </w:r>
            <w:r>
              <w:rPr>
                <w:rFonts w:hint="eastAsia" w:ascii="宋体" w:hAnsi="宋体" w:eastAsia="宋体"/>
                <w:b/>
                <w:bCs/>
                <w:color w:val="auto"/>
                <w:sz w:val="24"/>
                <w:szCs w:val="24"/>
                <w:highlight w:val="none"/>
                <w:lang w:val="en-US" w:eastAsia="zh-CN"/>
              </w:rPr>
              <w:t>分</w:t>
            </w:r>
          </w:p>
        </w:tc>
      </w:tr>
      <w:tr w14:paraId="3F78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14:paraId="2F52DB92">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475C25A1">
            <w:pPr>
              <w:spacing w:after="0" w:line="282" w:lineRule="auto"/>
              <w:rPr>
                <w:rFonts w:ascii="Arial"/>
                <w:sz w:val="21"/>
                <w:highlight w:val="none"/>
              </w:rPr>
            </w:pPr>
          </w:p>
          <w:p w14:paraId="0303ED49">
            <w:pPr>
              <w:spacing w:after="0" w:line="282" w:lineRule="auto"/>
              <w:rPr>
                <w:rFonts w:ascii="Arial"/>
                <w:sz w:val="21"/>
                <w:highlight w:val="none"/>
              </w:rPr>
            </w:pPr>
          </w:p>
          <w:p w14:paraId="2228D85B">
            <w:pPr>
              <w:spacing w:after="0" w:line="283" w:lineRule="auto"/>
              <w:rPr>
                <w:rFonts w:ascii="Arial"/>
                <w:sz w:val="21"/>
                <w:highlight w:val="none"/>
              </w:rPr>
            </w:pPr>
          </w:p>
          <w:p w14:paraId="0669FE35">
            <w:pPr>
              <w:spacing w:after="0" w:line="283" w:lineRule="auto"/>
              <w:rPr>
                <w:rFonts w:ascii="Arial"/>
                <w:sz w:val="21"/>
                <w:highlight w:val="none"/>
              </w:rPr>
            </w:pPr>
          </w:p>
          <w:p w14:paraId="1AAA0846">
            <w:pPr>
              <w:keepNext w:val="0"/>
              <w:keepLines w:val="0"/>
              <w:widowControl/>
              <w:suppressLineNumbers w:val="0"/>
              <w:jc w:val="left"/>
              <w:rPr>
                <w:rFonts w:hint="default" w:ascii="宋体" w:hAnsi="宋体" w:eastAsia="宋体" w:cs="宋体"/>
                <w:b w:val="0"/>
                <w:bCs w:val="0"/>
                <w:spacing w:val="10"/>
                <w:sz w:val="24"/>
                <w:szCs w:val="24"/>
                <w:highlight w:val="none"/>
                <w:lang w:val="en-US" w:eastAsia="zh-CN"/>
              </w:rPr>
            </w:pPr>
            <w:r>
              <w:rPr>
                <w:rFonts w:hint="eastAsia" w:ascii="宋体" w:hAnsi="宋体" w:eastAsia="宋体" w:cs="宋体"/>
                <w:color w:val="000000"/>
                <w:kern w:val="0"/>
                <w:sz w:val="24"/>
                <w:szCs w:val="24"/>
                <w:lang w:val="en-US" w:eastAsia="zh-CN" w:bidi="ar"/>
              </w:rPr>
              <w:t>3、主要技术措</w:t>
            </w:r>
            <w:r>
              <w:rPr>
                <w:rFonts w:hint="eastAsia" w:ascii="宋体" w:hAnsi="宋体" w:eastAsia="宋体" w:cs="宋体"/>
                <w:color w:val="000000"/>
                <w:kern w:val="0"/>
                <w:sz w:val="24"/>
                <w:szCs w:val="24"/>
                <w:highlight w:val="none"/>
                <w:lang w:val="en-US" w:eastAsia="zh-CN" w:bidi="ar"/>
              </w:rPr>
              <w:t>施</w:t>
            </w:r>
          </w:p>
        </w:tc>
        <w:tc>
          <w:tcPr>
            <w:tcW w:w="4532" w:type="dxa"/>
            <w:tcBorders>
              <w:top w:val="single" w:color="auto" w:sz="4" w:space="0"/>
              <w:left w:val="single" w:color="auto" w:sz="4" w:space="0"/>
              <w:bottom w:val="single" w:color="auto" w:sz="4" w:space="0"/>
              <w:right w:val="single" w:color="auto" w:sz="4" w:space="0"/>
            </w:tcBorders>
            <w:noWrap w:val="0"/>
            <w:vAlign w:val="top"/>
          </w:tcPr>
          <w:p w14:paraId="7CF4D83A">
            <w:pPr>
              <w:rPr>
                <w:rFonts w:hint="eastAsia"/>
                <w:lang w:val="en-US" w:eastAsia="zh-CN"/>
              </w:rPr>
            </w:pPr>
            <w:r>
              <w:rPr>
                <w:rFonts w:hint="eastAsia"/>
                <w:lang w:val="en-US" w:eastAsia="zh-CN"/>
              </w:rPr>
              <w:t xml:space="preserve">根据供应商提供的各分部分项工程的主要技术措施进行综合评分： </w:t>
            </w:r>
          </w:p>
          <w:p w14:paraId="69021780">
            <w:pPr>
              <w:rPr>
                <w:rFonts w:hint="eastAsia"/>
                <w:lang w:val="en-US" w:eastAsia="zh-CN"/>
              </w:rPr>
            </w:pPr>
            <w:r>
              <w:rPr>
                <w:rFonts w:hint="eastAsia"/>
                <w:lang w:val="en-US" w:eastAsia="zh-CN"/>
              </w:rPr>
              <w:t xml:space="preserve">①技术措施贴合项目实际，有详尽的施工技术措施，工艺先进、方法可行，能够高质高 效的施工并确保安的， </w:t>
            </w:r>
          </w:p>
          <w:p w14:paraId="1506CB2A">
            <w:pPr>
              <w:rPr>
                <w:rFonts w:hint="eastAsia"/>
                <w:lang w:val="en-US" w:eastAsia="zh-CN"/>
              </w:rPr>
            </w:pPr>
            <w:r>
              <w:rPr>
                <w:rFonts w:hint="eastAsia"/>
                <w:lang w:val="en-US" w:eastAsia="zh-CN"/>
              </w:rPr>
              <w:t xml:space="preserve">得 5 分； </w:t>
            </w:r>
          </w:p>
          <w:p w14:paraId="4A16DF43">
            <w:pPr>
              <w:rPr>
                <w:rFonts w:hint="eastAsia"/>
                <w:lang w:val="en-US" w:eastAsia="zh-CN"/>
              </w:rPr>
            </w:pPr>
            <w:r>
              <w:rPr>
                <w:rFonts w:hint="eastAsia"/>
                <w:lang w:val="en-US" w:eastAsia="zh-CN"/>
              </w:rPr>
              <w:t>②技术措施符合项目实际，技术措施基本完整，工艺符合 施工需求、能指导具体施工并确保安全的，得4分；</w:t>
            </w:r>
          </w:p>
          <w:p w14:paraId="50772FB5">
            <w:pPr>
              <w:rPr>
                <w:rFonts w:hint="eastAsia"/>
                <w:lang w:val="en-US" w:eastAsia="zh-CN"/>
              </w:rPr>
            </w:pPr>
            <w:r>
              <w:rPr>
                <w:rFonts w:hint="eastAsia"/>
                <w:lang w:val="en-US" w:eastAsia="zh-CN"/>
              </w:rPr>
              <w:t xml:space="preserve">③技术措施符合项目实际，技术措施需调整，工艺需完善、基本能够指导具体施工的，得 3 分； </w:t>
            </w:r>
          </w:p>
          <w:p w14:paraId="6A445E7E">
            <w:pPr>
              <w:rPr>
                <w:rFonts w:hint="eastAsia" w:ascii="宋体" w:hAnsi="宋体" w:cs="宋体"/>
                <w:snapToGrid w:val="0"/>
                <w:color w:val="auto"/>
                <w:kern w:val="0"/>
                <w:sz w:val="24"/>
                <w:szCs w:val="24"/>
                <w:highlight w:val="none"/>
                <w:lang w:val="en-US" w:eastAsia="zh-CN"/>
              </w:rPr>
            </w:pPr>
            <w:r>
              <w:rPr>
                <w:rFonts w:hint="eastAsia"/>
                <w:lang w:val="en-US" w:eastAsia="zh-CN"/>
              </w:rPr>
              <w:t>④技术措施不能满足项目实施要求或未提供的，不得分。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1B662DB">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0-5分</w:t>
            </w:r>
          </w:p>
        </w:tc>
      </w:tr>
      <w:tr w14:paraId="1539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14:paraId="1D6E7253">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1088911">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b w:val="0"/>
                <w:bCs w:val="0"/>
                <w:spacing w:val="10"/>
                <w:sz w:val="24"/>
                <w:szCs w:val="24"/>
                <w:highlight w:val="none"/>
                <w:lang w:val="en-US" w:eastAsia="zh-CN"/>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施工重难点分析</w:t>
            </w:r>
          </w:p>
        </w:tc>
        <w:tc>
          <w:tcPr>
            <w:tcW w:w="4532" w:type="dxa"/>
            <w:tcBorders>
              <w:top w:val="single" w:color="auto" w:sz="4" w:space="0"/>
              <w:left w:val="single" w:color="auto" w:sz="4" w:space="0"/>
              <w:bottom w:val="single" w:color="auto" w:sz="4" w:space="0"/>
              <w:right w:val="single" w:color="auto" w:sz="4" w:space="0"/>
            </w:tcBorders>
            <w:noWrap w:val="0"/>
            <w:vAlign w:val="center"/>
          </w:tcPr>
          <w:p w14:paraId="329EE785">
            <w:pPr>
              <w:rPr>
                <w:rFonts w:hint="eastAsia"/>
                <w:lang w:val="en-US" w:eastAsia="zh-CN"/>
              </w:rPr>
            </w:pPr>
            <w:r>
              <w:rPr>
                <w:rFonts w:hint="eastAsia"/>
                <w:lang w:val="en-US" w:eastAsia="zh-CN"/>
              </w:rPr>
              <w:t>根据供应商提供的施工重难点分析是否透彻、准确，是否有针对性的实施策略和切实可行的解决方案等因素进行评分：</w:t>
            </w:r>
          </w:p>
          <w:p w14:paraId="02FE34EE">
            <w:pPr>
              <w:rPr>
                <w:rFonts w:hint="eastAsia"/>
                <w:lang w:val="en-US" w:eastAsia="zh-CN"/>
              </w:rPr>
            </w:pPr>
            <w:r>
              <w:rPr>
                <w:rFonts w:hint="eastAsia"/>
                <w:lang w:val="en-US" w:eastAsia="zh-CN"/>
              </w:rPr>
              <w:t>①内容全面、详实，与本项目现状适应度高，利于项目实施的，得5分；</w:t>
            </w:r>
          </w:p>
          <w:p w14:paraId="0710894A">
            <w:pPr>
              <w:rPr>
                <w:rFonts w:hint="eastAsia"/>
                <w:lang w:val="en-US" w:eastAsia="zh-CN"/>
              </w:rPr>
            </w:pPr>
            <w:r>
              <w:rPr>
                <w:rFonts w:hint="eastAsia"/>
                <w:lang w:val="en-US" w:eastAsia="zh-CN"/>
              </w:rPr>
              <w:t>②内容完整，符合项目现状，满足项目实施的需求，得4分；</w:t>
            </w:r>
          </w:p>
          <w:p w14:paraId="2AEEEAC1">
            <w:pPr>
              <w:rPr>
                <w:rFonts w:hint="eastAsia"/>
                <w:lang w:val="en-US" w:eastAsia="zh-CN"/>
              </w:rPr>
            </w:pPr>
            <w:r>
              <w:rPr>
                <w:rFonts w:hint="eastAsia"/>
                <w:lang w:val="en-US" w:eastAsia="zh-CN"/>
              </w:rPr>
              <w:t>③内容单一，可以实施，得3分；</w:t>
            </w:r>
          </w:p>
          <w:p w14:paraId="2FB417AE">
            <w:pPr>
              <w:rPr>
                <w:rFonts w:hint="eastAsia"/>
                <w:lang w:val="en-US" w:eastAsia="zh-CN"/>
              </w:rPr>
            </w:pPr>
            <w:r>
              <w:rPr>
                <w:rFonts w:hint="eastAsia"/>
                <w:lang w:val="en-US" w:eastAsia="zh-CN"/>
              </w:rPr>
              <w:t>④内容不完整，得2分；</w:t>
            </w:r>
          </w:p>
          <w:p w14:paraId="7F5B7330">
            <w:pPr>
              <w:rPr>
                <w:rFonts w:hint="eastAsia"/>
                <w:lang w:val="en-US" w:eastAsia="zh-CN"/>
              </w:rPr>
            </w:pPr>
            <w:r>
              <w:rPr>
                <w:rFonts w:hint="eastAsia"/>
                <w:lang w:val="en-US" w:eastAsia="zh-CN"/>
              </w:rPr>
              <w:t>⑤未提供相关内容的得0分。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80BACC4">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0-5分</w:t>
            </w:r>
          </w:p>
        </w:tc>
      </w:tr>
      <w:tr w14:paraId="0245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14:paraId="1FE616B1">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EFD227D">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b w:val="0"/>
                <w:bCs w:val="0"/>
                <w:spacing w:val="10"/>
                <w:sz w:val="24"/>
                <w:szCs w:val="24"/>
                <w:highlight w:val="none"/>
                <w:lang w:val="en-US" w:eastAsia="zh-CN"/>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合理化建议</w:t>
            </w:r>
          </w:p>
        </w:tc>
        <w:tc>
          <w:tcPr>
            <w:tcW w:w="4532" w:type="dxa"/>
            <w:tcBorders>
              <w:top w:val="single" w:color="auto" w:sz="4" w:space="0"/>
              <w:left w:val="single" w:color="auto" w:sz="4" w:space="0"/>
              <w:bottom w:val="single" w:color="auto" w:sz="4" w:space="0"/>
              <w:right w:val="single" w:color="auto" w:sz="4" w:space="0"/>
            </w:tcBorders>
            <w:noWrap w:val="0"/>
            <w:vAlign w:val="center"/>
          </w:tcPr>
          <w:p w14:paraId="56D42D13">
            <w:pPr>
              <w:rPr>
                <w:rFonts w:hint="eastAsia"/>
                <w:lang w:val="en-US" w:eastAsia="zh-CN"/>
              </w:rPr>
            </w:pPr>
            <w:r>
              <w:rPr>
                <w:rFonts w:hint="eastAsia"/>
                <w:lang w:val="en-US" w:eastAsia="zh-CN"/>
              </w:rPr>
              <w:t>根据供应商提供的合理化建议是否有益于项目实施、有益于和美乡村发展，是否具有实用性，是否有效可行等因素进行评分：</w:t>
            </w:r>
          </w:p>
          <w:p w14:paraId="0A5E35D4">
            <w:pPr>
              <w:rPr>
                <w:rFonts w:hint="eastAsia"/>
                <w:lang w:val="en-US" w:eastAsia="zh-CN"/>
              </w:rPr>
            </w:pPr>
            <w:r>
              <w:rPr>
                <w:rFonts w:hint="eastAsia"/>
                <w:lang w:val="en-US" w:eastAsia="zh-CN"/>
              </w:rPr>
              <w:t>①内容全面、详实，与本项目现状适应度高，利于项目实施的，得5分；</w:t>
            </w:r>
          </w:p>
          <w:p w14:paraId="45EBDC95">
            <w:pPr>
              <w:rPr>
                <w:rFonts w:hint="eastAsia"/>
                <w:lang w:val="en-US" w:eastAsia="zh-CN"/>
              </w:rPr>
            </w:pPr>
            <w:r>
              <w:rPr>
                <w:rFonts w:hint="eastAsia"/>
                <w:lang w:val="en-US" w:eastAsia="zh-CN"/>
              </w:rPr>
              <w:t>②内容完整，符合项目现状，满足项目实施的需求，得4分；</w:t>
            </w:r>
          </w:p>
          <w:p w14:paraId="42D950C8">
            <w:pPr>
              <w:rPr>
                <w:rFonts w:hint="eastAsia"/>
                <w:lang w:val="en-US" w:eastAsia="zh-CN"/>
              </w:rPr>
            </w:pPr>
            <w:r>
              <w:rPr>
                <w:rFonts w:hint="eastAsia"/>
                <w:lang w:val="en-US" w:eastAsia="zh-CN"/>
              </w:rPr>
              <w:t>③内容单一，可以实施，得3分；</w:t>
            </w:r>
          </w:p>
          <w:p w14:paraId="29D0B96A">
            <w:pPr>
              <w:rPr>
                <w:rFonts w:hint="eastAsia"/>
                <w:lang w:val="en-US" w:eastAsia="zh-CN"/>
              </w:rPr>
            </w:pPr>
            <w:r>
              <w:rPr>
                <w:rFonts w:hint="eastAsia"/>
                <w:lang w:val="en-US" w:eastAsia="zh-CN"/>
              </w:rPr>
              <w:t>④内容不完整，得2分；</w:t>
            </w:r>
          </w:p>
          <w:p w14:paraId="4782F6C4">
            <w:pPr>
              <w:rPr>
                <w:rFonts w:hint="eastAsia" w:ascii="宋体" w:hAnsi="宋体" w:eastAsia="宋体" w:cs="宋体"/>
                <w:b w:val="0"/>
                <w:bCs w:val="0"/>
                <w:color w:val="auto"/>
                <w:spacing w:val="10"/>
                <w:sz w:val="24"/>
                <w:szCs w:val="24"/>
                <w:highlight w:val="none"/>
                <w:lang w:val="en-US" w:eastAsia="zh-CN"/>
              </w:rPr>
            </w:pPr>
            <w:r>
              <w:rPr>
                <w:rFonts w:hint="eastAsia"/>
                <w:lang w:val="en-US" w:eastAsia="zh-CN"/>
              </w:rPr>
              <w:t>⑤未提供相关内容的得0分。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AAE9621">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0-5分</w:t>
            </w:r>
          </w:p>
        </w:tc>
      </w:tr>
      <w:tr w14:paraId="3311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14:paraId="0CBB06A9">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55727B9">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b w:val="0"/>
                <w:bCs w:val="0"/>
                <w:spacing w:val="10"/>
                <w:sz w:val="24"/>
                <w:szCs w:val="24"/>
                <w:highlight w:val="none"/>
                <w:lang w:val="en-US" w:eastAsia="zh-CN"/>
              </w:rPr>
            </w:pP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施工组织设计</w:t>
            </w:r>
          </w:p>
        </w:tc>
        <w:tc>
          <w:tcPr>
            <w:tcW w:w="4532" w:type="dxa"/>
            <w:tcBorders>
              <w:top w:val="single" w:color="auto" w:sz="4" w:space="0"/>
              <w:left w:val="single" w:color="auto" w:sz="4" w:space="0"/>
              <w:bottom w:val="single" w:color="auto" w:sz="4" w:space="0"/>
              <w:right w:val="single" w:color="auto" w:sz="4" w:space="0"/>
            </w:tcBorders>
            <w:noWrap w:val="0"/>
            <w:vAlign w:val="center"/>
          </w:tcPr>
          <w:p w14:paraId="249CA5C8">
            <w:pPr>
              <w:rPr>
                <w:rFonts w:hint="eastAsia"/>
                <w:lang w:val="en-US" w:eastAsia="zh-CN"/>
              </w:rPr>
            </w:pPr>
            <w:r>
              <w:rPr>
                <w:rFonts w:hint="eastAsia"/>
                <w:lang w:val="en-US" w:eastAsia="zh-CN"/>
              </w:rPr>
              <w:t>根据供应商提供施工组织设计中施工进度保证措施、主要施工方案及措施、确保工程质量、文明施工及安全生产的组织措施等因素进行评审：</w:t>
            </w:r>
          </w:p>
          <w:p w14:paraId="2ADFA7D1">
            <w:pPr>
              <w:rPr>
                <w:rFonts w:hint="eastAsia"/>
                <w:lang w:val="en-US" w:eastAsia="zh-CN"/>
              </w:rPr>
            </w:pPr>
            <w:r>
              <w:rPr>
                <w:rFonts w:hint="eastAsia"/>
                <w:lang w:val="en-US" w:eastAsia="zh-CN"/>
              </w:rPr>
              <w:t>①内容全面、详实，与本项目现状适应度高，利于项目实施的，得5分；</w:t>
            </w:r>
          </w:p>
          <w:p w14:paraId="4CE9B9A7">
            <w:pPr>
              <w:rPr>
                <w:rFonts w:hint="eastAsia"/>
                <w:lang w:val="en-US" w:eastAsia="zh-CN"/>
              </w:rPr>
            </w:pPr>
            <w:r>
              <w:rPr>
                <w:rFonts w:hint="eastAsia"/>
                <w:lang w:val="en-US" w:eastAsia="zh-CN"/>
              </w:rPr>
              <w:t>②内容完整，符合项目现状，满足项目实施的需求，得4分；</w:t>
            </w:r>
          </w:p>
          <w:p w14:paraId="04A8CFE3">
            <w:pPr>
              <w:rPr>
                <w:rFonts w:hint="eastAsia"/>
                <w:lang w:val="en-US" w:eastAsia="zh-CN"/>
              </w:rPr>
            </w:pPr>
            <w:r>
              <w:rPr>
                <w:rFonts w:hint="eastAsia"/>
                <w:lang w:val="en-US" w:eastAsia="zh-CN"/>
              </w:rPr>
              <w:t>③内容单一，可以实施，得3分；</w:t>
            </w:r>
          </w:p>
          <w:p w14:paraId="1D2E522F">
            <w:pPr>
              <w:rPr>
                <w:rFonts w:hint="eastAsia"/>
                <w:lang w:val="en-US" w:eastAsia="zh-CN"/>
              </w:rPr>
            </w:pPr>
            <w:r>
              <w:rPr>
                <w:rFonts w:hint="eastAsia"/>
                <w:lang w:val="en-US" w:eastAsia="zh-CN"/>
              </w:rPr>
              <w:t>④内容不完整，得2分；</w:t>
            </w:r>
          </w:p>
          <w:p w14:paraId="61DCB690">
            <w:pPr>
              <w:rPr>
                <w:rFonts w:hint="eastAsia"/>
                <w:lang w:val="en-US" w:eastAsia="zh-CN"/>
              </w:rPr>
            </w:pPr>
            <w:r>
              <w:rPr>
                <w:rFonts w:hint="eastAsia"/>
                <w:lang w:val="en-US" w:eastAsia="zh-CN"/>
              </w:rPr>
              <w:t>⑤未提供相关内容的得0分。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6E4224E">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0-5分</w:t>
            </w:r>
          </w:p>
        </w:tc>
      </w:tr>
      <w:tr w14:paraId="4A1F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tcBorders>
              <w:left w:val="single" w:color="auto" w:sz="4" w:space="0"/>
              <w:right w:val="single" w:color="auto" w:sz="4" w:space="0"/>
            </w:tcBorders>
            <w:noWrap w:val="0"/>
            <w:vAlign w:val="center"/>
          </w:tcPr>
          <w:p w14:paraId="2CEB7728">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F7E12D9">
            <w:pPr>
              <w:keepNext w:val="0"/>
              <w:keepLines w:val="0"/>
              <w:widowControl/>
              <w:suppressLineNumbers w:val="0"/>
              <w:jc w:val="left"/>
            </w:pPr>
            <w:r>
              <w:rPr>
                <w:rFonts w:hint="eastAsia" w:ascii="宋体" w:hAnsi="宋体" w:eastAsia="宋体" w:cs="宋体"/>
                <w:color w:val="000000"/>
                <w:kern w:val="0"/>
                <w:sz w:val="24"/>
                <w:szCs w:val="24"/>
                <w:lang w:val="en-US" w:eastAsia="zh-CN" w:bidi="ar"/>
              </w:rPr>
              <w:t>7、主要施工方案</w:t>
            </w:r>
          </w:p>
          <w:p w14:paraId="1C367433">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000000"/>
                <w:kern w:val="0"/>
                <w:sz w:val="24"/>
                <w:szCs w:val="24"/>
                <w:highlight w:val="none"/>
                <w:lang w:val="en-US" w:eastAsia="zh-CN" w:bidi="ar"/>
              </w:rPr>
            </w:pPr>
          </w:p>
        </w:tc>
        <w:tc>
          <w:tcPr>
            <w:tcW w:w="4532" w:type="dxa"/>
            <w:tcBorders>
              <w:top w:val="single" w:color="auto" w:sz="4" w:space="0"/>
              <w:left w:val="single" w:color="auto" w:sz="4" w:space="0"/>
              <w:bottom w:val="single" w:color="auto" w:sz="4" w:space="0"/>
              <w:right w:val="single" w:color="auto" w:sz="4" w:space="0"/>
            </w:tcBorders>
            <w:noWrap w:val="0"/>
            <w:vAlign w:val="center"/>
          </w:tcPr>
          <w:p w14:paraId="1996C9CF">
            <w:pPr>
              <w:rPr>
                <w:rFonts w:hint="eastAsia"/>
                <w:lang w:val="en-US" w:eastAsia="zh-CN"/>
              </w:rPr>
            </w:pPr>
            <w:r>
              <w:rPr>
                <w:rFonts w:hint="eastAsia"/>
                <w:lang w:val="en-US" w:eastAsia="zh-CN"/>
              </w:rPr>
              <w:t xml:space="preserve">①各主要分部施工方案贴合项目实际，施工技术方案、方法详尽，结合目前先进工艺、施工实施方法，施工方案高质高效并确保安全得 5 分； </w:t>
            </w:r>
          </w:p>
          <w:p w14:paraId="2F5E704D">
            <w:pPr>
              <w:rPr>
                <w:rFonts w:hint="eastAsia"/>
                <w:lang w:val="en-US" w:eastAsia="zh-CN"/>
              </w:rPr>
            </w:pPr>
            <w:r>
              <w:rPr>
                <w:rFonts w:hint="eastAsia"/>
                <w:lang w:val="en-US" w:eastAsia="zh-CN"/>
              </w:rPr>
              <w:t xml:space="preserve">②各主要分部施工方案符合项目实际，施工技术方案完整，对项目实施流程有把控，施工方案中的工艺符合施工需求得4 分； </w:t>
            </w:r>
          </w:p>
          <w:p w14:paraId="6B4259F8">
            <w:pPr>
              <w:rPr>
                <w:rFonts w:hint="eastAsia"/>
                <w:lang w:val="en-US" w:eastAsia="zh-CN"/>
              </w:rPr>
            </w:pPr>
            <w:r>
              <w:rPr>
                <w:rFonts w:hint="eastAsia"/>
                <w:lang w:val="en-US" w:eastAsia="zh-CN"/>
              </w:rPr>
              <w:t xml:space="preserve">③各主要分部施工方案清晰，但施工技术方案中的实施步骤混乱欠缺或出现非专门本项目特性内容，工艺描述较为落后得3分； </w:t>
            </w:r>
          </w:p>
          <w:p w14:paraId="3D8C13C5">
            <w:pPr>
              <w:rPr>
                <w:rFonts w:hint="eastAsia"/>
                <w:lang w:val="en-US" w:eastAsia="zh-CN"/>
              </w:rPr>
            </w:pPr>
            <w:r>
              <w:rPr>
                <w:rFonts w:hint="eastAsia"/>
                <w:lang w:val="en-US" w:eastAsia="zh-CN"/>
              </w:rPr>
              <w:t>④方案不能满足项目实施要求或未提供的不得分。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488A8B8">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14:paraId="5692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478" w:type="dxa"/>
            <w:tcBorders>
              <w:left w:val="single" w:color="auto" w:sz="4" w:space="0"/>
              <w:right w:val="single" w:color="auto" w:sz="4" w:space="0"/>
            </w:tcBorders>
            <w:noWrap w:val="0"/>
            <w:vAlign w:val="center"/>
          </w:tcPr>
          <w:p w14:paraId="3F629176">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36EE4B7">
            <w:pPr>
              <w:keepNext w:val="0"/>
              <w:keepLines w:val="0"/>
              <w:widowControl/>
              <w:suppressLineNumbers w:val="0"/>
              <w:jc w:val="left"/>
            </w:pPr>
            <w:r>
              <w:rPr>
                <w:rFonts w:hint="eastAsia" w:ascii="宋体" w:hAnsi="宋体" w:eastAsia="宋体" w:cs="宋体"/>
                <w:color w:val="000000"/>
                <w:kern w:val="0"/>
                <w:sz w:val="24"/>
                <w:szCs w:val="24"/>
                <w:lang w:val="en-US" w:eastAsia="zh-CN" w:bidi="ar"/>
              </w:rPr>
              <w:t>8、环保措施</w:t>
            </w:r>
          </w:p>
          <w:p w14:paraId="1688CE18">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000000"/>
                <w:kern w:val="0"/>
                <w:sz w:val="24"/>
                <w:szCs w:val="24"/>
                <w:highlight w:val="none"/>
                <w:lang w:val="en-US" w:eastAsia="zh-CN" w:bidi="ar"/>
              </w:rPr>
            </w:pPr>
          </w:p>
        </w:tc>
        <w:tc>
          <w:tcPr>
            <w:tcW w:w="4532" w:type="dxa"/>
            <w:tcBorders>
              <w:top w:val="single" w:color="auto" w:sz="4" w:space="0"/>
              <w:left w:val="single" w:color="auto" w:sz="4" w:space="0"/>
              <w:bottom w:val="single" w:color="auto" w:sz="4" w:space="0"/>
              <w:right w:val="single" w:color="auto" w:sz="4" w:space="0"/>
            </w:tcBorders>
            <w:noWrap w:val="0"/>
            <w:vAlign w:val="center"/>
          </w:tcPr>
          <w:p w14:paraId="384FAD8E">
            <w:pPr>
              <w:rPr>
                <w:rFonts w:hint="eastAsia"/>
                <w:lang w:val="en-US" w:eastAsia="zh-CN"/>
              </w:rPr>
            </w:pPr>
            <w:r>
              <w:rPr>
                <w:rFonts w:hint="eastAsia"/>
                <w:lang w:val="en-US" w:eastAsia="zh-CN"/>
              </w:rPr>
              <w:t xml:space="preserve">①本项目特点，应有现场环保施工计划，环保措施。各项措施周全、具体的得 5 分； </w:t>
            </w:r>
          </w:p>
          <w:p w14:paraId="0D111FB0">
            <w:pPr>
              <w:rPr>
                <w:rFonts w:hint="eastAsia"/>
                <w:lang w:val="en-US" w:eastAsia="zh-CN"/>
              </w:rPr>
            </w:pPr>
            <w:r>
              <w:rPr>
                <w:rFonts w:hint="eastAsia"/>
                <w:lang w:val="en-US" w:eastAsia="zh-CN"/>
              </w:rPr>
              <w:t xml:space="preserve">②本项目特点，应有现场环保施工计划，环保措施。各项措施周全、具体但有待完善的得 4 分； </w:t>
            </w:r>
          </w:p>
          <w:p w14:paraId="0DD12665">
            <w:pPr>
              <w:rPr>
                <w:rFonts w:hint="eastAsia"/>
                <w:lang w:val="en-US" w:eastAsia="zh-CN"/>
              </w:rPr>
            </w:pPr>
            <w:r>
              <w:rPr>
                <w:rFonts w:hint="eastAsia"/>
                <w:lang w:val="en-US" w:eastAsia="zh-CN"/>
              </w:rPr>
              <w:t xml:space="preserve">③本项目特点，有现场环保施工计划，环保措施。但缺项或关键点缺失的得 3 分； </w:t>
            </w:r>
          </w:p>
          <w:p w14:paraId="4147434A">
            <w:pPr>
              <w:rPr>
                <w:rFonts w:hint="eastAsia" w:ascii="宋体" w:hAnsi="宋体" w:eastAsia="宋体" w:cs="宋体"/>
                <w:b w:val="0"/>
                <w:bCs w:val="0"/>
                <w:color w:val="auto"/>
                <w:spacing w:val="10"/>
                <w:sz w:val="24"/>
                <w:szCs w:val="24"/>
                <w:highlight w:val="none"/>
                <w:lang w:val="en-US" w:eastAsia="zh-CN"/>
              </w:rPr>
            </w:pPr>
            <w:r>
              <w:rPr>
                <w:rFonts w:hint="eastAsia"/>
                <w:lang w:val="en-US" w:eastAsia="zh-CN"/>
              </w:rPr>
              <w:t>④不能满足项目实施要求或未提供的不得分。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03D1131">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14:paraId="0A7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noWrap w:val="0"/>
            <w:vAlign w:val="center"/>
          </w:tcPr>
          <w:p w14:paraId="77CCE8D7">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1444418">
            <w:pPr>
              <w:keepNext w:val="0"/>
              <w:keepLines w:val="0"/>
              <w:widowControl/>
              <w:suppressLineNumbers w:val="0"/>
              <w:jc w:val="left"/>
            </w:pPr>
            <w:r>
              <w:rPr>
                <w:rFonts w:hint="eastAsia" w:ascii="宋体" w:hAnsi="宋体" w:eastAsia="宋体" w:cs="宋体"/>
                <w:color w:val="000000"/>
                <w:kern w:val="0"/>
                <w:sz w:val="24"/>
                <w:szCs w:val="24"/>
                <w:lang w:val="en-US" w:eastAsia="zh-CN" w:bidi="ar"/>
              </w:rPr>
              <w:t>9、施工进度控制</w:t>
            </w:r>
          </w:p>
          <w:p w14:paraId="6728D302">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000000"/>
                <w:kern w:val="0"/>
                <w:sz w:val="24"/>
                <w:szCs w:val="24"/>
                <w:highlight w:val="none"/>
                <w:lang w:val="en-US" w:eastAsia="zh-CN" w:bidi="ar"/>
              </w:rPr>
            </w:pPr>
          </w:p>
        </w:tc>
        <w:tc>
          <w:tcPr>
            <w:tcW w:w="4532" w:type="dxa"/>
            <w:tcBorders>
              <w:top w:val="single" w:color="auto" w:sz="4" w:space="0"/>
              <w:left w:val="single" w:color="auto" w:sz="4" w:space="0"/>
              <w:bottom w:val="single" w:color="auto" w:sz="4" w:space="0"/>
              <w:right w:val="single" w:color="auto" w:sz="4" w:space="0"/>
            </w:tcBorders>
            <w:noWrap w:val="0"/>
            <w:vAlign w:val="center"/>
          </w:tcPr>
          <w:p w14:paraId="08D16EF6">
            <w:pPr>
              <w:rPr>
                <w:rFonts w:hint="eastAsia"/>
                <w:lang w:val="en-US" w:eastAsia="zh-CN"/>
              </w:rPr>
            </w:pPr>
            <w:r>
              <w:rPr>
                <w:rFonts w:hint="eastAsia"/>
                <w:lang w:val="en-US" w:eastAsia="zh-CN"/>
              </w:rPr>
              <w:t xml:space="preserve">①在施工工艺、施工方法、材料选用、劳动力安排、技术等方面有保证工期的具体措施且措施得当。有控制工期的施工进度计划。应有施工总进度表或施工网络图，各项计划图表编制完善，符合本项目施工实际要求得5分； </w:t>
            </w:r>
          </w:p>
          <w:p w14:paraId="6D3EDE0D">
            <w:pPr>
              <w:rPr>
                <w:rFonts w:hint="eastAsia"/>
                <w:lang w:val="en-US" w:eastAsia="zh-CN"/>
              </w:rPr>
            </w:pPr>
            <w:r>
              <w:rPr>
                <w:rFonts w:hint="eastAsia"/>
                <w:lang w:val="en-US" w:eastAsia="zh-CN"/>
              </w:rPr>
              <w:t xml:space="preserve">②在施工工艺、施工方法、材料选用、劳动力安排、技术等方面有保证工期的措施且措施得当。符合本项目施工实际要求得 4 分； </w:t>
            </w:r>
          </w:p>
          <w:p w14:paraId="3AF48C04">
            <w:pPr>
              <w:rPr>
                <w:rFonts w:hint="eastAsia"/>
                <w:lang w:val="en-US" w:eastAsia="zh-CN"/>
              </w:rPr>
            </w:pPr>
            <w:r>
              <w:rPr>
                <w:rFonts w:hint="eastAsia"/>
                <w:lang w:val="en-US" w:eastAsia="zh-CN"/>
              </w:rPr>
              <w:t xml:space="preserve">③在施工工艺、施工方法、材料选用、劳动力安排、技术等方面有保证工期的措施。有控制工期的施工进度计划。 有施工总进度表或施工网络图，但缺项或关键点缺失，措施有待完善的得 3 分； </w:t>
            </w:r>
          </w:p>
          <w:p w14:paraId="444DF688">
            <w:pPr>
              <w:rPr>
                <w:rFonts w:hint="eastAsia"/>
                <w:lang w:val="en-US" w:eastAsia="zh-CN"/>
              </w:rPr>
            </w:pPr>
            <w:r>
              <w:rPr>
                <w:rFonts w:hint="eastAsia"/>
                <w:lang w:val="en-US" w:eastAsia="zh-CN"/>
              </w:rPr>
              <w:t>④不能满足项目实施要求或未提供的不得分。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26692B2">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14:paraId="45F5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noWrap w:val="0"/>
            <w:vAlign w:val="center"/>
          </w:tcPr>
          <w:p w14:paraId="51AC754B">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1C61B">
            <w:pPr>
              <w:keepNext w:val="0"/>
              <w:keepLines w:val="0"/>
              <w:widowControl/>
              <w:suppressLineNumbers w:val="0"/>
              <w:jc w:val="left"/>
            </w:pPr>
            <w:r>
              <w:rPr>
                <w:rFonts w:hint="eastAsia" w:ascii="宋体" w:hAnsi="宋体" w:eastAsia="宋体" w:cs="宋体"/>
                <w:color w:val="000000"/>
                <w:kern w:val="0"/>
                <w:sz w:val="24"/>
                <w:szCs w:val="24"/>
                <w:lang w:val="en-US" w:eastAsia="zh-CN" w:bidi="ar"/>
              </w:rPr>
              <w:t>10、成本控制措施</w:t>
            </w:r>
          </w:p>
          <w:p w14:paraId="5A0409C6">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000000"/>
                <w:kern w:val="0"/>
                <w:sz w:val="24"/>
                <w:szCs w:val="24"/>
                <w:highlight w:val="none"/>
                <w:lang w:val="en-US" w:eastAsia="zh-CN" w:bidi="ar"/>
              </w:rPr>
            </w:pPr>
          </w:p>
        </w:tc>
        <w:tc>
          <w:tcPr>
            <w:tcW w:w="45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6B704">
            <w:pPr>
              <w:rPr>
                <w:rFonts w:hint="eastAsia"/>
                <w:lang w:val="en-US" w:eastAsia="zh-CN"/>
              </w:rPr>
            </w:pPr>
            <w:r>
              <w:rPr>
                <w:rFonts w:hint="eastAsia"/>
                <w:lang w:val="en-US" w:eastAsia="zh-CN"/>
              </w:rPr>
              <w:t xml:space="preserve">①有详细的成本控制措施，在施工过程中,对影响施工的各种因素增强管理并采用各种有效举措,将施工中实际发生的各种消耗和支出严格控制在范围内,随时揭示并及时反应, 严格审查各项费用是否符合标准消除施工中的损失浪费现象并尽可能地将实际成本降到最低，满足施 工需要且对施工有利的得 5 分； </w:t>
            </w:r>
          </w:p>
          <w:p w14:paraId="37EEF5CE">
            <w:pPr>
              <w:rPr>
                <w:rFonts w:hint="eastAsia"/>
                <w:lang w:val="en-US" w:eastAsia="zh-CN"/>
              </w:rPr>
            </w:pPr>
            <w:r>
              <w:rPr>
                <w:rFonts w:hint="eastAsia"/>
                <w:lang w:val="en-US" w:eastAsia="zh-CN"/>
              </w:rPr>
              <w:t xml:space="preserve">②有详细的成本控制措施，成本控制措施，能满足施工需要得 4 分； </w:t>
            </w:r>
          </w:p>
          <w:p w14:paraId="131325DC">
            <w:pPr>
              <w:rPr>
                <w:rFonts w:hint="eastAsia"/>
                <w:lang w:val="en-US" w:eastAsia="zh-CN"/>
              </w:rPr>
            </w:pPr>
            <w:r>
              <w:rPr>
                <w:rFonts w:hint="eastAsia"/>
                <w:lang w:val="en-US" w:eastAsia="zh-CN"/>
              </w:rPr>
              <w:t xml:space="preserve">③有详细的成本控制措施，但措施缺项有待完善的得 3 分。 </w:t>
            </w:r>
          </w:p>
          <w:p w14:paraId="05E801CB">
            <w:pPr>
              <w:rPr>
                <w:rFonts w:hint="eastAsia"/>
                <w:lang w:val="en-US" w:eastAsia="zh-CN"/>
              </w:rPr>
            </w:pPr>
            <w:r>
              <w:rPr>
                <w:rFonts w:hint="eastAsia"/>
                <w:lang w:val="en-US" w:eastAsia="zh-CN"/>
              </w:rPr>
              <w:t>④工作内容偏离项目需求、偏离客观现实或未提供的不得分。</w:t>
            </w:r>
          </w:p>
        </w:tc>
        <w:tc>
          <w:tcPr>
            <w:tcW w:w="10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DE5A3">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0-5分</w:t>
            </w:r>
          </w:p>
        </w:tc>
      </w:tr>
      <w:tr w14:paraId="72EB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noWrap w:val="0"/>
            <w:vAlign w:val="center"/>
          </w:tcPr>
          <w:p w14:paraId="7674A492">
            <w:pPr>
              <w:keepNext w:val="0"/>
              <w:keepLines w:val="0"/>
              <w:pageBreakBefore w:val="0"/>
              <w:widowControl w:val="0"/>
              <w:kinsoku/>
              <w:wordWrap/>
              <w:overflowPunct/>
              <w:topLinePunct w:val="0"/>
              <w:autoSpaceDE/>
              <w:autoSpaceDN/>
              <w:bidi w:val="0"/>
              <w:adjustRightInd/>
              <w:snapToGrid/>
              <w:spacing w:after="0" w:line="360" w:lineRule="auto"/>
              <w:ind w:right="0" w:firstLine="435"/>
              <w:jc w:val="center"/>
              <w:textAlignment w:val="auto"/>
              <w:rPr>
                <w:rFonts w:hint="eastAsia" w:ascii="宋体" w:hAnsi="宋体" w:eastAsia="宋体" w:cs="宋体"/>
                <w:b w:val="0"/>
                <w:bCs w:val="0"/>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5D02A491">
            <w:pPr>
              <w:spacing w:after="0" w:line="282" w:lineRule="auto"/>
              <w:rPr>
                <w:rFonts w:ascii="Arial"/>
                <w:sz w:val="21"/>
                <w:highlight w:val="none"/>
              </w:rPr>
            </w:pPr>
          </w:p>
          <w:p w14:paraId="63F73C31">
            <w:pPr>
              <w:spacing w:after="0" w:line="282" w:lineRule="auto"/>
              <w:rPr>
                <w:rFonts w:ascii="Arial"/>
                <w:sz w:val="21"/>
                <w:highlight w:val="none"/>
              </w:rPr>
            </w:pPr>
          </w:p>
          <w:p w14:paraId="3472FC1D">
            <w:pPr>
              <w:spacing w:after="0" w:line="283" w:lineRule="auto"/>
              <w:rPr>
                <w:rFonts w:ascii="Arial"/>
                <w:sz w:val="21"/>
                <w:highlight w:val="none"/>
              </w:rPr>
            </w:pPr>
          </w:p>
          <w:p w14:paraId="5A4DEDD6">
            <w:pPr>
              <w:spacing w:after="0" w:line="283" w:lineRule="auto"/>
              <w:rPr>
                <w:rFonts w:ascii="Arial"/>
                <w:sz w:val="21"/>
                <w:highlight w:val="none"/>
              </w:rPr>
            </w:pPr>
          </w:p>
          <w:p w14:paraId="3A9D8C3E">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000000"/>
                <w:kern w:val="0"/>
                <w:sz w:val="24"/>
                <w:szCs w:val="24"/>
                <w:highlight w:val="none"/>
                <w:lang w:val="en-US" w:eastAsia="zh-CN" w:bidi="ar"/>
              </w:rPr>
            </w:pPr>
          </w:p>
          <w:p w14:paraId="6172F2AA">
            <w:pPr>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r>
              <w:rPr>
                <w:rFonts w:hint="eastAsia"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售后服务保障措施</w:t>
            </w:r>
          </w:p>
        </w:tc>
        <w:tc>
          <w:tcPr>
            <w:tcW w:w="4532" w:type="dxa"/>
            <w:tcBorders>
              <w:top w:val="single" w:color="auto" w:sz="4" w:space="0"/>
              <w:left w:val="single" w:color="auto" w:sz="4" w:space="0"/>
              <w:bottom w:val="single" w:color="auto" w:sz="4" w:space="0"/>
              <w:right w:val="single" w:color="auto" w:sz="4" w:space="0"/>
            </w:tcBorders>
            <w:noWrap w:val="0"/>
            <w:vAlign w:val="top"/>
          </w:tcPr>
          <w:p w14:paraId="0F2D716A">
            <w:pPr>
              <w:rPr>
                <w:rFonts w:hint="eastAsia"/>
                <w:lang w:val="en-US" w:eastAsia="zh-CN"/>
              </w:rPr>
            </w:pPr>
            <w:r>
              <w:rPr>
                <w:rFonts w:hint="eastAsia"/>
                <w:lang w:val="en-US" w:eastAsia="zh-CN"/>
              </w:rPr>
              <w:t>针对本项目投标人须提供售后服务、售后人员配置及出现质 量问题等应急保障措施方案，评审专家根据方案的内容进行 综合评审：</w:t>
            </w:r>
          </w:p>
          <w:p w14:paraId="148B5247">
            <w:pPr>
              <w:rPr>
                <w:rFonts w:hint="eastAsia"/>
                <w:lang w:val="en-US" w:eastAsia="zh-CN"/>
              </w:rPr>
            </w:pPr>
            <w:r>
              <w:rPr>
                <w:rFonts w:hint="eastAsia"/>
                <w:lang w:val="en-US" w:eastAsia="zh-CN"/>
              </w:rPr>
              <w:t>①售后服务方案科学合理、可行性强，人员配置岗位明确， 保障措施健全，完全满足项目采购需求 5 分；</w:t>
            </w:r>
          </w:p>
          <w:p w14:paraId="00570AD9">
            <w:pPr>
              <w:rPr>
                <w:rFonts w:hint="eastAsia"/>
                <w:lang w:val="en-US" w:eastAsia="zh-CN"/>
              </w:rPr>
            </w:pPr>
            <w:r>
              <w:rPr>
                <w:rFonts w:hint="eastAsia"/>
                <w:lang w:val="en-US" w:eastAsia="zh-CN"/>
              </w:rPr>
              <w:t xml:space="preserve">②售后服务方案可行性较强，保障措施健全，人员配置岗位 较明确，处理措施合理科学，保障措施无明显逻辑错误的得的得 4分； </w:t>
            </w:r>
          </w:p>
          <w:p w14:paraId="5BE4AF19">
            <w:pPr>
              <w:rPr>
                <w:rFonts w:hint="eastAsia"/>
                <w:lang w:val="en-US" w:eastAsia="zh-CN"/>
              </w:rPr>
            </w:pPr>
            <w:r>
              <w:rPr>
                <w:rFonts w:hint="eastAsia"/>
                <w:lang w:val="en-US" w:eastAsia="zh-CN"/>
              </w:rPr>
              <w:t>③售后服务方案有待补充，人员配置岗位不明，且出现了与 本项目不相适应的内容的得 3 分；</w:t>
            </w:r>
          </w:p>
          <w:p w14:paraId="4D378C0C">
            <w:pPr>
              <w:rPr>
                <w:rFonts w:hint="eastAsia"/>
                <w:lang w:val="en-US" w:eastAsia="zh-CN"/>
              </w:rPr>
            </w:pPr>
            <w:r>
              <w:rPr>
                <w:rFonts w:hint="eastAsia"/>
                <w:lang w:val="en-US" w:eastAsia="zh-CN"/>
              </w:rPr>
              <w:t>④内容不满足需要或未提供的得 2 分。</w:t>
            </w:r>
          </w:p>
          <w:p w14:paraId="690304A8">
            <w:pPr>
              <w:rPr>
                <w:rFonts w:hint="eastAsia" w:ascii="宋体" w:hAnsi="宋体" w:eastAsia="宋体" w:cs="宋体"/>
                <w:b w:val="0"/>
                <w:bCs w:val="0"/>
                <w:spacing w:val="10"/>
                <w:sz w:val="24"/>
                <w:szCs w:val="24"/>
                <w:highlight w:val="none"/>
                <w:lang w:val="en-US" w:eastAsia="zh-CN"/>
              </w:rPr>
            </w:pPr>
            <w:r>
              <w:rPr>
                <w:rFonts w:hint="eastAsia"/>
                <w:lang w:val="en-US" w:eastAsia="zh-CN"/>
              </w:rPr>
              <w:t>⑤未提供相关内容的得0分。</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25F2E091">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14:paraId="3BB9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noWrap w:val="0"/>
            <w:vAlign w:val="center"/>
          </w:tcPr>
          <w:p w14:paraId="3009886C">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w:t>
            </w:r>
          </w:p>
          <w:p w14:paraId="698DE328">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7044" w:type="dxa"/>
            <w:gridSpan w:val="3"/>
            <w:tcBorders>
              <w:top w:val="single" w:color="auto" w:sz="4" w:space="0"/>
              <w:left w:val="single" w:color="auto" w:sz="4" w:space="0"/>
              <w:bottom w:val="single" w:color="auto" w:sz="4" w:space="0"/>
              <w:right w:val="single" w:color="auto" w:sz="4" w:space="0"/>
            </w:tcBorders>
            <w:noWrap w:val="0"/>
            <w:vAlign w:val="center"/>
          </w:tcPr>
          <w:p w14:paraId="5A2622D9">
            <w:pPr>
              <w:rPr>
                <w:rFonts w:hint="eastAsia"/>
                <w:lang w:val="en-US" w:eastAsia="zh-CN"/>
              </w:rPr>
            </w:pPr>
            <w:r>
              <w:rPr>
                <w:rFonts w:hint="eastAsia"/>
                <w:lang w:val="en-US" w:eastAsia="zh-CN"/>
              </w:rPr>
              <w:t>价格分统一采用低价优先法，即满足磋商文件要求且最后报价最低的供应商的价格为磋商基准价，其价格分为满分10分。其他供应商的价格分统一按照下列公式计算：</w:t>
            </w:r>
          </w:p>
          <w:p w14:paraId="3DEF373A">
            <w:pPr>
              <w:rPr>
                <w:rFonts w:hint="eastAsia" w:ascii="宋体" w:hAnsi="宋体" w:eastAsia="宋体" w:cs="宋体"/>
                <w:b w:val="0"/>
                <w:bCs w:val="0"/>
                <w:color w:val="auto"/>
                <w:sz w:val="24"/>
                <w:szCs w:val="24"/>
                <w:highlight w:val="none"/>
                <w:lang w:val="en-US" w:eastAsia="zh-CN" w:bidi="ar-SA"/>
              </w:rPr>
            </w:pPr>
            <w:r>
              <w:rPr>
                <w:rFonts w:hint="eastAsia"/>
                <w:lang w:val="en-US" w:eastAsia="zh-CN"/>
              </w:rPr>
              <w:t>磋商报价得分＝（磋商基准价/最后磋商报价）×10％×100。</w:t>
            </w:r>
          </w:p>
        </w:tc>
      </w:tr>
    </w:tbl>
    <w:p w14:paraId="460243D3">
      <w:pPr>
        <w:pStyle w:val="54"/>
        <w:ind w:left="0" w:leftChars="0" w:firstLine="0" w:firstLineChars="0"/>
        <w:rPr>
          <w:rFonts w:hint="eastAsia"/>
        </w:rPr>
      </w:pPr>
    </w:p>
    <w:p w14:paraId="3EC84E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2B5B93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DDBC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13CEDBC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AA8B2C5">
      <w:pPr>
        <w:spacing w:line="360" w:lineRule="auto"/>
        <w:jc w:val="center"/>
        <w:outlineLvl w:val="0"/>
        <w:rPr>
          <w:rFonts w:asciiTheme="minorEastAsia" w:hAnsiTheme="minorEastAsia" w:eastAsiaTheme="minorEastAsia"/>
          <w:b/>
          <w:color w:val="auto"/>
          <w:sz w:val="28"/>
          <w:highlight w:val="none"/>
        </w:rPr>
      </w:pPr>
      <w:bookmarkStart w:id="45" w:name="_Toc3127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5"/>
    </w:p>
    <w:p w14:paraId="3C502002">
      <w:pPr>
        <w:keepNext/>
        <w:keepLines/>
        <w:snapToGrid w:val="0"/>
        <w:spacing w:before="312" w:beforeLines="100" w:after="312" w:afterLines="100" w:line="360" w:lineRule="auto"/>
        <w:jc w:val="center"/>
        <w:outlineLvl w:val="9"/>
        <w:rPr>
          <w:rFonts w:cs="宋体"/>
          <w:b/>
          <w:bCs/>
          <w:color w:val="auto"/>
          <w:sz w:val="21"/>
          <w:szCs w:val="21"/>
          <w:highlight w:val="none"/>
        </w:rPr>
      </w:pPr>
      <w:bookmarkStart w:id="46" w:name="_Toc28799376"/>
      <w:bookmarkStart w:id="47" w:name="_Toc130919120"/>
      <w:bookmarkStart w:id="48" w:name="_Toc25807"/>
      <w:r>
        <w:rPr>
          <w:rFonts w:hint="eastAsia" w:cs="宋体"/>
          <w:b/>
          <w:bCs/>
          <w:color w:val="auto"/>
          <w:sz w:val="21"/>
          <w:szCs w:val="21"/>
          <w:highlight w:val="none"/>
        </w:rPr>
        <w:t>第一节  合同协议书</w:t>
      </w:r>
      <w:bookmarkEnd w:id="46"/>
      <w:bookmarkEnd w:id="47"/>
      <w:bookmarkEnd w:id="48"/>
    </w:p>
    <w:p w14:paraId="40CE5CF6">
      <w:pPr>
        <w:adjustRightInd w:val="0"/>
        <w:snapToGrid w:val="0"/>
        <w:spacing w:line="500" w:lineRule="exact"/>
        <w:ind w:firstLine="420" w:firstLineChars="200"/>
        <w:outlineLvl w:val="9"/>
        <w:rPr>
          <w:rFonts w:hint="eastAsia" w:ascii="宋体" w:hAnsi="宋体" w:eastAsia="宋体" w:cs="宋体"/>
          <w:color w:val="auto"/>
          <w:kern w:val="2"/>
          <w:sz w:val="21"/>
          <w:szCs w:val="21"/>
          <w:highlight w:val="none"/>
          <w:u w:val="single"/>
          <w:lang w:eastAsia="zh-CN"/>
        </w:rPr>
      </w:pPr>
      <w:r>
        <w:rPr>
          <w:rFonts w:hint="eastAsia" w:ascii="宋体" w:hAnsi="宋体" w:cs="宋体"/>
          <w:color w:val="auto"/>
          <w:kern w:val="2"/>
          <w:sz w:val="21"/>
          <w:szCs w:val="21"/>
          <w:highlight w:val="none"/>
        </w:rPr>
        <w:t>发包人（全称）：</w:t>
      </w:r>
      <w:r>
        <w:rPr>
          <w:rFonts w:hint="eastAsia" w:cs="宋体"/>
          <w:color w:val="auto"/>
          <w:kern w:val="2"/>
          <w:sz w:val="21"/>
          <w:szCs w:val="21"/>
          <w:highlight w:val="none"/>
          <w:u w:val="single"/>
          <w:lang w:eastAsia="zh-CN"/>
        </w:rPr>
        <w:t>定远县严桥乡人民政府</w:t>
      </w:r>
    </w:p>
    <w:p w14:paraId="48AD50BF">
      <w:pPr>
        <w:adjustRightInd w:val="0"/>
        <w:snapToGrid w:val="0"/>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承包人（全称）：</w:t>
      </w:r>
      <w:r>
        <w:rPr>
          <w:rFonts w:hint="eastAsia" w:ascii="宋体" w:hAnsi="宋体" w:cs="宋体"/>
          <w:color w:val="auto"/>
          <w:kern w:val="2"/>
          <w:sz w:val="21"/>
          <w:szCs w:val="21"/>
          <w:highlight w:val="none"/>
          <w:u w:val="single"/>
        </w:rPr>
        <w:t xml:space="preserve">                         </w:t>
      </w:r>
    </w:p>
    <w:p w14:paraId="2830657B">
      <w:pPr>
        <w:adjustRightInd w:val="0"/>
        <w:snapToGrid w:val="0"/>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根据《中华人民共和国民法典》、《中华人民共和国建筑法》及有关法律规定，遵循平等、自愿、公平和诚实信用的原则，双方就</w:t>
      </w:r>
      <w:r>
        <w:rPr>
          <w:rFonts w:hint="eastAsia" w:cs="宋体"/>
          <w:color w:val="auto"/>
          <w:kern w:val="2"/>
          <w:sz w:val="21"/>
          <w:szCs w:val="21"/>
          <w:highlight w:val="none"/>
          <w:u w:val="single"/>
          <w:lang w:val="en-US" w:eastAsia="zh-CN"/>
        </w:rPr>
        <w:t>严桥乡兴隆村农产品加工项目</w:t>
      </w:r>
      <w:r>
        <w:rPr>
          <w:rFonts w:hint="eastAsia" w:ascii="宋体" w:hAnsi="宋体" w:cs="宋体"/>
          <w:color w:val="auto"/>
          <w:kern w:val="2"/>
          <w:sz w:val="21"/>
          <w:szCs w:val="21"/>
          <w:highlight w:val="none"/>
        </w:rPr>
        <w:t>的工程总承包及有关事项协商一致，共同达成如下协议：</w:t>
      </w:r>
    </w:p>
    <w:p w14:paraId="6FDC3554">
      <w:pPr>
        <w:spacing w:line="500" w:lineRule="exact"/>
        <w:ind w:firstLine="420" w:firstLineChars="200"/>
        <w:outlineLvl w:val="9"/>
        <w:rPr>
          <w:rFonts w:ascii="宋体" w:hAnsi="宋体" w:cs="宋体"/>
          <w:color w:val="auto"/>
          <w:kern w:val="2"/>
          <w:sz w:val="21"/>
          <w:szCs w:val="21"/>
          <w:highlight w:val="none"/>
        </w:rPr>
      </w:pPr>
      <w:bookmarkStart w:id="49" w:name="_Toc54862165"/>
      <w:bookmarkStart w:id="50" w:name="_Toc83904066"/>
      <w:r>
        <w:rPr>
          <w:rFonts w:hint="eastAsia" w:ascii="宋体" w:hAnsi="宋体" w:cs="宋体"/>
          <w:color w:val="auto"/>
          <w:kern w:val="2"/>
          <w:sz w:val="21"/>
          <w:szCs w:val="21"/>
          <w:highlight w:val="none"/>
        </w:rPr>
        <w:t>一、工程概况</w:t>
      </w:r>
      <w:bookmarkEnd w:id="49"/>
      <w:bookmarkEnd w:id="50"/>
    </w:p>
    <w:p w14:paraId="4205D8F7">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 工程名称：</w:t>
      </w:r>
      <w:r>
        <w:rPr>
          <w:rFonts w:hint="eastAsia" w:cs="宋体"/>
          <w:color w:val="auto"/>
          <w:kern w:val="2"/>
          <w:sz w:val="21"/>
          <w:szCs w:val="21"/>
          <w:highlight w:val="none"/>
          <w:u w:val="single"/>
          <w:lang w:val="en-US" w:eastAsia="zh-CN"/>
        </w:rPr>
        <w:t>严桥乡兴隆村农产品加工项目</w:t>
      </w:r>
      <w:r>
        <w:rPr>
          <w:rFonts w:hint="eastAsia" w:ascii="宋体" w:hAnsi="宋体" w:cs="宋体"/>
          <w:color w:val="auto"/>
          <w:kern w:val="2"/>
          <w:sz w:val="21"/>
          <w:szCs w:val="21"/>
          <w:highlight w:val="none"/>
        </w:rPr>
        <w:t>。</w:t>
      </w:r>
    </w:p>
    <w:p w14:paraId="698F84B7">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 工程地点：</w:t>
      </w:r>
      <w:r>
        <w:rPr>
          <w:rFonts w:hint="eastAsia" w:ascii="宋体" w:hAnsi="宋体" w:cs="宋体"/>
          <w:color w:val="auto"/>
          <w:kern w:val="2"/>
          <w:sz w:val="21"/>
          <w:szCs w:val="21"/>
          <w:highlight w:val="none"/>
          <w:u w:val="single"/>
          <w:lang w:val="en-US" w:eastAsia="zh-CN"/>
        </w:rPr>
        <w:t>定远县</w:t>
      </w:r>
      <w:r>
        <w:rPr>
          <w:rFonts w:hint="eastAsia" w:ascii="宋体" w:hAnsi="宋体" w:cs="宋体"/>
          <w:color w:val="auto"/>
          <w:kern w:val="2"/>
          <w:sz w:val="21"/>
          <w:szCs w:val="21"/>
          <w:highlight w:val="none"/>
        </w:rPr>
        <w:t>。</w:t>
      </w:r>
    </w:p>
    <w:p w14:paraId="4B306160">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 工程审批、核准或备案文号：</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rPr>
        <w:t>。</w:t>
      </w:r>
    </w:p>
    <w:p w14:paraId="1E3E44A6">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 资金来源：</w:t>
      </w:r>
      <w:r>
        <w:rPr>
          <w:rFonts w:hint="eastAsia" w:ascii="宋体" w:hAnsi="宋体" w:cs="宋体"/>
          <w:color w:val="auto"/>
          <w:kern w:val="2"/>
          <w:sz w:val="21"/>
          <w:szCs w:val="21"/>
          <w:highlight w:val="none"/>
          <w:u w:val="single"/>
          <w:lang w:val="en-US" w:eastAsia="zh-CN"/>
        </w:rPr>
        <w:t>财政资金</w:t>
      </w:r>
      <w:r>
        <w:rPr>
          <w:rFonts w:hint="eastAsia" w:ascii="宋体" w:hAnsi="宋体" w:cs="宋体"/>
          <w:color w:val="auto"/>
          <w:kern w:val="2"/>
          <w:sz w:val="21"/>
          <w:szCs w:val="21"/>
          <w:highlight w:val="none"/>
        </w:rPr>
        <w:t>。</w:t>
      </w:r>
    </w:p>
    <w:p w14:paraId="14465F12">
      <w:pPr>
        <w:spacing w:line="500" w:lineRule="exact"/>
        <w:ind w:firstLine="420" w:firstLineChars="200"/>
        <w:outlineLvl w:val="9"/>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rPr>
        <w:t>5. 工程内容及规模：</w:t>
      </w:r>
      <w:r>
        <w:rPr>
          <w:rFonts w:hint="eastAsia" w:ascii="宋体" w:hAnsi="宋体" w:cs="宋体"/>
          <w:color w:val="auto"/>
          <w:kern w:val="2"/>
          <w:sz w:val="21"/>
          <w:szCs w:val="21"/>
          <w:highlight w:val="none"/>
          <w:lang w:val="en-US" w:eastAsia="zh-CN"/>
        </w:rPr>
        <w:t>建设内容及规模包含乡村整体方案规划设计，农产品加工车间方案及施工图设计、乡村文化体验中心方案及施工图设计、智慧菌房方案设计及附属道路等配套工程；其中农产品加工车间，地上1层，建筑高度6.15m，建筑面积约800㎡；乡村文化体验中心，地上1层，建筑高度5.85m，建筑面积350㎡、智慧菌房14座、停车不少于20辆的公共停车场以及路面硬化、供水、供电等配套建设等工程。</w:t>
      </w:r>
    </w:p>
    <w:p w14:paraId="5AEC5116">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 工程承包范围：</w:t>
      </w:r>
      <w:r>
        <w:rPr>
          <w:rFonts w:hint="eastAsia" w:ascii="宋体" w:hAnsi="宋体" w:cs="宋体"/>
          <w:color w:val="auto"/>
          <w:kern w:val="2"/>
          <w:sz w:val="21"/>
          <w:szCs w:val="21"/>
          <w:highlight w:val="none"/>
          <w:u w:val="single"/>
          <w:lang w:val="en-US" w:eastAsia="zh-CN"/>
        </w:rPr>
        <w:t>包括但不限于勘察、测绘、方案设计、初步设计、施工图设计及审查、工程施工、竣工验收、竣工图编制及移交等完成本项目所有功能的设计施工总承包</w:t>
      </w:r>
      <w:r>
        <w:rPr>
          <w:rFonts w:hint="eastAsia" w:ascii="宋体" w:hAnsi="宋体" w:cs="宋体"/>
          <w:color w:val="auto"/>
          <w:kern w:val="2"/>
          <w:sz w:val="21"/>
          <w:szCs w:val="21"/>
          <w:highlight w:val="none"/>
          <w:lang w:val="en-US" w:eastAsia="zh-CN"/>
        </w:rPr>
        <w:t>。</w:t>
      </w:r>
    </w:p>
    <w:p w14:paraId="1CD5BC18">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51" w:name="_Toc17783"/>
      <w:r>
        <w:rPr>
          <w:rFonts w:hint="eastAsia" w:ascii="宋体" w:hAnsi="宋体" w:eastAsia="宋体" w:cs="宋体"/>
          <w:b/>
          <w:bCs w:val="0"/>
          <w:color w:val="auto"/>
          <w:kern w:val="44"/>
          <w:sz w:val="21"/>
          <w:szCs w:val="21"/>
          <w:highlight w:val="none"/>
          <w:lang w:val="zh-CN" w:eastAsia="zh-CN" w:bidi="ar-SA"/>
        </w:rPr>
        <w:t>二、合同工期</w:t>
      </w:r>
      <w:bookmarkEnd w:id="51"/>
    </w:p>
    <w:p w14:paraId="58CE83CF">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计划开始工作日期：</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162A8183">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计划开始现场施工日期：</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595756CA">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计划竣工日期：</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30089FCF">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工期总日历天数：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天，工期总日历天数与根据前述计划日期计算的工期天数不一致的，以工期总日历天数为准。</w:t>
      </w:r>
    </w:p>
    <w:p w14:paraId="3CE6B264">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52" w:name="_Toc1410"/>
      <w:bookmarkStart w:id="53" w:name="_Toc54862167"/>
      <w:bookmarkStart w:id="54" w:name="_Toc83904068"/>
      <w:r>
        <w:rPr>
          <w:rFonts w:hint="eastAsia" w:ascii="宋体" w:hAnsi="宋体" w:eastAsia="宋体" w:cs="宋体"/>
          <w:b/>
          <w:bCs w:val="0"/>
          <w:color w:val="auto"/>
          <w:kern w:val="44"/>
          <w:sz w:val="21"/>
          <w:szCs w:val="21"/>
          <w:highlight w:val="none"/>
          <w:lang w:val="zh-CN" w:eastAsia="zh-CN" w:bidi="ar-SA"/>
        </w:rPr>
        <w:t>三、质量标准</w:t>
      </w:r>
      <w:bookmarkEnd w:id="52"/>
      <w:bookmarkEnd w:id="53"/>
      <w:bookmarkEnd w:id="54"/>
    </w:p>
    <w:p w14:paraId="0D096BD8">
      <w:pPr>
        <w:spacing w:line="500" w:lineRule="exact"/>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勘察设计要求的质量标准：满足国家及地方的相关法律法规以及技术规范、标准、规程要求，符合总体规划要求，设计成果通过政府相关部门及招标人委托的第三方机构的审查，达到施工深度要求。</w:t>
      </w:r>
    </w:p>
    <w:p w14:paraId="289205FD">
      <w:pPr>
        <w:spacing w:line="500" w:lineRule="exact"/>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施工要求的质量标准：满足国家及地方的相关法律法规以及相关规范要求，</w:t>
      </w:r>
      <w:r>
        <w:rPr>
          <w:rFonts w:hint="eastAsia" w:ascii="宋体" w:hAnsi="宋体" w:cs="宋体"/>
          <w:color w:val="auto"/>
          <w:kern w:val="2"/>
          <w:sz w:val="21"/>
          <w:szCs w:val="21"/>
          <w:highlight w:val="none"/>
          <w:lang w:val="en-US" w:eastAsia="zh-CN"/>
        </w:rPr>
        <w:t>通过主管部门验收</w:t>
      </w:r>
      <w:r>
        <w:rPr>
          <w:rFonts w:hint="eastAsia" w:ascii="宋体" w:hAnsi="宋体" w:cs="宋体"/>
          <w:color w:val="auto"/>
          <w:kern w:val="2"/>
          <w:sz w:val="21"/>
          <w:szCs w:val="21"/>
          <w:highlight w:val="none"/>
        </w:rPr>
        <w:t>。</w:t>
      </w:r>
      <w:bookmarkStart w:id="55" w:name="_Toc54862168"/>
      <w:bookmarkStart w:id="56" w:name="_Toc20057"/>
      <w:bookmarkStart w:id="57" w:name="_Toc83904069"/>
    </w:p>
    <w:p w14:paraId="4B57ADEE">
      <w:pPr>
        <w:spacing w:line="500" w:lineRule="exact"/>
        <w:ind w:firstLine="422" w:firstLineChars="200"/>
        <w:outlineLvl w:val="9"/>
        <w:rPr>
          <w:rFonts w:ascii="Times New Roman" w:hAnsi="Times New Roman" w:cs="宋体"/>
          <w:bCs w:val="0"/>
          <w:color w:val="auto"/>
          <w:kern w:val="2"/>
          <w:sz w:val="21"/>
          <w:szCs w:val="21"/>
          <w:highlight w:val="none"/>
        </w:rPr>
      </w:pPr>
      <w:r>
        <w:rPr>
          <w:rFonts w:hint="eastAsia" w:ascii="宋体" w:hAnsi="宋体" w:eastAsia="宋体" w:cs="宋体"/>
          <w:b/>
          <w:bCs w:val="0"/>
          <w:color w:val="auto"/>
          <w:kern w:val="44"/>
          <w:sz w:val="21"/>
          <w:szCs w:val="21"/>
          <w:highlight w:val="none"/>
          <w:lang w:val="zh-CN" w:eastAsia="zh-CN" w:bidi="ar-SA"/>
        </w:rPr>
        <w:t>四、签约合同价与合同价格形式</w:t>
      </w:r>
      <w:bookmarkEnd w:id="55"/>
      <w:bookmarkEnd w:id="56"/>
      <w:bookmarkEnd w:id="57"/>
    </w:p>
    <w:p w14:paraId="5D03F62C">
      <w:pPr>
        <w:spacing w:line="500" w:lineRule="exact"/>
        <w:ind w:firstLine="420" w:firstLineChars="200"/>
        <w:outlineLvl w:val="9"/>
        <w:rPr>
          <w:rFonts w:ascii="宋体" w:hAnsi="宋体" w:cs="宋体"/>
          <w:color w:val="auto"/>
          <w:kern w:val="2"/>
          <w:sz w:val="21"/>
          <w:szCs w:val="21"/>
          <w:highlight w:val="none"/>
        </w:rPr>
      </w:pPr>
      <w:bookmarkStart w:id="58" w:name="_Toc83904070"/>
      <w:bookmarkStart w:id="59" w:name="_Toc54862169"/>
      <w:r>
        <w:rPr>
          <w:rFonts w:hint="eastAsia" w:ascii="宋体" w:hAnsi="宋体" w:cs="宋体"/>
          <w:color w:val="auto"/>
          <w:kern w:val="2"/>
          <w:sz w:val="21"/>
          <w:szCs w:val="21"/>
          <w:highlight w:val="none"/>
        </w:rPr>
        <w:t>1.暂定合同价（含税）为：</w:t>
      </w:r>
    </w:p>
    <w:p w14:paraId="0C5B5A17">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人民币（大写)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元）。</w:t>
      </w:r>
    </w:p>
    <w:p w14:paraId="6F4B818C">
      <w:pPr>
        <w:spacing w:line="500" w:lineRule="exact"/>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投标</w:t>
      </w:r>
      <w:r>
        <w:rPr>
          <w:rFonts w:hint="eastAsia" w:ascii="宋体" w:hAnsi="宋体" w:cs="宋体"/>
          <w:color w:val="auto"/>
          <w:kern w:val="2"/>
          <w:sz w:val="21"/>
          <w:szCs w:val="21"/>
          <w:highlight w:val="none"/>
        </w:rPr>
        <w:t>下浮率：</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rPr>
        <w:t>%。</w:t>
      </w:r>
    </w:p>
    <w:p w14:paraId="13C75152">
      <w:pPr>
        <w:spacing w:line="500" w:lineRule="exact"/>
        <w:ind w:firstLine="420" w:firstLineChars="200"/>
        <w:outlineLvl w:val="9"/>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.合同价格形式：</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p>
    <w:p w14:paraId="21C5A4B9">
      <w:pPr>
        <w:spacing w:line="500" w:lineRule="exact"/>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合同当事人对合同价格形式的其他约定：</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rPr>
        <w:t>。</w:t>
      </w:r>
    </w:p>
    <w:p w14:paraId="1FD0E3BB">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60" w:name="_Toc31963"/>
      <w:r>
        <w:rPr>
          <w:rFonts w:hint="eastAsia" w:ascii="宋体" w:hAnsi="宋体" w:eastAsia="宋体" w:cs="宋体"/>
          <w:b/>
          <w:bCs w:val="0"/>
          <w:color w:val="auto"/>
          <w:kern w:val="44"/>
          <w:sz w:val="21"/>
          <w:szCs w:val="21"/>
          <w:highlight w:val="none"/>
          <w:lang w:val="zh-CN" w:eastAsia="zh-CN" w:bidi="ar-SA"/>
        </w:rPr>
        <w:t>五、工程总承包项目经理</w:t>
      </w:r>
      <w:bookmarkEnd w:id="58"/>
      <w:bookmarkEnd w:id="59"/>
      <w:bookmarkEnd w:id="60"/>
    </w:p>
    <w:p w14:paraId="27E147AA">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工程总承包项目经理：</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B5B2C0D">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61" w:name="_Toc10864"/>
      <w:bookmarkStart w:id="62" w:name="_Toc54862170"/>
      <w:bookmarkStart w:id="63" w:name="_Toc83904071"/>
      <w:r>
        <w:rPr>
          <w:rFonts w:hint="eastAsia" w:ascii="宋体" w:hAnsi="宋体" w:eastAsia="宋体" w:cs="宋体"/>
          <w:b/>
          <w:bCs w:val="0"/>
          <w:color w:val="auto"/>
          <w:kern w:val="44"/>
          <w:sz w:val="21"/>
          <w:szCs w:val="21"/>
          <w:highlight w:val="none"/>
          <w:lang w:val="zh-CN" w:eastAsia="zh-CN" w:bidi="ar-SA"/>
        </w:rPr>
        <w:t>六、合同文件构成</w:t>
      </w:r>
      <w:bookmarkEnd w:id="61"/>
      <w:bookmarkEnd w:id="62"/>
      <w:bookmarkEnd w:id="63"/>
    </w:p>
    <w:p w14:paraId="44D2D8FA">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本协议书与下列文件一起构成合同文件： </w:t>
      </w:r>
    </w:p>
    <w:p w14:paraId="49280D1A">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 中标通知书（如果有）；</w:t>
      </w:r>
    </w:p>
    <w:p w14:paraId="2E9E7C96">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 投标函及投标函附录（如果有）；</w:t>
      </w:r>
    </w:p>
    <w:p w14:paraId="2D7F93EE">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 专用合同条件及《发包人要求》等附件；</w:t>
      </w:r>
    </w:p>
    <w:p w14:paraId="51E83890">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 通用合同条件；</w:t>
      </w:r>
    </w:p>
    <w:p w14:paraId="306B48E2">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（5） 承包人建议书； </w:t>
      </w:r>
    </w:p>
    <w:p w14:paraId="0AB5B39C">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 价格清单；</w:t>
      </w:r>
    </w:p>
    <w:p w14:paraId="570CE53A">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 双方约定的其他合同文件。</w:t>
      </w:r>
    </w:p>
    <w:p w14:paraId="75BECF8E">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上述各项合同文件包括双方就该项合同文件所作出的补充和修改，属于同一类内容的合同文件应以最新签署的为准。专用合同条件及其附件须经合同当事人签字或盖章。</w:t>
      </w:r>
    </w:p>
    <w:p w14:paraId="0962779F">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64" w:name="_Toc54862171"/>
      <w:bookmarkStart w:id="65" w:name="_Toc14804"/>
      <w:bookmarkStart w:id="66" w:name="_Toc83904072"/>
      <w:r>
        <w:rPr>
          <w:rFonts w:hint="eastAsia" w:ascii="宋体" w:hAnsi="宋体" w:eastAsia="宋体" w:cs="宋体"/>
          <w:b/>
          <w:bCs w:val="0"/>
          <w:color w:val="auto"/>
          <w:kern w:val="44"/>
          <w:sz w:val="21"/>
          <w:szCs w:val="21"/>
          <w:highlight w:val="none"/>
          <w:lang w:val="zh-CN" w:eastAsia="zh-CN" w:bidi="ar-SA"/>
        </w:rPr>
        <w:t>七、承诺</w:t>
      </w:r>
      <w:bookmarkEnd w:id="64"/>
      <w:bookmarkEnd w:id="65"/>
      <w:bookmarkEnd w:id="66"/>
    </w:p>
    <w:p w14:paraId="6CFF271A">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 发包人承诺按照法律规定履行项目审批手续、筹集工程建设资金并按照合同约定的期限和方式支付合同价款。</w:t>
      </w:r>
    </w:p>
    <w:p w14:paraId="4E145909">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14:paraId="2DB0226F">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67" w:name="_Toc14578"/>
      <w:bookmarkStart w:id="68" w:name="_Toc54862172"/>
      <w:bookmarkStart w:id="69" w:name="_Toc83904073"/>
      <w:r>
        <w:rPr>
          <w:rFonts w:hint="eastAsia" w:ascii="宋体" w:hAnsi="宋体" w:eastAsia="宋体" w:cs="宋体"/>
          <w:b/>
          <w:bCs w:val="0"/>
          <w:color w:val="auto"/>
          <w:kern w:val="44"/>
          <w:sz w:val="21"/>
          <w:szCs w:val="21"/>
          <w:highlight w:val="none"/>
          <w:lang w:val="zh-CN" w:eastAsia="zh-CN" w:bidi="ar-SA"/>
        </w:rPr>
        <w:t>八、订立时间</w:t>
      </w:r>
      <w:bookmarkEnd w:id="67"/>
      <w:bookmarkEnd w:id="68"/>
      <w:bookmarkEnd w:id="69"/>
    </w:p>
    <w:p w14:paraId="1B5BCEEF">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本合同于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日订立。</w:t>
      </w:r>
    </w:p>
    <w:p w14:paraId="1CCD9427">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70" w:name="_Toc4776"/>
      <w:bookmarkStart w:id="71" w:name="_Toc54862173"/>
      <w:bookmarkStart w:id="72" w:name="_Toc83904074"/>
      <w:r>
        <w:rPr>
          <w:rFonts w:hint="eastAsia" w:ascii="宋体" w:hAnsi="宋体" w:eastAsia="宋体" w:cs="宋体"/>
          <w:b/>
          <w:bCs w:val="0"/>
          <w:color w:val="auto"/>
          <w:kern w:val="44"/>
          <w:sz w:val="21"/>
          <w:szCs w:val="21"/>
          <w:highlight w:val="none"/>
          <w:lang w:val="zh-CN" w:eastAsia="zh-CN" w:bidi="ar-SA"/>
        </w:rPr>
        <w:t>九、订立地点</w:t>
      </w:r>
      <w:bookmarkEnd w:id="70"/>
      <w:bookmarkEnd w:id="71"/>
      <w:bookmarkEnd w:id="72"/>
    </w:p>
    <w:p w14:paraId="18D00BB9">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本合同在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订立。</w:t>
      </w:r>
    </w:p>
    <w:p w14:paraId="65963E04">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73" w:name="_Toc9095"/>
      <w:bookmarkStart w:id="74" w:name="_Toc54862174"/>
      <w:bookmarkStart w:id="75" w:name="_Toc83904075"/>
      <w:r>
        <w:rPr>
          <w:rFonts w:hint="eastAsia" w:ascii="宋体" w:hAnsi="宋体" w:eastAsia="宋体" w:cs="宋体"/>
          <w:b/>
          <w:bCs w:val="0"/>
          <w:color w:val="auto"/>
          <w:kern w:val="44"/>
          <w:sz w:val="21"/>
          <w:szCs w:val="21"/>
          <w:highlight w:val="none"/>
          <w:lang w:val="zh-CN" w:eastAsia="zh-CN" w:bidi="ar-SA"/>
        </w:rPr>
        <w:t>十、合同生效</w:t>
      </w:r>
      <w:bookmarkEnd w:id="73"/>
      <w:bookmarkEnd w:id="74"/>
      <w:bookmarkEnd w:id="75"/>
    </w:p>
    <w:p w14:paraId="4DF107E6">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本合同经双方签字或盖章后成立，并自</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生效。</w:t>
      </w:r>
    </w:p>
    <w:p w14:paraId="34E8DD69">
      <w:pPr>
        <w:keepNext/>
        <w:keepLines/>
        <w:widowControl w:val="0"/>
        <w:adjustRightInd w:val="0"/>
        <w:snapToGrid w:val="0"/>
        <w:spacing w:before="0" w:beforeLines="0" w:after="0" w:afterLines="0" w:line="500" w:lineRule="exact"/>
        <w:jc w:val="both"/>
        <w:outlineLvl w:val="9"/>
        <w:rPr>
          <w:rFonts w:ascii="宋体" w:hAnsi="宋体" w:eastAsia="宋体" w:cs="宋体"/>
          <w:b/>
          <w:bCs w:val="0"/>
          <w:color w:val="auto"/>
          <w:kern w:val="44"/>
          <w:sz w:val="21"/>
          <w:szCs w:val="21"/>
          <w:highlight w:val="none"/>
          <w:lang w:val="zh-CN" w:eastAsia="zh-CN" w:bidi="ar-SA"/>
        </w:rPr>
      </w:pPr>
      <w:bookmarkStart w:id="76" w:name="_Toc54862175"/>
      <w:bookmarkStart w:id="77" w:name="_Toc27985"/>
      <w:bookmarkStart w:id="78" w:name="_Toc83904076"/>
      <w:r>
        <w:rPr>
          <w:rFonts w:hint="eastAsia" w:ascii="宋体" w:hAnsi="宋体" w:eastAsia="宋体" w:cs="宋体"/>
          <w:b/>
          <w:bCs w:val="0"/>
          <w:color w:val="auto"/>
          <w:kern w:val="44"/>
          <w:sz w:val="21"/>
          <w:szCs w:val="21"/>
          <w:highlight w:val="none"/>
          <w:lang w:val="zh-CN" w:eastAsia="zh-CN" w:bidi="ar-SA"/>
        </w:rPr>
        <w:t>十一、合同份数</w:t>
      </w:r>
      <w:bookmarkEnd w:id="76"/>
      <w:bookmarkEnd w:id="77"/>
      <w:bookmarkEnd w:id="78"/>
    </w:p>
    <w:p w14:paraId="1EF4032E">
      <w:pPr>
        <w:adjustRightInd w:val="0"/>
        <w:snapToGrid w:val="0"/>
        <w:spacing w:line="500" w:lineRule="exact"/>
        <w:ind w:firstLine="6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本合同一式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份，均具有同等法律效力，发包人执</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份，承包人执</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份。</w:t>
      </w:r>
    </w:p>
    <w:p w14:paraId="76F0CF68">
      <w:pPr>
        <w:outlineLvl w:val="9"/>
        <w:rPr>
          <w:rFonts w:ascii="仿宋_GB2312" w:hAnsi="Times New Roman" w:eastAsia="仿宋_GB2312" w:cs="Times New Roman"/>
          <w:color w:val="auto"/>
          <w:kern w:val="2"/>
          <w:sz w:val="30"/>
          <w:szCs w:val="30"/>
          <w:highlight w:val="none"/>
        </w:rPr>
      </w:pPr>
      <w:r>
        <w:rPr>
          <w:rFonts w:ascii="仿宋_GB2312" w:hAnsi="Times New Roman" w:eastAsia="仿宋_GB2312" w:cs="Times New Roman"/>
          <w:color w:val="auto"/>
          <w:kern w:val="2"/>
          <w:sz w:val="30"/>
          <w:szCs w:val="30"/>
          <w:highlight w:val="none"/>
        </w:rPr>
        <w:br w:type="page"/>
      </w:r>
    </w:p>
    <w:tbl>
      <w:tblPr>
        <w:tblStyle w:val="55"/>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32D51D85">
        <w:tblPrEx>
          <w:tblCellMar>
            <w:top w:w="0" w:type="dxa"/>
            <w:left w:w="108" w:type="dxa"/>
            <w:bottom w:w="0" w:type="dxa"/>
            <w:right w:w="108" w:type="dxa"/>
          </w:tblCellMar>
        </w:tblPrEx>
        <w:tc>
          <w:tcPr>
            <w:tcW w:w="4507" w:type="dxa"/>
          </w:tcPr>
          <w:p w14:paraId="02EF84BE">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79" w:name="_Toc83904077"/>
            <w:r>
              <w:rPr>
                <w:rFonts w:hint="eastAsia" w:ascii="宋体" w:hAnsi="宋体" w:eastAsia="宋体" w:cs="宋体"/>
                <w:b/>
                <w:bCs/>
                <w:color w:val="auto"/>
                <w:kern w:val="2"/>
                <w:sz w:val="24"/>
                <w:szCs w:val="24"/>
                <w:highlight w:val="none"/>
                <w:lang w:val="en-US" w:eastAsia="zh-CN" w:bidi="ar-SA"/>
              </w:rPr>
              <w:t>发包人：（公章）</w:t>
            </w:r>
            <w:bookmarkEnd w:id="79"/>
          </w:p>
          <w:p w14:paraId="42CB3104">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0" w:name="_Toc83904078"/>
            <w:bookmarkEnd w:id="80"/>
          </w:p>
          <w:p w14:paraId="1285FD47">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1" w:name="_Toc83904079"/>
            <w:bookmarkEnd w:id="81"/>
          </w:p>
        </w:tc>
        <w:tc>
          <w:tcPr>
            <w:tcW w:w="4565" w:type="dxa"/>
          </w:tcPr>
          <w:p w14:paraId="42169BBF">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2" w:name="_Toc83904080"/>
            <w:r>
              <w:rPr>
                <w:rFonts w:hint="eastAsia" w:ascii="宋体" w:hAnsi="宋体" w:eastAsia="宋体" w:cs="宋体"/>
                <w:b/>
                <w:bCs/>
                <w:color w:val="auto"/>
                <w:kern w:val="2"/>
                <w:sz w:val="24"/>
                <w:szCs w:val="24"/>
                <w:highlight w:val="none"/>
                <w:lang w:val="en-US" w:eastAsia="zh-CN" w:bidi="ar-SA"/>
              </w:rPr>
              <w:t>承包人：（公章）</w:t>
            </w:r>
            <w:bookmarkEnd w:id="82"/>
          </w:p>
          <w:p w14:paraId="101D5EFF">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3" w:name="_Toc83904081"/>
            <w:bookmarkEnd w:id="83"/>
          </w:p>
          <w:p w14:paraId="65A44BB9">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4" w:name="_Toc83904082"/>
            <w:bookmarkEnd w:id="84"/>
          </w:p>
        </w:tc>
      </w:tr>
      <w:tr w14:paraId="257A7A7C">
        <w:tblPrEx>
          <w:tblCellMar>
            <w:top w:w="0" w:type="dxa"/>
            <w:left w:w="108" w:type="dxa"/>
            <w:bottom w:w="0" w:type="dxa"/>
            <w:right w:w="108" w:type="dxa"/>
          </w:tblCellMar>
        </w:tblPrEx>
        <w:tc>
          <w:tcPr>
            <w:tcW w:w="4507" w:type="dxa"/>
          </w:tcPr>
          <w:p w14:paraId="45B5AF59">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5" w:name="_Toc83904083"/>
            <w:r>
              <w:rPr>
                <w:rFonts w:hint="eastAsia" w:ascii="宋体" w:hAnsi="宋体" w:eastAsia="宋体" w:cs="宋体"/>
                <w:b/>
                <w:bCs/>
                <w:color w:val="auto"/>
                <w:kern w:val="2"/>
                <w:sz w:val="24"/>
                <w:szCs w:val="24"/>
                <w:highlight w:val="none"/>
                <w:lang w:val="en-US" w:eastAsia="zh-CN" w:bidi="ar-SA"/>
              </w:rPr>
              <w:t>法定代表人或其委托代理人：</w:t>
            </w:r>
            <w:bookmarkEnd w:id="85"/>
          </w:p>
          <w:p w14:paraId="050C2370">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6" w:name="_Toc83904084"/>
            <w:r>
              <w:rPr>
                <w:rFonts w:hint="eastAsia" w:ascii="宋体" w:hAnsi="宋体" w:eastAsia="宋体" w:cs="宋体"/>
                <w:b/>
                <w:bCs/>
                <w:color w:val="auto"/>
                <w:kern w:val="2"/>
                <w:sz w:val="24"/>
                <w:szCs w:val="24"/>
                <w:highlight w:val="none"/>
                <w:lang w:val="en-US" w:eastAsia="zh-CN" w:bidi="ar-SA"/>
              </w:rPr>
              <w:t>（签字）</w:t>
            </w:r>
            <w:bookmarkEnd w:id="86"/>
          </w:p>
          <w:p w14:paraId="0EEE9F14">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7" w:name="_Toc83904085"/>
            <w:bookmarkEnd w:id="87"/>
          </w:p>
        </w:tc>
        <w:tc>
          <w:tcPr>
            <w:tcW w:w="4565" w:type="dxa"/>
          </w:tcPr>
          <w:p w14:paraId="301742A5">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8" w:name="_Toc83904086"/>
            <w:r>
              <w:rPr>
                <w:rFonts w:hint="eastAsia" w:ascii="宋体" w:hAnsi="宋体" w:eastAsia="宋体" w:cs="宋体"/>
                <w:b/>
                <w:bCs/>
                <w:color w:val="auto"/>
                <w:kern w:val="2"/>
                <w:sz w:val="24"/>
                <w:szCs w:val="24"/>
                <w:highlight w:val="none"/>
                <w:lang w:val="en-US" w:eastAsia="zh-CN" w:bidi="ar-SA"/>
              </w:rPr>
              <w:t>法定代表人或其委托代理人：</w:t>
            </w:r>
            <w:bookmarkEnd w:id="88"/>
          </w:p>
          <w:p w14:paraId="5D1917B8">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89" w:name="_Toc83904087"/>
            <w:r>
              <w:rPr>
                <w:rFonts w:hint="eastAsia" w:ascii="宋体" w:hAnsi="宋体" w:eastAsia="宋体" w:cs="宋体"/>
                <w:b/>
                <w:bCs/>
                <w:color w:val="auto"/>
                <w:kern w:val="2"/>
                <w:sz w:val="24"/>
                <w:szCs w:val="24"/>
                <w:highlight w:val="none"/>
                <w:lang w:val="en-US" w:eastAsia="zh-CN" w:bidi="ar-SA"/>
              </w:rPr>
              <w:t>（签字）</w:t>
            </w:r>
            <w:bookmarkEnd w:id="89"/>
          </w:p>
          <w:p w14:paraId="08923ABA">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0" w:name="_Toc83904088"/>
            <w:bookmarkEnd w:id="90"/>
          </w:p>
        </w:tc>
      </w:tr>
      <w:tr w14:paraId="67EB28F5">
        <w:tblPrEx>
          <w:tblCellMar>
            <w:top w:w="0" w:type="dxa"/>
            <w:left w:w="108" w:type="dxa"/>
            <w:bottom w:w="0" w:type="dxa"/>
            <w:right w:w="108" w:type="dxa"/>
          </w:tblCellMar>
        </w:tblPrEx>
        <w:tc>
          <w:tcPr>
            <w:tcW w:w="4507" w:type="dxa"/>
          </w:tcPr>
          <w:p w14:paraId="38287672">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1" w:name="_Toc83904089"/>
            <w:r>
              <w:rPr>
                <w:rFonts w:hint="eastAsia" w:ascii="宋体" w:hAnsi="宋体" w:eastAsia="宋体" w:cs="宋体"/>
                <w:b/>
                <w:bCs/>
                <w:color w:val="auto"/>
                <w:kern w:val="2"/>
                <w:sz w:val="24"/>
                <w:szCs w:val="24"/>
                <w:highlight w:val="none"/>
                <w:lang w:val="en-US" w:eastAsia="zh-CN" w:bidi="ar-SA"/>
              </w:rPr>
              <w:t>统一社会信用代码：</w:t>
            </w:r>
            <w:bookmarkEnd w:id="91"/>
            <w:r>
              <w:rPr>
                <w:rFonts w:hint="eastAsia" w:ascii="宋体" w:hAnsi="宋体" w:eastAsia="宋体" w:cs="宋体"/>
                <w:b/>
                <w:bCs/>
                <w:color w:val="auto"/>
                <w:kern w:val="0"/>
                <w:sz w:val="24"/>
                <w:szCs w:val="24"/>
                <w:highlight w:val="none"/>
                <w:u w:val="single"/>
                <w:lang w:val="en-US" w:eastAsia="zh-CN" w:bidi="ar-SA"/>
              </w:rPr>
              <w:t xml:space="preserve">            </w:t>
            </w:r>
          </w:p>
          <w:p w14:paraId="508A86B7">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2" w:name="_Toc83904090"/>
            <w:r>
              <w:rPr>
                <w:rFonts w:hint="eastAsia" w:ascii="宋体" w:hAnsi="宋体" w:eastAsia="宋体" w:cs="宋体"/>
                <w:b/>
                <w:bCs/>
                <w:color w:val="auto"/>
                <w:kern w:val="2"/>
                <w:sz w:val="24"/>
                <w:szCs w:val="24"/>
                <w:highlight w:val="none"/>
                <w:lang w:val="en-US" w:eastAsia="zh-CN" w:bidi="ar-SA"/>
              </w:rPr>
              <w:t>地址：</w:t>
            </w:r>
            <w:bookmarkEnd w:id="92"/>
            <w:r>
              <w:rPr>
                <w:rFonts w:hint="eastAsia" w:ascii="宋体" w:hAnsi="宋体" w:eastAsia="宋体" w:cs="宋体"/>
                <w:b/>
                <w:bCs/>
                <w:color w:val="auto"/>
                <w:kern w:val="0"/>
                <w:sz w:val="24"/>
                <w:szCs w:val="24"/>
                <w:highlight w:val="none"/>
                <w:u w:val="single"/>
                <w:lang w:val="en-US" w:eastAsia="zh-CN" w:bidi="ar-SA"/>
              </w:rPr>
              <w:t xml:space="preserve">                       </w:t>
            </w:r>
          </w:p>
          <w:p w14:paraId="50CF174A">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3" w:name="_Toc83904091"/>
            <w:r>
              <w:rPr>
                <w:rFonts w:hint="eastAsia" w:ascii="宋体" w:hAnsi="宋体" w:eastAsia="宋体" w:cs="宋体"/>
                <w:b/>
                <w:bCs/>
                <w:color w:val="auto"/>
                <w:kern w:val="2"/>
                <w:sz w:val="24"/>
                <w:szCs w:val="24"/>
                <w:highlight w:val="none"/>
                <w:lang w:val="en-US" w:eastAsia="zh-CN" w:bidi="ar-SA"/>
              </w:rPr>
              <w:t>邮政编码：</w:t>
            </w:r>
            <w:bookmarkEnd w:id="93"/>
            <w:r>
              <w:rPr>
                <w:rFonts w:hint="eastAsia" w:ascii="宋体" w:hAnsi="宋体" w:eastAsia="宋体" w:cs="宋体"/>
                <w:b/>
                <w:bCs/>
                <w:color w:val="auto"/>
                <w:kern w:val="0"/>
                <w:sz w:val="24"/>
                <w:szCs w:val="24"/>
                <w:highlight w:val="none"/>
                <w:u w:val="single"/>
                <w:lang w:val="en-US" w:eastAsia="zh-CN" w:bidi="ar-SA"/>
              </w:rPr>
              <w:t xml:space="preserve">                      </w:t>
            </w:r>
          </w:p>
          <w:p w14:paraId="424E988D">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4" w:name="_Toc83904092"/>
            <w:r>
              <w:rPr>
                <w:rFonts w:hint="eastAsia" w:ascii="宋体" w:hAnsi="宋体" w:eastAsia="宋体" w:cs="宋体"/>
                <w:b/>
                <w:bCs/>
                <w:color w:val="auto"/>
                <w:kern w:val="2"/>
                <w:sz w:val="24"/>
                <w:szCs w:val="24"/>
                <w:highlight w:val="none"/>
                <w:lang w:val="en-US" w:eastAsia="zh-CN" w:bidi="ar-SA"/>
              </w:rPr>
              <w:t>法定代表人：</w:t>
            </w:r>
            <w:bookmarkEnd w:id="94"/>
            <w:r>
              <w:rPr>
                <w:rFonts w:hint="eastAsia" w:ascii="宋体" w:hAnsi="宋体" w:eastAsia="宋体" w:cs="宋体"/>
                <w:b/>
                <w:bCs/>
                <w:color w:val="auto"/>
                <w:kern w:val="0"/>
                <w:sz w:val="24"/>
                <w:szCs w:val="24"/>
                <w:highlight w:val="none"/>
                <w:u w:val="single"/>
                <w:lang w:val="en-US" w:eastAsia="zh-CN" w:bidi="ar-SA"/>
              </w:rPr>
              <w:t xml:space="preserve">                 </w:t>
            </w:r>
          </w:p>
          <w:p w14:paraId="14C6DB1F">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5" w:name="_Toc83904093"/>
            <w:r>
              <w:rPr>
                <w:rFonts w:hint="eastAsia" w:ascii="宋体" w:hAnsi="宋体" w:eastAsia="宋体" w:cs="宋体"/>
                <w:b/>
                <w:bCs/>
                <w:color w:val="auto"/>
                <w:kern w:val="2"/>
                <w:sz w:val="24"/>
                <w:szCs w:val="24"/>
                <w:highlight w:val="none"/>
                <w:lang w:val="en-US" w:eastAsia="zh-CN" w:bidi="ar-SA"/>
              </w:rPr>
              <w:t>委托代理人：</w:t>
            </w:r>
            <w:bookmarkEnd w:id="95"/>
            <w:r>
              <w:rPr>
                <w:rFonts w:hint="eastAsia" w:ascii="宋体" w:hAnsi="宋体" w:eastAsia="宋体" w:cs="宋体"/>
                <w:b/>
                <w:bCs/>
                <w:color w:val="auto"/>
                <w:kern w:val="0"/>
                <w:sz w:val="24"/>
                <w:szCs w:val="24"/>
                <w:highlight w:val="none"/>
                <w:u w:val="single"/>
                <w:lang w:val="en-US" w:eastAsia="zh-CN" w:bidi="ar-SA"/>
              </w:rPr>
              <w:t xml:space="preserve">                 </w:t>
            </w:r>
          </w:p>
          <w:p w14:paraId="6F51BAEB">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6" w:name="_Toc83904094"/>
            <w:r>
              <w:rPr>
                <w:rFonts w:hint="eastAsia" w:ascii="宋体" w:hAnsi="宋体" w:eastAsia="宋体" w:cs="宋体"/>
                <w:b/>
                <w:bCs/>
                <w:color w:val="auto"/>
                <w:kern w:val="2"/>
                <w:sz w:val="24"/>
                <w:szCs w:val="24"/>
                <w:highlight w:val="none"/>
                <w:lang w:val="en-US" w:eastAsia="zh-CN" w:bidi="ar-SA"/>
              </w:rPr>
              <w:t>电话：</w:t>
            </w:r>
            <w:bookmarkEnd w:id="96"/>
            <w:r>
              <w:rPr>
                <w:rFonts w:hint="eastAsia" w:ascii="宋体" w:hAnsi="宋体" w:eastAsia="宋体" w:cs="宋体"/>
                <w:b/>
                <w:bCs/>
                <w:color w:val="auto"/>
                <w:kern w:val="0"/>
                <w:sz w:val="24"/>
                <w:szCs w:val="24"/>
                <w:highlight w:val="none"/>
                <w:u w:val="single"/>
                <w:lang w:val="en-US" w:eastAsia="zh-CN" w:bidi="ar-SA"/>
              </w:rPr>
              <w:t xml:space="preserve">                       </w:t>
            </w:r>
          </w:p>
          <w:p w14:paraId="02B6A973">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7" w:name="_Toc83904095"/>
            <w:r>
              <w:rPr>
                <w:rFonts w:hint="eastAsia" w:ascii="宋体" w:hAnsi="宋体" w:eastAsia="宋体" w:cs="宋体"/>
                <w:b/>
                <w:bCs/>
                <w:color w:val="auto"/>
                <w:kern w:val="2"/>
                <w:sz w:val="24"/>
                <w:szCs w:val="24"/>
                <w:highlight w:val="none"/>
                <w:lang w:val="en-US" w:eastAsia="zh-CN" w:bidi="ar-SA"/>
              </w:rPr>
              <w:t>传真：</w:t>
            </w:r>
            <w:bookmarkEnd w:id="97"/>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0"/>
                <w:sz w:val="24"/>
                <w:szCs w:val="24"/>
                <w:highlight w:val="none"/>
                <w:u w:val="single"/>
                <w:lang w:val="en-US" w:eastAsia="zh-CN" w:bidi="ar-SA"/>
              </w:rPr>
              <w:t xml:space="preserve">                      </w:t>
            </w:r>
          </w:p>
          <w:p w14:paraId="6A6CE750">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8" w:name="_Toc83904096"/>
            <w:r>
              <w:rPr>
                <w:rFonts w:hint="eastAsia" w:ascii="宋体" w:hAnsi="宋体" w:eastAsia="宋体" w:cs="宋体"/>
                <w:b/>
                <w:bCs/>
                <w:color w:val="auto"/>
                <w:kern w:val="2"/>
                <w:sz w:val="24"/>
                <w:szCs w:val="24"/>
                <w:highlight w:val="none"/>
                <w:lang w:val="en-US" w:eastAsia="zh-CN" w:bidi="ar-SA"/>
              </w:rPr>
              <w:t>电子信箱：</w:t>
            </w:r>
            <w:bookmarkEnd w:id="98"/>
            <w:r>
              <w:rPr>
                <w:rFonts w:hint="eastAsia" w:ascii="宋体" w:hAnsi="宋体" w:eastAsia="宋体" w:cs="宋体"/>
                <w:b/>
                <w:bCs/>
                <w:color w:val="auto"/>
                <w:kern w:val="0"/>
                <w:sz w:val="24"/>
                <w:szCs w:val="24"/>
                <w:highlight w:val="none"/>
                <w:u w:val="single"/>
                <w:lang w:val="en-US" w:eastAsia="zh-CN" w:bidi="ar-SA"/>
              </w:rPr>
              <w:t xml:space="preserve">                    </w:t>
            </w:r>
          </w:p>
          <w:p w14:paraId="212341C8">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99" w:name="_Toc83904097"/>
            <w:r>
              <w:rPr>
                <w:rFonts w:hint="eastAsia" w:ascii="宋体" w:hAnsi="宋体" w:eastAsia="宋体" w:cs="宋体"/>
                <w:b/>
                <w:bCs/>
                <w:color w:val="auto"/>
                <w:kern w:val="2"/>
                <w:sz w:val="24"/>
                <w:szCs w:val="24"/>
                <w:highlight w:val="none"/>
                <w:lang w:val="en-US" w:eastAsia="zh-CN" w:bidi="ar-SA"/>
              </w:rPr>
              <w:t>开户银行：</w:t>
            </w:r>
            <w:bookmarkEnd w:id="99"/>
            <w:r>
              <w:rPr>
                <w:rFonts w:hint="eastAsia" w:ascii="宋体" w:hAnsi="宋体" w:eastAsia="宋体" w:cs="宋体"/>
                <w:b/>
                <w:bCs/>
                <w:color w:val="auto"/>
                <w:kern w:val="0"/>
                <w:sz w:val="24"/>
                <w:szCs w:val="24"/>
                <w:highlight w:val="none"/>
                <w:u w:val="single"/>
                <w:lang w:val="en-US" w:eastAsia="zh-CN" w:bidi="ar-SA"/>
              </w:rPr>
              <w:t xml:space="preserve">                   </w:t>
            </w:r>
          </w:p>
          <w:p w14:paraId="47CA6FF5">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0" w:name="_Toc83904098"/>
            <w:r>
              <w:rPr>
                <w:rFonts w:hint="eastAsia" w:ascii="宋体" w:hAnsi="宋体" w:eastAsia="宋体" w:cs="宋体"/>
                <w:b/>
                <w:bCs/>
                <w:color w:val="auto"/>
                <w:kern w:val="2"/>
                <w:sz w:val="24"/>
                <w:szCs w:val="24"/>
                <w:highlight w:val="none"/>
                <w:lang w:val="en-US" w:eastAsia="zh-CN" w:bidi="ar-SA"/>
              </w:rPr>
              <w:t>账号：</w:t>
            </w:r>
            <w:bookmarkEnd w:id="100"/>
            <w:r>
              <w:rPr>
                <w:rFonts w:hint="eastAsia" w:ascii="宋体" w:hAnsi="宋体" w:eastAsia="宋体" w:cs="宋体"/>
                <w:b/>
                <w:bCs/>
                <w:color w:val="auto"/>
                <w:kern w:val="0"/>
                <w:sz w:val="24"/>
                <w:szCs w:val="24"/>
                <w:highlight w:val="none"/>
                <w:u w:val="single"/>
                <w:lang w:val="en-US" w:eastAsia="zh-CN" w:bidi="ar-SA"/>
              </w:rPr>
              <w:t xml:space="preserve">                       </w:t>
            </w:r>
          </w:p>
        </w:tc>
        <w:tc>
          <w:tcPr>
            <w:tcW w:w="4565" w:type="dxa"/>
          </w:tcPr>
          <w:p w14:paraId="5B5A84CC">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1" w:name="_Toc83904099"/>
            <w:r>
              <w:rPr>
                <w:rFonts w:hint="eastAsia" w:ascii="宋体" w:hAnsi="宋体" w:eastAsia="宋体" w:cs="宋体"/>
                <w:b/>
                <w:bCs/>
                <w:color w:val="auto"/>
                <w:kern w:val="2"/>
                <w:sz w:val="24"/>
                <w:szCs w:val="24"/>
                <w:highlight w:val="none"/>
                <w:lang w:val="en-US" w:eastAsia="zh-CN" w:bidi="ar-SA"/>
              </w:rPr>
              <w:t>统一社会信用代码：</w:t>
            </w:r>
            <w:bookmarkEnd w:id="101"/>
            <w:r>
              <w:rPr>
                <w:rFonts w:hint="eastAsia" w:ascii="宋体" w:hAnsi="宋体" w:eastAsia="宋体" w:cs="宋体"/>
                <w:b/>
                <w:bCs/>
                <w:color w:val="auto"/>
                <w:kern w:val="0"/>
                <w:sz w:val="24"/>
                <w:szCs w:val="24"/>
                <w:highlight w:val="none"/>
                <w:u w:val="single"/>
                <w:lang w:val="en-US" w:eastAsia="zh-CN" w:bidi="ar-SA"/>
              </w:rPr>
              <w:t xml:space="preserve">            </w:t>
            </w:r>
          </w:p>
          <w:p w14:paraId="2C1E1FFF">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2" w:name="_Toc83904100"/>
            <w:r>
              <w:rPr>
                <w:rFonts w:hint="eastAsia" w:ascii="宋体" w:hAnsi="宋体" w:eastAsia="宋体" w:cs="宋体"/>
                <w:b/>
                <w:bCs/>
                <w:color w:val="auto"/>
                <w:kern w:val="2"/>
                <w:sz w:val="24"/>
                <w:szCs w:val="24"/>
                <w:highlight w:val="none"/>
                <w:lang w:val="en-US" w:eastAsia="zh-CN" w:bidi="ar-SA"/>
              </w:rPr>
              <w:t>地址：</w:t>
            </w:r>
            <w:bookmarkEnd w:id="102"/>
            <w:r>
              <w:rPr>
                <w:rFonts w:hint="eastAsia" w:ascii="宋体" w:hAnsi="宋体" w:eastAsia="宋体" w:cs="宋体"/>
                <w:b/>
                <w:bCs/>
                <w:color w:val="auto"/>
                <w:kern w:val="0"/>
                <w:sz w:val="24"/>
                <w:szCs w:val="24"/>
                <w:highlight w:val="none"/>
                <w:u w:val="single"/>
                <w:lang w:val="en-US" w:eastAsia="zh-CN" w:bidi="ar-SA"/>
              </w:rPr>
              <w:t xml:space="preserve">                        </w:t>
            </w:r>
          </w:p>
          <w:p w14:paraId="531657B7">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3" w:name="_Toc83904101"/>
            <w:r>
              <w:rPr>
                <w:rFonts w:hint="eastAsia" w:ascii="宋体" w:hAnsi="宋体" w:eastAsia="宋体" w:cs="宋体"/>
                <w:b/>
                <w:bCs/>
                <w:color w:val="auto"/>
                <w:kern w:val="2"/>
                <w:sz w:val="24"/>
                <w:szCs w:val="24"/>
                <w:highlight w:val="none"/>
                <w:lang w:val="en-US" w:eastAsia="zh-CN" w:bidi="ar-SA"/>
              </w:rPr>
              <w:t>邮政编码：</w:t>
            </w:r>
            <w:bookmarkEnd w:id="103"/>
            <w:r>
              <w:rPr>
                <w:rFonts w:hint="eastAsia" w:ascii="宋体" w:hAnsi="宋体" w:eastAsia="宋体" w:cs="宋体"/>
                <w:b/>
                <w:bCs/>
                <w:color w:val="auto"/>
                <w:kern w:val="0"/>
                <w:sz w:val="24"/>
                <w:szCs w:val="24"/>
                <w:highlight w:val="none"/>
                <w:u w:val="single"/>
                <w:lang w:val="en-US" w:eastAsia="zh-CN" w:bidi="ar-SA"/>
              </w:rPr>
              <w:t xml:space="preserve">                      </w:t>
            </w:r>
          </w:p>
          <w:p w14:paraId="3AEDEC71">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4" w:name="_Toc83904102"/>
            <w:r>
              <w:rPr>
                <w:rFonts w:hint="eastAsia" w:ascii="宋体" w:hAnsi="宋体" w:eastAsia="宋体" w:cs="宋体"/>
                <w:b/>
                <w:bCs/>
                <w:color w:val="auto"/>
                <w:kern w:val="2"/>
                <w:sz w:val="24"/>
                <w:szCs w:val="24"/>
                <w:highlight w:val="none"/>
                <w:lang w:val="en-US" w:eastAsia="zh-CN" w:bidi="ar-SA"/>
              </w:rPr>
              <w:t>法定代表人：</w:t>
            </w:r>
            <w:bookmarkEnd w:id="104"/>
            <w:r>
              <w:rPr>
                <w:rFonts w:hint="eastAsia" w:ascii="宋体" w:hAnsi="宋体" w:eastAsia="宋体" w:cs="宋体"/>
                <w:b/>
                <w:bCs/>
                <w:color w:val="auto"/>
                <w:kern w:val="0"/>
                <w:sz w:val="24"/>
                <w:szCs w:val="24"/>
                <w:highlight w:val="none"/>
                <w:u w:val="single"/>
                <w:lang w:val="en-US" w:eastAsia="zh-CN" w:bidi="ar-SA"/>
              </w:rPr>
              <w:t xml:space="preserve">                  </w:t>
            </w:r>
          </w:p>
          <w:p w14:paraId="22A6FBC1">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5" w:name="_Toc83904103"/>
            <w:r>
              <w:rPr>
                <w:rFonts w:hint="eastAsia" w:ascii="宋体" w:hAnsi="宋体" w:eastAsia="宋体" w:cs="宋体"/>
                <w:b/>
                <w:bCs/>
                <w:color w:val="auto"/>
                <w:kern w:val="2"/>
                <w:sz w:val="24"/>
                <w:szCs w:val="24"/>
                <w:highlight w:val="none"/>
                <w:lang w:val="en-US" w:eastAsia="zh-CN" w:bidi="ar-SA"/>
              </w:rPr>
              <w:t>委托代理人：</w:t>
            </w:r>
            <w:bookmarkEnd w:id="105"/>
            <w:r>
              <w:rPr>
                <w:rFonts w:hint="eastAsia" w:ascii="宋体" w:hAnsi="宋体" w:eastAsia="宋体" w:cs="宋体"/>
                <w:b/>
                <w:bCs/>
                <w:color w:val="auto"/>
                <w:kern w:val="0"/>
                <w:sz w:val="24"/>
                <w:szCs w:val="24"/>
                <w:highlight w:val="none"/>
                <w:u w:val="single"/>
                <w:lang w:val="en-US" w:eastAsia="zh-CN" w:bidi="ar-SA"/>
              </w:rPr>
              <w:t xml:space="preserve">                 </w:t>
            </w:r>
          </w:p>
          <w:p w14:paraId="19178729">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6" w:name="_Toc83904104"/>
            <w:r>
              <w:rPr>
                <w:rFonts w:hint="eastAsia" w:ascii="宋体" w:hAnsi="宋体" w:eastAsia="宋体" w:cs="宋体"/>
                <w:b/>
                <w:bCs/>
                <w:color w:val="auto"/>
                <w:kern w:val="2"/>
                <w:sz w:val="24"/>
                <w:szCs w:val="24"/>
                <w:highlight w:val="none"/>
                <w:lang w:val="en-US" w:eastAsia="zh-CN" w:bidi="ar-SA"/>
              </w:rPr>
              <w:t>电话：</w:t>
            </w:r>
            <w:bookmarkEnd w:id="106"/>
            <w:r>
              <w:rPr>
                <w:rFonts w:hint="eastAsia" w:ascii="宋体" w:hAnsi="宋体" w:eastAsia="宋体" w:cs="宋体"/>
                <w:b/>
                <w:bCs/>
                <w:color w:val="auto"/>
                <w:kern w:val="0"/>
                <w:sz w:val="24"/>
                <w:szCs w:val="24"/>
                <w:highlight w:val="none"/>
                <w:u w:val="single"/>
                <w:lang w:val="en-US" w:eastAsia="zh-CN" w:bidi="ar-SA"/>
              </w:rPr>
              <w:t xml:space="preserve">                       </w:t>
            </w:r>
          </w:p>
          <w:p w14:paraId="4A0B8426">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7" w:name="_Toc83904105"/>
            <w:r>
              <w:rPr>
                <w:rFonts w:hint="eastAsia" w:ascii="宋体" w:hAnsi="宋体" w:eastAsia="宋体" w:cs="宋体"/>
                <w:b/>
                <w:bCs/>
                <w:color w:val="auto"/>
                <w:kern w:val="2"/>
                <w:sz w:val="24"/>
                <w:szCs w:val="24"/>
                <w:highlight w:val="none"/>
                <w:lang w:val="en-US" w:eastAsia="zh-CN" w:bidi="ar-SA"/>
              </w:rPr>
              <w:t>传真：</w:t>
            </w:r>
            <w:bookmarkEnd w:id="107"/>
            <w:r>
              <w:rPr>
                <w:rFonts w:hint="eastAsia" w:ascii="宋体" w:hAnsi="宋体" w:eastAsia="宋体" w:cs="宋体"/>
                <w:b/>
                <w:bCs/>
                <w:color w:val="auto"/>
                <w:kern w:val="0"/>
                <w:sz w:val="24"/>
                <w:szCs w:val="24"/>
                <w:highlight w:val="none"/>
                <w:u w:val="single"/>
                <w:lang w:val="en-US" w:eastAsia="zh-CN" w:bidi="ar-SA"/>
              </w:rPr>
              <w:t xml:space="preserve">                       </w:t>
            </w:r>
          </w:p>
          <w:p w14:paraId="62AD5BF5">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8" w:name="_Toc83904106"/>
            <w:r>
              <w:rPr>
                <w:rFonts w:hint="eastAsia" w:ascii="宋体" w:hAnsi="宋体" w:eastAsia="宋体" w:cs="宋体"/>
                <w:b/>
                <w:bCs/>
                <w:color w:val="auto"/>
                <w:kern w:val="2"/>
                <w:sz w:val="24"/>
                <w:szCs w:val="24"/>
                <w:highlight w:val="none"/>
                <w:lang w:val="en-US" w:eastAsia="zh-CN" w:bidi="ar-SA"/>
              </w:rPr>
              <w:t>电子信箱：</w:t>
            </w:r>
            <w:bookmarkEnd w:id="108"/>
            <w:r>
              <w:rPr>
                <w:rFonts w:hint="eastAsia" w:ascii="宋体" w:hAnsi="宋体" w:eastAsia="宋体" w:cs="宋体"/>
                <w:b/>
                <w:bCs/>
                <w:color w:val="auto"/>
                <w:kern w:val="0"/>
                <w:sz w:val="24"/>
                <w:szCs w:val="24"/>
                <w:highlight w:val="none"/>
                <w:u w:val="single"/>
                <w:lang w:val="en-US" w:eastAsia="zh-CN" w:bidi="ar-SA"/>
              </w:rPr>
              <w:t xml:space="preserve">                   </w:t>
            </w:r>
          </w:p>
          <w:p w14:paraId="751CD4A9">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09" w:name="_Toc83904107"/>
            <w:r>
              <w:rPr>
                <w:rFonts w:hint="eastAsia" w:ascii="宋体" w:hAnsi="宋体" w:eastAsia="宋体" w:cs="宋体"/>
                <w:b/>
                <w:bCs/>
                <w:color w:val="auto"/>
                <w:kern w:val="2"/>
                <w:sz w:val="24"/>
                <w:szCs w:val="24"/>
                <w:highlight w:val="none"/>
                <w:lang w:val="en-US" w:eastAsia="zh-CN" w:bidi="ar-SA"/>
              </w:rPr>
              <w:t>开户银行：</w:t>
            </w:r>
            <w:bookmarkEnd w:id="109"/>
            <w:r>
              <w:rPr>
                <w:rFonts w:hint="eastAsia" w:ascii="宋体" w:hAnsi="宋体" w:eastAsia="宋体" w:cs="宋体"/>
                <w:b/>
                <w:bCs/>
                <w:color w:val="auto"/>
                <w:kern w:val="0"/>
                <w:sz w:val="24"/>
                <w:szCs w:val="24"/>
                <w:highlight w:val="none"/>
                <w:u w:val="single"/>
                <w:lang w:val="en-US" w:eastAsia="zh-CN" w:bidi="ar-SA"/>
              </w:rPr>
              <w:t xml:space="preserve">                   </w:t>
            </w:r>
          </w:p>
          <w:p w14:paraId="55AF157D">
            <w:pPr>
              <w:keepNext w:val="0"/>
              <w:keepLines w:val="0"/>
              <w:widowControl w:val="0"/>
              <w:numPr>
                <w:ilvl w:val="0"/>
                <w:numId w:val="0"/>
              </w:numPr>
              <w:spacing w:before="260" w:beforeLines="0" w:after="260" w:afterLines="0" w:line="440" w:lineRule="exact"/>
              <w:ind w:left="425" w:firstLine="0" w:firstLineChars="0"/>
              <w:jc w:val="left"/>
              <w:outlineLvl w:val="9"/>
              <w:rPr>
                <w:rFonts w:ascii="宋体" w:hAnsi="宋体" w:eastAsia="宋体" w:cs="宋体"/>
                <w:b/>
                <w:bCs/>
                <w:color w:val="auto"/>
                <w:kern w:val="2"/>
                <w:sz w:val="24"/>
                <w:szCs w:val="24"/>
                <w:highlight w:val="none"/>
                <w:lang w:val="en-US" w:eastAsia="zh-CN" w:bidi="ar-SA"/>
              </w:rPr>
            </w:pPr>
            <w:bookmarkStart w:id="110" w:name="_Toc83904108"/>
            <w:r>
              <w:rPr>
                <w:rFonts w:hint="eastAsia" w:ascii="宋体" w:hAnsi="宋体" w:eastAsia="宋体" w:cs="宋体"/>
                <w:b/>
                <w:bCs/>
                <w:color w:val="auto"/>
                <w:kern w:val="2"/>
                <w:sz w:val="24"/>
                <w:szCs w:val="24"/>
                <w:highlight w:val="none"/>
                <w:lang w:val="en-US" w:eastAsia="zh-CN" w:bidi="ar-SA"/>
              </w:rPr>
              <w:t>账号：</w:t>
            </w:r>
            <w:bookmarkEnd w:id="110"/>
            <w:r>
              <w:rPr>
                <w:rFonts w:hint="eastAsia" w:ascii="宋体" w:hAnsi="宋体" w:eastAsia="宋体" w:cs="宋体"/>
                <w:b/>
                <w:bCs/>
                <w:color w:val="auto"/>
                <w:kern w:val="2"/>
                <w:sz w:val="24"/>
                <w:szCs w:val="24"/>
                <w:highlight w:val="none"/>
                <w:u w:val="single"/>
                <w:lang w:val="en-US" w:eastAsia="zh-CN" w:bidi="ar-SA"/>
              </w:rPr>
              <w:t xml:space="preserve">                       </w:t>
            </w:r>
          </w:p>
        </w:tc>
      </w:tr>
    </w:tbl>
    <w:p w14:paraId="37486BA8">
      <w:pPr>
        <w:pStyle w:val="278"/>
        <w:outlineLvl w:val="9"/>
        <w:rPr>
          <w:color w:val="auto"/>
          <w:highlight w:val="none"/>
        </w:rPr>
      </w:pPr>
      <w:r>
        <w:rPr>
          <w:rFonts w:hint="eastAsia" w:cs="宋体"/>
          <w:color w:val="auto"/>
          <w:sz w:val="24"/>
          <w:highlight w:val="none"/>
        </w:rPr>
        <w:br w:type="page"/>
      </w:r>
      <w:r>
        <w:rPr>
          <w:rFonts w:hint="eastAsia" w:ascii="华文中宋" w:hAnsi="华文中宋" w:eastAsia="华文中宋"/>
          <w:bCs/>
          <w:color w:val="auto"/>
          <w:sz w:val="32"/>
          <w:szCs w:val="32"/>
          <w:highlight w:val="none"/>
          <w:lang w:val="en-US"/>
        </w:rPr>
        <w:t xml:space="preserve">  第二部分通用合同条件</w:t>
      </w:r>
    </w:p>
    <w:p w14:paraId="2951C546">
      <w:pPr>
        <w:pStyle w:val="278"/>
        <w:outlineLvl w:val="9"/>
        <w:rPr>
          <w:rFonts w:cs="宋体"/>
          <w:b w:val="0"/>
          <w:color w:val="auto"/>
          <w:sz w:val="21"/>
          <w:szCs w:val="21"/>
          <w:highlight w:val="none"/>
        </w:rPr>
      </w:pPr>
      <w:r>
        <w:rPr>
          <w:rFonts w:hint="eastAsia" w:cs="宋体"/>
          <w:b w:val="0"/>
          <w:color w:val="auto"/>
          <w:sz w:val="21"/>
          <w:szCs w:val="21"/>
          <w:highlight w:val="none"/>
        </w:rPr>
        <w:t>使用住房和城乡建设部、市场监管总局制定的《建设项目工程总承包合同（示范文本）》（GF-2020-0216）第二部分通用合同条件。</w:t>
      </w:r>
      <w:bookmarkStart w:id="111" w:name="_Toc54862331"/>
    </w:p>
    <w:p w14:paraId="13CF6A22">
      <w:pPr>
        <w:pStyle w:val="278"/>
        <w:outlineLvl w:val="9"/>
        <w:rPr>
          <w:rFonts w:ascii="华文中宋" w:hAnsi="华文中宋" w:eastAsia="华文中宋"/>
          <w:bCs/>
          <w:color w:val="auto"/>
          <w:sz w:val="32"/>
          <w:szCs w:val="32"/>
          <w:highlight w:val="none"/>
          <w:lang w:val="en-US"/>
        </w:rPr>
      </w:pPr>
      <w:r>
        <w:rPr>
          <w:rFonts w:hint="eastAsia" w:ascii="华文中宋" w:hAnsi="华文中宋" w:eastAsia="华文中宋"/>
          <w:bCs/>
          <w:color w:val="auto"/>
          <w:sz w:val="32"/>
          <w:szCs w:val="32"/>
          <w:highlight w:val="none"/>
          <w:lang w:val="en-US"/>
        </w:rPr>
        <w:t>第三部分 专用合同条件</w:t>
      </w:r>
      <w:bookmarkEnd w:id="111"/>
    </w:p>
    <w:p w14:paraId="364863CD">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12" w:name="_Toc54862332"/>
      <w:bookmarkStart w:id="113" w:name="_Toc83904109"/>
      <w:r>
        <w:rPr>
          <w:rFonts w:hint="eastAsia" w:ascii="黑体" w:hAnsi="黑体" w:eastAsia="黑体" w:cs="宋体"/>
          <w:b w:val="0"/>
          <w:bCs/>
          <w:color w:val="auto"/>
          <w:kern w:val="2"/>
          <w:sz w:val="21"/>
          <w:szCs w:val="21"/>
          <w:highlight w:val="none"/>
          <w:lang w:val="en-US" w:eastAsia="zh-CN" w:bidi="ar-SA"/>
        </w:rPr>
        <w:t>第1条 一般约定</w:t>
      </w:r>
      <w:bookmarkEnd w:id="112"/>
      <w:bookmarkEnd w:id="113"/>
    </w:p>
    <w:p w14:paraId="042256B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 词语定义和解释</w:t>
      </w:r>
    </w:p>
    <w:p w14:paraId="5153D26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1.1.1 合同</w:t>
      </w:r>
    </w:p>
    <w:p w14:paraId="04ECD67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1.1.1.10 其他合同文件：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99B30E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 工程和设备</w:t>
      </w:r>
    </w:p>
    <w:p w14:paraId="1E214F0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1.1.3.5 单位/区段工程的范围：</w:t>
      </w:r>
      <w:r>
        <w:rPr>
          <w:rFonts w:hint="eastAsia" w:ascii="宋体" w:hAnsi="宋体" w:cs="宋体"/>
          <w:color w:val="auto"/>
          <w:kern w:val="2"/>
          <w:sz w:val="21"/>
          <w:szCs w:val="21"/>
          <w:highlight w:val="none"/>
          <w:u w:val="single"/>
        </w:rPr>
        <w:t xml:space="preserve">实施过程中项目划分的各单位工程 </w:t>
      </w:r>
      <w:r>
        <w:rPr>
          <w:rFonts w:hint="eastAsia" w:ascii="宋体" w:hAnsi="宋体" w:cs="宋体"/>
          <w:color w:val="auto"/>
          <w:kern w:val="2"/>
          <w:sz w:val="21"/>
          <w:szCs w:val="21"/>
          <w:highlight w:val="none"/>
        </w:rPr>
        <w:t>。</w:t>
      </w:r>
    </w:p>
    <w:p w14:paraId="0D25992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1.1.3.9 作为施工场所组成部分的其他场所包括：</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无  </w:t>
      </w:r>
      <w:r>
        <w:rPr>
          <w:rFonts w:hint="eastAsia" w:ascii="宋体" w:hAnsi="宋体" w:cs="宋体"/>
          <w:color w:val="auto"/>
          <w:kern w:val="2"/>
          <w:sz w:val="21"/>
          <w:szCs w:val="21"/>
          <w:highlight w:val="none"/>
        </w:rPr>
        <w:t>。</w:t>
      </w:r>
    </w:p>
    <w:p w14:paraId="4F3541A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1.1.3.10 永久占地包括：</w:t>
      </w:r>
      <w:r>
        <w:rPr>
          <w:rFonts w:hint="eastAsia" w:ascii="宋体" w:hAnsi="宋体" w:cs="宋体"/>
          <w:color w:val="auto"/>
          <w:kern w:val="2"/>
          <w:sz w:val="21"/>
          <w:szCs w:val="21"/>
          <w:highlight w:val="none"/>
          <w:u w:val="single"/>
        </w:rPr>
        <w:t>按国家、建设部有关规定、设计文件和土地部门审批意见确定</w:t>
      </w:r>
      <w:r>
        <w:rPr>
          <w:rFonts w:hint="eastAsia" w:ascii="宋体" w:hAnsi="宋体" w:cs="宋体"/>
          <w:color w:val="auto"/>
          <w:kern w:val="2"/>
          <w:sz w:val="21"/>
          <w:szCs w:val="21"/>
          <w:highlight w:val="none"/>
        </w:rPr>
        <w:t>。</w:t>
      </w:r>
    </w:p>
    <w:p w14:paraId="259CF27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1.1.3.11 临时占地包括：</w:t>
      </w:r>
      <w:r>
        <w:rPr>
          <w:rFonts w:hint="eastAsia" w:ascii="宋体" w:hAnsi="宋体" w:cs="宋体"/>
          <w:color w:val="auto"/>
          <w:kern w:val="2"/>
          <w:sz w:val="21"/>
          <w:szCs w:val="21"/>
          <w:highlight w:val="none"/>
          <w:u w:val="single"/>
        </w:rPr>
        <w:t>按国家、建设部有关规定、设计文件和土地部门审批意见确定</w:t>
      </w:r>
      <w:r>
        <w:rPr>
          <w:rFonts w:hint="eastAsia" w:ascii="宋体" w:hAnsi="宋体" w:cs="宋体"/>
          <w:color w:val="auto"/>
          <w:kern w:val="2"/>
          <w:sz w:val="21"/>
          <w:szCs w:val="21"/>
          <w:highlight w:val="none"/>
        </w:rPr>
        <w:t>。</w:t>
      </w:r>
    </w:p>
    <w:p w14:paraId="7E01123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1.2 语言文字</w:t>
      </w:r>
    </w:p>
    <w:p w14:paraId="3642B73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本合同除使用汉语外，还使用</w:t>
      </w:r>
      <w:r>
        <w:rPr>
          <w:rFonts w:hint="eastAsia" w:ascii="宋体" w:hAnsi="宋体" w:cs="宋体"/>
          <w:color w:val="auto"/>
          <w:kern w:val="2"/>
          <w:sz w:val="21"/>
          <w:szCs w:val="21"/>
          <w:highlight w:val="none"/>
          <w:u w:val="single"/>
        </w:rPr>
        <w:t xml:space="preserve">   汉语    </w:t>
      </w:r>
      <w:r>
        <w:rPr>
          <w:rFonts w:hint="eastAsia" w:ascii="宋体" w:hAnsi="宋体" w:cs="宋体"/>
          <w:color w:val="auto"/>
          <w:kern w:val="2"/>
          <w:sz w:val="21"/>
          <w:szCs w:val="21"/>
          <w:highlight w:val="none"/>
        </w:rPr>
        <w:t>语言。</w:t>
      </w:r>
    </w:p>
    <w:p w14:paraId="6DF6A78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 法律</w:t>
      </w:r>
    </w:p>
    <w:p w14:paraId="5819507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适用于合同的其他规范性文件：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692B23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 标准和规范</w:t>
      </w:r>
    </w:p>
    <w:p w14:paraId="0838EAE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1.4.1 适用于本合同的标准、规范（名称）包括：</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94636B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1.4.2 发包人提供的国外标准、规范的名称：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；发包人提供的国外标准、规范的份数：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；发包人提供的国外标准、规范的时间：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EAA297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1.4.3 没有成文规范、标准规定的约定：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F08975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1.4.4 发包人对于工程的技术标准、功能要求：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E47130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 合同文件的优先顺序</w:t>
      </w:r>
    </w:p>
    <w:p w14:paraId="28774AC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合同文件组成及优先顺序为：</w:t>
      </w:r>
      <w:r>
        <w:rPr>
          <w:rFonts w:hint="eastAsia" w:ascii="宋体" w:hAnsi="宋体" w:cs="宋体"/>
          <w:color w:val="auto"/>
          <w:kern w:val="2"/>
          <w:sz w:val="21"/>
          <w:szCs w:val="21"/>
          <w:highlight w:val="none"/>
          <w:u w:val="single"/>
        </w:rPr>
        <w:t>（1）合同协议书；（2）中标通知书；（3）投标函及投标函附录；（4）招标文件；（5）专用合同条款；（6）通用合同条款；（7）发包人要求；（8）技术规范；（9）设计图纸；（10）承包人建议书；（11）承包人实施组织计划；（12）合同其他文件（包含招标文件和发包人、承包人有关工程的洽商、变更等书面协议或文件、安全生产协议书、廉政协议书及发包人项目管理办法等）。</w:t>
      </w:r>
    </w:p>
    <w:p w14:paraId="0DFD41D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 文件的提供和照管</w:t>
      </w:r>
    </w:p>
    <w:p w14:paraId="0F95CFB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 发包人文件的提供</w:t>
      </w:r>
    </w:p>
    <w:p w14:paraId="11E9538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1.6.1.1项目合同协议书签订后14天内，发包人将向承包人提供项目的前期技术文件、批复等，以上文件均一式3份。</w:t>
      </w:r>
    </w:p>
    <w:p w14:paraId="0377C08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1.6.1.2列入合同的招标资料仅作为承包人投标报价依据，不能直接用于施工。</w:t>
      </w:r>
    </w:p>
    <w:p w14:paraId="62DF377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1.6.1.3列入合同组成部分的投标文件中的技术方案仅作为发包人选择中标人的依据，亦不能直接用于施工，不作为考核承包人的依据。</w:t>
      </w:r>
    </w:p>
    <w:p w14:paraId="783BBFE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1.6.2 承包人文件的提供</w:t>
      </w:r>
    </w:p>
    <w:p w14:paraId="5BB0D5A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承包人文件的内容、提供期限、名称、数量和形式：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F958DB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 文件的照管</w:t>
      </w:r>
    </w:p>
    <w:p w14:paraId="6A8B8E4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关于现场文件准备的约定：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7AF7E1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1.7 联络</w:t>
      </w:r>
    </w:p>
    <w:p w14:paraId="0CF7518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1.7.2 发包人指定的送达方式（包括电子传输方式）：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386985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发包人的送达地址：</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E16A25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承包人指定的送达方式（包括电子传输方式）：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5A6146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承包人的送达地址：</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413BE0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1.10 知识产权</w:t>
      </w:r>
    </w:p>
    <w:p w14:paraId="390616B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1.10.1 由发包人（或以发包人名义）编制的《发包人要求》和其他文件的著作权归属：</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316AFF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1.10.2 由承包人（或以承包人名义）为实施工程所编制的文件、承包人完成的设计工作成果和建造完成的建筑物的知识产权归属：</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2771E6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1.10.4 承包人在投标文件中采用的专利、专有技术、技术秘密的使用费的承担方式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897E04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1.11 保密</w:t>
      </w:r>
    </w:p>
    <w:p w14:paraId="6346646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双方订立的商业保密协议（名称）：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，作为本合同附件。</w:t>
      </w:r>
    </w:p>
    <w:p w14:paraId="0CB6C31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双方订立的技术保密协议（名称）：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，作为本合同附件。</w:t>
      </w:r>
    </w:p>
    <w:p w14:paraId="559F52A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 责任限制</w:t>
      </w:r>
    </w:p>
    <w:p w14:paraId="4AA4574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承包人对发包人赔偿责任的最高限额为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4F4B71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1.14 建筑信息模型技术的应用</w:t>
      </w:r>
    </w:p>
    <w:p w14:paraId="239A6DD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关于建筑信息模型技术的开发、使用、存储、传输、交付及费用约定如下：</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4122F51">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14" w:name="_Toc54862333"/>
      <w:bookmarkStart w:id="115" w:name="_Toc83904110"/>
      <w:r>
        <w:rPr>
          <w:rFonts w:hint="eastAsia" w:ascii="黑体" w:hAnsi="黑体" w:eastAsia="黑体" w:cs="宋体"/>
          <w:b w:val="0"/>
          <w:bCs/>
          <w:color w:val="auto"/>
          <w:kern w:val="2"/>
          <w:sz w:val="21"/>
          <w:szCs w:val="21"/>
          <w:highlight w:val="none"/>
          <w:lang w:val="en-US" w:eastAsia="zh-CN" w:bidi="ar-SA"/>
        </w:rPr>
        <w:t>第2条 发包人</w:t>
      </w:r>
      <w:bookmarkEnd w:id="114"/>
      <w:bookmarkEnd w:id="115"/>
    </w:p>
    <w:p w14:paraId="65C3C13D">
      <w:pPr>
        <w:keepNext w:val="0"/>
        <w:keepLines w:val="0"/>
        <w:pageBreakBefore w:val="0"/>
        <w:widowControl w:val="0"/>
        <w:numPr>
          <w:ilvl w:val="0"/>
          <w:numId w:val="0"/>
        </w:numPr>
        <w:kinsoku/>
        <w:wordWrap/>
        <w:overflowPunct/>
        <w:topLinePunct w:val="0"/>
        <w:bidi w:val="0"/>
        <w:adjustRightInd w:val="0"/>
        <w:snapToGrid w:val="0"/>
        <w:spacing w:before="120" w:beforeLines="50" w:after="120" w:afterLines="5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16" w:name="_Toc83904111"/>
      <w:bookmarkStart w:id="117" w:name="_Toc54862334"/>
      <w:r>
        <w:rPr>
          <w:rFonts w:hint="eastAsia" w:ascii="黑体" w:hAnsi="黑体" w:eastAsia="黑体" w:cs="宋体"/>
          <w:b w:val="0"/>
          <w:bCs/>
          <w:color w:val="auto"/>
          <w:kern w:val="2"/>
          <w:sz w:val="21"/>
          <w:szCs w:val="21"/>
          <w:highlight w:val="none"/>
          <w:lang w:val="en-US" w:eastAsia="zh-CN" w:bidi="ar-SA"/>
        </w:rPr>
        <w:t>2.2.1 提供施工现场</w:t>
      </w:r>
      <w:bookmarkEnd w:id="116"/>
    </w:p>
    <w:p w14:paraId="5F47CD5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2.2.1.1施工场地与</w:t>
      </w:r>
      <w:r>
        <w:rPr>
          <w:rFonts w:hint="eastAsia" w:ascii="宋体" w:hAnsi="宋体" w:cs="宋体"/>
          <w:color w:val="auto"/>
          <w:kern w:val="2"/>
          <w:sz w:val="21"/>
          <w:szCs w:val="21"/>
          <w:highlight w:val="none"/>
        </w:rPr>
        <w:t>公共</w:t>
      </w:r>
      <w:r>
        <w:rPr>
          <w:rFonts w:hint="eastAsia" w:ascii="Times New Roman" w:hAnsi="Times New Roman" w:cs="宋体"/>
          <w:color w:val="auto"/>
          <w:kern w:val="2"/>
          <w:sz w:val="21"/>
          <w:szCs w:val="21"/>
          <w:highlight w:val="none"/>
        </w:rPr>
        <w:t>道路的通道开通要求：公共道路开通至规划红线（包含项目中已列的临时道路和改造的临时道路范围），规划红线以内的施工道路由承包人自行解决并承担一切费用，并须满足国家对建筑行业生活办公区的相关要求。</w:t>
      </w:r>
    </w:p>
    <w:p w14:paraId="03029F3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2.2.1.2由于</w:t>
      </w:r>
      <w:r>
        <w:rPr>
          <w:rFonts w:hint="eastAsia" w:ascii="宋体" w:hAnsi="宋体" w:cs="宋体"/>
          <w:color w:val="auto"/>
          <w:kern w:val="2"/>
          <w:sz w:val="21"/>
          <w:szCs w:val="21"/>
          <w:highlight w:val="none"/>
        </w:rPr>
        <w:t>发包人</w:t>
      </w:r>
      <w:r>
        <w:rPr>
          <w:rFonts w:hint="eastAsia" w:ascii="Times New Roman" w:hAnsi="Times New Roman" w:cs="宋体"/>
          <w:color w:val="auto"/>
          <w:kern w:val="2"/>
          <w:sz w:val="21"/>
          <w:szCs w:val="21"/>
          <w:highlight w:val="none"/>
        </w:rPr>
        <w:t>未能按照本款规定办理占地征用手续，影响承包人工程的施工，承包人须及时调整工程实施组织计划安排并报监理人批准，合理组织和安排工程施工。因此导致承包人延误工期或增加费用时，发包人可适当延长工期作为补偿。但如果由于承包人未能按照本款规定提交占地计划，因而影响发包人办理工程占地征用手续而导致延误工期或增加费用，则由承包人自行负责。</w:t>
      </w:r>
    </w:p>
    <w:p w14:paraId="0A41216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2.2.1.3本合同工程的施工用地范围见项目用地红线范围内的区域。承包人可按此范围布置施工临时工程。</w:t>
      </w:r>
    </w:p>
    <w:p w14:paraId="6383D05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2.2.1.4 承包人在合同签订后28天内根据设计要求与发包人共同确定施工用地范围，由于承包人原因超出提供用地范围的部分由承包人自行解决，并承担由此发生的一切费用。</w:t>
      </w:r>
    </w:p>
    <w:p w14:paraId="05399426">
      <w:pPr>
        <w:keepNext w:val="0"/>
        <w:keepLines w:val="0"/>
        <w:pageBreakBefore w:val="0"/>
        <w:widowControl w:val="0"/>
        <w:numPr>
          <w:ilvl w:val="0"/>
          <w:numId w:val="0"/>
        </w:numPr>
        <w:kinsoku/>
        <w:wordWrap/>
        <w:overflowPunct/>
        <w:topLinePunct w:val="0"/>
        <w:bidi w:val="0"/>
        <w:adjustRightInd w:val="0"/>
        <w:snapToGrid w:val="0"/>
        <w:spacing w:before="120" w:beforeLines="50" w:after="120" w:afterLines="5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18" w:name="_Toc83904112"/>
      <w:r>
        <w:rPr>
          <w:rFonts w:hint="eastAsia" w:ascii="黑体" w:hAnsi="黑体" w:eastAsia="黑体" w:cs="宋体"/>
          <w:b w:val="0"/>
          <w:bCs/>
          <w:color w:val="auto"/>
          <w:kern w:val="2"/>
          <w:sz w:val="21"/>
          <w:szCs w:val="21"/>
          <w:highlight w:val="none"/>
          <w:lang w:val="en-US" w:eastAsia="zh-CN" w:bidi="ar-SA"/>
        </w:rPr>
        <w:t>2.2.2 提供工作条件</w:t>
      </w:r>
      <w:bookmarkEnd w:id="118"/>
    </w:p>
    <w:p w14:paraId="31C27F4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关于发包人应负责</w:t>
      </w:r>
      <w:r>
        <w:rPr>
          <w:rFonts w:hint="eastAsia" w:ascii="宋体" w:hAnsi="宋体" w:cs="宋体"/>
          <w:color w:val="auto"/>
          <w:kern w:val="2"/>
          <w:sz w:val="21"/>
          <w:szCs w:val="21"/>
          <w:highlight w:val="none"/>
        </w:rPr>
        <w:t>提供</w:t>
      </w:r>
      <w:r>
        <w:rPr>
          <w:rFonts w:hint="eastAsia" w:ascii="Times New Roman" w:hAnsi="Times New Roman" w:cs="宋体"/>
          <w:color w:val="auto"/>
          <w:kern w:val="2"/>
          <w:sz w:val="21"/>
          <w:szCs w:val="21"/>
          <w:highlight w:val="none"/>
        </w:rPr>
        <w:t>的工作条件包括：发包人可委托承包人办理工程所需的证件、批件，以及临时用地、停水、停电、中断道路交通、爆破作业等的申批手续，但按照相关政府文件规定需要发包人承担的费用由发包人承担。</w:t>
      </w:r>
    </w:p>
    <w:p w14:paraId="19417922">
      <w:pPr>
        <w:keepNext w:val="0"/>
        <w:keepLines w:val="0"/>
        <w:pageBreakBefore w:val="0"/>
        <w:widowControl w:val="0"/>
        <w:numPr>
          <w:ilvl w:val="0"/>
          <w:numId w:val="0"/>
        </w:numPr>
        <w:kinsoku/>
        <w:wordWrap/>
        <w:overflowPunct/>
        <w:topLinePunct w:val="0"/>
        <w:bidi w:val="0"/>
        <w:adjustRightInd w:val="0"/>
        <w:snapToGrid w:val="0"/>
        <w:spacing w:before="120" w:beforeLines="50" w:after="120" w:afterLines="5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19" w:name="_Toc83904113"/>
      <w:r>
        <w:rPr>
          <w:rFonts w:hint="eastAsia" w:ascii="黑体" w:hAnsi="黑体" w:eastAsia="黑体" w:cs="宋体"/>
          <w:b w:val="0"/>
          <w:bCs/>
          <w:color w:val="auto"/>
          <w:kern w:val="2"/>
          <w:sz w:val="21"/>
          <w:szCs w:val="21"/>
          <w:highlight w:val="none"/>
          <w:lang w:val="en-US" w:eastAsia="zh-CN" w:bidi="ar-SA"/>
        </w:rPr>
        <w:t>2.3 提供基础资料</w:t>
      </w:r>
      <w:bookmarkEnd w:id="119"/>
    </w:p>
    <w:p w14:paraId="2D2054C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关于发包人应提供的基础资料的范围和期限：</w:t>
      </w:r>
      <w:r>
        <w:rPr>
          <w:rFonts w:hint="eastAsia" w:ascii="Times New Roman" w:hAnsi="Times New Roman" w:cs="宋体"/>
          <w:color w:val="auto"/>
          <w:kern w:val="2"/>
          <w:sz w:val="21"/>
          <w:szCs w:val="21"/>
          <w:highlight w:val="none"/>
          <w:u w:val="single"/>
        </w:rPr>
        <w:t xml:space="preserve">          </w:t>
      </w:r>
      <w:r>
        <w:rPr>
          <w:rFonts w:hint="eastAsia" w:ascii="Times New Roman" w:hAnsi="Times New Roman" w:cs="宋体"/>
          <w:color w:val="auto"/>
          <w:kern w:val="2"/>
          <w:sz w:val="21"/>
          <w:szCs w:val="21"/>
          <w:highlight w:val="none"/>
        </w:rPr>
        <w:t>。</w:t>
      </w:r>
    </w:p>
    <w:p w14:paraId="49AFEE7F">
      <w:pPr>
        <w:keepNext w:val="0"/>
        <w:keepLines w:val="0"/>
        <w:pageBreakBefore w:val="0"/>
        <w:widowControl w:val="0"/>
        <w:numPr>
          <w:ilvl w:val="0"/>
          <w:numId w:val="0"/>
        </w:numPr>
        <w:kinsoku/>
        <w:wordWrap/>
        <w:overflowPunct/>
        <w:topLinePunct w:val="0"/>
        <w:bidi w:val="0"/>
        <w:adjustRightInd w:val="0"/>
        <w:snapToGrid w:val="0"/>
        <w:spacing w:before="120" w:beforeLines="50" w:after="120" w:afterLines="50" w:line="440" w:lineRule="exact"/>
        <w:ind w:firstLine="420" w:firstLineChars="200"/>
        <w:jc w:val="left"/>
        <w:textAlignment w:val="auto"/>
        <w:outlineLvl w:val="9"/>
        <w:rPr>
          <w:rFonts w:hint="eastAsia" w:ascii="黑体" w:hAnsi="黑体" w:eastAsia="黑体" w:cs="宋体"/>
          <w:b w:val="0"/>
          <w:bCs/>
          <w:color w:val="auto"/>
          <w:kern w:val="2"/>
          <w:sz w:val="21"/>
          <w:szCs w:val="21"/>
          <w:highlight w:val="none"/>
          <w:lang w:val="en-US" w:eastAsia="zh-CN" w:bidi="ar-SA"/>
        </w:rPr>
      </w:pPr>
      <w:r>
        <w:rPr>
          <w:rFonts w:hint="eastAsia" w:ascii="黑体" w:hAnsi="黑体" w:eastAsia="黑体" w:cs="宋体"/>
          <w:b w:val="0"/>
          <w:bCs/>
          <w:color w:val="auto"/>
          <w:kern w:val="2"/>
          <w:sz w:val="21"/>
          <w:szCs w:val="21"/>
          <w:highlight w:val="none"/>
          <w:lang w:val="en-US" w:eastAsia="zh-CN" w:bidi="ar-SA"/>
        </w:rPr>
        <w:t>2.5 资金来源证明及支付担保</w:t>
      </w:r>
    </w:p>
    <w:p w14:paraId="375B31F6">
      <w:pPr>
        <w:adjustRightInd w:val="0"/>
        <w:snapToGrid w:val="0"/>
        <w:spacing w:line="384" w:lineRule="auto"/>
        <w:ind w:firstLine="420" w:firstLineChars="200"/>
        <w:outlineLvl w:val="9"/>
        <w:rPr>
          <w:rFonts w:hint="eastAsia" w:ascii="宋体" w:hAnsi="宋体" w:cs="宋体"/>
          <w:color w:val="000000"/>
          <w:kern w:val="2"/>
          <w:sz w:val="21"/>
          <w:szCs w:val="24"/>
          <w:highlight w:val="none"/>
        </w:rPr>
      </w:pPr>
      <w:r>
        <w:rPr>
          <w:rFonts w:hint="eastAsia" w:ascii="宋体" w:hAnsi="宋体" w:cs="宋体"/>
          <w:color w:val="000000"/>
          <w:kern w:val="2"/>
          <w:sz w:val="21"/>
          <w:szCs w:val="24"/>
          <w:highlight w:val="none"/>
        </w:rPr>
        <w:t>发包人提供资金来源证明及资金安排的期限要求：</w:t>
      </w:r>
      <w:r>
        <w:rPr>
          <w:rFonts w:hint="eastAsia" w:ascii="Times New Roman" w:hAnsi="Times New Roman" w:cs="宋体"/>
          <w:bCs/>
          <w:color w:val="auto"/>
          <w:kern w:val="2"/>
          <w:sz w:val="21"/>
          <w:szCs w:val="21"/>
          <w:highlight w:val="none"/>
          <w:u w:val="single"/>
        </w:rPr>
        <w:t>发包人在申请办理施工许可证过程中，应当承诺在取得施工许可证3个月内办理工程款支付担保。未按承诺期限提供工程款支付担保，视作项目建设资金未落实</w:t>
      </w:r>
      <w:r>
        <w:rPr>
          <w:rFonts w:hint="eastAsia" w:ascii="宋体" w:hAnsi="宋体" w:cs="宋体"/>
          <w:color w:val="000000"/>
          <w:kern w:val="2"/>
          <w:sz w:val="21"/>
          <w:szCs w:val="24"/>
          <w:highlight w:val="none"/>
        </w:rPr>
        <w:t>。</w:t>
      </w:r>
    </w:p>
    <w:p w14:paraId="2F94AAFA">
      <w:pPr>
        <w:adjustRightInd w:val="0"/>
        <w:snapToGrid w:val="0"/>
        <w:spacing w:line="384" w:lineRule="auto"/>
        <w:ind w:firstLine="420" w:firstLineChars="200"/>
        <w:outlineLvl w:val="9"/>
        <w:rPr>
          <w:rFonts w:hint="eastAsia" w:ascii="宋体" w:hAnsi="宋体" w:cs="宋体"/>
          <w:color w:val="000000"/>
          <w:kern w:val="2"/>
          <w:sz w:val="21"/>
          <w:szCs w:val="24"/>
          <w:highlight w:val="none"/>
        </w:rPr>
      </w:pPr>
      <w:r>
        <w:rPr>
          <w:rFonts w:hint="eastAsia" w:ascii="宋体" w:hAnsi="宋体" w:cs="宋体"/>
          <w:color w:val="000000"/>
          <w:kern w:val="2"/>
          <w:sz w:val="21"/>
          <w:szCs w:val="24"/>
          <w:highlight w:val="none"/>
        </w:rPr>
        <w:t>发包人是否提供支付担保：</w:t>
      </w:r>
      <w:r>
        <w:rPr>
          <w:rFonts w:hint="eastAsia" w:ascii="宋体" w:hAnsi="宋体" w:cs="宋体"/>
          <w:b/>
          <w:color w:val="000000"/>
          <w:kern w:val="2"/>
          <w:sz w:val="21"/>
          <w:szCs w:val="24"/>
          <w:highlight w:val="none"/>
        </w:rPr>
        <w:t>提供支付担保</w:t>
      </w:r>
      <w:r>
        <w:rPr>
          <w:rFonts w:hint="eastAsia" w:ascii="宋体" w:hAnsi="宋体" w:cs="宋体"/>
          <w:color w:val="000000"/>
          <w:kern w:val="2"/>
          <w:sz w:val="21"/>
          <w:szCs w:val="24"/>
          <w:highlight w:val="none"/>
        </w:rPr>
        <w:t>。</w:t>
      </w:r>
    </w:p>
    <w:p w14:paraId="6B5DC2A7">
      <w:pPr>
        <w:snapToGrid w:val="0"/>
        <w:spacing w:line="360" w:lineRule="auto"/>
        <w:outlineLvl w:val="9"/>
        <w:rPr>
          <w:rFonts w:hint="eastAsia" w:ascii="Times New Roman" w:hAnsi="Times New Roman" w:cs="宋体"/>
          <w:bCs/>
          <w:color w:val="auto"/>
          <w:kern w:val="2"/>
          <w:sz w:val="21"/>
          <w:szCs w:val="21"/>
          <w:highlight w:val="none"/>
          <w:u w:val="single"/>
        </w:rPr>
      </w:pPr>
      <w:r>
        <w:rPr>
          <w:rFonts w:hint="eastAsia" w:ascii="宋体" w:hAnsi="宋体" w:cs="宋体"/>
          <w:color w:val="000000"/>
          <w:kern w:val="2"/>
          <w:sz w:val="21"/>
          <w:szCs w:val="24"/>
          <w:highlight w:val="none"/>
        </w:rPr>
        <w:t>发包人提供支付担保的形式：</w:t>
      </w:r>
      <w:r>
        <w:rPr>
          <w:rFonts w:hint="eastAsia" w:ascii="Times New Roman" w:hAnsi="Times New Roman" w:cs="宋体"/>
          <w:bCs/>
          <w:color w:val="auto"/>
          <w:kern w:val="2"/>
          <w:sz w:val="21"/>
          <w:szCs w:val="21"/>
          <w:highlight w:val="none"/>
          <w:u w:val="single"/>
        </w:rPr>
        <w:t>工程款支付担保可以采用银行保函、保证保险、工程担保公司担保等方式。银行保函、保证保险和工程担保保单应当为不可撤销的保证。发包人应当向承包人提供签约合同价8%的工程款支付担保。</w:t>
      </w:r>
    </w:p>
    <w:p w14:paraId="31D4A6A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color w:val="auto"/>
          <w:kern w:val="2"/>
          <w:sz w:val="21"/>
          <w:szCs w:val="21"/>
          <w:highlight w:val="none"/>
        </w:rPr>
      </w:pPr>
      <w:r>
        <w:rPr>
          <w:rFonts w:hint="eastAsia" w:ascii="Times New Roman" w:hAnsi="Times New Roman" w:cs="宋体"/>
          <w:bCs/>
          <w:color w:val="auto"/>
          <w:kern w:val="2"/>
          <w:sz w:val="21"/>
          <w:szCs w:val="21"/>
          <w:highlight w:val="none"/>
          <w:u w:val="single"/>
        </w:rPr>
        <w:t>对于政府投资的工程建设项目，发包人可以提供财政等政府有权部门出具的落实项目建设资金保障证明作为工程款支付担保凭证。工程款支付担保保证期限应与施工合同约定的期限保持一致。施工工期延期的，发包人应在担保到期前30 天办理延期手续</w:t>
      </w:r>
      <w:r>
        <w:rPr>
          <w:rFonts w:hint="eastAsia" w:ascii="Times New Roman" w:hAnsi="Times New Roman" w:cs="Times New Roman"/>
          <w:kern w:val="2"/>
          <w:sz w:val="21"/>
          <w:szCs w:val="24"/>
          <w:highlight w:val="none"/>
        </w:rPr>
        <w:t>。</w:t>
      </w:r>
    </w:p>
    <w:p w14:paraId="1214B889">
      <w:pPr>
        <w:keepNext w:val="0"/>
        <w:keepLines w:val="0"/>
        <w:pageBreakBefore w:val="0"/>
        <w:widowControl w:val="0"/>
        <w:numPr>
          <w:ilvl w:val="0"/>
          <w:numId w:val="0"/>
        </w:numPr>
        <w:kinsoku/>
        <w:wordWrap/>
        <w:overflowPunct/>
        <w:topLinePunct w:val="0"/>
        <w:bidi w:val="0"/>
        <w:adjustRightInd w:val="0"/>
        <w:snapToGrid w:val="0"/>
        <w:spacing w:before="120" w:beforeLines="50" w:after="120" w:afterLines="5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20" w:name="_Toc83904115"/>
      <w:r>
        <w:rPr>
          <w:rFonts w:hint="eastAsia" w:ascii="黑体" w:hAnsi="黑体" w:eastAsia="黑体" w:cs="宋体"/>
          <w:b w:val="0"/>
          <w:bCs/>
          <w:color w:val="auto"/>
          <w:kern w:val="2"/>
          <w:sz w:val="21"/>
          <w:szCs w:val="21"/>
          <w:highlight w:val="none"/>
          <w:lang w:val="en-US" w:eastAsia="zh-CN" w:bidi="ar-SA"/>
        </w:rPr>
        <w:t>2.7 其他义务</w:t>
      </w:r>
      <w:bookmarkEnd w:id="120"/>
    </w:p>
    <w:p w14:paraId="2161891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Times New Roman" w:hAnsi="Times New Roman" w:cs="宋体"/>
          <w:b/>
          <w:color w:val="auto"/>
          <w:kern w:val="2"/>
          <w:sz w:val="21"/>
          <w:szCs w:val="21"/>
          <w:highlight w:val="none"/>
        </w:rPr>
      </w:pPr>
      <w:r>
        <w:rPr>
          <w:rFonts w:hint="eastAsia" w:ascii="Times New Roman" w:hAnsi="Times New Roman" w:cs="宋体"/>
          <w:color w:val="auto"/>
          <w:kern w:val="2"/>
          <w:sz w:val="21"/>
          <w:szCs w:val="21"/>
          <w:highlight w:val="none"/>
        </w:rPr>
        <w:t>发包人应履行的其他义务：工程验收后发包人应按安徽省建设厅规定向承包人提出竣工决算时间和内容要求。</w:t>
      </w:r>
    </w:p>
    <w:p w14:paraId="6C58BE10">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黑体" w:hAnsi="黑体" w:eastAsia="黑体" w:cs="宋体"/>
          <w:b w:val="0"/>
          <w:bCs/>
          <w:color w:val="auto"/>
          <w:kern w:val="2"/>
          <w:sz w:val="21"/>
          <w:szCs w:val="21"/>
          <w:highlight w:val="none"/>
          <w:lang w:val="en-US" w:eastAsia="zh-CN" w:bidi="ar-SA"/>
        </w:rPr>
      </w:pPr>
      <w:bookmarkStart w:id="121" w:name="_Toc83904116"/>
      <w:r>
        <w:rPr>
          <w:rFonts w:hint="eastAsia" w:ascii="黑体" w:hAnsi="黑体" w:eastAsia="黑体" w:cs="宋体"/>
          <w:b w:val="0"/>
          <w:bCs/>
          <w:color w:val="auto"/>
          <w:kern w:val="2"/>
          <w:sz w:val="21"/>
          <w:szCs w:val="21"/>
          <w:highlight w:val="none"/>
          <w:lang w:val="en-US" w:eastAsia="zh-CN" w:bidi="ar-SA"/>
        </w:rPr>
        <w:t>第3条 发包人的管理</w:t>
      </w:r>
      <w:bookmarkEnd w:id="117"/>
      <w:bookmarkEnd w:id="121"/>
    </w:p>
    <w:p w14:paraId="36458BF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3.1 发包人代表</w:t>
      </w:r>
    </w:p>
    <w:p w14:paraId="10A5690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发包人代表的姓名：</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4CCB99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发包人代表的身份证号：</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61E012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发包人代表的职务：</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0AEA23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发包人代表的联系电话：</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B977CD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发包人代表的电子邮箱：</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45C2D6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发包人代表的通信地址：</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170025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发包人对发包人代表的授权范围如下：</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ABAAA8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发包人代表的职责：</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F475A0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3.2 发包人人员</w:t>
      </w:r>
    </w:p>
    <w:p w14:paraId="25EEAC4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发包人人员姓名：</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99779C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发包人人员职务：</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286906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发包人人员职责：</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B83093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3.3 工程师</w:t>
      </w:r>
    </w:p>
    <w:p w14:paraId="4091978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3.3.1 工程师名称：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；工程师监督管理范围、内容：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；工程师权限：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EE5E75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3.6 商定或确定</w:t>
      </w:r>
    </w:p>
    <w:p w14:paraId="41DC292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3.6.2 关于商定时间限制的具体约定：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DAAEF5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3.6.3 关于商定或确定效力的具体约定：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；关于对工程师的确定提出异议的具体约定：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EDD6B6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3.7 会议</w:t>
      </w:r>
    </w:p>
    <w:p w14:paraId="3091C26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3.7.1 关于召开会议的具体约定：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167A84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3.7.2 关于保存和提供会议纪要的具体约定：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411720E">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22" w:name="_Toc54862335"/>
      <w:bookmarkStart w:id="123" w:name="_Toc83904117"/>
      <w:r>
        <w:rPr>
          <w:rFonts w:hint="eastAsia" w:ascii="黑体" w:hAnsi="黑体" w:eastAsia="黑体" w:cs="宋体"/>
          <w:b w:val="0"/>
          <w:bCs/>
          <w:color w:val="auto"/>
          <w:kern w:val="2"/>
          <w:sz w:val="21"/>
          <w:szCs w:val="21"/>
          <w:highlight w:val="none"/>
          <w:lang w:val="en-US" w:eastAsia="zh-CN" w:bidi="ar-SA"/>
        </w:rPr>
        <w:t>第4条 承包人</w:t>
      </w:r>
      <w:bookmarkEnd w:id="122"/>
      <w:bookmarkEnd w:id="123"/>
    </w:p>
    <w:p w14:paraId="0FFF9A0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4.1 承包人的一般义务</w:t>
      </w:r>
    </w:p>
    <w:p w14:paraId="2156AF4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4.1 承包人的一般义务</w:t>
      </w:r>
    </w:p>
    <w:p w14:paraId="1BE15D9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承包人应履行的其他义务：</w:t>
      </w:r>
    </w:p>
    <w:p w14:paraId="06652DC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文明施工：承包人应根据国家及行业部门有关规定进行文明工地创建和文明施工活动，并按照监理人批准的文明施工措施计划、文明施工保障措施，以及施工现场封闭管理措施进行施工，所需的一切费用由承包人承担。</w:t>
      </w:r>
    </w:p>
    <w:p w14:paraId="42BFD79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（2）保证工程质量。</w:t>
      </w:r>
    </w:p>
    <w:p w14:paraId="38E6C96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（3）施工供水、供电。</w:t>
      </w:r>
    </w:p>
    <w:p w14:paraId="052A3D9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（4）承包人应遵守国家法律法规及相关规定，按照诚实信用原则，提供行为信息。</w:t>
      </w:r>
    </w:p>
    <w:p w14:paraId="02E93E2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（5）承包人应保障农民工的权益，并履行保障农民工权益承诺书的相关承诺。</w:t>
      </w:r>
    </w:p>
    <w:p w14:paraId="154E295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（6）施工配合与协调</w:t>
      </w:r>
    </w:p>
    <w:p w14:paraId="58E6D29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在实施和完成本合同工程及缺陷修复过程中的一切活动，应保障发包人免于承担因其借用、占用或进出其它合同标段和工区，或作业影响等引起的一切索赔、诉讼、损害赔偿及其他有关费用，并有义务提供与其它合同标段工程施工配合与协调，包括（但不限于）：</w:t>
      </w:r>
    </w:p>
    <w:p w14:paraId="317C610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①工作面的安全；</w:t>
      </w:r>
    </w:p>
    <w:p w14:paraId="5A2B777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②施工进度的协调；</w:t>
      </w:r>
    </w:p>
    <w:p w14:paraId="4A37AF4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③及时提供或移交工作面；</w:t>
      </w:r>
    </w:p>
    <w:p w14:paraId="3FAA6A0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④保持建筑物相邻界面附近的结构质量；</w:t>
      </w:r>
    </w:p>
    <w:p w14:paraId="60906C6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⑤为其它标段的承包人提供交通道路、交叉工作面的作业场地；</w:t>
      </w:r>
    </w:p>
    <w:p w14:paraId="09DF568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⑥保持发包人提供的公用设施包括道路等在承建标段内的维护与保养，不得造成损坏而影响正常施工。</w:t>
      </w:r>
    </w:p>
    <w:p w14:paraId="01FB0C9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（7）现场作业、施工方法和封闭管理</w:t>
      </w:r>
    </w:p>
    <w:p w14:paraId="4E1810D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承包人应对所有现场作业和施工方法的完备性、稳定和安全负全部责任。</w:t>
      </w:r>
    </w:p>
    <w:p w14:paraId="32B6E0C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（8）承包人在检查合同或工程施工时，如果发现工程设计或技术规范中存在任何错误或其它缺陷，应立即通知发包人和监理人。</w:t>
      </w:r>
    </w:p>
    <w:p w14:paraId="6041C36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（9）承包人应按照国家行业和地方的相关规定，参加单元工程质量评定，分部工程评定，单位工程评定。及时参加分部工程验收和单位工程验收。并完成以下工作：</w:t>
      </w:r>
    </w:p>
    <w:p w14:paraId="46F4926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①编制工程验收工作方案和计划；</w:t>
      </w:r>
    </w:p>
    <w:p w14:paraId="6803248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②参加分部工程验收、单位工程验收、合同项目完成验收，提交有关验收报告和备案资料、影像资料；</w:t>
      </w:r>
    </w:p>
    <w:p w14:paraId="1D9E2BE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③作为被验收单位参与专项验收、初步验收、技术预验收、竣工验收等，按时提交有关报告和备查资料；</w:t>
      </w:r>
    </w:p>
    <w:p w14:paraId="6DD8BA9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④落实历次验收的遗留问题，并及时提请验收；</w:t>
      </w:r>
    </w:p>
    <w:p w14:paraId="6739D12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⑤配合发包人开展专项验收和安全评估工作；</w:t>
      </w:r>
    </w:p>
    <w:p w14:paraId="049E201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⑥负责对施工档案资料的收集、整理、归档并按要求及时移交。</w:t>
      </w:r>
    </w:p>
    <w:p w14:paraId="520C703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承包人应按照有关规定，建立工程档案管理工作领导责任制和相关人员岗位责任制，明确工程档案管理机构，配备必要人员及设施、设备，统筹安排工程档案管理工作所需资金，建立健全工程档案管理各项规章制度，保证工程档案合理有序进行。</w:t>
      </w:r>
    </w:p>
    <w:p w14:paraId="767F083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4.2 履约担保</w:t>
      </w:r>
    </w:p>
    <w:p w14:paraId="21CE8CE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承包人是否提供履约保证金：</w:t>
      </w:r>
      <w:r>
        <w:rPr>
          <w:rFonts w:hint="eastAsia" w:ascii="宋体" w:hAnsi="宋体" w:cs="宋体"/>
          <w:color w:val="auto"/>
          <w:kern w:val="2"/>
          <w:sz w:val="21"/>
          <w:szCs w:val="21"/>
          <w:highlight w:val="none"/>
          <w:u w:val="single"/>
        </w:rPr>
        <w:t>提供</w:t>
      </w:r>
      <w:r>
        <w:rPr>
          <w:rFonts w:hint="eastAsia" w:ascii="宋体" w:hAnsi="宋体" w:cs="宋体"/>
          <w:color w:val="auto"/>
          <w:kern w:val="2"/>
          <w:sz w:val="21"/>
          <w:szCs w:val="21"/>
          <w:highlight w:val="none"/>
        </w:rPr>
        <w:t>。</w:t>
      </w:r>
    </w:p>
    <w:p w14:paraId="3239D9B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承包人提供履约保证金的形式：</w:t>
      </w:r>
      <w:r>
        <w:rPr>
          <w:rFonts w:hint="eastAsia" w:ascii="Times New Roman" w:hAnsi="Times New Roman" w:cs="宋体"/>
          <w:bCs/>
          <w:color w:val="auto"/>
          <w:kern w:val="2"/>
          <w:sz w:val="21"/>
          <w:szCs w:val="21"/>
          <w:highlight w:val="none"/>
          <w:u w:val="single"/>
        </w:rPr>
        <w:t>☑转账/电汇 ☑支票 ☑汇票 ☑本票 ☑保险 ☑保函</w:t>
      </w:r>
    </w:p>
    <w:p w14:paraId="6D960A9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履约保证金的金额：</w:t>
      </w:r>
      <w:r>
        <w:rPr>
          <w:rFonts w:hint="eastAsia" w:ascii="Times New Roman" w:hAnsi="Times New Roman" w:cs="宋体"/>
          <w:bCs/>
          <w:color w:val="auto"/>
          <w:kern w:val="2"/>
          <w:sz w:val="21"/>
          <w:szCs w:val="21"/>
          <w:highlight w:val="none"/>
        </w:rPr>
        <w:t>中标合同金额的</w:t>
      </w:r>
      <w:r>
        <w:rPr>
          <w:rFonts w:hint="eastAsia" w:ascii="Times New Roman" w:hAnsi="Times New Roman" w:cs="宋体"/>
          <w:bCs/>
          <w:color w:val="auto"/>
          <w:kern w:val="2"/>
          <w:sz w:val="21"/>
          <w:szCs w:val="21"/>
          <w:highlight w:val="none"/>
          <w:u w:val="single"/>
          <w:lang w:val="en-US" w:eastAsia="zh-CN"/>
        </w:rPr>
        <w:t>2</w:t>
      </w:r>
      <w:r>
        <w:rPr>
          <w:rFonts w:hint="eastAsia" w:ascii="Times New Roman" w:hAnsi="Times New Roman" w:cs="宋体"/>
          <w:bCs/>
          <w:color w:val="auto"/>
          <w:kern w:val="2"/>
          <w:sz w:val="21"/>
          <w:szCs w:val="21"/>
          <w:highlight w:val="none"/>
        </w:rPr>
        <w:t>%</w:t>
      </w:r>
    </w:p>
    <w:p w14:paraId="0BB4807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履约保证金提交期限的要求：签订合同前。 </w:t>
      </w:r>
    </w:p>
    <w:p w14:paraId="03403BE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履约保证金退还时限：</w:t>
      </w:r>
      <w:r>
        <w:rPr>
          <w:rFonts w:hint="eastAsia" w:ascii="Times New Roman" w:hAnsi="Times New Roman" w:cs="宋体"/>
          <w:bCs/>
          <w:color w:val="auto"/>
          <w:kern w:val="2"/>
          <w:sz w:val="21"/>
          <w:szCs w:val="21"/>
          <w:highlight w:val="none"/>
          <w:u w:val="single"/>
        </w:rPr>
        <w:t>①采用银行转账方式：工程竣工验收合格后，一次性退还；②采用支票、汇票、本票、保函等方式：有效期为自合同签订之日起至供货期满后止</w:t>
      </w:r>
      <w:r>
        <w:rPr>
          <w:rFonts w:hint="eastAsia" w:ascii="宋体" w:hAnsi="宋体" w:cs="宋体"/>
          <w:color w:val="auto"/>
          <w:kern w:val="2"/>
          <w:sz w:val="21"/>
          <w:szCs w:val="21"/>
          <w:highlight w:val="none"/>
        </w:rPr>
        <w:t>。</w:t>
      </w:r>
    </w:p>
    <w:p w14:paraId="5031901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4.3 工程总承包项目经理</w:t>
      </w:r>
    </w:p>
    <w:p w14:paraId="6A8DBF6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4.3.1</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 xml:space="preserve"> 工程总承包项目经理姓名：</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0F900F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执业资格或职称类型：</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54F9E8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执业资格证或职称证号码：</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7BB9E0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22A519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电子邮箱：</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474C1B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通信地址：</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020D09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4.3.1.2项目施工负责人：</w:t>
      </w:r>
    </w:p>
    <w:p w14:paraId="2F6CB66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姓 名：</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A04E87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执业资格或职称类型：</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6D26B2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执业资格证或职称证号码：</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8E43ED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D99E2A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电子邮箱：</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9824B6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通信地址：</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A6F5F0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4.3.1.2项目设计负责人：</w:t>
      </w:r>
    </w:p>
    <w:p w14:paraId="50AD57F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姓 名：</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9B48A9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执业资格或职称类型：</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5CEADB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执业资格证或职称证号码：</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A5AD74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B8250A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电子邮箱：</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B3DD52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通信地址：</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554720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承包人未提交劳动合同，以及没有为工程总承包项目经理及项目施工负责人缴纳社会保险证明的违约责任：</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B3E1F7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4.3.2 工程总承包项目经理及项目施工负责人每月在现场的时间要求：</w:t>
      </w:r>
      <w:r>
        <w:rPr>
          <w:rFonts w:hint="eastAsia" w:ascii="宋体" w:hAnsi="宋体" w:cs="宋体"/>
          <w:color w:val="auto"/>
          <w:kern w:val="2"/>
          <w:sz w:val="21"/>
          <w:szCs w:val="21"/>
          <w:highlight w:val="none"/>
          <w:u w:val="single"/>
        </w:rPr>
        <w:t xml:space="preserve"> 不少于2</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 xml:space="preserve">天 </w:t>
      </w:r>
      <w:r>
        <w:rPr>
          <w:rFonts w:hint="eastAsia" w:ascii="宋体" w:hAnsi="宋体" w:cs="宋体"/>
          <w:color w:val="auto"/>
          <w:kern w:val="2"/>
          <w:sz w:val="21"/>
          <w:szCs w:val="21"/>
          <w:highlight w:val="none"/>
        </w:rPr>
        <w:t>。</w:t>
      </w:r>
    </w:p>
    <w:p w14:paraId="7BB754C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工程总承包项目经理及项目施工负责人未经批准擅自离开施工现场的违约责任：</w:t>
      </w:r>
      <w:r>
        <w:rPr>
          <w:rFonts w:hint="eastAsia" w:ascii="宋体" w:hAnsi="宋体" w:cs="宋体"/>
          <w:color w:val="auto"/>
          <w:kern w:val="2"/>
          <w:sz w:val="21"/>
          <w:szCs w:val="21"/>
          <w:highlight w:val="none"/>
          <w:u w:val="single"/>
        </w:rPr>
        <w:t>对项目经理处罚</w:t>
      </w:r>
      <w:r>
        <w:rPr>
          <w:rFonts w:hint="eastAsia" w:ascii="宋体" w:hAnsi="宋体"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 xml:space="preserve">00元/人·天的违约 。 </w:t>
      </w:r>
    </w:p>
    <w:p w14:paraId="71B0DD6C">
      <w:pPr>
        <w:keepNext w:val="0"/>
        <w:keepLines w:val="0"/>
        <w:pageBreakBefore w:val="0"/>
        <w:widowControl w:val="0"/>
        <w:kinsoku/>
        <w:wordWrap w:val="0"/>
        <w:overflowPunct/>
        <w:topLinePunct w:val="0"/>
        <w:autoSpaceDE/>
        <w:autoSpaceDN/>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4.3.3 承包人对工程总承包项目经理及项目施工负责人的授权范围: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B395AC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4.3.4 承包人擅自更换工程总承包项目经理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施工负责人</w:t>
      </w:r>
      <w:r>
        <w:rPr>
          <w:rFonts w:hint="eastAsia" w:ascii="宋体" w:hAnsi="宋体" w:cs="宋体"/>
          <w:color w:val="auto"/>
          <w:kern w:val="2"/>
          <w:sz w:val="21"/>
          <w:szCs w:val="21"/>
          <w:highlight w:val="none"/>
          <w:lang w:val="en-US" w:eastAsia="zh-CN"/>
        </w:rPr>
        <w:t>及设计负责人</w:t>
      </w:r>
      <w:r>
        <w:rPr>
          <w:rFonts w:hint="eastAsia" w:ascii="宋体" w:hAnsi="宋体" w:cs="宋体"/>
          <w:color w:val="auto"/>
          <w:kern w:val="2"/>
          <w:sz w:val="21"/>
          <w:szCs w:val="21"/>
          <w:highlight w:val="none"/>
        </w:rPr>
        <w:t>的违约责任：</w:t>
      </w:r>
      <w:r>
        <w:rPr>
          <w:rFonts w:hint="eastAsia" w:ascii="宋体" w:hAnsi="宋体" w:cs="宋体"/>
          <w:color w:val="auto"/>
          <w:kern w:val="2"/>
          <w:sz w:val="21"/>
          <w:szCs w:val="21"/>
          <w:highlight w:val="none"/>
          <w:u w:val="single"/>
        </w:rPr>
        <w:t>承包人不得擅自更换投标时所报工程总承包项目经理及项目施工负责人，否则发包人有权解除合同，由此造成的损失由承包人自行承担，承包人还应赔偿由此造成发包人的全部损失。确需更换的须在签订合同后，报经发包人同意后按相关规定办理，并支付</w:t>
      </w:r>
      <w:r>
        <w:rPr>
          <w:rFonts w:hint="eastAsia"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万元的违约金，更换后的人员不得低于承包人投标时所报人员资质和技术水平</w:t>
      </w:r>
      <w:r>
        <w:rPr>
          <w:rFonts w:hint="eastAsia" w:ascii="宋体" w:hAnsi="宋体" w:cs="宋体"/>
          <w:color w:val="auto"/>
          <w:kern w:val="2"/>
          <w:sz w:val="21"/>
          <w:szCs w:val="21"/>
          <w:highlight w:val="none"/>
        </w:rPr>
        <w:t>。</w:t>
      </w:r>
    </w:p>
    <w:p w14:paraId="2F7AEE1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4.3.5 承包人无正当理由拒绝更换工程总承包项目经理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施工负责人</w:t>
      </w:r>
      <w:r>
        <w:rPr>
          <w:rFonts w:hint="eastAsia" w:ascii="宋体" w:hAnsi="宋体" w:cs="宋体"/>
          <w:color w:val="auto"/>
          <w:kern w:val="2"/>
          <w:sz w:val="21"/>
          <w:szCs w:val="21"/>
          <w:highlight w:val="none"/>
          <w:lang w:val="en-US" w:eastAsia="zh-CN"/>
        </w:rPr>
        <w:t>及设计负责人</w:t>
      </w:r>
      <w:r>
        <w:rPr>
          <w:rFonts w:hint="eastAsia" w:ascii="宋体" w:hAnsi="宋体" w:cs="宋体"/>
          <w:color w:val="auto"/>
          <w:kern w:val="2"/>
          <w:sz w:val="21"/>
          <w:szCs w:val="21"/>
          <w:highlight w:val="none"/>
        </w:rPr>
        <w:t>的违约责任:</w:t>
      </w:r>
      <w:r>
        <w:rPr>
          <w:rFonts w:hint="eastAsia" w:ascii="宋体" w:hAnsi="宋体" w:cs="宋体"/>
          <w:color w:val="auto"/>
          <w:kern w:val="2"/>
          <w:sz w:val="21"/>
          <w:szCs w:val="21"/>
          <w:highlight w:val="none"/>
          <w:u w:val="single"/>
        </w:rPr>
        <w:t>承包方总承包项目经理或项目施工负责人不满足岗位管理水平及技术水平等原因要求时，发包人和监理人可要求承包方更换，更换后人员不得低于承包人投标时所报人员资质和技术水平，并经发包人书面认可，同时发包人对承包人处以人民币</w:t>
      </w:r>
      <w:r>
        <w:rPr>
          <w:rFonts w:hint="eastAsia"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000元违约金/人.次。如承包人拒不更换项目负责人或项目施工负责人，发包人有权要求承包人退场并对总承包单位处以</w:t>
      </w:r>
      <w:r>
        <w:rPr>
          <w:rFonts w:hint="eastAsia" w:cs="宋体"/>
          <w:color w:val="auto"/>
          <w:kern w:val="2"/>
          <w:sz w:val="21"/>
          <w:szCs w:val="21"/>
          <w:highlight w:val="none"/>
          <w:u w:val="single"/>
          <w:lang w:val="en-US" w:eastAsia="zh-CN"/>
        </w:rPr>
        <w:t>1</w:t>
      </w:r>
      <w:r>
        <w:rPr>
          <w:rFonts w:hint="eastAsia" w:ascii="宋体" w:hAnsi="宋体" w:cs="宋体"/>
          <w:color w:val="auto"/>
          <w:kern w:val="2"/>
          <w:sz w:val="21"/>
          <w:szCs w:val="21"/>
          <w:highlight w:val="none"/>
          <w:u w:val="single"/>
        </w:rPr>
        <w:t>0万元的罚款</w:t>
      </w:r>
      <w:r>
        <w:rPr>
          <w:rFonts w:hint="eastAsia" w:ascii="宋体" w:hAnsi="宋体" w:cs="宋体"/>
          <w:color w:val="auto"/>
          <w:kern w:val="2"/>
          <w:sz w:val="21"/>
          <w:szCs w:val="21"/>
          <w:highlight w:val="none"/>
        </w:rPr>
        <w:t>。</w:t>
      </w:r>
    </w:p>
    <w:p w14:paraId="0F9B38E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4.4 承包人人员</w:t>
      </w:r>
    </w:p>
    <w:p w14:paraId="4DE05AC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4.4.1 人员安排</w:t>
      </w:r>
    </w:p>
    <w:p w14:paraId="0F05E1E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bookmarkStart w:id="124" w:name="_Toc54862336"/>
      <w:r>
        <w:rPr>
          <w:rFonts w:hint="eastAsia" w:ascii="Times New Roman" w:hAnsi="Times New Roman" w:cs="宋体"/>
          <w:color w:val="auto"/>
          <w:kern w:val="2"/>
          <w:sz w:val="21"/>
          <w:szCs w:val="21"/>
          <w:highlight w:val="none"/>
        </w:rPr>
        <w:t>承</w:t>
      </w:r>
      <w:r>
        <w:rPr>
          <w:rFonts w:hint="eastAsia" w:ascii="宋体" w:hAnsi="宋体" w:cs="宋体"/>
          <w:color w:val="auto"/>
          <w:kern w:val="2"/>
          <w:sz w:val="21"/>
          <w:szCs w:val="21"/>
          <w:highlight w:val="none"/>
        </w:rPr>
        <w:t>包人提交项目管理机构及施工现场人员安排的报告的期限：</w:t>
      </w:r>
      <w:r>
        <w:rPr>
          <w:rFonts w:hint="eastAsia" w:ascii="宋体" w:hAnsi="宋体" w:cs="宋体"/>
          <w:color w:val="auto"/>
          <w:kern w:val="2"/>
          <w:sz w:val="21"/>
          <w:szCs w:val="21"/>
          <w:highlight w:val="none"/>
          <w:u w:val="single"/>
        </w:rPr>
        <w:t xml:space="preserve"> 项目报告前15天内 </w:t>
      </w:r>
      <w:r>
        <w:rPr>
          <w:rFonts w:hint="eastAsia" w:ascii="宋体" w:hAnsi="宋体" w:cs="宋体"/>
          <w:color w:val="auto"/>
          <w:kern w:val="2"/>
          <w:sz w:val="21"/>
          <w:szCs w:val="21"/>
          <w:highlight w:val="none"/>
        </w:rPr>
        <w:t>。</w:t>
      </w:r>
    </w:p>
    <w:p w14:paraId="4EC99D35">
      <w:pPr>
        <w:keepNext w:val="0"/>
        <w:keepLines w:val="0"/>
        <w:pageBreakBefore w:val="0"/>
        <w:widowControl w:val="0"/>
        <w:kinsoku/>
        <w:wordWrap w:val="0"/>
        <w:overflowPunct/>
        <w:topLinePunct w:val="0"/>
        <w:autoSpaceDE/>
        <w:autoSpaceDN/>
        <w:bidi w:val="0"/>
        <w:adjustRightInd w:val="0"/>
        <w:snapToGrid w:val="0"/>
        <w:spacing w:line="440" w:lineRule="exact"/>
        <w:ind w:left="200" w:leftChars="100" w:firstLine="210" w:firstLineChars="1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承包人提交关键人员信息及注册执业资格等证明其具备担任关键人员能力的相关文件的期限：</w:t>
      </w:r>
      <w:r>
        <w:rPr>
          <w:rFonts w:hint="eastAsia" w:ascii="宋体" w:hAnsi="宋体" w:cs="宋体"/>
          <w:color w:val="auto"/>
          <w:kern w:val="2"/>
          <w:sz w:val="21"/>
          <w:szCs w:val="21"/>
          <w:highlight w:val="none"/>
          <w:u w:val="single"/>
        </w:rPr>
        <w:t xml:space="preserve"> 项目开工前15天内  </w:t>
      </w:r>
      <w:r>
        <w:rPr>
          <w:rFonts w:hint="eastAsia" w:ascii="宋体" w:hAnsi="宋体" w:cs="宋体"/>
          <w:color w:val="auto"/>
          <w:kern w:val="2"/>
          <w:sz w:val="21"/>
          <w:szCs w:val="21"/>
          <w:highlight w:val="none"/>
        </w:rPr>
        <w:t>。</w:t>
      </w:r>
    </w:p>
    <w:p w14:paraId="0FD72B8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承包人主要施工管理人员离开施工现场的批准要求：</w:t>
      </w:r>
      <w:r>
        <w:rPr>
          <w:rFonts w:hint="eastAsia" w:ascii="宋体" w:hAnsi="宋体" w:cs="宋体"/>
          <w:color w:val="auto"/>
          <w:kern w:val="2"/>
          <w:sz w:val="21"/>
          <w:szCs w:val="21"/>
          <w:highlight w:val="none"/>
          <w:u w:val="single"/>
        </w:rPr>
        <w:t>需离开时必须事先征得发包人和监理人同意后方可离开</w:t>
      </w:r>
      <w:r>
        <w:rPr>
          <w:rFonts w:hint="eastAsia" w:ascii="宋体" w:hAnsi="宋体" w:cs="宋体"/>
          <w:color w:val="auto"/>
          <w:kern w:val="2"/>
          <w:sz w:val="21"/>
          <w:szCs w:val="21"/>
          <w:highlight w:val="none"/>
        </w:rPr>
        <w:t>。</w:t>
      </w:r>
    </w:p>
    <w:p w14:paraId="6D3410C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4.4.2 关键人员更换</w:t>
      </w:r>
    </w:p>
    <w:p w14:paraId="6492378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承包人擅自更换关键人员的违约责任：</w:t>
      </w:r>
      <w:r>
        <w:rPr>
          <w:rFonts w:hint="eastAsia" w:ascii="宋体" w:hAnsi="宋体" w:cs="宋体"/>
          <w:color w:val="auto"/>
          <w:kern w:val="2"/>
          <w:sz w:val="21"/>
          <w:szCs w:val="21"/>
          <w:highlight w:val="none"/>
          <w:u w:val="single"/>
        </w:rPr>
        <w:t>对总承包单位处以1万元的罚款</w:t>
      </w:r>
      <w:r>
        <w:rPr>
          <w:rFonts w:hint="eastAsia" w:ascii="宋体" w:hAnsi="宋体" w:cs="宋体"/>
          <w:color w:val="auto"/>
          <w:kern w:val="2"/>
          <w:sz w:val="21"/>
          <w:szCs w:val="21"/>
          <w:highlight w:val="none"/>
        </w:rPr>
        <w:t>。</w:t>
      </w:r>
    </w:p>
    <w:p w14:paraId="6619462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承包人无正当理由拒绝撤换关键人员的违约责任：</w:t>
      </w:r>
      <w:r>
        <w:rPr>
          <w:rFonts w:hint="eastAsia" w:ascii="宋体" w:hAnsi="宋体" w:cs="宋体"/>
          <w:color w:val="auto"/>
          <w:kern w:val="2"/>
          <w:sz w:val="21"/>
          <w:szCs w:val="21"/>
          <w:highlight w:val="none"/>
          <w:u w:val="single"/>
        </w:rPr>
        <w:t>对总承包单位处以1万元的罚款</w:t>
      </w:r>
      <w:r>
        <w:rPr>
          <w:rFonts w:hint="eastAsia" w:ascii="宋体" w:hAnsi="宋体" w:cs="宋体"/>
          <w:color w:val="auto"/>
          <w:kern w:val="2"/>
          <w:sz w:val="21"/>
          <w:szCs w:val="21"/>
          <w:highlight w:val="none"/>
        </w:rPr>
        <w:t>。</w:t>
      </w:r>
    </w:p>
    <w:p w14:paraId="41BD9CE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4.4.3 现场管理关键人员在岗要求</w:t>
      </w:r>
    </w:p>
    <w:p w14:paraId="2CD2D2D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承包人现场管理关键人员离开施工现场的批准要求：</w:t>
      </w:r>
      <w:r>
        <w:rPr>
          <w:rFonts w:hint="eastAsia" w:ascii="宋体" w:hAnsi="宋体" w:cs="宋体"/>
          <w:color w:val="auto"/>
          <w:kern w:val="2"/>
          <w:sz w:val="21"/>
          <w:szCs w:val="21"/>
          <w:highlight w:val="none"/>
          <w:u w:val="single"/>
          <w:lang w:val="en-US" w:eastAsia="zh-CN"/>
        </w:rPr>
        <w:t>项目总承包经理和</w:t>
      </w:r>
      <w:r>
        <w:rPr>
          <w:rFonts w:hint="eastAsia" w:ascii="宋体" w:hAnsi="宋体" w:cs="宋体"/>
          <w:color w:val="auto"/>
          <w:kern w:val="2"/>
          <w:sz w:val="21"/>
          <w:szCs w:val="21"/>
          <w:highlight w:val="none"/>
          <w:u w:val="single"/>
        </w:rPr>
        <w:t>施工负责人</w:t>
      </w:r>
      <w:r>
        <w:rPr>
          <w:rFonts w:hint="eastAsia" w:ascii="宋体" w:hAnsi="宋体" w:cs="宋体"/>
          <w:color w:val="auto"/>
          <w:kern w:val="2"/>
          <w:sz w:val="21"/>
          <w:szCs w:val="21"/>
          <w:highlight w:val="none"/>
          <w:u w:val="single"/>
          <w:lang w:val="en-US" w:eastAsia="zh-CN"/>
        </w:rPr>
        <w:t>每月在现场</w:t>
      </w:r>
      <w:r>
        <w:rPr>
          <w:rFonts w:hint="eastAsia" w:ascii="宋体" w:hAnsi="宋体" w:cs="宋体"/>
          <w:color w:val="auto"/>
          <w:kern w:val="2"/>
          <w:sz w:val="21"/>
          <w:szCs w:val="21"/>
          <w:highlight w:val="none"/>
          <w:u w:val="single"/>
        </w:rPr>
        <w:t>不少于2</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天，如有正当理由且在安排好工作的前提下，需提前1天向业主代表履行书面请假手续</w:t>
      </w:r>
      <w:r>
        <w:rPr>
          <w:rFonts w:hint="eastAsia" w:ascii="宋体" w:hAnsi="宋体" w:cs="宋体"/>
          <w:color w:val="auto"/>
          <w:kern w:val="2"/>
          <w:sz w:val="21"/>
          <w:szCs w:val="21"/>
          <w:highlight w:val="none"/>
        </w:rPr>
        <w:t>。</w:t>
      </w:r>
    </w:p>
    <w:p w14:paraId="48405CB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承包人现场管理关键人员擅自离开施工现场的违约责任：</w:t>
      </w:r>
      <w:r>
        <w:rPr>
          <w:rFonts w:hint="eastAsia" w:ascii="宋体" w:hAnsi="宋体" w:cs="宋体"/>
          <w:color w:val="auto"/>
          <w:kern w:val="2"/>
          <w:sz w:val="21"/>
          <w:szCs w:val="21"/>
          <w:highlight w:val="none"/>
          <w:u w:val="single"/>
        </w:rPr>
        <w:t xml:space="preserve"> 按 2000元/人日对承包人进行处罚 </w:t>
      </w:r>
      <w:r>
        <w:rPr>
          <w:rFonts w:hint="eastAsia" w:ascii="宋体" w:hAnsi="宋体" w:cs="宋体"/>
          <w:color w:val="auto"/>
          <w:kern w:val="2"/>
          <w:sz w:val="21"/>
          <w:szCs w:val="21"/>
          <w:highlight w:val="none"/>
        </w:rPr>
        <w:t>。</w:t>
      </w:r>
    </w:p>
    <w:p w14:paraId="166AA80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4.5 分包</w:t>
      </w:r>
    </w:p>
    <w:p w14:paraId="0EE44E2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4.5.1 一般约定</w:t>
      </w:r>
    </w:p>
    <w:p w14:paraId="166AC87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禁止分包的工程包括：</w:t>
      </w:r>
      <w:r>
        <w:rPr>
          <w:rFonts w:hint="eastAsia" w:ascii="宋体" w:hAnsi="宋体" w:cs="宋体"/>
          <w:color w:val="auto"/>
          <w:kern w:val="2"/>
          <w:sz w:val="21"/>
          <w:szCs w:val="21"/>
          <w:highlight w:val="none"/>
          <w:u w:val="single"/>
        </w:rPr>
        <w:t xml:space="preserve">   主体工程     </w:t>
      </w:r>
      <w:r>
        <w:rPr>
          <w:rFonts w:hint="eastAsia" w:ascii="宋体" w:hAnsi="宋体" w:cs="宋体"/>
          <w:color w:val="auto"/>
          <w:kern w:val="2"/>
          <w:sz w:val="21"/>
          <w:szCs w:val="21"/>
          <w:highlight w:val="none"/>
        </w:rPr>
        <w:t>。</w:t>
      </w:r>
    </w:p>
    <w:p w14:paraId="5ACDFED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4.5.2 分包的确定</w:t>
      </w:r>
    </w:p>
    <w:p w14:paraId="3BA99B0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允许分包的工程包括：</w:t>
      </w:r>
      <w:r>
        <w:rPr>
          <w:rFonts w:hint="eastAsia" w:ascii="宋体" w:hAnsi="宋体" w:cs="宋体"/>
          <w:color w:val="auto"/>
          <w:kern w:val="2"/>
          <w:sz w:val="21"/>
          <w:szCs w:val="21"/>
          <w:highlight w:val="none"/>
          <w:u w:val="single"/>
        </w:rPr>
        <w:t xml:space="preserve"> 除主体工程以外的其他工程部分 </w:t>
      </w:r>
      <w:r>
        <w:rPr>
          <w:rFonts w:hint="eastAsia" w:ascii="宋体" w:hAnsi="宋体" w:cs="宋体"/>
          <w:color w:val="auto"/>
          <w:kern w:val="2"/>
          <w:sz w:val="21"/>
          <w:szCs w:val="21"/>
          <w:highlight w:val="none"/>
        </w:rPr>
        <w:t>。</w:t>
      </w:r>
    </w:p>
    <w:p w14:paraId="7F794C6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其他关于分包的约定：</w:t>
      </w:r>
      <w:r>
        <w:rPr>
          <w:rFonts w:hint="eastAsia" w:ascii="宋体" w:hAnsi="宋体" w:cs="宋体"/>
          <w:color w:val="auto"/>
          <w:kern w:val="2"/>
          <w:sz w:val="21"/>
          <w:szCs w:val="21"/>
          <w:highlight w:val="none"/>
          <w:u w:val="single"/>
        </w:rPr>
        <w:t>承包人应与分包人与分包工程向发包人承担连带责任，同时发包人对承包人与分包人的法律与经济纠纷不承担任何责任和义务</w:t>
      </w:r>
      <w:r>
        <w:rPr>
          <w:rFonts w:hint="eastAsia" w:ascii="宋体" w:hAnsi="宋体" w:cs="宋体"/>
          <w:color w:val="auto"/>
          <w:kern w:val="2"/>
          <w:sz w:val="21"/>
          <w:szCs w:val="21"/>
          <w:highlight w:val="none"/>
        </w:rPr>
        <w:t>。</w:t>
      </w:r>
    </w:p>
    <w:p w14:paraId="04CA6C7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4.5.5 分包合同价款支付</w:t>
      </w:r>
    </w:p>
    <w:p w14:paraId="6694721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关于分包合同价款支付的约定：</w:t>
      </w:r>
      <w:r>
        <w:rPr>
          <w:rFonts w:hint="eastAsia" w:ascii="宋体" w:hAnsi="宋体" w:cs="宋体"/>
          <w:color w:val="auto"/>
          <w:kern w:val="2"/>
          <w:sz w:val="21"/>
          <w:szCs w:val="21"/>
          <w:highlight w:val="none"/>
          <w:u w:val="single"/>
        </w:rPr>
        <w:t xml:space="preserve"> 由承包人与分包人自行约定  </w:t>
      </w:r>
      <w:r>
        <w:rPr>
          <w:rFonts w:hint="eastAsia" w:ascii="宋体" w:hAnsi="宋体" w:cs="宋体"/>
          <w:color w:val="auto"/>
          <w:kern w:val="2"/>
          <w:sz w:val="21"/>
          <w:szCs w:val="21"/>
          <w:highlight w:val="none"/>
        </w:rPr>
        <w:t>。</w:t>
      </w:r>
    </w:p>
    <w:p w14:paraId="41D6366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4.6 联合体</w:t>
      </w:r>
    </w:p>
    <w:p w14:paraId="414EC4F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4.6.2 联合体各成员的分工、费用收取、发票开具等事项：         。</w:t>
      </w:r>
    </w:p>
    <w:p w14:paraId="2864E86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4.7 承包人现场查勘</w:t>
      </w:r>
    </w:p>
    <w:p w14:paraId="7EE63B3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4.7.1 双方当事人对现场查勘的责任承担的约定： </w:t>
      </w:r>
      <w:r>
        <w:rPr>
          <w:rFonts w:hint="eastAsia" w:ascii="宋体" w:hAnsi="宋体" w:cs="宋体"/>
          <w:color w:val="auto"/>
          <w:kern w:val="2"/>
          <w:sz w:val="21"/>
          <w:szCs w:val="21"/>
          <w:highlight w:val="none"/>
          <w:u w:val="single"/>
        </w:rPr>
        <w:t xml:space="preserve">承包人自行查勘现场，并承担相应的责任 </w:t>
      </w:r>
      <w:r>
        <w:rPr>
          <w:rFonts w:hint="eastAsia" w:ascii="宋体" w:hAnsi="宋体" w:cs="宋体"/>
          <w:color w:val="auto"/>
          <w:kern w:val="2"/>
          <w:sz w:val="21"/>
          <w:szCs w:val="21"/>
          <w:highlight w:val="none"/>
        </w:rPr>
        <w:t>。</w:t>
      </w:r>
    </w:p>
    <w:p w14:paraId="16075CD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4.8 不可预见的困难</w:t>
      </w:r>
    </w:p>
    <w:p w14:paraId="7091856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不可预见的困难包括：</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5E4C0B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25" w:name="_Toc83904119"/>
      <w:r>
        <w:rPr>
          <w:rFonts w:hint="eastAsia" w:ascii="黑体" w:hAnsi="黑体" w:eastAsia="黑体" w:cs="宋体"/>
          <w:b w:val="0"/>
          <w:bCs/>
          <w:color w:val="auto"/>
          <w:kern w:val="2"/>
          <w:sz w:val="21"/>
          <w:szCs w:val="21"/>
          <w:highlight w:val="none"/>
          <w:lang w:val="en-US" w:eastAsia="zh-CN" w:bidi="ar-SA"/>
        </w:rPr>
        <w:t>第5条 设计</w:t>
      </w:r>
      <w:bookmarkEnd w:id="124"/>
      <w:bookmarkEnd w:id="125"/>
    </w:p>
    <w:p w14:paraId="50B26EC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5.2 承包人文件审查</w:t>
      </w:r>
    </w:p>
    <w:p w14:paraId="3E70DDB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5.2.1 承包人文件审查的期限：</w:t>
      </w:r>
      <w:r>
        <w:rPr>
          <w:rFonts w:hint="eastAsia" w:ascii="宋体" w:hAnsi="宋体" w:cs="宋体"/>
          <w:color w:val="auto"/>
          <w:kern w:val="2"/>
          <w:sz w:val="21"/>
          <w:szCs w:val="21"/>
          <w:highlight w:val="none"/>
          <w:u w:val="single"/>
        </w:rPr>
        <w:t xml:space="preserve"> 发包人需在5天内对承包人提交的设计文件进行审查 </w:t>
      </w:r>
      <w:r>
        <w:rPr>
          <w:rFonts w:hint="eastAsia" w:ascii="宋体" w:hAnsi="宋体" w:cs="宋体"/>
          <w:color w:val="auto"/>
          <w:kern w:val="2"/>
          <w:sz w:val="21"/>
          <w:szCs w:val="21"/>
          <w:highlight w:val="none"/>
        </w:rPr>
        <w:t>。</w:t>
      </w:r>
    </w:p>
    <w:p w14:paraId="5C8610E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5.2.2 审查会议的审查形式和时间安排为：</w:t>
      </w:r>
      <w:r>
        <w:rPr>
          <w:rFonts w:hint="eastAsia" w:ascii="宋体" w:hAnsi="宋体" w:cs="宋体"/>
          <w:color w:val="auto"/>
          <w:kern w:val="2"/>
          <w:sz w:val="21"/>
          <w:szCs w:val="21"/>
          <w:highlight w:val="none"/>
          <w:u w:val="single"/>
        </w:rPr>
        <w:t xml:space="preserve"> 发包人根据政府相关文件和要求安排 </w:t>
      </w:r>
      <w:r>
        <w:rPr>
          <w:rFonts w:hint="eastAsia" w:ascii="宋体" w:hAnsi="宋体" w:cs="宋体"/>
          <w:color w:val="auto"/>
          <w:kern w:val="2"/>
          <w:sz w:val="21"/>
          <w:szCs w:val="21"/>
          <w:highlight w:val="none"/>
        </w:rPr>
        <w:t>，审查会议的相关费用由</w:t>
      </w:r>
      <w:r>
        <w:rPr>
          <w:rFonts w:hint="eastAsia" w:ascii="宋体" w:hAnsi="宋体" w:cs="宋体"/>
          <w:color w:val="auto"/>
          <w:kern w:val="2"/>
          <w:sz w:val="21"/>
          <w:szCs w:val="21"/>
          <w:highlight w:val="none"/>
          <w:u w:val="single"/>
        </w:rPr>
        <w:t xml:space="preserve">  承包人  </w:t>
      </w:r>
      <w:r>
        <w:rPr>
          <w:rFonts w:hint="eastAsia" w:ascii="宋体" w:hAnsi="宋体" w:cs="宋体"/>
          <w:color w:val="auto"/>
          <w:kern w:val="2"/>
          <w:sz w:val="21"/>
          <w:szCs w:val="21"/>
          <w:highlight w:val="none"/>
        </w:rPr>
        <w:t>承担。</w:t>
      </w:r>
    </w:p>
    <w:p w14:paraId="0FDEA90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5.2.3 关于第三方审查单位的约定：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29E82A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5.3 培训</w:t>
      </w:r>
    </w:p>
    <w:p w14:paraId="77238F2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培训的时长为</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3</w:t>
      </w:r>
      <w:r>
        <w:rPr>
          <w:rFonts w:hint="eastAsia" w:ascii="宋体" w:hAnsi="宋体" w:cs="宋体"/>
          <w:color w:val="auto"/>
          <w:kern w:val="2"/>
          <w:sz w:val="21"/>
          <w:szCs w:val="21"/>
          <w:highlight w:val="none"/>
          <w:u w:val="single"/>
        </w:rPr>
        <w:t xml:space="preserve">天  </w:t>
      </w:r>
      <w:r>
        <w:rPr>
          <w:rFonts w:hint="eastAsia" w:ascii="宋体" w:hAnsi="宋体" w:cs="宋体"/>
          <w:color w:val="auto"/>
          <w:kern w:val="2"/>
          <w:sz w:val="21"/>
          <w:szCs w:val="21"/>
          <w:highlight w:val="none"/>
        </w:rPr>
        <w:t>，承包人应为培训提供的人员、设施和其它必要条件为</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提供培训场地、培训纸质文件，如在项目建设城市外的培训则需负责食宿</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rPr>
        <w:t>。</w:t>
      </w:r>
    </w:p>
    <w:p w14:paraId="549CDE8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5.4 竣工文件</w:t>
      </w:r>
    </w:p>
    <w:p w14:paraId="347E7FD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5.4.1 竣工文件的形式、提供的份数、技术标准以及其它相关要求：</w:t>
      </w:r>
      <w:r>
        <w:rPr>
          <w:rFonts w:hint="eastAsia" w:ascii="宋体" w:hAnsi="宋体" w:cs="宋体"/>
          <w:color w:val="auto"/>
          <w:kern w:val="2"/>
          <w:sz w:val="21"/>
          <w:szCs w:val="21"/>
          <w:highlight w:val="none"/>
          <w:u w:val="single"/>
        </w:rPr>
        <w:t xml:space="preserve"> 承包人必须提交给发包人与项目有关的设计、施工文件，包括：（1）工程设计的全套设计图纸（含施工图审查资料）及竣工图。（2）建设过程中的各种文件记录。（3）工程竣工验收资料。（4）其他技术资料和文件。共计4套 。 </w:t>
      </w:r>
    </w:p>
    <w:p w14:paraId="30AE373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5.4.3 关于竣工文件的其他约定：</w:t>
      </w:r>
      <w:r>
        <w:rPr>
          <w:rFonts w:hint="eastAsia" w:ascii="宋体" w:hAnsi="宋体" w:cs="宋体"/>
          <w:color w:val="auto"/>
          <w:kern w:val="2"/>
          <w:sz w:val="21"/>
          <w:szCs w:val="21"/>
          <w:highlight w:val="none"/>
          <w:u w:val="single"/>
        </w:rPr>
        <w:t xml:space="preserve">  按档案馆要求执行，装订成册、并编写整体文件目录，费用均由承包人承担   </w:t>
      </w:r>
      <w:r>
        <w:rPr>
          <w:rFonts w:hint="eastAsia" w:ascii="宋体" w:hAnsi="宋体" w:cs="宋体"/>
          <w:color w:val="auto"/>
          <w:kern w:val="2"/>
          <w:sz w:val="21"/>
          <w:szCs w:val="21"/>
          <w:highlight w:val="none"/>
        </w:rPr>
        <w:t>。</w:t>
      </w:r>
    </w:p>
    <w:p w14:paraId="6205304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5.5 操作和维修手册</w:t>
      </w:r>
    </w:p>
    <w:p w14:paraId="07402E7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5.5.3 对最终操作和维修手册的约定：</w:t>
      </w:r>
      <w:r>
        <w:rPr>
          <w:rFonts w:hint="eastAsia" w:ascii="宋体" w:hAnsi="宋体" w:cs="宋体"/>
          <w:color w:val="auto"/>
          <w:kern w:val="2"/>
          <w:sz w:val="21"/>
          <w:szCs w:val="21"/>
          <w:highlight w:val="none"/>
          <w:u w:val="single"/>
        </w:rPr>
        <w:t xml:space="preserve"> 由承包人向发包人在竣工验收前移交，3份 </w:t>
      </w:r>
      <w:r>
        <w:rPr>
          <w:rFonts w:hint="eastAsia" w:ascii="宋体" w:hAnsi="宋体" w:cs="宋体"/>
          <w:color w:val="auto"/>
          <w:kern w:val="2"/>
          <w:sz w:val="21"/>
          <w:szCs w:val="21"/>
          <w:highlight w:val="none"/>
        </w:rPr>
        <w:t>。</w:t>
      </w:r>
    </w:p>
    <w:p w14:paraId="4C5F46A2">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26" w:name="_Toc83904120"/>
      <w:bookmarkStart w:id="127" w:name="_Toc54862337"/>
      <w:r>
        <w:rPr>
          <w:rFonts w:hint="eastAsia" w:ascii="黑体" w:hAnsi="黑体" w:eastAsia="黑体" w:cs="宋体"/>
          <w:b w:val="0"/>
          <w:bCs/>
          <w:color w:val="auto"/>
          <w:kern w:val="2"/>
          <w:sz w:val="21"/>
          <w:szCs w:val="21"/>
          <w:highlight w:val="none"/>
          <w:lang w:val="en-US" w:eastAsia="zh-CN" w:bidi="ar-SA"/>
        </w:rPr>
        <w:t>第6条 材料、工程设备</w:t>
      </w:r>
      <w:bookmarkEnd w:id="126"/>
      <w:bookmarkEnd w:id="127"/>
    </w:p>
    <w:p w14:paraId="53D4182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6.1 实施方法</w:t>
      </w:r>
    </w:p>
    <w:p w14:paraId="4299DC0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双方当事人约定的实施方法、设备、设施和材料：</w:t>
      </w:r>
      <w:r>
        <w:rPr>
          <w:rFonts w:hint="eastAsia" w:ascii="宋体" w:hAnsi="宋体" w:cs="宋体"/>
          <w:color w:val="auto"/>
          <w:kern w:val="2"/>
          <w:sz w:val="21"/>
          <w:szCs w:val="21"/>
          <w:highlight w:val="none"/>
          <w:u w:val="single"/>
        </w:rPr>
        <w:t xml:space="preserve"> 详见招标文件附件：主要工程设备及材料技术规格书  </w:t>
      </w:r>
      <w:r>
        <w:rPr>
          <w:rFonts w:hint="eastAsia" w:ascii="宋体" w:hAnsi="宋体" w:cs="宋体"/>
          <w:color w:val="auto"/>
          <w:kern w:val="2"/>
          <w:sz w:val="21"/>
          <w:szCs w:val="21"/>
          <w:highlight w:val="none"/>
        </w:rPr>
        <w:t>。</w:t>
      </w:r>
    </w:p>
    <w:p w14:paraId="1ED0238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6.2 材料和工程设备</w:t>
      </w:r>
    </w:p>
    <w:p w14:paraId="17FCE20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6.2.1 发包人提供的材料和工程设备</w:t>
      </w:r>
    </w:p>
    <w:p w14:paraId="78C983F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发包人提供的材料和工程设备验收后，由</w:t>
      </w:r>
      <w:r>
        <w:rPr>
          <w:rFonts w:hint="eastAsia" w:ascii="宋体" w:hAnsi="宋体" w:cs="宋体"/>
          <w:color w:val="auto"/>
          <w:kern w:val="2"/>
          <w:sz w:val="21"/>
          <w:szCs w:val="21"/>
          <w:highlight w:val="none"/>
          <w:u w:val="single"/>
        </w:rPr>
        <w:t xml:space="preserve"> 承包人 </w:t>
      </w:r>
      <w:r>
        <w:rPr>
          <w:rFonts w:hint="eastAsia" w:ascii="宋体" w:hAnsi="宋体" w:cs="宋体"/>
          <w:color w:val="auto"/>
          <w:kern w:val="2"/>
          <w:sz w:val="21"/>
          <w:szCs w:val="21"/>
          <w:highlight w:val="none"/>
        </w:rPr>
        <w:t>负责接收、运输和保管。</w:t>
      </w:r>
    </w:p>
    <w:p w14:paraId="11291A2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6.2.2 承包人提供的材料和工程设备</w:t>
      </w:r>
    </w:p>
    <w:p w14:paraId="2A84545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材料和工程设备的类别、估算数量：</w:t>
      </w:r>
      <w:r>
        <w:rPr>
          <w:rFonts w:hint="eastAsia" w:ascii="宋体" w:hAnsi="宋体" w:cs="宋体"/>
          <w:color w:val="auto"/>
          <w:kern w:val="2"/>
          <w:sz w:val="21"/>
          <w:szCs w:val="21"/>
          <w:highlight w:val="none"/>
          <w:u w:val="single"/>
        </w:rPr>
        <w:t xml:space="preserve"> 完成本项工程所使用的全部材料，以经过图审后的施工图中所涵盖的全部材料和工程设备  </w:t>
      </w:r>
      <w:r>
        <w:rPr>
          <w:rFonts w:hint="eastAsia" w:ascii="宋体" w:hAnsi="宋体" w:cs="宋体"/>
          <w:color w:val="auto"/>
          <w:kern w:val="2"/>
          <w:sz w:val="21"/>
          <w:szCs w:val="21"/>
          <w:highlight w:val="none"/>
        </w:rPr>
        <w:t>。</w:t>
      </w:r>
    </w:p>
    <w:p w14:paraId="5BA655D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竣工后试验的生产性材料的类别或（和）清单：</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2E8109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6.2.3 材料和工程设备的保管</w:t>
      </w:r>
    </w:p>
    <w:p w14:paraId="202340C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发包人供应的材料和工程设备的保管费用由</w:t>
      </w:r>
      <w:r>
        <w:rPr>
          <w:rFonts w:hint="eastAsia" w:ascii="宋体" w:hAnsi="宋体" w:cs="宋体"/>
          <w:color w:val="auto"/>
          <w:kern w:val="2"/>
          <w:sz w:val="21"/>
          <w:szCs w:val="21"/>
          <w:highlight w:val="none"/>
          <w:u w:val="single"/>
        </w:rPr>
        <w:t xml:space="preserve">  承包人  </w:t>
      </w:r>
      <w:r>
        <w:rPr>
          <w:rFonts w:hint="eastAsia" w:ascii="宋体" w:hAnsi="宋体" w:cs="宋体"/>
          <w:color w:val="auto"/>
          <w:kern w:val="2"/>
          <w:sz w:val="21"/>
          <w:szCs w:val="21"/>
          <w:highlight w:val="none"/>
        </w:rPr>
        <w:t>承担。</w:t>
      </w:r>
    </w:p>
    <w:p w14:paraId="2390F01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承包人提交保管、维护方案的时间：</w:t>
      </w:r>
      <w:r>
        <w:rPr>
          <w:rFonts w:hint="eastAsia" w:ascii="宋体" w:hAnsi="宋体" w:cs="宋体"/>
          <w:color w:val="auto"/>
          <w:kern w:val="2"/>
          <w:sz w:val="21"/>
          <w:szCs w:val="21"/>
          <w:highlight w:val="none"/>
          <w:u w:val="single"/>
        </w:rPr>
        <w:t xml:space="preserve">  工程开工前7天内  </w:t>
      </w:r>
      <w:r>
        <w:rPr>
          <w:rFonts w:hint="eastAsia" w:ascii="宋体" w:hAnsi="宋体" w:cs="宋体"/>
          <w:color w:val="auto"/>
          <w:kern w:val="2"/>
          <w:sz w:val="21"/>
          <w:szCs w:val="21"/>
          <w:highlight w:val="none"/>
        </w:rPr>
        <w:t>。</w:t>
      </w:r>
    </w:p>
    <w:p w14:paraId="7363AEE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发包人提供的库房、堆场、设施和设备：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02E8BA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6.3 样品</w:t>
      </w:r>
    </w:p>
    <w:p w14:paraId="6F48844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6.3.1 样品的报送与封存</w:t>
      </w:r>
    </w:p>
    <w:p w14:paraId="7D8C36B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需要承包人报送样品的材料或工程设备，样品种类、名称、规格、数量：</w:t>
      </w:r>
      <w:r>
        <w:rPr>
          <w:rFonts w:hint="eastAsia" w:ascii="宋体" w:hAnsi="宋体" w:cs="宋体"/>
          <w:color w:val="auto"/>
          <w:kern w:val="2"/>
          <w:sz w:val="21"/>
          <w:szCs w:val="21"/>
          <w:highlight w:val="none"/>
          <w:u w:val="single"/>
        </w:rPr>
        <w:t xml:space="preserve"> 承包人应将各项材料和工程设备的供货人及品种、规格、数量和供货时间等报送监理人审批。承包人应向监理人提交其负责提供的材料和工程设备的质量证明文件，并满足合同约定的质量标准 </w:t>
      </w:r>
      <w:r>
        <w:rPr>
          <w:rFonts w:hint="eastAsia" w:ascii="宋体" w:hAnsi="宋体" w:cs="宋体"/>
          <w:color w:val="auto"/>
          <w:kern w:val="2"/>
          <w:sz w:val="21"/>
          <w:szCs w:val="21"/>
          <w:highlight w:val="none"/>
        </w:rPr>
        <w:t>。</w:t>
      </w:r>
    </w:p>
    <w:p w14:paraId="23B25CB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6.4 质量检查</w:t>
      </w:r>
    </w:p>
    <w:p w14:paraId="2687571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6.4.1 工程质量要求</w:t>
      </w:r>
    </w:p>
    <w:p w14:paraId="4E7EF33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工程质量的特殊标准或要求：</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0FB3918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6.4.2 质量检查</w:t>
      </w:r>
    </w:p>
    <w:p w14:paraId="0087584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除通用合同条件已列明的质量检查的地点外，发包人有权进行质量检查的其他地点：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92A6E9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6.4.3 隐蔽工程检查</w:t>
      </w:r>
    </w:p>
    <w:p w14:paraId="549E350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关于隐蔽工程和中间验收的特别约定：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4452B79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6.5 由承包人试验和检验</w:t>
      </w:r>
    </w:p>
    <w:p w14:paraId="4B49732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6.5.1 试验设备与试验人员</w:t>
      </w:r>
    </w:p>
    <w:p w14:paraId="6106FCE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试验的内容、时间和地点：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DA35E4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试验所需要的试验设备、取样装置、试验场所和试验条件：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68D379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试验和检验费用的计价原则：</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367C7AC">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2" w:firstLineChars="200"/>
        <w:jc w:val="left"/>
        <w:textAlignment w:val="auto"/>
        <w:outlineLvl w:val="9"/>
        <w:rPr>
          <w:rFonts w:ascii="黑体" w:hAnsi="黑体" w:eastAsia="黑体" w:cs="宋体"/>
          <w:b/>
          <w:bCs/>
          <w:color w:val="auto"/>
          <w:kern w:val="2"/>
          <w:sz w:val="21"/>
          <w:szCs w:val="21"/>
          <w:highlight w:val="none"/>
          <w:lang w:val="en-US" w:eastAsia="zh-CN" w:bidi="ar-SA"/>
        </w:rPr>
      </w:pPr>
      <w:bookmarkStart w:id="128" w:name="_Toc83904121"/>
      <w:bookmarkStart w:id="129" w:name="_Toc54862338"/>
      <w:r>
        <w:rPr>
          <w:rFonts w:hint="eastAsia" w:ascii="黑体" w:hAnsi="黑体" w:eastAsia="黑体" w:cs="宋体"/>
          <w:b/>
          <w:bCs/>
          <w:color w:val="auto"/>
          <w:kern w:val="2"/>
          <w:sz w:val="21"/>
          <w:szCs w:val="21"/>
          <w:highlight w:val="none"/>
          <w:lang w:val="en-US" w:eastAsia="zh-CN" w:bidi="ar-SA"/>
        </w:rPr>
        <w:t>第7条 施工</w:t>
      </w:r>
      <w:bookmarkEnd w:id="128"/>
      <w:bookmarkEnd w:id="129"/>
    </w:p>
    <w:p w14:paraId="3021765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7.1 交通运输</w:t>
      </w:r>
    </w:p>
    <w:p w14:paraId="21F66D5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7.1.1 出入现场的权利</w:t>
      </w:r>
    </w:p>
    <w:p w14:paraId="597C92F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关于出入现场的权利的约定：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70ED6A4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7.1.2 场外交通</w:t>
      </w:r>
    </w:p>
    <w:p w14:paraId="73EE21C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关于场外交通的特别约定：</w:t>
      </w:r>
      <w:r>
        <w:rPr>
          <w:rFonts w:hint="eastAsia" w:ascii="宋体" w:hAnsi="宋体" w:cs="宋体"/>
          <w:color w:val="auto"/>
          <w:kern w:val="2"/>
          <w:sz w:val="21"/>
          <w:szCs w:val="21"/>
          <w:highlight w:val="none"/>
          <w:u w:val="single"/>
        </w:rPr>
        <w:t xml:space="preserve">       无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3BC744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7.1.3 场内交通</w:t>
      </w:r>
    </w:p>
    <w:p w14:paraId="5A71269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关于场内交通的特别约定：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3306E3C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关于场内交通与场外交通边界的约定：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3524669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7.1.4 超大件和超重件的运输</w:t>
      </w:r>
    </w:p>
    <w:p w14:paraId="78AC36B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运输超大件或超重件所需的道路和桥梁临时加固改造费用和其他有关费用由</w:t>
      </w:r>
      <w:r>
        <w:rPr>
          <w:rFonts w:hint="eastAsia" w:ascii="宋体" w:hAnsi="宋体" w:cs="宋体"/>
          <w:color w:val="auto"/>
          <w:kern w:val="2"/>
          <w:sz w:val="21"/>
          <w:szCs w:val="21"/>
          <w:highlight w:val="none"/>
          <w:u w:val="single"/>
        </w:rPr>
        <w:t xml:space="preserve"> 承包人 </w:t>
      </w:r>
      <w:r>
        <w:rPr>
          <w:rFonts w:hint="eastAsia" w:ascii="宋体" w:hAnsi="宋体" w:cs="宋体"/>
          <w:color w:val="auto"/>
          <w:kern w:val="2"/>
          <w:sz w:val="21"/>
          <w:szCs w:val="21"/>
          <w:highlight w:val="none"/>
        </w:rPr>
        <w:t>承担。</w:t>
      </w:r>
    </w:p>
    <w:p w14:paraId="302CF5E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7.2 施工设备和临时设施</w:t>
      </w:r>
    </w:p>
    <w:p w14:paraId="788D104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7.2.1 承包人提供的施工设备和临时设施</w:t>
      </w:r>
    </w:p>
    <w:p w14:paraId="61BAE3F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临时设施的费用和临时占地手续和费用承担的特别约定：</w:t>
      </w:r>
      <w:r>
        <w:rPr>
          <w:rFonts w:hint="eastAsia" w:ascii="宋体" w:hAnsi="宋体" w:cs="宋体"/>
          <w:color w:val="auto"/>
          <w:kern w:val="2"/>
          <w:sz w:val="21"/>
          <w:szCs w:val="21"/>
          <w:highlight w:val="none"/>
          <w:u w:val="single"/>
        </w:rPr>
        <w:t xml:space="preserve">  </w:t>
      </w:r>
      <w:bookmarkStart w:id="130" w:name="_Toc281060001"/>
      <w:r>
        <w:rPr>
          <w:rFonts w:hint="eastAsia" w:ascii="宋体" w:hAnsi="宋体" w:cs="宋体"/>
          <w:color w:val="auto"/>
          <w:kern w:val="2"/>
          <w:sz w:val="21"/>
          <w:szCs w:val="21"/>
          <w:highlight w:val="none"/>
          <w:u w:val="single"/>
        </w:rPr>
        <w:t>承包人应自行承担修建临时设施的费用；需要临时占地时，占地手续由承包人向发包人提供</w:t>
      </w:r>
      <w:bookmarkEnd w:id="130"/>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AE0D75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7.2.2 发包人提供的施工设备和临时设施</w:t>
      </w:r>
    </w:p>
    <w:p w14:paraId="1DEA4C4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发包人提供的施工设备或临时设施范围：</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1C8BD23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7.3 现场合作</w:t>
      </w:r>
    </w:p>
    <w:p w14:paraId="47EB0BE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关于现场合作费用的特别约定：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25B5B9F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7.4 测量放线</w:t>
      </w:r>
    </w:p>
    <w:p w14:paraId="1E73482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7.4.1 关于测量放线的特别约定的技术规范：</w:t>
      </w:r>
      <w:r>
        <w:rPr>
          <w:rFonts w:hint="eastAsia" w:ascii="宋体" w:hAnsi="宋体" w:cs="宋体"/>
          <w:color w:val="auto"/>
          <w:kern w:val="2"/>
          <w:sz w:val="21"/>
          <w:szCs w:val="21"/>
          <w:highlight w:val="none"/>
          <w:u w:val="single"/>
        </w:rPr>
        <w:t xml:space="preserve">由发包人委托第三方向承包人提交测量放线基准点，基准点需满足承包人的需求 </w:t>
      </w:r>
      <w:r>
        <w:rPr>
          <w:rFonts w:hint="eastAsia" w:ascii="宋体" w:hAnsi="宋体" w:cs="宋体"/>
          <w:color w:val="auto"/>
          <w:kern w:val="2"/>
          <w:sz w:val="21"/>
          <w:szCs w:val="21"/>
          <w:highlight w:val="none"/>
        </w:rPr>
        <w:t>。施工控制网资料的告知期限：</w:t>
      </w:r>
      <w:r>
        <w:rPr>
          <w:rFonts w:hint="eastAsia" w:ascii="宋体" w:hAnsi="宋体" w:cs="宋体"/>
          <w:color w:val="auto"/>
          <w:kern w:val="2"/>
          <w:sz w:val="21"/>
          <w:szCs w:val="21"/>
          <w:highlight w:val="none"/>
          <w:u w:val="single"/>
        </w:rPr>
        <w:t xml:space="preserve"> 项目用地红线提供时 </w:t>
      </w:r>
      <w:r>
        <w:rPr>
          <w:rFonts w:hint="eastAsia" w:ascii="宋体" w:hAnsi="宋体" w:cs="宋体"/>
          <w:color w:val="auto"/>
          <w:kern w:val="2"/>
          <w:sz w:val="21"/>
          <w:szCs w:val="21"/>
          <w:highlight w:val="none"/>
        </w:rPr>
        <w:t>。</w:t>
      </w:r>
    </w:p>
    <w:p w14:paraId="1330717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7.5 现场劳动用工</w:t>
      </w:r>
    </w:p>
    <w:p w14:paraId="7FB51BA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7.5.2 合同当事人对建筑工人工资清偿事宜和违约责任的约定：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F025A9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7.6 安全文明施工</w:t>
      </w:r>
    </w:p>
    <w:p w14:paraId="20C2749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7.6.1 安全生产要求</w:t>
      </w:r>
    </w:p>
    <w:p w14:paraId="7A173AB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合同当事人对安全施工的要求：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C72F15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7.6.3 文明施工</w:t>
      </w:r>
    </w:p>
    <w:p w14:paraId="009B73F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合同当事人对文明施工的要求：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D863A3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7.9 临时性公用设施</w:t>
      </w:r>
    </w:p>
    <w:p w14:paraId="5E1423F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关于临时性公用设施的特别约定：</w:t>
      </w:r>
      <w:r>
        <w:rPr>
          <w:rFonts w:hint="eastAsia" w:ascii="宋体" w:hAnsi="宋体" w:cs="宋体"/>
          <w:color w:val="auto"/>
          <w:kern w:val="2"/>
          <w:sz w:val="21"/>
          <w:szCs w:val="21"/>
          <w:highlight w:val="none"/>
          <w:u w:val="single"/>
        </w:rPr>
        <w:t xml:space="preserve"> 由承包人根据现场需要建设实施，费用由承包人承担 </w:t>
      </w:r>
      <w:r>
        <w:rPr>
          <w:rFonts w:hint="eastAsia" w:ascii="宋体" w:hAnsi="宋体" w:cs="宋体"/>
          <w:color w:val="auto"/>
          <w:kern w:val="2"/>
          <w:sz w:val="21"/>
          <w:szCs w:val="21"/>
          <w:highlight w:val="none"/>
        </w:rPr>
        <w:t>。</w:t>
      </w:r>
    </w:p>
    <w:p w14:paraId="4AD97FB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7.10 现场安保</w:t>
      </w:r>
    </w:p>
    <w:p w14:paraId="29B6456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承包人现场安保义务的特别约定：</w:t>
      </w:r>
      <w:r>
        <w:rPr>
          <w:rFonts w:hint="eastAsia" w:ascii="宋体" w:hAnsi="宋体" w:cs="宋体"/>
          <w:color w:val="auto"/>
          <w:kern w:val="2"/>
          <w:sz w:val="21"/>
          <w:szCs w:val="21"/>
          <w:highlight w:val="none"/>
          <w:u w:val="single"/>
        </w:rPr>
        <w:t xml:space="preserve">  由承包人自行负责  </w:t>
      </w:r>
      <w:r>
        <w:rPr>
          <w:rFonts w:hint="eastAsia" w:ascii="宋体" w:hAnsi="宋体" w:cs="宋体"/>
          <w:color w:val="auto"/>
          <w:kern w:val="2"/>
          <w:sz w:val="21"/>
          <w:szCs w:val="21"/>
          <w:highlight w:val="none"/>
        </w:rPr>
        <w:t>。</w:t>
      </w:r>
    </w:p>
    <w:p w14:paraId="730DF4EC">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31" w:name="_Toc54862339"/>
      <w:bookmarkStart w:id="132" w:name="_Toc83904122"/>
      <w:r>
        <w:rPr>
          <w:rFonts w:hint="eastAsia" w:ascii="黑体" w:hAnsi="黑体" w:eastAsia="黑体" w:cs="宋体"/>
          <w:b w:val="0"/>
          <w:bCs/>
          <w:color w:val="auto"/>
          <w:kern w:val="2"/>
          <w:sz w:val="21"/>
          <w:szCs w:val="21"/>
          <w:highlight w:val="none"/>
          <w:lang w:val="en-US" w:eastAsia="zh-CN" w:bidi="ar-SA"/>
        </w:rPr>
        <w:t>第8条 工期和进度</w:t>
      </w:r>
      <w:bookmarkEnd w:id="131"/>
      <w:bookmarkEnd w:id="132"/>
    </w:p>
    <w:p w14:paraId="3160ACE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8.1 开始工作</w:t>
      </w:r>
    </w:p>
    <w:p w14:paraId="1E0A512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8.1.1 开始准备工作：</w:t>
      </w:r>
      <w:r>
        <w:rPr>
          <w:rFonts w:hint="eastAsia" w:ascii="宋体" w:hAnsi="宋体" w:cs="宋体"/>
          <w:color w:val="auto"/>
          <w:kern w:val="2"/>
          <w:sz w:val="21"/>
          <w:szCs w:val="21"/>
          <w:highlight w:val="none"/>
          <w:u w:val="single"/>
        </w:rPr>
        <w:t xml:space="preserve"> 监理人应在开工日期7天前向承包人发出开工通知。监理人在发出开工通知前应获得发包人同意。工期自监理人发出的开工通知中载明的开工日期起计算。承包人应在开工日期后尽快开始设计及施工工作。承包人未按期开工的，参照工期延误的标准扣除违约金  </w:t>
      </w:r>
      <w:r>
        <w:rPr>
          <w:rFonts w:hint="eastAsia" w:ascii="宋体" w:hAnsi="宋体" w:cs="宋体"/>
          <w:color w:val="auto"/>
          <w:kern w:val="2"/>
          <w:sz w:val="21"/>
          <w:szCs w:val="21"/>
          <w:highlight w:val="none"/>
        </w:rPr>
        <w:t>。</w:t>
      </w:r>
    </w:p>
    <w:p w14:paraId="35793FA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应按第8.4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0F6A70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8.1.2 发包人可在计划开始工作之日起84日后发出开始工作通知的特殊情形：</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3C2D859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8.2 竣工日期</w:t>
      </w:r>
    </w:p>
    <w:p w14:paraId="03641C5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竣工日期的约定：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EF3E3F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8.3 项目实施计划</w:t>
      </w:r>
    </w:p>
    <w:p w14:paraId="2454481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8.3.1 项目实施计划的内容</w:t>
      </w:r>
    </w:p>
    <w:p w14:paraId="104CAD0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项目实施计划的内容：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19ED83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8.3.2 项目实施计划的提交和修改</w:t>
      </w:r>
    </w:p>
    <w:p w14:paraId="29D6524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项目实施计划的提交及修改期限：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C85B09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8.4 项目进度计划</w:t>
      </w:r>
    </w:p>
    <w:p w14:paraId="49E3F4F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8.4.1 工程师在收到进度计划后确认或提出修改意见的期限：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DFBF4F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8.4.2 进度计划的具体要求：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549848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关键路径及关键路径变化的确定原则：</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E6C39E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承包人提交项目进度计划的份数和时间：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72B5B0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8.4.3 进度计划的修订</w:t>
      </w:r>
    </w:p>
    <w:p w14:paraId="417C68C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承包人提交修订项目进度计划申请报告的期限：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257649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发包人批复修订项目进度计划申请报告的期限：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39C6FF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承包人答复发包人提出修订合同计划的期限：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B086DC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8.5 进度报告</w:t>
      </w:r>
    </w:p>
    <w:p w14:paraId="6596A9F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进度报告的具体要求：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6550DE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8.7 工期延误</w:t>
      </w:r>
    </w:p>
    <w:p w14:paraId="395C70C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8.7.2 因承包人原因导致工期延误</w:t>
      </w:r>
    </w:p>
    <w:p w14:paraId="0C7A7DB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因承包人原因使竣工日期延误，每延误1日的误期赔偿金额为人民币金额为</w:t>
      </w:r>
      <w:r>
        <w:rPr>
          <w:rFonts w:hint="eastAsia" w:ascii="宋体" w:hAnsi="宋体" w:cs="宋体"/>
          <w:color w:val="auto"/>
          <w:kern w:val="2"/>
          <w:sz w:val="21"/>
          <w:szCs w:val="21"/>
          <w:highlight w:val="none"/>
          <w:u w:val="none"/>
        </w:rPr>
        <w:t>：</w:t>
      </w:r>
      <w:r>
        <w:rPr>
          <w:rFonts w:hint="eastAsia" w:ascii="宋体" w:hAnsi="宋体" w:cs="宋体"/>
          <w:color w:val="auto"/>
          <w:kern w:val="2"/>
          <w:sz w:val="21"/>
          <w:szCs w:val="21"/>
          <w:highlight w:val="none"/>
          <w:u w:val="single"/>
        </w:rPr>
        <w:t>每逾期一天支付5000元/天的违约金</w:t>
      </w:r>
      <w:r>
        <w:rPr>
          <w:rFonts w:hint="eastAsia" w:ascii="宋体" w:hAnsi="宋体" w:cs="宋体"/>
          <w:color w:val="auto"/>
          <w:kern w:val="2"/>
          <w:sz w:val="21"/>
          <w:szCs w:val="21"/>
          <w:highlight w:val="none"/>
          <w:u w:val="none"/>
          <w:lang w:eastAsia="zh-CN"/>
        </w:rPr>
        <w:t>，</w:t>
      </w:r>
      <w:r>
        <w:rPr>
          <w:rFonts w:hint="eastAsia" w:ascii="宋体" w:hAnsi="宋体" w:cs="宋体"/>
          <w:color w:val="auto"/>
          <w:kern w:val="2"/>
          <w:sz w:val="21"/>
          <w:szCs w:val="21"/>
          <w:highlight w:val="none"/>
          <w:u w:val="none"/>
        </w:rPr>
        <w:t>累计最高赔偿金额为人民币金额为：</w:t>
      </w:r>
      <w:r>
        <w:rPr>
          <w:rFonts w:hint="eastAsia" w:cs="宋体"/>
          <w:color w:val="auto"/>
          <w:kern w:val="2"/>
          <w:sz w:val="21"/>
          <w:szCs w:val="21"/>
          <w:highlight w:val="none"/>
          <w:u w:val="single"/>
          <w:lang w:val="en-US" w:eastAsia="zh-CN"/>
        </w:rPr>
        <w:t>1</w:t>
      </w:r>
      <w:r>
        <w:rPr>
          <w:rFonts w:hint="eastAsia" w:ascii="宋体" w:hAnsi="宋体" w:cs="宋体"/>
          <w:color w:val="auto"/>
          <w:kern w:val="2"/>
          <w:sz w:val="21"/>
          <w:szCs w:val="21"/>
          <w:highlight w:val="none"/>
          <w:u w:val="single"/>
        </w:rPr>
        <w:t>0万元</w:t>
      </w:r>
      <w:r>
        <w:rPr>
          <w:rFonts w:hint="eastAsia" w:ascii="宋体" w:hAnsi="宋体" w:cs="宋体"/>
          <w:color w:val="auto"/>
          <w:kern w:val="2"/>
          <w:sz w:val="21"/>
          <w:szCs w:val="21"/>
          <w:highlight w:val="none"/>
          <w:u w:val="none"/>
        </w:rPr>
        <w:t>。</w:t>
      </w:r>
    </w:p>
    <w:p w14:paraId="5B91D14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对严重拖延工期（超期30天及其以上），经发包人督促，承包人拒不执行的，发包人可单方面中止施工合同，承包人承诺接到发包人中止施工合同7天内无条件退出施工现场。退出施工现场后发包人和承包人开始进行清算。同时承包人同意按原中标价格另选同样资质的施工队伍进场施工，承包人须无条件配合（包括变更施工许可证、盖章等），不得以任何借口阻挠另选的施工队伍进场施工，不得向发包人提出任何索赔要求。</w:t>
      </w:r>
    </w:p>
    <w:p w14:paraId="0A99491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由于发包人的原因和非承包人的责任停工的，工期顺延。局部因发包人拆迁等原因造成延期开工的，发包人只顺延工期，由此产生的任何费用发包人不予补偿。发生不可抗力及非承包人原因造成的工期延误，承包人应办理签证，承包人须以书面形式经确认后方可顺延工期。</w:t>
      </w:r>
    </w:p>
    <w:p w14:paraId="03F5673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8.7.3 行政审批迟延</w:t>
      </w:r>
    </w:p>
    <w:p w14:paraId="005516E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行政审批报送的职责分工：</w:t>
      </w:r>
      <w:r>
        <w:rPr>
          <w:rFonts w:hint="eastAsia" w:ascii="宋体" w:hAnsi="宋体" w:cs="宋体"/>
          <w:color w:val="auto"/>
          <w:kern w:val="2"/>
          <w:sz w:val="21"/>
          <w:szCs w:val="21"/>
          <w:highlight w:val="none"/>
          <w:u w:val="single"/>
        </w:rPr>
        <w:t xml:space="preserve"> 行政审批由发包人报行政审批部门，承包人向发包人提供行政审批材料后3天内，未予以审批的，延误的时间由发包人承担  </w:t>
      </w:r>
      <w:r>
        <w:rPr>
          <w:rFonts w:hint="eastAsia" w:ascii="宋体" w:hAnsi="宋体" w:cs="宋体"/>
          <w:color w:val="auto"/>
          <w:kern w:val="2"/>
          <w:sz w:val="21"/>
          <w:szCs w:val="21"/>
          <w:highlight w:val="none"/>
        </w:rPr>
        <w:t xml:space="preserve"> 。</w:t>
      </w:r>
    </w:p>
    <w:p w14:paraId="1A9E3A2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8.7.4 异常恶劣的气候条件</w:t>
      </w:r>
    </w:p>
    <w:p w14:paraId="2499AFB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双方约定视为异常恶劣的气候条件的情形：</w:t>
      </w:r>
      <w:r>
        <w:rPr>
          <w:rFonts w:hint="eastAsia" w:ascii="宋体" w:hAnsi="宋体" w:cs="宋体"/>
          <w:color w:val="auto"/>
          <w:kern w:val="2"/>
          <w:sz w:val="21"/>
          <w:szCs w:val="21"/>
          <w:highlight w:val="none"/>
          <w:u w:val="single"/>
        </w:rPr>
        <w:t xml:space="preserve"> 异常恶劣气候的条件见专用合同条款第17项不可抗力的约定。</w:t>
      </w:r>
    </w:p>
    <w:p w14:paraId="5ED7AE6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8.8 工期提前</w:t>
      </w:r>
    </w:p>
    <w:p w14:paraId="1F30B08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8.8.2 承包人提前竣工的奖励：</w:t>
      </w:r>
      <w:r>
        <w:rPr>
          <w:rFonts w:hint="eastAsia" w:ascii="宋体" w:hAnsi="宋体" w:cs="宋体"/>
          <w:color w:val="auto"/>
          <w:kern w:val="2"/>
          <w:sz w:val="21"/>
          <w:szCs w:val="21"/>
          <w:highlight w:val="none"/>
          <w:u w:val="single"/>
        </w:rPr>
        <w:t xml:space="preserve">    本项目不设置提前竣工奖   </w:t>
      </w:r>
      <w:r>
        <w:rPr>
          <w:rFonts w:hint="eastAsia" w:ascii="宋体" w:hAnsi="宋体" w:cs="宋体"/>
          <w:color w:val="auto"/>
          <w:kern w:val="2"/>
          <w:sz w:val="21"/>
          <w:szCs w:val="21"/>
          <w:highlight w:val="none"/>
        </w:rPr>
        <w:t>。</w:t>
      </w:r>
    </w:p>
    <w:p w14:paraId="2B5FADD0">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33" w:name="_Toc54862340"/>
      <w:bookmarkStart w:id="134" w:name="_Toc83904123"/>
      <w:r>
        <w:rPr>
          <w:rFonts w:hint="eastAsia" w:ascii="黑体" w:hAnsi="黑体" w:eastAsia="黑体" w:cs="宋体"/>
          <w:b w:val="0"/>
          <w:bCs/>
          <w:color w:val="auto"/>
          <w:kern w:val="2"/>
          <w:sz w:val="21"/>
          <w:szCs w:val="21"/>
          <w:highlight w:val="none"/>
          <w:lang w:val="en-US" w:eastAsia="zh-CN" w:bidi="ar-SA"/>
        </w:rPr>
        <w:t>第9条 竣工试验</w:t>
      </w:r>
      <w:bookmarkEnd w:id="133"/>
      <w:bookmarkEnd w:id="134"/>
    </w:p>
    <w:p w14:paraId="649F136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9.1 竣工试验的义务</w:t>
      </w:r>
    </w:p>
    <w:p w14:paraId="19D06C0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9.1.3 竣工试验的阶段、内容和顺序：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B76443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竣工试验的操作要求：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82CFA90">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35" w:name="_Toc4784272"/>
      <w:bookmarkEnd w:id="135"/>
      <w:bookmarkStart w:id="136" w:name="_Toc4784273"/>
      <w:bookmarkEnd w:id="136"/>
      <w:bookmarkStart w:id="137" w:name="_Toc54862341"/>
      <w:bookmarkStart w:id="138" w:name="_Toc83904124"/>
      <w:r>
        <w:rPr>
          <w:rFonts w:hint="eastAsia" w:ascii="黑体" w:hAnsi="黑体" w:eastAsia="黑体" w:cs="宋体"/>
          <w:b w:val="0"/>
          <w:bCs/>
          <w:color w:val="auto"/>
          <w:kern w:val="2"/>
          <w:sz w:val="21"/>
          <w:szCs w:val="21"/>
          <w:highlight w:val="none"/>
          <w:lang w:val="en-US" w:eastAsia="zh-CN" w:bidi="ar-SA"/>
        </w:rPr>
        <w:t>第10条 验收和工程接收</w:t>
      </w:r>
      <w:bookmarkEnd w:id="137"/>
      <w:bookmarkEnd w:id="138"/>
    </w:p>
    <w:p w14:paraId="475CFD3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10.1 竣工验收</w:t>
      </w:r>
    </w:p>
    <w:p w14:paraId="60E1E5E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10.1.2 关于竣工验收程序的约定：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43C74A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bookmarkStart w:id="139" w:name="_Hlk46406260"/>
      <w:r>
        <w:rPr>
          <w:rFonts w:hint="eastAsia" w:ascii="宋体" w:hAnsi="宋体" w:cs="宋体"/>
          <w:color w:val="auto"/>
          <w:kern w:val="2"/>
          <w:sz w:val="21"/>
          <w:szCs w:val="21"/>
          <w:highlight w:val="none"/>
        </w:rPr>
        <w:t>发包人不按照合同约定组织竣工验收、颁发工程接受证书的违约金的计算方式：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bookmarkEnd w:id="139"/>
    <w:p w14:paraId="2394BC7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10.3</w:t>
      </w:r>
      <w:r>
        <w:rPr>
          <w:rFonts w:hint="eastAsia" w:ascii="宋体" w:hAnsi="宋体" w:cs="宋体"/>
          <w:color w:val="auto"/>
          <w:kern w:val="2"/>
          <w:sz w:val="21"/>
          <w:szCs w:val="21"/>
          <w:highlight w:val="none"/>
        </w:rPr>
        <w:tab/>
      </w:r>
      <w:r>
        <w:rPr>
          <w:rFonts w:hint="eastAsia" w:ascii="宋体" w:hAnsi="宋体" w:cs="宋体"/>
          <w:color w:val="auto"/>
          <w:kern w:val="2"/>
          <w:sz w:val="21"/>
          <w:szCs w:val="21"/>
          <w:highlight w:val="none"/>
        </w:rPr>
        <w:t xml:space="preserve"> 工程的接收</w:t>
      </w:r>
    </w:p>
    <w:p w14:paraId="08DBBE1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10.3.1工程接收的先后顺序、时间安排和其他要求：</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A12D38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10.3.2 接受工程时承包人需提交竣工验收资料的类别、内容、份数和提交时间：</w:t>
      </w:r>
      <w:r>
        <w:rPr>
          <w:rFonts w:hint="eastAsia" w:ascii="宋体" w:hAnsi="宋体" w:cs="宋体"/>
          <w:color w:val="auto"/>
          <w:kern w:val="2"/>
          <w:sz w:val="21"/>
          <w:szCs w:val="21"/>
          <w:highlight w:val="none"/>
          <w:u w:val="single"/>
        </w:rPr>
        <w:t xml:space="preserve"> 竣工图、工程施工资料、竣工验收申请报告、质量保修书，3份，竣工验收前提交  </w:t>
      </w:r>
      <w:r>
        <w:rPr>
          <w:rFonts w:hint="eastAsia" w:ascii="宋体" w:hAnsi="宋体" w:cs="宋体"/>
          <w:color w:val="auto"/>
          <w:kern w:val="2"/>
          <w:sz w:val="21"/>
          <w:szCs w:val="21"/>
          <w:highlight w:val="none"/>
        </w:rPr>
        <w:t>。</w:t>
      </w:r>
    </w:p>
    <w:p w14:paraId="11A2F5C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10.3.3 发包人逾期接收工程的违约责任：</w:t>
      </w:r>
      <w:r>
        <w:rPr>
          <w:rFonts w:hint="eastAsia" w:ascii="宋体" w:hAnsi="宋体" w:cs="宋体"/>
          <w:color w:val="auto"/>
          <w:kern w:val="2"/>
          <w:sz w:val="21"/>
          <w:szCs w:val="21"/>
          <w:highlight w:val="none"/>
          <w:u w:val="single"/>
        </w:rPr>
        <w:t xml:space="preserve"> 发包人自应当接收工程之日起，承担工程照管、成品保护、保管等与工程有关的各项费用  </w:t>
      </w:r>
      <w:r>
        <w:rPr>
          <w:rFonts w:hint="eastAsia" w:ascii="宋体" w:hAnsi="宋体" w:cs="宋体"/>
          <w:color w:val="auto"/>
          <w:kern w:val="2"/>
          <w:sz w:val="21"/>
          <w:szCs w:val="21"/>
          <w:highlight w:val="none"/>
        </w:rPr>
        <w:t>。</w:t>
      </w:r>
    </w:p>
    <w:p w14:paraId="23C79FC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10.3.4 承包人无正当理由不移交工程的违约责任：</w:t>
      </w:r>
      <w:r>
        <w:rPr>
          <w:rFonts w:hint="eastAsia" w:ascii="宋体" w:hAnsi="宋体" w:cs="宋体"/>
          <w:color w:val="auto"/>
          <w:kern w:val="2"/>
          <w:sz w:val="21"/>
          <w:szCs w:val="21"/>
          <w:highlight w:val="none"/>
          <w:u w:val="single"/>
        </w:rPr>
        <w:t xml:space="preserve"> 承包人应承担工程照管、成品保护、保管等与工程有关的各项费用，如造成发包人延期使用的，承包人还需承担工期延误的责任  </w:t>
      </w:r>
      <w:r>
        <w:rPr>
          <w:rFonts w:hint="eastAsia" w:ascii="宋体" w:hAnsi="宋体" w:cs="宋体"/>
          <w:color w:val="auto"/>
          <w:kern w:val="2"/>
          <w:sz w:val="21"/>
          <w:szCs w:val="21"/>
          <w:highlight w:val="none"/>
        </w:rPr>
        <w:t>。</w:t>
      </w:r>
    </w:p>
    <w:p w14:paraId="64F864F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10.4 接收证书</w:t>
      </w:r>
    </w:p>
    <w:p w14:paraId="6B93492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10.4.1 工程接收证书颁发时间：</w:t>
      </w:r>
      <w:r>
        <w:rPr>
          <w:rFonts w:hint="eastAsia" w:ascii="宋体" w:hAnsi="宋体" w:cs="宋体"/>
          <w:color w:val="auto"/>
          <w:kern w:val="2"/>
          <w:sz w:val="21"/>
          <w:szCs w:val="21"/>
          <w:highlight w:val="none"/>
          <w:u w:val="single"/>
        </w:rPr>
        <w:t xml:space="preserve">  竣工验收合格后30天内   </w:t>
      </w:r>
      <w:r>
        <w:rPr>
          <w:rFonts w:hint="eastAsia" w:ascii="宋体" w:hAnsi="宋体" w:cs="宋体"/>
          <w:color w:val="auto"/>
          <w:kern w:val="2"/>
          <w:sz w:val="21"/>
          <w:szCs w:val="21"/>
          <w:highlight w:val="none"/>
        </w:rPr>
        <w:t>。</w:t>
      </w:r>
    </w:p>
    <w:p w14:paraId="162C422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10.5 竣工退场</w:t>
      </w:r>
    </w:p>
    <w:p w14:paraId="3E3893D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10.5.1 竣工退场的相关约定：</w:t>
      </w:r>
      <w:r>
        <w:rPr>
          <w:rFonts w:hint="eastAsia" w:ascii="宋体" w:hAnsi="宋体" w:cs="宋体"/>
          <w:color w:val="auto"/>
          <w:kern w:val="2"/>
          <w:sz w:val="21"/>
          <w:szCs w:val="21"/>
          <w:highlight w:val="none"/>
          <w:u w:val="single"/>
        </w:rPr>
        <w:t xml:space="preserve">   工程接收证书颁发格后30天内 </w:t>
      </w:r>
      <w:r>
        <w:rPr>
          <w:rFonts w:hint="eastAsia" w:ascii="宋体" w:hAnsi="宋体" w:cs="宋体"/>
          <w:color w:val="auto"/>
          <w:kern w:val="2"/>
          <w:sz w:val="21"/>
          <w:szCs w:val="21"/>
          <w:highlight w:val="none"/>
        </w:rPr>
        <w:t>。</w:t>
      </w:r>
    </w:p>
    <w:p w14:paraId="19C2A1F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10.5.3人员撤离</w:t>
      </w:r>
    </w:p>
    <w:p w14:paraId="45552D3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工程师同意需在缺陷责任期内继续工作和使用的人员、施工设备和临时工程的内容：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367349C">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40" w:name="_Toc83904125"/>
      <w:bookmarkStart w:id="141" w:name="_Toc54862342"/>
      <w:r>
        <w:rPr>
          <w:rFonts w:hint="eastAsia" w:ascii="黑体" w:hAnsi="黑体" w:eastAsia="黑体" w:cs="宋体"/>
          <w:b w:val="0"/>
          <w:bCs/>
          <w:color w:val="auto"/>
          <w:kern w:val="2"/>
          <w:sz w:val="21"/>
          <w:szCs w:val="21"/>
          <w:highlight w:val="none"/>
          <w:lang w:val="en-US" w:eastAsia="zh-CN" w:bidi="ar-SA"/>
        </w:rPr>
        <w:t>第11条 缺陷责任与保修</w:t>
      </w:r>
      <w:bookmarkEnd w:id="140"/>
      <w:bookmarkEnd w:id="141"/>
    </w:p>
    <w:p w14:paraId="70B807B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11.2 缺陷责任期</w:t>
      </w:r>
    </w:p>
    <w:p w14:paraId="6793EAB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缺陷责任期的期限：</w:t>
      </w:r>
      <w:r>
        <w:rPr>
          <w:rFonts w:hint="eastAsia" w:ascii="宋体" w:hAnsi="宋体" w:cs="宋体"/>
          <w:color w:val="auto"/>
          <w:kern w:val="2"/>
          <w:sz w:val="21"/>
          <w:szCs w:val="21"/>
          <w:highlight w:val="none"/>
          <w:u w:val="single"/>
        </w:rPr>
        <w:t xml:space="preserve">  竣工验收合格后</w:t>
      </w:r>
      <w:r>
        <w:rPr>
          <w:rFonts w:hint="eastAsia" w:ascii="宋体" w:hAnsi="宋体" w:cs="宋体"/>
          <w:color w:val="auto"/>
          <w:kern w:val="2"/>
          <w:sz w:val="21"/>
          <w:szCs w:val="21"/>
          <w:highlight w:val="none"/>
          <w:u w:val="single"/>
          <w:lang w:val="en-US" w:eastAsia="zh-CN"/>
        </w:rPr>
        <w:t>12</w:t>
      </w:r>
      <w:r>
        <w:rPr>
          <w:rFonts w:hint="eastAsia" w:ascii="宋体" w:hAnsi="宋体" w:cs="宋体"/>
          <w:color w:val="auto"/>
          <w:kern w:val="2"/>
          <w:sz w:val="21"/>
          <w:szCs w:val="21"/>
          <w:highlight w:val="none"/>
          <w:u w:val="single"/>
        </w:rPr>
        <w:t xml:space="preserve">个月  </w:t>
      </w:r>
      <w:r>
        <w:rPr>
          <w:rFonts w:hint="eastAsia" w:ascii="宋体" w:hAnsi="宋体" w:cs="宋体"/>
          <w:color w:val="auto"/>
          <w:kern w:val="2"/>
          <w:sz w:val="21"/>
          <w:szCs w:val="21"/>
          <w:highlight w:val="none"/>
        </w:rPr>
        <w:t>。</w:t>
      </w:r>
    </w:p>
    <w:p w14:paraId="47A4B1A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 缺陷调查</w:t>
      </w:r>
    </w:p>
    <w:p w14:paraId="5C05034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11.3.4 修复通知</w:t>
      </w:r>
    </w:p>
    <w:p w14:paraId="4ECA292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承包人收到保修通知并到达工程现场的合理时间：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1</w:t>
      </w:r>
      <w:r>
        <w:rPr>
          <w:rFonts w:hint="eastAsia" w:ascii="宋体" w:hAnsi="宋体" w:cs="宋体"/>
          <w:color w:val="auto"/>
          <w:kern w:val="2"/>
          <w:sz w:val="21"/>
          <w:szCs w:val="21"/>
          <w:highlight w:val="none"/>
          <w:u w:val="single"/>
        </w:rPr>
        <w:t xml:space="preserve">天 </w:t>
      </w:r>
      <w:r>
        <w:rPr>
          <w:rFonts w:hint="eastAsia" w:ascii="宋体" w:hAnsi="宋体" w:cs="宋体"/>
          <w:color w:val="auto"/>
          <w:kern w:val="2"/>
          <w:sz w:val="21"/>
          <w:szCs w:val="21"/>
          <w:highlight w:val="none"/>
        </w:rPr>
        <w:t>。</w:t>
      </w:r>
    </w:p>
    <w:p w14:paraId="184BAEB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11.6 缺陷责任期终止证书</w:t>
      </w:r>
    </w:p>
    <w:p w14:paraId="7996660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承包人应于缺陷责任期届满后</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28</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天内向发包人发出缺陷责任期届满通知，发包人应在收到缺陷责任期满通知后</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28</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 xml:space="preserve">天内核实承包人是否履行缺陷修复义务，承包人未能履行缺陷修复义务的，发包人有权扣除相应金额的维修费用。发包人应在收到缺陷责任期届满通知后 </w:t>
      </w:r>
      <w:r>
        <w:rPr>
          <w:rFonts w:ascii="宋体" w:hAnsi="宋体" w:cs="宋体"/>
          <w:color w:val="auto"/>
          <w:kern w:val="2"/>
          <w:sz w:val="21"/>
          <w:szCs w:val="21"/>
          <w:highlight w:val="none"/>
          <w:u w:val="single"/>
        </w:rPr>
        <w:t xml:space="preserve">28 </w:t>
      </w:r>
      <w:r>
        <w:rPr>
          <w:rFonts w:hint="eastAsia" w:ascii="宋体" w:hAnsi="宋体" w:cs="宋体"/>
          <w:color w:val="auto"/>
          <w:kern w:val="2"/>
          <w:sz w:val="21"/>
          <w:szCs w:val="21"/>
          <w:highlight w:val="none"/>
        </w:rPr>
        <w:t>天内，向承包人颁发缺陷责任期终止证书。</w:t>
      </w:r>
    </w:p>
    <w:p w14:paraId="1A2E9C9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11.7 保修责任</w:t>
      </w:r>
    </w:p>
    <w:p w14:paraId="70DC654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工程质量保修范围、期限和责任为：</w:t>
      </w:r>
      <w:r>
        <w:rPr>
          <w:rFonts w:hint="eastAsia" w:ascii="宋体" w:hAnsi="宋体" w:cs="宋体"/>
          <w:color w:val="auto"/>
          <w:kern w:val="2"/>
          <w:sz w:val="21"/>
          <w:szCs w:val="21"/>
          <w:highlight w:val="none"/>
          <w:u w:val="single"/>
        </w:rPr>
        <w:t xml:space="preserve"> (1)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732F95D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rPr>
        <w:t xml:space="preserve">(2)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它由于承包人责任造成的缺陷或损坏，应由承包人承担修复费用；若经查验确属发包人使用不当或其它由于发包人责任造成的缺陷或损坏，则应由发包人承担修复费用  </w:t>
      </w:r>
      <w:r>
        <w:rPr>
          <w:rFonts w:hint="eastAsia" w:ascii="宋体" w:hAnsi="宋体" w:cs="宋体"/>
          <w:color w:val="auto"/>
          <w:kern w:val="2"/>
          <w:sz w:val="21"/>
          <w:szCs w:val="21"/>
          <w:highlight w:val="none"/>
        </w:rPr>
        <w:t>。</w:t>
      </w:r>
    </w:p>
    <w:p w14:paraId="76644A35">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bookmarkStart w:id="142" w:name="_Toc83904126"/>
      <w:bookmarkStart w:id="143" w:name="_Toc54862343"/>
      <w:r>
        <w:rPr>
          <w:rFonts w:hint="eastAsia" w:ascii="宋体" w:hAnsi="宋体" w:eastAsia="宋体" w:cs="宋体"/>
          <w:b w:val="0"/>
          <w:bCs w:val="0"/>
          <w:color w:val="auto"/>
          <w:kern w:val="2"/>
          <w:sz w:val="21"/>
          <w:szCs w:val="21"/>
          <w:highlight w:val="none"/>
          <w:u w:val="single"/>
          <w:lang w:val="en-US" w:eastAsia="zh-CN" w:bidi="ar-SA"/>
        </w:rPr>
        <w:t>(3)承包人末及时维修或末在合理期限维修完好、或经过两次维修都末能修好的，发包人有权自行请人代为维修并确定价格，所有修复费用及赔偿费用直接扣除，但不等于解除承包人应负的责任。</w:t>
      </w:r>
    </w:p>
    <w:p w14:paraId="62AC65DD">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(4)承包人每次维修完毕，应负责将施工现场清理干净、并取得业主和使用单位的验收签字。</w:t>
      </w:r>
    </w:p>
    <w:p w14:paraId="17568AF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(5)承包人项目部管理人员有下列行为之一，经监理人、发包人及有关管理部门确认后，所有违约金经由发包人、监理人现场下发违约金通知单。</w:t>
      </w:r>
    </w:p>
    <w:p w14:paraId="0FF9A18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①承包人未按照相关规定进行验收，擅自进入下道工序施工的，责令改正，并处以 5000 元/次违约金。</w:t>
      </w:r>
    </w:p>
    <w:p w14:paraId="2237E2B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②如果监理工程师发现承包人的行为违反施工技术规范或不执行监理工程师指令，除了采取措施纠正其错误行为外，处以1000次违约金。</w:t>
      </w:r>
    </w:p>
    <w:p w14:paraId="29C1CF81">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③对于发包人、监理单位巡视或平行检验过程中提出的质量、安全等问题，承包人应在要求时间内整改完毕，否则，监理人发出监理通知，每发一份监理通知处1000元违约金，同一问题每一次通知逾期仍不整改完毕或未整改的，每二次监理通知处2000元违约金，屡教不改的，责令停工整顿，违约金按2000元/次。</w:t>
      </w:r>
    </w:p>
    <w:p w14:paraId="09816048">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④承包人应按照合同专用条款约定及设计和有关标准要求采购材料或设备，并提供产品合格证明，对材料设备质量负责。不符合招标文件及合同约定的，必须及时清场，否则处以该种设备、材料价格10%违约金，由此延误的工期不予顺延。</w:t>
      </w:r>
    </w:p>
    <w:p w14:paraId="75FD56BD">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⑤需要见证取样的材料必须见证取样，合格方可使用，未送检或送检不合格继续使用的，责令改正并处以 5000 元/次违约金。</w:t>
      </w:r>
    </w:p>
    <w:p w14:paraId="18685BF5">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⑥对质量安全监督部门下发的关于质量安全问题的通知书，承包人应在规定时间内回复并立即整改，限期内不整改或整改不到位、同一事件引起质量安全监督部门再次下发通知书的，处以1000元/次违约金。</w:t>
      </w:r>
    </w:p>
    <w:p w14:paraId="6837133D">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⑦工程资料不完善，资料报告或检验结论的时间不符合实际施工节点时间要求的，予以通报批评，并处以5000元/次违约金。</w:t>
      </w:r>
    </w:p>
    <w:p w14:paraId="339D66EE">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⑧工程资料必须按有关规定编制，与工程进度同步。发现资料出具不及时、与工程实体不相符的，处以5000元/次违约金。</w:t>
      </w:r>
    </w:p>
    <w:p w14:paraId="71C072F4">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⑨未健全安全施工日志、台帐、会议纪录，安全资料不完整，责令改正，并处以500元/次违约金。</w:t>
      </w:r>
    </w:p>
    <w:p w14:paraId="776A44C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⑩未建立符合生产需要的安全经费使用计划、使用记录责令限期改正，如未在限期内整改落实处以5000 元/次违约金。</w:t>
      </w:r>
    </w:p>
    <w:p w14:paraId="5630356E">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⑪总包单位对分包单位质量、进度、安全的管理配合，即承包人参加分包工程验收，提出整改验收意见。分包单位的违约行为，均视为承包人违约。</w:t>
      </w:r>
    </w:p>
    <w:p w14:paraId="28FEA3D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⑫工程施工期间及保修期内由于施工质量产生的检测鉴定、修补、加固、返工及赔偿等费用由承包人自行承担。</w:t>
      </w:r>
    </w:p>
    <w:p w14:paraId="3788CC3E">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hint="eastAsia" w:ascii="宋体" w:hAnsi="宋体" w:eastAsia="黑体" w:cs="宋体"/>
          <w:b/>
          <w:bCs/>
          <w:color w:val="auto"/>
          <w:kern w:val="2"/>
          <w:sz w:val="32"/>
          <w:szCs w:val="21"/>
          <w:highlight w:val="non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⑬承包人未及时维修或未在合理期限内维修完好、或经过两次维修都未能修好的，发包人有权自行请人代为维修并确定价格，所有修复费用及赔偿费用在支付承包人质保金时直接扣除，但不等于解除承包人应负的责任。</w:t>
      </w:r>
    </w:p>
    <w:p w14:paraId="2121B150">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r>
        <w:rPr>
          <w:rFonts w:hint="eastAsia" w:ascii="黑体" w:hAnsi="黑体" w:eastAsia="黑体" w:cs="宋体"/>
          <w:b w:val="0"/>
          <w:bCs/>
          <w:color w:val="auto"/>
          <w:kern w:val="2"/>
          <w:sz w:val="21"/>
          <w:szCs w:val="21"/>
          <w:highlight w:val="none"/>
          <w:lang w:val="en-US" w:eastAsia="zh-CN" w:bidi="ar-SA"/>
        </w:rPr>
        <w:t>第12条 竣工后试验</w:t>
      </w:r>
      <w:bookmarkEnd w:id="142"/>
      <w:bookmarkEnd w:id="143"/>
    </w:p>
    <w:p w14:paraId="68C25DD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本合同工程是否包含竣工后试验：</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是</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7DC429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12.1 竣工后试验的程序</w:t>
      </w:r>
    </w:p>
    <w:p w14:paraId="40608BC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042C43A">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44" w:name="_Toc83904127"/>
      <w:bookmarkStart w:id="145" w:name="_Toc54862344"/>
      <w:r>
        <w:rPr>
          <w:rFonts w:hint="eastAsia" w:ascii="黑体" w:hAnsi="黑体" w:eastAsia="黑体" w:cs="宋体"/>
          <w:b w:val="0"/>
          <w:bCs/>
          <w:color w:val="auto"/>
          <w:kern w:val="2"/>
          <w:sz w:val="21"/>
          <w:szCs w:val="21"/>
          <w:highlight w:val="none"/>
          <w:lang w:val="en-US" w:eastAsia="zh-CN" w:bidi="ar-SA"/>
        </w:rPr>
        <w:t>第13条 变更与调整</w:t>
      </w:r>
      <w:bookmarkEnd w:id="144"/>
      <w:bookmarkEnd w:id="145"/>
    </w:p>
    <w:p w14:paraId="0AEF3AA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13.2 承包人的合理化建议</w:t>
      </w:r>
    </w:p>
    <w:p w14:paraId="51282B7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13.2.2 工程师应在收到承包人提交的合理化建议后</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14</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日内审查完毕并报送发包人，发现其中存在技术上的缺陷，应通知承包人修改。发包人应在收到工程师报送的合理化建议后</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14</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日内审批完毕。合理化建议经发包人批准的，工程师应及时发出变更指示，由此引起的合同价格调整按照</w:t>
      </w:r>
      <w:r>
        <w:rPr>
          <w:rFonts w:hint="eastAsia" w:ascii="宋体" w:hAnsi="宋体" w:cs="宋体"/>
          <w:color w:val="auto"/>
          <w:kern w:val="2"/>
          <w:sz w:val="21"/>
          <w:szCs w:val="21"/>
          <w:highlight w:val="none"/>
          <w:u w:val="single"/>
        </w:rPr>
        <w:t xml:space="preserve">  第14条的有关规定  </w:t>
      </w:r>
      <w:r>
        <w:rPr>
          <w:rFonts w:hint="eastAsia" w:ascii="宋体" w:hAnsi="宋体" w:cs="宋体"/>
          <w:color w:val="auto"/>
          <w:kern w:val="2"/>
          <w:sz w:val="21"/>
          <w:szCs w:val="21"/>
          <w:highlight w:val="none"/>
        </w:rPr>
        <w:t>执行。发包人不同意变更的，工程师应书面通知承包人。</w:t>
      </w:r>
    </w:p>
    <w:p w14:paraId="708E86A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13.2.3 承包人提出的合理化变更建议的利益分享约定：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0FB641B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13.3 变更程序</w:t>
      </w:r>
    </w:p>
    <w:p w14:paraId="03E074F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详见《附件：投标报价、计价方式及合同形式价款确定》</w:t>
      </w:r>
    </w:p>
    <w:p w14:paraId="33B049D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13.4 暂估价</w:t>
      </w:r>
    </w:p>
    <w:p w14:paraId="3D7BF82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13.4.1 依法必须招标的暂估价项目</w:t>
      </w:r>
    </w:p>
    <w:p w14:paraId="2E274C5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承包人可以参与投标的暂估价项目范围：</w:t>
      </w:r>
      <w:r>
        <w:rPr>
          <w:rFonts w:hint="eastAsia" w:ascii="宋体" w:hAnsi="宋体" w:cs="宋体"/>
          <w:color w:val="auto"/>
          <w:kern w:val="2"/>
          <w:sz w:val="21"/>
          <w:szCs w:val="21"/>
          <w:highlight w:val="none"/>
          <w:u w:val="single"/>
        </w:rPr>
        <w:t xml:space="preserve">   本条不采用   </w:t>
      </w:r>
      <w:r>
        <w:rPr>
          <w:rFonts w:hint="eastAsia" w:ascii="宋体" w:hAnsi="宋体" w:cs="宋体"/>
          <w:color w:val="auto"/>
          <w:kern w:val="2"/>
          <w:sz w:val="21"/>
          <w:szCs w:val="21"/>
          <w:highlight w:val="none"/>
        </w:rPr>
        <w:t>。</w:t>
      </w:r>
    </w:p>
    <w:p w14:paraId="1A5B80A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承包人不得参与投标的暂估价项目范围：</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本条不采用   </w:t>
      </w:r>
      <w:r>
        <w:rPr>
          <w:rFonts w:hint="eastAsia" w:ascii="宋体" w:hAnsi="宋体" w:cs="宋体"/>
          <w:color w:val="auto"/>
          <w:kern w:val="2"/>
          <w:sz w:val="21"/>
          <w:szCs w:val="21"/>
          <w:highlight w:val="none"/>
        </w:rPr>
        <w:t>。</w:t>
      </w:r>
    </w:p>
    <w:p w14:paraId="1CBE6C8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招投标程序及其他约定：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E38901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13.4.2 不属于依法必须招标的暂估价项目</w:t>
      </w:r>
    </w:p>
    <w:p w14:paraId="3A674F6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不属于依法必须招标的暂估价项目的协商及估价的约定：</w:t>
      </w:r>
      <w:r>
        <w:rPr>
          <w:rFonts w:hint="eastAsia" w:ascii="宋体" w:hAnsi="宋体" w:cs="宋体"/>
          <w:color w:val="auto"/>
          <w:kern w:val="2"/>
          <w:sz w:val="21"/>
          <w:szCs w:val="21"/>
          <w:highlight w:val="none"/>
          <w:u w:val="single"/>
        </w:rPr>
        <w:t xml:space="preserve">   本项目依据最终施工图图审后的设计成果文件为依据编制的清单控制价中的暂估价项目均由承包人自行采购确定   </w:t>
      </w:r>
      <w:r>
        <w:rPr>
          <w:rFonts w:hint="eastAsia" w:ascii="宋体" w:hAnsi="宋体" w:cs="宋体"/>
          <w:color w:val="auto"/>
          <w:kern w:val="2"/>
          <w:sz w:val="21"/>
          <w:szCs w:val="21"/>
          <w:highlight w:val="none"/>
        </w:rPr>
        <w:t>。</w:t>
      </w:r>
    </w:p>
    <w:p w14:paraId="38F3579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13.5 暂列金额</w:t>
      </w:r>
    </w:p>
    <w:p w14:paraId="6D6849A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其他关于暂列金额使用的约定：</w:t>
      </w:r>
      <w:r>
        <w:rPr>
          <w:rFonts w:hint="eastAsia" w:ascii="宋体" w:hAnsi="宋体" w:cs="宋体"/>
          <w:color w:val="auto"/>
          <w:kern w:val="2"/>
          <w:sz w:val="21"/>
          <w:szCs w:val="21"/>
          <w:highlight w:val="none"/>
          <w:u w:val="single"/>
        </w:rPr>
        <w:t xml:space="preserve"> 暂列金只能按发包人的指示使用，承包人需将向发包人提供使用暂列金的证明文件（包括有效的发票或收据）</w:t>
      </w:r>
      <w:r>
        <w:rPr>
          <w:rFonts w:hint="eastAsia" w:ascii="宋体" w:hAnsi="宋体" w:cs="宋体"/>
          <w:color w:val="auto"/>
          <w:kern w:val="2"/>
          <w:sz w:val="21"/>
          <w:szCs w:val="21"/>
          <w:highlight w:val="none"/>
        </w:rPr>
        <w:t>。</w:t>
      </w:r>
    </w:p>
    <w:p w14:paraId="2EB3DAB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13.8 市场价格波动引起的调整</w:t>
      </w:r>
    </w:p>
    <w:p w14:paraId="67FFA42E">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outlineLvl w:val="9"/>
        <w:rPr>
          <w:rFonts w:hint="eastAsia" w:ascii="宋体" w:hAnsi="宋体" w:cs="宋体"/>
          <w:color w:val="auto"/>
          <w:kern w:val="2"/>
          <w:sz w:val="21"/>
          <w:szCs w:val="21"/>
          <w:highlight w:val="none"/>
        </w:rPr>
      </w:pPr>
      <w:bookmarkStart w:id="146" w:name="_Toc417497054"/>
      <w:bookmarkStart w:id="147" w:name="_Toc425704714"/>
      <w:bookmarkStart w:id="148" w:name="_Toc403492457"/>
      <w:bookmarkStart w:id="149" w:name="_Toc168287296"/>
      <w:bookmarkStart w:id="150" w:name="_Toc404965563"/>
      <w:bookmarkStart w:id="151" w:name="_Toc281063848"/>
      <w:bookmarkStart w:id="152" w:name="_Toc210327647"/>
      <w:bookmarkStart w:id="153" w:name="_Toc210364833"/>
      <w:bookmarkStart w:id="154" w:name="_Toc405111685"/>
      <w:bookmarkStart w:id="155" w:name="_Toc195508809"/>
      <w:bookmarkStart w:id="156" w:name="_Toc210355509"/>
      <w:bookmarkStart w:id="157" w:name="_Toc281060116"/>
      <w:r>
        <w:rPr>
          <w:rFonts w:hint="eastAsia" w:ascii="宋体" w:hAnsi="宋体" w:cs="宋体"/>
          <w:color w:val="auto"/>
          <w:kern w:val="2"/>
          <w:sz w:val="21"/>
          <w:szCs w:val="21"/>
          <w:highlight w:val="none"/>
        </w:rPr>
        <w:t>详见《附件：投标报价、计价方式及合同形式价款确定》</w:t>
      </w:r>
    </w:p>
    <w:p w14:paraId="16196155">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13.9 变更的范围和内容</w:t>
      </w:r>
      <w:bookmarkEnd w:id="146"/>
      <w:bookmarkEnd w:id="147"/>
      <w:bookmarkEnd w:id="148"/>
      <w:bookmarkEnd w:id="149"/>
      <w:bookmarkEnd w:id="150"/>
      <w:bookmarkEnd w:id="151"/>
      <w:bookmarkEnd w:id="152"/>
      <w:bookmarkEnd w:id="153"/>
      <w:bookmarkEnd w:id="154"/>
      <w:bookmarkEnd w:id="155"/>
      <w:bookmarkEnd w:id="156"/>
      <w:bookmarkEnd w:id="157"/>
    </w:p>
    <w:p w14:paraId="3DE335DB">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详见《附件：投标报价、计价方式及合同形式价款确定》</w:t>
      </w:r>
    </w:p>
    <w:p w14:paraId="2CDD0250">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58" w:name="_Toc54862345"/>
      <w:bookmarkStart w:id="159" w:name="_Toc83904128"/>
      <w:r>
        <w:rPr>
          <w:rFonts w:hint="eastAsia" w:ascii="黑体" w:hAnsi="黑体" w:eastAsia="黑体" w:cs="宋体"/>
          <w:b w:val="0"/>
          <w:bCs/>
          <w:color w:val="auto"/>
          <w:kern w:val="2"/>
          <w:sz w:val="21"/>
          <w:szCs w:val="21"/>
          <w:highlight w:val="none"/>
          <w:lang w:val="en-US" w:eastAsia="zh-CN" w:bidi="ar-SA"/>
        </w:rPr>
        <w:t>第14条 合同价格与支付</w:t>
      </w:r>
      <w:bookmarkEnd w:id="158"/>
      <w:bookmarkEnd w:id="159"/>
    </w:p>
    <w:p w14:paraId="20CDD5E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14.1 合同价格形式</w:t>
      </w:r>
    </w:p>
    <w:p w14:paraId="4273270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14.1.1 关于合同价格形式的约定：</w:t>
      </w:r>
      <w:r>
        <w:rPr>
          <w:rFonts w:hint="eastAsia" w:ascii="宋体" w:hAnsi="宋体" w:cs="宋体"/>
          <w:color w:val="auto"/>
          <w:kern w:val="2"/>
          <w:sz w:val="21"/>
          <w:szCs w:val="21"/>
          <w:highlight w:val="none"/>
          <w:u w:val="single"/>
        </w:rPr>
        <w:t xml:space="preserve"> 详见《附件：投标报价、计价方式及合同形式价款确定》</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rPr>
        <w:t>。</w:t>
      </w:r>
    </w:p>
    <w:p w14:paraId="02BF40E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14.1.2 关于合同价格调整的约定：</w:t>
      </w:r>
      <w:r>
        <w:rPr>
          <w:rFonts w:hint="eastAsia" w:ascii="宋体" w:hAnsi="宋体" w:cs="宋体"/>
          <w:color w:val="auto"/>
          <w:kern w:val="2"/>
          <w:sz w:val="21"/>
          <w:szCs w:val="21"/>
          <w:highlight w:val="none"/>
          <w:u w:val="single"/>
          <w:lang w:val="en-US" w:eastAsia="zh-CN"/>
        </w:rPr>
        <w:t xml:space="preserve"> 详见《附件：投标报价、计价方式及合同形式价款确定》 </w:t>
      </w:r>
      <w:r>
        <w:rPr>
          <w:rFonts w:hint="eastAsia" w:ascii="宋体" w:hAnsi="宋体" w:cs="宋体"/>
          <w:color w:val="auto"/>
          <w:kern w:val="2"/>
          <w:sz w:val="21"/>
          <w:szCs w:val="21"/>
          <w:highlight w:val="none"/>
          <w:u w:val="none"/>
        </w:rPr>
        <w:t>。</w:t>
      </w:r>
    </w:p>
    <w:p w14:paraId="3F43A74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14.1.3 按实际完成的工程量支付工程价款的计量方法、估价方法：</w:t>
      </w:r>
      <w:r>
        <w:rPr>
          <w:rFonts w:hint="eastAsia" w:ascii="宋体" w:hAnsi="宋体" w:cs="宋体"/>
          <w:color w:val="auto"/>
          <w:kern w:val="2"/>
          <w:sz w:val="21"/>
          <w:szCs w:val="21"/>
          <w:highlight w:val="none"/>
          <w:u w:val="single"/>
        </w:rPr>
        <w:t xml:space="preserve"> 合同约定工程的某部分按照实际完成的工程量进行支付的，应按照专用合同条件的约定进行计量和估价，并据此调整合同价格。</w:t>
      </w:r>
    </w:p>
    <w:p w14:paraId="212C909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14.2 预付款</w:t>
      </w:r>
    </w:p>
    <w:p w14:paraId="623C720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14.2.1 预付款支付</w:t>
      </w:r>
    </w:p>
    <w:p w14:paraId="08112A3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预付款的金额或比例为：</w:t>
      </w:r>
      <w:r>
        <w:rPr>
          <w:rFonts w:hint="eastAsia" w:ascii="宋体" w:hAnsi="宋体" w:cs="宋体"/>
          <w:color w:val="auto"/>
          <w:kern w:val="2"/>
          <w:sz w:val="21"/>
          <w:szCs w:val="21"/>
          <w:highlight w:val="none"/>
          <w:u w:val="single"/>
        </w:rPr>
        <w:t xml:space="preserve"> 合同价的</w:t>
      </w:r>
      <w:r>
        <w:rPr>
          <w:rFonts w:hint="eastAsia" w:ascii="宋体" w:hAnsi="宋体" w:cs="宋体"/>
          <w:color w:val="auto"/>
          <w:kern w:val="2"/>
          <w:sz w:val="21"/>
          <w:szCs w:val="21"/>
          <w:highlight w:val="none"/>
          <w:u w:val="single"/>
          <w:lang w:val="en-US" w:eastAsia="zh-CN"/>
        </w:rPr>
        <w:t>4</w:t>
      </w:r>
      <w:r>
        <w:rPr>
          <w:rFonts w:hint="eastAsia" w:ascii="宋体" w:hAnsi="宋体" w:cs="宋体"/>
          <w:color w:val="auto"/>
          <w:kern w:val="2"/>
          <w:sz w:val="21"/>
          <w:szCs w:val="21"/>
          <w:highlight w:val="none"/>
          <w:u w:val="single"/>
        </w:rPr>
        <w:t xml:space="preserve">0% </w:t>
      </w:r>
      <w:r>
        <w:rPr>
          <w:rFonts w:hint="eastAsia" w:ascii="宋体" w:hAnsi="宋体" w:cs="宋体"/>
          <w:color w:val="auto"/>
          <w:kern w:val="2"/>
          <w:sz w:val="21"/>
          <w:szCs w:val="21"/>
          <w:highlight w:val="none"/>
        </w:rPr>
        <w:t>。</w:t>
      </w:r>
    </w:p>
    <w:p w14:paraId="4A7708F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预付款支付期限：</w:t>
      </w:r>
      <w:r>
        <w:rPr>
          <w:rFonts w:hint="eastAsia" w:ascii="宋体" w:hAnsi="宋体" w:cs="宋体"/>
          <w:color w:val="auto"/>
          <w:kern w:val="2"/>
          <w:sz w:val="21"/>
          <w:szCs w:val="21"/>
          <w:highlight w:val="none"/>
          <w:u w:val="single"/>
        </w:rPr>
        <w:t xml:space="preserve"> 在具备施工条件的前提下，发包人在合同签订后一个月内或不迟于约定的开工日期前 7 天内预付工程款 </w:t>
      </w:r>
      <w:r>
        <w:rPr>
          <w:rFonts w:hint="eastAsia" w:ascii="宋体" w:hAnsi="宋体" w:cs="宋体"/>
          <w:color w:val="auto"/>
          <w:kern w:val="2"/>
          <w:sz w:val="21"/>
          <w:szCs w:val="21"/>
          <w:highlight w:val="none"/>
        </w:rPr>
        <w:t>。</w:t>
      </w:r>
    </w:p>
    <w:p w14:paraId="6ABFC9F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预付款扣回的方式：</w:t>
      </w:r>
      <w:r>
        <w:rPr>
          <w:rFonts w:hint="eastAsia" w:ascii="宋体" w:hAnsi="宋体" w:cs="宋体"/>
          <w:color w:val="auto"/>
          <w:kern w:val="2"/>
          <w:sz w:val="21"/>
          <w:szCs w:val="21"/>
          <w:highlight w:val="none"/>
          <w:u w:val="single"/>
        </w:rPr>
        <w:t xml:space="preserve"> 在支付工程进度款中按比例扣除，扣完为止 </w:t>
      </w:r>
      <w:r>
        <w:rPr>
          <w:rFonts w:hint="eastAsia" w:ascii="宋体" w:hAnsi="宋体" w:cs="宋体"/>
          <w:color w:val="auto"/>
          <w:kern w:val="2"/>
          <w:sz w:val="21"/>
          <w:szCs w:val="21"/>
          <w:highlight w:val="none"/>
        </w:rPr>
        <w:t>。</w:t>
      </w:r>
    </w:p>
    <w:p w14:paraId="16D6990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14.2.2预付款担保</w:t>
      </w:r>
    </w:p>
    <w:p w14:paraId="5E42FE4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提供预付款担保期限：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558486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预付款担保形式：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A9E96A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14.3 工程进度款</w:t>
      </w:r>
    </w:p>
    <w:p w14:paraId="0D898D3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14.3.1 进度付款申请</w:t>
      </w:r>
    </w:p>
    <w:p w14:paraId="059E225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进度付款申请方式：</w:t>
      </w:r>
      <w:r>
        <w:rPr>
          <w:rFonts w:hint="eastAsia" w:ascii="宋体" w:hAnsi="宋体" w:cs="宋体"/>
          <w:color w:val="auto"/>
          <w:kern w:val="2"/>
          <w:sz w:val="21"/>
          <w:szCs w:val="21"/>
          <w:highlight w:val="none"/>
          <w:u w:val="single"/>
        </w:rPr>
        <w:t xml:space="preserve"> 详见《附件：投标报价、计价方式及合同形式价款确定》 </w:t>
      </w:r>
      <w:r>
        <w:rPr>
          <w:rFonts w:hint="eastAsia" w:ascii="宋体" w:hAnsi="宋体" w:cs="宋体"/>
          <w:color w:val="auto"/>
          <w:kern w:val="2"/>
          <w:sz w:val="21"/>
          <w:szCs w:val="21"/>
          <w:highlight w:val="none"/>
        </w:rPr>
        <w:t>。</w:t>
      </w:r>
    </w:p>
    <w:p w14:paraId="15CDC4F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承包人提交进度付款申请单的格式、内容、份数和时间：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8B4707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进度付款申请单应包括的内容：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4EFF4D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14.3.2 进度付款审核和支付</w:t>
      </w:r>
    </w:p>
    <w:p w14:paraId="2470F83C">
      <w:pPr>
        <w:keepNext w:val="0"/>
        <w:keepLines w:val="0"/>
        <w:pageBreakBefore w:val="0"/>
        <w:widowControl w:val="0"/>
        <w:kinsoku/>
        <w:wordWrap/>
        <w:overflowPunct/>
        <w:topLinePunct w:val="0"/>
        <w:bidi w:val="0"/>
        <w:adjustRightInd w:val="0"/>
        <w:snapToGrid w:val="0"/>
        <w:spacing w:line="440" w:lineRule="exact"/>
        <w:ind w:firstLine="422" w:firstLineChars="200"/>
        <w:jc w:val="left"/>
        <w:textAlignment w:val="auto"/>
        <w:outlineLvl w:val="9"/>
        <w:rPr>
          <w:rFonts w:hint="eastAsia" w:ascii="宋体" w:hAnsi="宋体" w:eastAsia="宋体" w:cs="宋体"/>
          <w:b/>
          <w:bCs w:val="0"/>
          <w:color w:val="auto"/>
          <w:spacing w:val="0"/>
          <w:w w:val="100"/>
          <w:kern w:val="2"/>
          <w:sz w:val="21"/>
          <w:szCs w:val="21"/>
          <w:highlight w:val="none"/>
        </w:rPr>
      </w:pPr>
      <w:r>
        <w:rPr>
          <w:rFonts w:hint="eastAsia" w:ascii="宋体" w:hAnsi="宋体" w:eastAsia="宋体" w:cs="宋体"/>
          <w:b/>
          <w:bCs w:val="0"/>
          <w:color w:val="auto"/>
          <w:spacing w:val="0"/>
          <w:w w:val="100"/>
          <w:kern w:val="2"/>
          <w:sz w:val="21"/>
          <w:szCs w:val="21"/>
          <w:highlight w:val="none"/>
        </w:rPr>
        <w:t>合同签订生效并具备实施条件后五个工作日内采购人支付合同金额的 40%作为预付款，付预付款前成交供应商须向采购人提交经采购人审核无误的等额保函【须为见索即付保函(无条件保函)】，工程全部结束经验收合格后，采购人付至结算审核价的100%，成交人缴纳结算价的2%作为质保金(质保金缴纳方式可以是转账、保函或保险)后，质保期后一次性退还质保金:采用保函的无须另行缴纳质量保证金，保函有效期须与工程缺陷责任期截止时间保持一致。</w:t>
      </w:r>
    </w:p>
    <w:p w14:paraId="2D0B665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14.4 付款计划表</w:t>
      </w:r>
    </w:p>
    <w:p w14:paraId="67E6EB3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14.4.1 付款计划表的编制要求：</w:t>
      </w:r>
      <w:r>
        <w:rPr>
          <w:rFonts w:hint="eastAsia" w:ascii="宋体" w:hAnsi="宋体" w:cs="宋体"/>
          <w:color w:val="auto"/>
          <w:kern w:val="2"/>
          <w:sz w:val="21"/>
          <w:szCs w:val="21"/>
          <w:highlight w:val="none"/>
          <w:u w:val="single"/>
        </w:rPr>
        <w:t xml:space="preserve">  按本款通用条款要求  </w:t>
      </w:r>
      <w:r>
        <w:rPr>
          <w:rFonts w:hint="eastAsia" w:ascii="宋体" w:hAnsi="宋体" w:cs="宋体"/>
          <w:color w:val="auto"/>
          <w:kern w:val="2"/>
          <w:sz w:val="21"/>
          <w:szCs w:val="21"/>
          <w:highlight w:val="none"/>
        </w:rPr>
        <w:t>。</w:t>
      </w:r>
    </w:p>
    <w:p w14:paraId="10010B0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14.4.2 付款计划表的编制与审批</w:t>
      </w:r>
    </w:p>
    <w:p w14:paraId="20193EF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付款计划表的编制：</w:t>
      </w:r>
      <w:r>
        <w:rPr>
          <w:rFonts w:hint="eastAsia" w:ascii="宋体" w:hAnsi="宋体" w:cs="宋体"/>
          <w:color w:val="auto"/>
          <w:kern w:val="2"/>
          <w:sz w:val="21"/>
          <w:szCs w:val="21"/>
          <w:highlight w:val="none"/>
          <w:u w:val="single"/>
        </w:rPr>
        <w:t xml:space="preserve"> 按本款通用条款要求   </w:t>
      </w:r>
      <w:r>
        <w:rPr>
          <w:rFonts w:hint="eastAsia" w:ascii="宋体" w:hAnsi="宋体" w:cs="宋体"/>
          <w:color w:val="auto"/>
          <w:kern w:val="2"/>
          <w:sz w:val="21"/>
          <w:szCs w:val="21"/>
          <w:highlight w:val="none"/>
        </w:rPr>
        <w:t>。</w:t>
      </w:r>
    </w:p>
    <w:p w14:paraId="56F4CB5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14.5 竣工结算</w:t>
      </w:r>
    </w:p>
    <w:p w14:paraId="6C9409F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14.5.1 竣工结算申请</w:t>
      </w:r>
    </w:p>
    <w:p w14:paraId="6EE8902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承包人提交竣工结算申请的时间：</w:t>
      </w:r>
      <w:r>
        <w:rPr>
          <w:rFonts w:hint="eastAsia" w:ascii="宋体" w:hAnsi="宋体" w:cs="宋体"/>
          <w:color w:val="auto"/>
          <w:kern w:val="2"/>
          <w:sz w:val="21"/>
          <w:szCs w:val="21"/>
          <w:highlight w:val="none"/>
          <w:u w:val="single"/>
        </w:rPr>
        <w:t xml:space="preserve">  交工验收证书签发28天内或竣工验收合格后60天内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944143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竣工结算申请的资料清单和份数：</w:t>
      </w:r>
      <w:r>
        <w:rPr>
          <w:rFonts w:hint="eastAsia" w:ascii="宋体" w:hAnsi="宋体" w:cs="宋体"/>
          <w:color w:val="auto"/>
          <w:kern w:val="2"/>
          <w:sz w:val="21"/>
          <w:szCs w:val="21"/>
          <w:highlight w:val="none"/>
          <w:u w:val="single"/>
        </w:rPr>
        <w:t xml:space="preserve">  结算资料按相关规定执行，份数3份</w:t>
      </w:r>
      <w:r>
        <w:rPr>
          <w:rFonts w:hint="eastAsia" w:ascii="宋体" w:hAnsi="宋体" w:cs="宋体"/>
          <w:color w:val="auto"/>
          <w:kern w:val="2"/>
          <w:sz w:val="21"/>
          <w:szCs w:val="21"/>
          <w:highlight w:val="none"/>
        </w:rPr>
        <w:t>。</w:t>
      </w:r>
    </w:p>
    <w:p w14:paraId="724C8C0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竣工结算申请单的内容应包括：</w:t>
      </w:r>
      <w:r>
        <w:rPr>
          <w:rFonts w:hint="eastAsia" w:ascii="宋体" w:hAnsi="宋体" w:cs="宋体"/>
          <w:color w:val="auto"/>
          <w:kern w:val="2"/>
          <w:sz w:val="21"/>
          <w:szCs w:val="21"/>
          <w:highlight w:val="none"/>
          <w:u w:val="single"/>
        </w:rPr>
        <w:t xml:space="preserve">  按相关规定执行  </w:t>
      </w:r>
      <w:r>
        <w:rPr>
          <w:rFonts w:hint="eastAsia" w:ascii="宋体" w:hAnsi="宋体" w:cs="宋体"/>
          <w:color w:val="auto"/>
          <w:kern w:val="2"/>
          <w:sz w:val="21"/>
          <w:szCs w:val="21"/>
          <w:highlight w:val="none"/>
        </w:rPr>
        <w:t>。</w:t>
      </w:r>
    </w:p>
    <w:p w14:paraId="5540972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14.5.2 竣工结算审核</w:t>
      </w:r>
    </w:p>
    <w:p w14:paraId="72A8F1E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发包人审批竣工付款申请单的期限：</w:t>
      </w:r>
      <w:r>
        <w:rPr>
          <w:rFonts w:hint="eastAsia" w:ascii="宋体" w:hAnsi="宋体" w:cs="宋体"/>
          <w:color w:val="auto"/>
          <w:kern w:val="2"/>
          <w:sz w:val="21"/>
          <w:szCs w:val="21"/>
          <w:highlight w:val="none"/>
          <w:u w:val="single"/>
        </w:rPr>
        <w:t xml:space="preserve"> 收到承包人提交的竣工结算申请50天内完成 </w:t>
      </w:r>
      <w:r>
        <w:rPr>
          <w:rFonts w:hint="eastAsia" w:ascii="宋体" w:hAnsi="宋体" w:cs="宋体"/>
          <w:color w:val="auto"/>
          <w:kern w:val="2"/>
          <w:sz w:val="21"/>
          <w:szCs w:val="21"/>
          <w:highlight w:val="none"/>
        </w:rPr>
        <w:t>。</w:t>
      </w:r>
    </w:p>
    <w:p w14:paraId="43AC214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发包人完成竣工付款的期限：</w:t>
      </w:r>
      <w:r>
        <w:rPr>
          <w:rFonts w:hint="eastAsia" w:ascii="宋体" w:hAnsi="宋体" w:cs="宋体"/>
          <w:color w:val="auto"/>
          <w:kern w:val="2"/>
          <w:sz w:val="21"/>
          <w:szCs w:val="21"/>
          <w:highlight w:val="none"/>
          <w:u w:val="single"/>
        </w:rPr>
        <w:t xml:space="preserve">  竣工结算审核完成后60天内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7CC414E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关于竣工付款证书异议部分复核的方式和程序：</w:t>
      </w:r>
      <w:r>
        <w:rPr>
          <w:rFonts w:hint="eastAsia" w:ascii="宋体" w:hAnsi="宋体" w:cs="宋体"/>
          <w:color w:val="auto"/>
          <w:kern w:val="2"/>
          <w:sz w:val="21"/>
          <w:szCs w:val="21"/>
          <w:highlight w:val="none"/>
          <w:u w:val="single"/>
        </w:rPr>
        <w:t xml:space="preserve">   发包人收到承包人结算后，委托审计部门审核并在三个月内完成审计工作，经双方签字盖章后作为竣工付款依据，逾期视为认可。     </w:t>
      </w:r>
    </w:p>
    <w:p w14:paraId="3C07DA3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14.6 质量保证金</w:t>
      </w:r>
    </w:p>
    <w:p w14:paraId="193AA33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14.6.1 承包人提供质量保证金的方式</w:t>
      </w:r>
    </w:p>
    <w:p w14:paraId="487CEAE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质量保证金采用以下方式：</w:t>
      </w:r>
    </w:p>
    <w:p w14:paraId="08B64FC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 工程质量保证担保，保证金额为：</w:t>
      </w:r>
      <w:r>
        <w:rPr>
          <w:rFonts w:hint="eastAsia" w:ascii="宋体" w:hAnsi="Times New Roman" w:cs="宋体"/>
          <w:color w:val="auto"/>
          <w:kern w:val="0"/>
          <w:sz w:val="21"/>
          <w:szCs w:val="21"/>
          <w:highlight w:val="none"/>
          <w:u w:val="single"/>
        </w:rPr>
        <w:t xml:space="preserve"> 2%的工程款</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6E0486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(2)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%的工程款；</w:t>
      </w:r>
    </w:p>
    <w:p w14:paraId="3A1C738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(3) 其他方式：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12A2B7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14.6.2 质量保证金的预留</w:t>
      </w:r>
    </w:p>
    <w:p w14:paraId="11E3519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质量保证金的预留采取以下方式：</w:t>
      </w:r>
    </w:p>
    <w:p w14:paraId="771AF144">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left"/>
        <w:textAlignment w:val="auto"/>
        <w:outlineLvl w:val="9"/>
        <w:rPr>
          <w:rFonts w:ascii="宋体" w:hAnsi="Times New Roman" w:cs="宋体"/>
          <w:color w:val="auto"/>
          <w:kern w:val="0"/>
          <w:sz w:val="21"/>
          <w:szCs w:val="21"/>
          <w:highlight w:val="none"/>
        </w:rPr>
      </w:pPr>
      <w:r>
        <w:rPr>
          <w:rFonts w:hint="eastAsia" w:ascii="宋体" w:hAnsi="Times New Roman" w:cs="宋体"/>
          <w:color w:val="auto"/>
          <w:kern w:val="0"/>
          <w:sz w:val="21"/>
          <w:szCs w:val="21"/>
          <w:highlight w:val="none"/>
        </w:rPr>
        <w:t>（1）在支付工程进度款时逐次预留，在此情形下，质量保证金的计算基数不包括预付款的支付、扣回以及价格调整的金额；</w:t>
      </w:r>
    </w:p>
    <w:p w14:paraId="2CE331A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left"/>
        <w:textAlignment w:val="auto"/>
        <w:outlineLvl w:val="9"/>
        <w:rPr>
          <w:rFonts w:ascii="宋体" w:hAnsi="Times New Roman" w:cs="宋体"/>
          <w:color w:val="auto"/>
          <w:kern w:val="0"/>
          <w:sz w:val="21"/>
          <w:szCs w:val="21"/>
          <w:highlight w:val="none"/>
        </w:rPr>
      </w:pPr>
      <w:r>
        <w:rPr>
          <w:rFonts w:hint="eastAsia" w:ascii="宋体" w:hAnsi="Times New Roman" w:cs="宋体"/>
          <w:color w:val="auto"/>
          <w:kern w:val="0"/>
          <w:sz w:val="21"/>
          <w:szCs w:val="21"/>
          <w:highlight w:val="none"/>
        </w:rPr>
        <w:t>（2）工程竣工结算时一次性预留质量保证金；</w:t>
      </w:r>
    </w:p>
    <w:p w14:paraId="2E81B6E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left"/>
        <w:textAlignment w:val="auto"/>
        <w:outlineLvl w:val="9"/>
        <w:rPr>
          <w:rFonts w:ascii="宋体" w:hAnsi="Times New Roman" w:cs="宋体"/>
          <w:color w:val="auto"/>
          <w:kern w:val="0"/>
          <w:sz w:val="21"/>
          <w:szCs w:val="21"/>
          <w:highlight w:val="none"/>
        </w:rPr>
      </w:pPr>
      <w:r>
        <w:rPr>
          <w:rFonts w:hint="eastAsia" w:ascii="宋体" w:hAnsi="Times New Roman" w:cs="宋体"/>
          <w:color w:val="auto"/>
          <w:kern w:val="0"/>
          <w:sz w:val="21"/>
          <w:szCs w:val="21"/>
          <w:highlight w:val="none"/>
        </w:rPr>
        <w:t>（3）其他预留方式:</w:t>
      </w:r>
      <w:r>
        <w:rPr>
          <w:rFonts w:hint="eastAsia" w:ascii="宋体" w:hAnsi="Times New Roman" w:cs="宋体"/>
          <w:color w:val="auto"/>
          <w:kern w:val="0"/>
          <w:sz w:val="21"/>
          <w:szCs w:val="21"/>
          <w:highlight w:val="none"/>
          <w:u w:val="single"/>
        </w:rPr>
        <w:t xml:space="preserve">   </w:t>
      </w:r>
      <w:r>
        <w:rPr>
          <w:rFonts w:hint="eastAsia" w:ascii="宋体" w:hAnsi="Times New Roman" w:cs="宋体"/>
          <w:color w:val="auto"/>
          <w:kern w:val="0"/>
          <w:sz w:val="21"/>
          <w:szCs w:val="21"/>
          <w:highlight w:val="none"/>
          <w:u w:val="single"/>
          <w:lang w:val="en-US" w:eastAsia="zh-CN"/>
        </w:rPr>
        <w:t xml:space="preserve">             </w:t>
      </w:r>
      <w:r>
        <w:rPr>
          <w:rFonts w:hint="eastAsia" w:ascii="宋体" w:hAnsi="Times New Roman" w:cs="宋体"/>
          <w:color w:val="auto"/>
          <w:kern w:val="0"/>
          <w:sz w:val="21"/>
          <w:szCs w:val="21"/>
          <w:highlight w:val="none"/>
          <w:u w:val="single"/>
        </w:rPr>
        <w:t xml:space="preserve">    </w:t>
      </w:r>
      <w:r>
        <w:rPr>
          <w:rFonts w:hint="eastAsia" w:ascii="宋体" w:hAnsi="Times New Roman" w:cs="宋体"/>
          <w:color w:val="auto"/>
          <w:kern w:val="0"/>
          <w:sz w:val="21"/>
          <w:szCs w:val="21"/>
          <w:highlight w:val="none"/>
        </w:rPr>
        <w:t>。</w:t>
      </w:r>
    </w:p>
    <w:p w14:paraId="7A7FC2C8">
      <w:pPr>
        <w:keepNext w:val="0"/>
        <w:keepLines w:val="0"/>
        <w:pageBreakBefore w:val="0"/>
        <w:widowControl w:val="0"/>
        <w:kinsoku/>
        <w:wordWrap/>
        <w:overflowPunct/>
        <w:topLinePunct w:val="0"/>
        <w:bidi w:val="0"/>
        <w:spacing w:line="400" w:lineRule="exact"/>
        <w:ind w:firstLine="420" w:firstLineChars="200"/>
        <w:jc w:val="left"/>
        <w:textAlignment w:val="auto"/>
        <w:outlineLvl w:val="9"/>
        <w:rPr>
          <w:rFonts w:ascii="宋体" w:hAnsi="Times New Roman" w:cs="宋体"/>
          <w:color w:val="auto"/>
          <w:kern w:val="0"/>
          <w:sz w:val="21"/>
          <w:szCs w:val="21"/>
          <w:highlight w:val="none"/>
          <w:u w:val="single"/>
        </w:rPr>
      </w:pPr>
      <w:r>
        <w:rPr>
          <w:rFonts w:hint="eastAsia" w:ascii="宋体" w:hAnsi="Times New Roman" w:cs="宋体"/>
          <w:color w:val="auto"/>
          <w:kern w:val="2"/>
          <w:sz w:val="21"/>
          <w:szCs w:val="21"/>
          <w:highlight w:val="none"/>
        </w:rPr>
        <w:t>关于质量保证金的补充约定：</w:t>
      </w:r>
      <w:r>
        <w:rPr>
          <w:rFonts w:hint="eastAsia" w:ascii="宋体" w:hAnsi="Times New Roman" w:cs="宋体"/>
          <w:color w:val="auto"/>
          <w:kern w:val="0"/>
          <w:sz w:val="21"/>
          <w:szCs w:val="21"/>
          <w:highlight w:val="none"/>
          <w:u w:val="single"/>
        </w:rPr>
        <w:t xml:space="preserve"> 质量保证金支持保函（银行保函、担保机构担保、保证保险）使用。采用保函的，保函有效期须与缺陷责任期截止时间保持一致 </w:t>
      </w:r>
      <w:r>
        <w:rPr>
          <w:rFonts w:hint="eastAsia" w:ascii="宋体" w:hAnsi="Times New Roman" w:cs="宋体"/>
          <w:color w:val="auto"/>
          <w:kern w:val="0"/>
          <w:sz w:val="21"/>
          <w:szCs w:val="21"/>
          <w:highlight w:val="none"/>
        </w:rPr>
        <w:t>。</w:t>
      </w:r>
    </w:p>
    <w:p w14:paraId="6296B20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14.7 最终结清</w:t>
      </w:r>
    </w:p>
    <w:p w14:paraId="6BB0210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14.7.1 最终结清申请单</w:t>
      </w:r>
    </w:p>
    <w:p w14:paraId="7AA5A53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当事人双方关于最终结清申请的其他约定：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03DCBE0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14.7.2 最终结清证书和支付</w:t>
      </w:r>
    </w:p>
    <w:p w14:paraId="17991E6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当事人双方关于最终结清支付的其他约定：</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无          </w:t>
      </w:r>
      <w:r>
        <w:rPr>
          <w:rFonts w:hint="eastAsia" w:ascii="宋体" w:hAnsi="宋体" w:cs="宋体"/>
          <w:color w:val="auto"/>
          <w:kern w:val="2"/>
          <w:sz w:val="21"/>
          <w:szCs w:val="21"/>
          <w:highlight w:val="none"/>
        </w:rPr>
        <w:t>。</w:t>
      </w:r>
    </w:p>
    <w:p w14:paraId="38C32E63">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60" w:name="_Toc54862346"/>
      <w:bookmarkStart w:id="161" w:name="_Toc83904129"/>
      <w:r>
        <w:rPr>
          <w:rFonts w:hint="eastAsia" w:ascii="黑体" w:hAnsi="黑体" w:eastAsia="黑体" w:cs="宋体"/>
          <w:b w:val="0"/>
          <w:bCs/>
          <w:color w:val="auto"/>
          <w:kern w:val="2"/>
          <w:sz w:val="21"/>
          <w:szCs w:val="21"/>
          <w:highlight w:val="none"/>
          <w:lang w:val="en-US" w:eastAsia="zh-CN" w:bidi="ar-SA"/>
        </w:rPr>
        <w:t>第15条 违约</w:t>
      </w:r>
      <w:bookmarkEnd w:id="160"/>
      <w:bookmarkEnd w:id="161"/>
    </w:p>
    <w:p w14:paraId="4099A40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15.1 发包人违约</w:t>
      </w:r>
    </w:p>
    <w:p w14:paraId="5652132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15.1.1 发包人违约的情形</w:t>
      </w:r>
    </w:p>
    <w:p w14:paraId="6607019A">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发包人违约的其他情形</w:t>
      </w:r>
      <w:r>
        <w:rPr>
          <w:rFonts w:hint="eastAsia" w:ascii="宋体" w:hAnsi="宋体" w:cs="宋体"/>
          <w:color w:val="auto"/>
          <w:kern w:val="2"/>
          <w:sz w:val="21"/>
          <w:szCs w:val="21"/>
          <w:highlight w:val="none"/>
          <w:u w:val="single"/>
        </w:rPr>
        <w:t xml:space="preserve">     以通用条款的规定为准      </w:t>
      </w:r>
      <w:r>
        <w:rPr>
          <w:rFonts w:hint="eastAsia" w:ascii="宋体" w:hAnsi="宋体" w:cs="宋体"/>
          <w:color w:val="auto"/>
          <w:kern w:val="2"/>
          <w:sz w:val="21"/>
          <w:szCs w:val="21"/>
          <w:highlight w:val="none"/>
        </w:rPr>
        <w:t>。</w:t>
      </w:r>
    </w:p>
    <w:p w14:paraId="7C1A9B6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15.1.3 发包人违约的责任</w:t>
      </w:r>
    </w:p>
    <w:p w14:paraId="0DB493A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发包人违约责任的承担方式和计算方法：</w:t>
      </w:r>
      <w:r>
        <w:rPr>
          <w:rFonts w:hint="eastAsia" w:ascii="宋体" w:hAnsi="宋体" w:cs="宋体"/>
          <w:color w:val="auto"/>
          <w:kern w:val="2"/>
          <w:sz w:val="21"/>
          <w:szCs w:val="21"/>
          <w:highlight w:val="none"/>
          <w:u w:val="single"/>
        </w:rPr>
        <w:t xml:space="preserve">  发包人应承担因其违约给承包人增加的直接费用和（或）延误的工期，并支付承包人合理的利润。增加的费用和工期由承包人申报，发包人负责审核 </w:t>
      </w:r>
      <w:r>
        <w:rPr>
          <w:rFonts w:hint="eastAsia" w:ascii="宋体" w:hAnsi="宋体" w:cs="宋体"/>
          <w:color w:val="auto"/>
          <w:kern w:val="2"/>
          <w:sz w:val="21"/>
          <w:szCs w:val="21"/>
          <w:highlight w:val="none"/>
        </w:rPr>
        <w:t>。</w:t>
      </w:r>
    </w:p>
    <w:p w14:paraId="02E6A7E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15.2 承包人违约</w:t>
      </w:r>
    </w:p>
    <w:p w14:paraId="344B7DA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15.2.1 承包人违约的情形</w:t>
      </w:r>
    </w:p>
    <w:p w14:paraId="6EB28AA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承包人违约的其他情形：</w:t>
      </w:r>
      <w:r>
        <w:rPr>
          <w:rFonts w:hint="eastAsia" w:ascii="宋体" w:hAnsi="宋体" w:cs="宋体"/>
          <w:color w:val="auto"/>
          <w:kern w:val="2"/>
          <w:sz w:val="21"/>
          <w:szCs w:val="21"/>
          <w:highlight w:val="none"/>
          <w:u w:val="single"/>
        </w:rPr>
        <w:t xml:space="preserve"> 以通用条款的规定为准 </w:t>
      </w:r>
      <w:r>
        <w:rPr>
          <w:rFonts w:hint="eastAsia" w:ascii="宋体" w:hAnsi="宋体" w:cs="宋体"/>
          <w:color w:val="auto"/>
          <w:kern w:val="2"/>
          <w:sz w:val="21"/>
          <w:szCs w:val="21"/>
          <w:highlight w:val="none"/>
        </w:rPr>
        <w:t>。</w:t>
      </w:r>
    </w:p>
    <w:p w14:paraId="433C87E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15.2.2 通知改正</w:t>
      </w:r>
    </w:p>
    <w:p w14:paraId="20522E0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工程师通知承包人改正的合理期限是：</w:t>
      </w:r>
      <w:r>
        <w:rPr>
          <w:rFonts w:hint="eastAsia" w:ascii="宋体" w:hAnsi="宋体" w:cs="宋体"/>
          <w:color w:val="auto"/>
          <w:kern w:val="2"/>
          <w:sz w:val="21"/>
          <w:szCs w:val="21"/>
          <w:highlight w:val="none"/>
          <w:u w:val="single"/>
        </w:rPr>
        <w:t xml:space="preserve"> 发包人可在违约情形出现后向承包人发出整改通知，要求承包人14天内整改完成 </w:t>
      </w:r>
      <w:r>
        <w:rPr>
          <w:rFonts w:hint="eastAsia" w:ascii="宋体" w:hAnsi="宋体" w:cs="宋体"/>
          <w:color w:val="auto"/>
          <w:kern w:val="2"/>
          <w:sz w:val="21"/>
          <w:szCs w:val="21"/>
          <w:highlight w:val="none"/>
        </w:rPr>
        <w:t>。</w:t>
      </w:r>
    </w:p>
    <w:p w14:paraId="02AD5C2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15.2.3 承包人违约的责任</w:t>
      </w:r>
    </w:p>
    <w:p w14:paraId="314203C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承包人违约责任的承担方式和计算方法：</w:t>
      </w:r>
      <w:r>
        <w:rPr>
          <w:rFonts w:hint="eastAsia" w:ascii="宋体" w:hAnsi="宋体" w:cs="宋体"/>
          <w:color w:val="auto"/>
          <w:kern w:val="2"/>
          <w:sz w:val="21"/>
          <w:szCs w:val="21"/>
          <w:highlight w:val="none"/>
          <w:u w:val="single"/>
        </w:rPr>
        <w:t xml:space="preserve"> 承包人应承担因其违约行为而增加的费用和（或）延误的工期  </w:t>
      </w:r>
      <w:r>
        <w:rPr>
          <w:rFonts w:hint="eastAsia" w:ascii="宋体" w:hAnsi="宋体" w:cs="宋体"/>
          <w:color w:val="auto"/>
          <w:kern w:val="2"/>
          <w:sz w:val="21"/>
          <w:szCs w:val="21"/>
          <w:highlight w:val="none"/>
        </w:rPr>
        <w:t>。</w:t>
      </w:r>
    </w:p>
    <w:p w14:paraId="073FCC46">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62" w:name="_Toc54862347"/>
      <w:bookmarkStart w:id="163" w:name="_Toc83904130"/>
      <w:r>
        <w:rPr>
          <w:rFonts w:hint="eastAsia" w:ascii="黑体" w:hAnsi="黑体" w:eastAsia="黑体" w:cs="宋体"/>
          <w:b w:val="0"/>
          <w:bCs/>
          <w:color w:val="auto"/>
          <w:kern w:val="2"/>
          <w:sz w:val="21"/>
          <w:szCs w:val="21"/>
          <w:highlight w:val="none"/>
          <w:lang w:val="en-US" w:eastAsia="zh-CN" w:bidi="ar-SA"/>
        </w:rPr>
        <w:t>第16条 合同解除</w:t>
      </w:r>
      <w:bookmarkEnd w:id="162"/>
      <w:bookmarkEnd w:id="163"/>
    </w:p>
    <w:p w14:paraId="773BF91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 由发包人解除合同</w:t>
      </w:r>
    </w:p>
    <w:p w14:paraId="4DF8C407">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16.1.1 因承包人违约解除合同</w:t>
      </w:r>
    </w:p>
    <w:p w14:paraId="26BB0EE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双方约定可由发包人解除合同的其他事由：</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4835AEB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16.2 由承包人解除合同</w:t>
      </w:r>
    </w:p>
    <w:p w14:paraId="63315E9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16.2.1 因发包人违约解除合同</w:t>
      </w:r>
    </w:p>
    <w:p w14:paraId="151AE9F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双方约定可由承包人解除合同的其他事由：</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1AE69CD3">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64" w:name="_Toc83904131"/>
      <w:bookmarkStart w:id="165" w:name="_Toc54862348"/>
      <w:r>
        <w:rPr>
          <w:rFonts w:hint="eastAsia" w:ascii="黑体" w:hAnsi="黑体" w:eastAsia="黑体" w:cs="宋体"/>
          <w:b w:val="0"/>
          <w:bCs/>
          <w:color w:val="auto"/>
          <w:kern w:val="2"/>
          <w:sz w:val="21"/>
          <w:szCs w:val="21"/>
          <w:highlight w:val="none"/>
          <w:lang w:val="en-US" w:eastAsia="zh-CN" w:bidi="ar-SA"/>
        </w:rPr>
        <w:t>第17条 不可抗力</w:t>
      </w:r>
      <w:bookmarkEnd w:id="164"/>
      <w:bookmarkEnd w:id="165"/>
    </w:p>
    <w:p w14:paraId="3D9852F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17.1 不可抗力的定义</w:t>
      </w:r>
    </w:p>
    <w:p w14:paraId="5BB8335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除通用合同条件约定的不可抗力事件之外，视为不可抗力的其他情形：</w:t>
      </w:r>
      <w:r>
        <w:rPr>
          <w:rFonts w:hint="eastAsia" w:ascii="宋体" w:hAnsi="宋体" w:cs="宋体"/>
          <w:color w:val="auto"/>
          <w:kern w:val="2"/>
          <w:sz w:val="21"/>
          <w:szCs w:val="21"/>
          <w:highlight w:val="none"/>
          <w:u w:val="single"/>
        </w:rPr>
        <w:t xml:space="preserve">   自然灾害具体内容细化为：雪灾、洪水、地震、海啸、台风、火山爆发、山体滑坡、雪崩、泥石流等。其中具体程度的约定为：雪灾：每平方米雪压超过建筑结构荷载规范规定的荷载标准；洪水：规律性的涨潮、设施漏水、水管爆裂造成的除外；地震、海啸、台风：以当地气象机构的认定为准；火山爆发、山体滑坡、雪崩：不可预测或采取措施无法阻止的；泥石流：突然爆发的大量夹带泥沙、石块等的洪流    </w:t>
      </w:r>
      <w:r>
        <w:rPr>
          <w:rFonts w:hint="eastAsia" w:ascii="宋体" w:hAnsi="宋体" w:cs="宋体"/>
          <w:color w:val="auto"/>
          <w:kern w:val="2"/>
          <w:sz w:val="21"/>
          <w:szCs w:val="21"/>
          <w:highlight w:val="none"/>
        </w:rPr>
        <w:t>。</w:t>
      </w:r>
    </w:p>
    <w:p w14:paraId="64F5365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17.6 因不可抗力解除合同</w:t>
      </w:r>
    </w:p>
    <w:p w14:paraId="66BE210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合同解除后，发包人应当在商定或确定发包人应支付款项后的</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28</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天内完成款项的支付。</w:t>
      </w:r>
    </w:p>
    <w:p w14:paraId="33FA8918">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66" w:name="_Toc4784276"/>
      <w:bookmarkEnd w:id="166"/>
      <w:bookmarkStart w:id="167" w:name="_Toc4784277"/>
      <w:bookmarkEnd w:id="167"/>
      <w:bookmarkStart w:id="168" w:name="_Toc54862349"/>
      <w:bookmarkStart w:id="169" w:name="_Toc83904132"/>
      <w:r>
        <w:rPr>
          <w:rFonts w:hint="eastAsia" w:ascii="黑体" w:hAnsi="黑体" w:eastAsia="黑体" w:cs="宋体"/>
          <w:b w:val="0"/>
          <w:bCs/>
          <w:color w:val="auto"/>
          <w:kern w:val="2"/>
          <w:sz w:val="21"/>
          <w:szCs w:val="21"/>
          <w:highlight w:val="none"/>
          <w:lang w:val="en-US" w:eastAsia="zh-CN" w:bidi="ar-SA"/>
        </w:rPr>
        <w:t>第18条 保险</w:t>
      </w:r>
      <w:bookmarkEnd w:id="168"/>
      <w:bookmarkEnd w:id="169"/>
    </w:p>
    <w:p w14:paraId="73D8324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18.1 设计和工程保险</w:t>
      </w:r>
    </w:p>
    <w:p w14:paraId="7C901B9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18.1.1 双方当事人关于设计和工程保险的特别约定：</w:t>
      </w:r>
      <w:r>
        <w:rPr>
          <w:rFonts w:hint="eastAsia" w:ascii="宋体" w:hAnsi="宋体" w:cs="宋体"/>
          <w:color w:val="auto"/>
          <w:kern w:val="2"/>
          <w:sz w:val="21"/>
          <w:szCs w:val="21"/>
          <w:highlight w:val="none"/>
          <w:u w:val="single"/>
        </w:rPr>
        <w:t xml:space="preserve"> 本合同工程，建筑工程一切险由承包人投保，并接受发包人对整个投保过程的监督、指导，投保结果需经发包人同意方可签订投保合同。工程保险由承包人投保并在总承包风险费里包干使用。         </w:t>
      </w:r>
      <w:r>
        <w:rPr>
          <w:rFonts w:hint="eastAsia" w:ascii="宋体" w:hAnsi="宋体" w:cs="宋体"/>
          <w:color w:val="auto"/>
          <w:kern w:val="2"/>
          <w:sz w:val="21"/>
          <w:szCs w:val="21"/>
          <w:highlight w:val="none"/>
        </w:rPr>
        <w:t>。</w:t>
      </w:r>
    </w:p>
    <w:p w14:paraId="35300E4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18.1.2 双方当事人关于第三方责任险的特别约定：</w:t>
      </w:r>
      <w:r>
        <w:rPr>
          <w:rFonts w:hint="eastAsia" w:ascii="宋体" w:hAnsi="宋体" w:cs="宋体"/>
          <w:color w:val="auto"/>
          <w:kern w:val="2"/>
          <w:sz w:val="21"/>
          <w:szCs w:val="21"/>
          <w:highlight w:val="none"/>
          <w:u w:val="single"/>
        </w:rPr>
        <w:t xml:space="preserve">  第三者责任险由承包人投保并在总承包风险费里包干使用。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      </w:t>
      </w:r>
      <w:r>
        <w:rPr>
          <w:rFonts w:hint="eastAsia" w:ascii="宋体" w:hAnsi="宋体" w:cs="宋体"/>
          <w:color w:val="auto"/>
          <w:kern w:val="2"/>
          <w:sz w:val="21"/>
          <w:szCs w:val="21"/>
          <w:highlight w:val="none"/>
        </w:rPr>
        <w:t>。</w:t>
      </w:r>
    </w:p>
    <w:p w14:paraId="46A9576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18.2 工伤和意外伤害保险</w:t>
      </w:r>
    </w:p>
    <w:p w14:paraId="5848163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18.2.3 关于工伤保险和意外伤害保险的特别约定：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21642C7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18.3 货物保险</w:t>
      </w:r>
    </w:p>
    <w:p w14:paraId="6D90D1D0">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关于承包人应为其施工设备、材料、工程设备和临时工程等办理财产保险的特别约定：</w:t>
      </w:r>
      <w:r>
        <w:rPr>
          <w:rFonts w:hint="eastAsia"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 xml:space="preserve">无   </w:t>
      </w:r>
      <w:r>
        <w:rPr>
          <w:rFonts w:hint="eastAsia" w:ascii="宋体" w:hAnsi="宋体" w:cs="宋体"/>
          <w:color w:val="auto"/>
          <w:kern w:val="2"/>
          <w:sz w:val="21"/>
          <w:szCs w:val="21"/>
          <w:highlight w:val="none"/>
        </w:rPr>
        <w:t>。</w:t>
      </w:r>
    </w:p>
    <w:p w14:paraId="620A5E7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18.4 其他保险</w:t>
      </w:r>
    </w:p>
    <w:p w14:paraId="2C5B5E2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关于其他保险的约定：</w:t>
      </w:r>
      <w:r>
        <w:rPr>
          <w:rFonts w:hint="eastAsia" w:ascii="宋体" w:hAnsi="宋体" w:cs="宋体"/>
          <w:color w:val="auto"/>
          <w:kern w:val="2"/>
          <w:sz w:val="21"/>
          <w:szCs w:val="21"/>
          <w:highlight w:val="none"/>
          <w:u w:val="single"/>
        </w:rPr>
        <w:t xml:space="preserve">   无    </w:t>
      </w:r>
      <w:r>
        <w:rPr>
          <w:rFonts w:hint="eastAsia" w:ascii="宋体" w:hAnsi="宋体" w:cs="宋体"/>
          <w:color w:val="auto"/>
          <w:kern w:val="2"/>
          <w:sz w:val="21"/>
          <w:szCs w:val="21"/>
          <w:highlight w:val="none"/>
        </w:rPr>
        <w:t>。</w:t>
      </w:r>
    </w:p>
    <w:p w14:paraId="2E38C08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18.5 对各项保险的一般要求</w:t>
      </w:r>
    </w:p>
    <w:p w14:paraId="6B18149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18.5.2 保险凭证</w:t>
      </w:r>
    </w:p>
    <w:p w14:paraId="62B6354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保险单的条件：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408F5F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18.5.4 通知义务</w:t>
      </w:r>
    </w:p>
    <w:p w14:paraId="14FFB93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关于变更保险合同时的通知义务的约定：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4F48654">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440" w:lineRule="exact"/>
        <w:ind w:firstLine="420" w:firstLineChars="200"/>
        <w:jc w:val="left"/>
        <w:textAlignment w:val="auto"/>
        <w:outlineLvl w:val="9"/>
        <w:rPr>
          <w:rFonts w:ascii="黑体" w:hAnsi="黑体" w:eastAsia="黑体" w:cs="宋体"/>
          <w:b w:val="0"/>
          <w:bCs/>
          <w:color w:val="auto"/>
          <w:kern w:val="2"/>
          <w:sz w:val="21"/>
          <w:szCs w:val="21"/>
          <w:highlight w:val="none"/>
          <w:lang w:val="en-US" w:eastAsia="zh-CN" w:bidi="ar-SA"/>
        </w:rPr>
      </w:pPr>
      <w:bookmarkStart w:id="170" w:name="_Toc83904133"/>
      <w:bookmarkStart w:id="171" w:name="_Toc54862350"/>
      <w:r>
        <w:rPr>
          <w:rFonts w:hint="eastAsia" w:ascii="黑体" w:hAnsi="黑体" w:eastAsia="黑体" w:cs="宋体"/>
          <w:b w:val="0"/>
          <w:bCs/>
          <w:color w:val="auto"/>
          <w:kern w:val="2"/>
          <w:sz w:val="21"/>
          <w:szCs w:val="21"/>
          <w:highlight w:val="none"/>
          <w:lang w:val="en-US" w:eastAsia="zh-CN" w:bidi="ar-SA"/>
        </w:rPr>
        <w:t>第20条 争议解决</w:t>
      </w:r>
      <w:bookmarkEnd w:id="170"/>
      <w:bookmarkEnd w:id="171"/>
    </w:p>
    <w:p w14:paraId="42BF2BFD">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20.3 争议评审</w:t>
      </w:r>
    </w:p>
    <w:p w14:paraId="781EDAD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合同当事人是否同意将工程争议提交争议评审小组决定： </w:t>
      </w:r>
      <w:r>
        <w:rPr>
          <w:rFonts w:hint="eastAsia" w:ascii="宋体" w:hAnsi="宋体" w:cs="宋体"/>
          <w:color w:val="auto"/>
          <w:kern w:val="2"/>
          <w:sz w:val="21"/>
          <w:szCs w:val="21"/>
          <w:highlight w:val="none"/>
          <w:u w:val="single"/>
        </w:rPr>
        <w:t xml:space="preserve">   不同意   </w:t>
      </w:r>
      <w:r>
        <w:rPr>
          <w:rFonts w:hint="eastAsia" w:ascii="宋体" w:hAnsi="宋体" w:cs="宋体"/>
          <w:color w:val="auto"/>
          <w:kern w:val="2"/>
          <w:sz w:val="21"/>
          <w:szCs w:val="21"/>
          <w:highlight w:val="none"/>
        </w:rPr>
        <w:t>。</w:t>
      </w:r>
    </w:p>
    <w:p w14:paraId="6030487F">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20.3.1 争议评审小组的确定</w:t>
      </w:r>
    </w:p>
    <w:p w14:paraId="704ABC94">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争议评审小组成员的人数：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3ECAEA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争议评审小组成员的确定：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65C31222">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选定争议避免/评审组的期限：</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2B2D5EC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评审机构：</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5F5663B">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其他事项的约定：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434FE73">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争议评审员报酬的承担人：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1D19E05">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20.3.2 争议的避免</w:t>
      </w:r>
    </w:p>
    <w:p w14:paraId="2E3D1349">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发包人和承包人是否均出席争议避免的非正式讨论：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0F5388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20.3.3 争议评审小组的决定</w:t>
      </w:r>
    </w:p>
    <w:p w14:paraId="02A9C0DE">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关于争议评审小组的决定的特别约定：</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CBE55D1">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20.4 仲裁或诉讼</w:t>
      </w:r>
    </w:p>
    <w:p w14:paraId="6489B2EC">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因合同及合同有关事项发生的争议，按下列第</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种方式解决：</w:t>
      </w:r>
    </w:p>
    <w:p w14:paraId="0CCC94C8">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（1）向</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仲裁委员会申请仲裁；</w:t>
      </w:r>
    </w:p>
    <w:p w14:paraId="4F2F1AA6">
      <w:pPr>
        <w:keepNext w:val="0"/>
        <w:keepLines w:val="0"/>
        <w:pageBreakBefore w:val="0"/>
        <w:widowControl w:val="0"/>
        <w:kinsoku/>
        <w:wordWrap/>
        <w:overflowPunct/>
        <w:topLinePunct w:val="0"/>
        <w:bidi w:val="0"/>
        <w:adjustRightInd w:val="0"/>
        <w:snapToGrid w:val="0"/>
        <w:spacing w:line="440" w:lineRule="exact"/>
        <w:ind w:firstLine="420" w:firstLineChars="200"/>
        <w:jc w:val="left"/>
        <w:textAlignment w:val="auto"/>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（2）向</w:t>
      </w:r>
      <w:r>
        <w:rPr>
          <w:rFonts w:hint="eastAsia" w:ascii="宋体" w:hAnsi="宋体" w:cs="宋体"/>
          <w:color w:val="auto"/>
          <w:kern w:val="2"/>
          <w:sz w:val="21"/>
          <w:szCs w:val="21"/>
          <w:highlight w:val="none"/>
          <w:u w:val="single"/>
        </w:rPr>
        <w:t xml:space="preserve">        项目所在地       </w:t>
      </w:r>
      <w:r>
        <w:rPr>
          <w:rFonts w:hint="eastAsia" w:ascii="宋体" w:hAnsi="宋体" w:cs="宋体"/>
          <w:color w:val="auto"/>
          <w:kern w:val="2"/>
          <w:sz w:val="21"/>
          <w:szCs w:val="21"/>
          <w:highlight w:val="none"/>
        </w:rPr>
        <w:t>人民法院起诉。</w:t>
      </w:r>
    </w:p>
    <w:p w14:paraId="1EDE5A6C">
      <w:pPr>
        <w:outlineLvl w:val="9"/>
        <w:rPr>
          <w:rFonts w:hint="eastAsia" w:ascii="Times New Roman" w:hAnsi="Times New Roman" w:cs="Times New Roman"/>
          <w:color w:val="auto"/>
          <w:kern w:val="2"/>
          <w:sz w:val="30"/>
          <w:szCs w:val="30"/>
          <w:highlight w:val="none"/>
        </w:rPr>
      </w:pPr>
      <w:bookmarkStart w:id="172" w:name="_Toc54862351"/>
      <w:r>
        <w:rPr>
          <w:rFonts w:hint="eastAsia" w:ascii="Times New Roman" w:hAnsi="Times New Roman" w:cs="Times New Roman"/>
          <w:color w:val="auto"/>
          <w:kern w:val="2"/>
          <w:sz w:val="30"/>
          <w:szCs w:val="30"/>
          <w:highlight w:val="none"/>
        </w:rPr>
        <w:br w:type="page"/>
      </w:r>
    </w:p>
    <w:p w14:paraId="3CD71312">
      <w:pPr>
        <w:pStyle w:val="278"/>
        <w:outlineLvl w:val="9"/>
        <w:rPr>
          <w:color w:val="auto"/>
          <w:sz w:val="28"/>
          <w:szCs w:val="28"/>
          <w:highlight w:val="none"/>
        </w:rPr>
      </w:pPr>
      <w:r>
        <w:rPr>
          <w:rFonts w:hint="eastAsia"/>
          <w:color w:val="auto"/>
          <w:sz w:val="30"/>
          <w:szCs w:val="30"/>
          <w:highlight w:val="none"/>
        </w:rPr>
        <w:t>专用合同条件附件</w:t>
      </w:r>
      <w:bookmarkEnd w:id="172"/>
    </w:p>
    <w:p w14:paraId="5202ECC7">
      <w:pPr>
        <w:adjustRightInd w:val="0"/>
        <w:snapToGrid w:val="0"/>
        <w:outlineLvl w:val="9"/>
        <w:rPr>
          <w:rFonts w:ascii="Times New Roman" w:hAnsi="Times New Roman" w:cs="Times New Roman"/>
          <w:color w:val="auto"/>
          <w:kern w:val="2"/>
          <w:sz w:val="21"/>
          <w:szCs w:val="24"/>
          <w:highlight w:val="none"/>
        </w:rPr>
      </w:pPr>
    </w:p>
    <w:p w14:paraId="01840B68">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rPr>
        <w:t>：发包人要求</w:t>
      </w:r>
    </w:p>
    <w:p w14:paraId="6C29F8BA">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2</w:t>
      </w:r>
      <w:r>
        <w:rPr>
          <w:rFonts w:hint="eastAsia" w:ascii="仿宋_GB2312" w:hAnsi="仿宋_GB2312" w:eastAsia="仿宋_GB2312" w:cs="仿宋_GB2312"/>
          <w:color w:val="auto"/>
          <w:kern w:val="2"/>
          <w:sz w:val="30"/>
          <w:szCs w:val="30"/>
          <w:highlight w:val="none"/>
        </w:rPr>
        <w:t>：发包人供应材料设备一览表</w:t>
      </w:r>
    </w:p>
    <w:p w14:paraId="0D81C76D">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3</w:t>
      </w:r>
      <w:r>
        <w:rPr>
          <w:rFonts w:hint="eastAsia" w:ascii="仿宋_GB2312" w:hAnsi="仿宋_GB2312" w:eastAsia="仿宋_GB2312" w:cs="仿宋_GB2312"/>
          <w:color w:val="auto"/>
          <w:kern w:val="2"/>
          <w:sz w:val="30"/>
          <w:szCs w:val="30"/>
          <w:highlight w:val="none"/>
        </w:rPr>
        <w:t>：工程质量保修书</w:t>
      </w:r>
    </w:p>
    <w:p w14:paraId="48A36BA0">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4</w:t>
      </w:r>
      <w:r>
        <w:rPr>
          <w:rFonts w:hint="eastAsia" w:ascii="仿宋_GB2312" w:hAnsi="仿宋_GB2312" w:eastAsia="仿宋_GB2312" w:cs="仿宋_GB2312"/>
          <w:color w:val="auto"/>
          <w:kern w:val="2"/>
          <w:sz w:val="30"/>
          <w:szCs w:val="30"/>
          <w:highlight w:val="none"/>
        </w:rPr>
        <w:t>：承包人主要管理人员表</w:t>
      </w:r>
    </w:p>
    <w:p w14:paraId="25371199">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5</w:t>
      </w:r>
      <w:r>
        <w:rPr>
          <w:rFonts w:hint="eastAsia" w:ascii="仿宋_GB2312" w:hAnsi="仿宋_GB2312" w:eastAsia="仿宋_GB2312" w:cs="仿宋_GB2312"/>
          <w:color w:val="auto"/>
          <w:kern w:val="2"/>
          <w:sz w:val="30"/>
          <w:szCs w:val="30"/>
          <w:highlight w:val="none"/>
        </w:rPr>
        <w:t>：廉政协议</w:t>
      </w:r>
    </w:p>
    <w:p w14:paraId="127D68A2">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6</w:t>
      </w:r>
      <w:r>
        <w:rPr>
          <w:rFonts w:hint="eastAsia" w:ascii="仿宋_GB2312" w:hAnsi="仿宋_GB2312" w:eastAsia="仿宋_GB2312" w:cs="仿宋_GB2312"/>
          <w:color w:val="auto"/>
          <w:kern w:val="2"/>
          <w:sz w:val="30"/>
          <w:szCs w:val="30"/>
          <w:highlight w:val="none"/>
        </w:rPr>
        <w:t>：履约保证金格式</w:t>
      </w:r>
    </w:p>
    <w:p w14:paraId="0562AC41">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7</w:t>
      </w:r>
      <w:r>
        <w:rPr>
          <w:rFonts w:hint="eastAsia" w:ascii="仿宋_GB2312" w:hAnsi="仿宋_GB2312" w:eastAsia="仿宋_GB2312" w:cs="仿宋_GB2312"/>
          <w:color w:val="auto"/>
          <w:kern w:val="2"/>
          <w:sz w:val="30"/>
          <w:szCs w:val="30"/>
          <w:highlight w:val="none"/>
        </w:rPr>
        <w:t>：预付款担保格式</w:t>
      </w:r>
    </w:p>
    <w:p w14:paraId="7A070338">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8</w:t>
      </w:r>
      <w:r>
        <w:rPr>
          <w:rFonts w:hint="eastAsia" w:ascii="仿宋_GB2312" w:hAnsi="仿宋_GB2312" w:eastAsia="仿宋_GB2312" w:cs="仿宋_GB2312"/>
          <w:color w:val="auto"/>
          <w:kern w:val="2"/>
          <w:sz w:val="30"/>
          <w:szCs w:val="30"/>
          <w:highlight w:val="none"/>
        </w:rPr>
        <w:t>：支付担保格式</w:t>
      </w:r>
    </w:p>
    <w:p w14:paraId="182E2FE9">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9</w:t>
      </w:r>
      <w:r>
        <w:rPr>
          <w:rFonts w:hint="eastAsia" w:ascii="仿宋_GB2312" w:hAnsi="仿宋_GB2312" w:eastAsia="仿宋_GB2312" w:cs="仿宋_GB2312"/>
          <w:color w:val="auto"/>
          <w:kern w:val="2"/>
          <w:sz w:val="30"/>
          <w:szCs w:val="30"/>
          <w:highlight w:val="none"/>
        </w:rPr>
        <w:t>：安全生产合同</w:t>
      </w:r>
    </w:p>
    <w:p w14:paraId="731F28BD">
      <w:pPr>
        <w:adjustRightInd w:val="0"/>
        <w:snapToGrid w:val="0"/>
        <w:ind w:firstLine="600"/>
        <w:outlineLvl w:val="9"/>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rPr>
        <w:t>附件</w:t>
      </w:r>
      <w:r>
        <w:rPr>
          <w:rFonts w:hint="eastAsia" w:ascii="仿宋_GB2312" w:hAnsi="仿宋_GB2312" w:eastAsia="仿宋_GB2312" w:cs="仿宋_GB2312"/>
          <w:color w:val="auto"/>
          <w:kern w:val="2"/>
          <w:sz w:val="30"/>
          <w:szCs w:val="30"/>
          <w:highlight w:val="none"/>
          <w:lang w:val="en-US" w:eastAsia="zh-CN"/>
        </w:rPr>
        <w:t>10</w:t>
      </w:r>
      <w:r>
        <w:rPr>
          <w:rFonts w:hint="eastAsia" w:ascii="仿宋_GB2312" w:hAnsi="仿宋_GB2312" w:eastAsia="仿宋_GB2312" w:cs="仿宋_GB2312"/>
          <w:color w:val="auto"/>
          <w:kern w:val="2"/>
          <w:sz w:val="30"/>
          <w:szCs w:val="30"/>
          <w:highlight w:val="none"/>
        </w:rPr>
        <w:t>：项目经理质量终身责任制承诺</w:t>
      </w:r>
    </w:p>
    <w:p w14:paraId="7BBF0ABD">
      <w:pPr>
        <w:adjustRightInd w:val="0"/>
        <w:snapToGrid w:val="0"/>
        <w:ind w:firstLine="600"/>
        <w:outlineLvl w:val="9"/>
        <w:rPr>
          <w:rFonts w:ascii="Times New Roman" w:hAnsi="Times New Roman" w:cs="Times New Roman"/>
          <w:color w:val="auto"/>
          <w:kern w:val="2"/>
          <w:sz w:val="21"/>
          <w:szCs w:val="24"/>
          <w:highlight w:val="none"/>
        </w:rPr>
      </w:pPr>
      <w:r>
        <w:rPr>
          <w:rFonts w:hint="eastAsia" w:ascii="仿宋_GB2312" w:hAnsi="仿宋_GB2312" w:eastAsia="仿宋_GB2312" w:cs="仿宋_GB2312"/>
          <w:color w:val="auto"/>
          <w:kern w:val="2"/>
          <w:sz w:val="30"/>
          <w:szCs w:val="30"/>
          <w:highlight w:val="none"/>
        </w:rPr>
        <w:t>附件1</w:t>
      </w:r>
      <w:r>
        <w:rPr>
          <w:rFonts w:hint="eastAsia" w:ascii="仿宋_GB2312" w:hAnsi="仿宋_GB2312" w:eastAsia="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rPr>
        <w:t>：投标报价、计价方式及合同形式价款确定</w:t>
      </w:r>
    </w:p>
    <w:p w14:paraId="072B65D8">
      <w:pPr>
        <w:adjustRightInd w:val="0"/>
        <w:snapToGrid w:val="0"/>
        <w:jc w:val="left"/>
        <w:outlineLvl w:val="9"/>
        <w:rPr>
          <w:rFonts w:ascii="Times New Roman" w:hAnsi="Times New Roman" w:cs="Times New Roman"/>
          <w:color w:val="auto"/>
          <w:kern w:val="2"/>
          <w:sz w:val="21"/>
          <w:szCs w:val="24"/>
          <w:highlight w:val="none"/>
        </w:rPr>
      </w:pPr>
      <w:r>
        <w:rPr>
          <w:rFonts w:ascii="Times New Roman" w:hAnsi="Times New Roman" w:cs="Times New Roman"/>
          <w:color w:val="auto"/>
          <w:kern w:val="2"/>
          <w:sz w:val="21"/>
          <w:szCs w:val="24"/>
          <w:highlight w:val="none"/>
        </w:rPr>
        <w:br w:type="page"/>
      </w:r>
    </w:p>
    <w:p w14:paraId="1AB32B61">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ascii="宋体" w:hAnsi="宋体" w:eastAsia="宋体" w:cs="Times"/>
          <w:b/>
          <w:bCs/>
          <w:color w:val="auto"/>
          <w:kern w:val="2"/>
          <w:sz w:val="32"/>
          <w:szCs w:val="32"/>
          <w:highlight w:val="none"/>
          <w:lang w:val="en-US" w:eastAsia="zh-CN" w:bidi="ar-SA"/>
        </w:rPr>
      </w:pPr>
      <w:bookmarkStart w:id="173" w:name="_Toc54862352"/>
      <w:bookmarkStart w:id="174" w:name="_Toc83904134"/>
      <w:bookmarkStart w:id="175" w:name="_Hlk38571789"/>
      <w:r>
        <w:rPr>
          <w:rFonts w:hint="eastAsia" w:ascii="宋体" w:hAnsi="宋体" w:eastAsia="宋体" w:cs="Times"/>
          <w:b/>
          <w:bCs/>
          <w:color w:val="auto"/>
          <w:kern w:val="2"/>
          <w:sz w:val="32"/>
          <w:szCs w:val="32"/>
          <w:highlight w:val="none"/>
          <w:lang w:val="en-US" w:eastAsia="zh-CN" w:bidi="ar-SA"/>
        </w:rPr>
        <w:t>附件1：发包人要求</w:t>
      </w:r>
      <w:bookmarkEnd w:id="173"/>
      <w:bookmarkEnd w:id="174"/>
    </w:p>
    <w:bookmarkEnd w:id="175"/>
    <w:p w14:paraId="13E67925">
      <w:pPr>
        <w:widowControl/>
        <w:adjustRightInd w:val="0"/>
        <w:snapToGrid w:val="0"/>
        <w:spacing w:line="440" w:lineRule="exact"/>
        <w:ind w:firstLine="422" w:firstLineChars="200"/>
        <w:jc w:val="left"/>
        <w:outlineLvl w:val="9"/>
        <w:rPr>
          <w:rFonts w:ascii="宋体" w:hAnsi="宋体" w:cs="宋体"/>
          <w:bCs/>
          <w:color w:val="auto"/>
          <w:kern w:val="0"/>
          <w:sz w:val="21"/>
          <w:szCs w:val="21"/>
          <w:highlight w:val="none"/>
        </w:rPr>
      </w:pPr>
      <w:r>
        <w:rPr>
          <w:rFonts w:hint="eastAsia" w:ascii="宋体" w:hAnsi="宋体" w:cs="宋体"/>
          <w:b/>
          <w:color w:val="auto"/>
          <w:kern w:val="0"/>
          <w:sz w:val="21"/>
          <w:szCs w:val="21"/>
          <w:highlight w:val="none"/>
        </w:rPr>
        <w:t>1.项目概况</w:t>
      </w:r>
    </w:p>
    <w:p w14:paraId="2CCC80B7">
      <w:pPr>
        <w:spacing w:line="500" w:lineRule="exact"/>
        <w:ind w:firstLine="420" w:firstLineChars="200"/>
        <w:outlineLvl w:val="9"/>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建设内容及规模包含乡村整体方案规划设计，农产品加工车间方案及施工图设计、乡村文化体验中心方案及施工图设计、智慧菌房方案设计及附属道路等配套工程；其中农产品加工车间，地上1层，建筑高度6.15m，建筑面积约800㎡；乡村文化体验中心，地上1层，建筑高度5.85m，建筑面积350㎡、智慧菌房14座、停车不少于20辆的公共停车场以及路面硬化、供水、供电等配套建设等工程。</w:t>
      </w:r>
    </w:p>
    <w:p w14:paraId="5280FB39">
      <w:pPr>
        <w:widowControl/>
        <w:adjustRightInd w:val="0"/>
        <w:snapToGrid w:val="0"/>
        <w:spacing w:line="440" w:lineRule="exact"/>
        <w:ind w:firstLine="422" w:firstLineChars="200"/>
        <w:jc w:val="left"/>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2.招标范围及内容</w:t>
      </w:r>
    </w:p>
    <w:p w14:paraId="4DB1E8D0">
      <w:pPr>
        <w:spacing w:line="500" w:lineRule="exact"/>
        <w:ind w:firstLine="420" w:firstLineChars="200"/>
        <w:outlineLvl w:val="9"/>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包括但不限于方案设计、初步设计、施工图设计及审查、工程施工、竣工验收、竣工图编制及移交等完成本项目所有功能的设计施工总承包。</w:t>
      </w:r>
    </w:p>
    <w:p w14:paraId="7D9F3F37">
      <w:pPr>
        <w:widowControl/>
        <w:adjustRightInd w:val="0"/>
        <w:snapToGrid w:val="0"/>
        <w:spacing w:line="440" w:lineRule="exact"/>
        <w:ind w:firstLine="422" w:firstLineChars="200"/>
        <w:jc w:val="left"/>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、重要提示</w:t>
      </w:r>
    </w:p>
    <w:p w14:paraId="5F1F0A46">
      <w:pPr>
        <w:widowControl/>
        <w:adjustRightInd w:val="0"/>
        <w:snapToGrid w:val="0"/>
        <w:spacing w:line="440" w:lineRule="exact"/>
        <w:ind w:firstLine="420" w:firstLineChars="200"/>
        <w:jc w:val="left"/>
        <w:outlineLvl w:val="9"/>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本项目为</w:t>
      </w:r>
      <w:r>
        <w:rPr>
          <w:rFonts w:hint="eastAsia" w:cs="宋体"/>
          <w:bCs/>
          <w:color w:val="auto"/>
          <w:kern w:val="0"/>
          <w:sz w:val="21"/>
          <w:szCs w:val="21"/>
          <w:highlight w:val="none"/>
          <w:lang w:val="en-US" w:eastAsia="zh-CN"/>
        </w:rPr>
        <w:t>设计施工一体化</w:t>
      </w:r>
      <w:r>
        <w:rPr>
          <w:rFonts w:hint="eastAsia" w:ascii="宋体" w:hAnsi="宋体" w:cs="宋体"/>
          <w:bCs/>
          <w:color w:val="auto"/>
          <w:kern w:val="0"/>
          <w:sz w:val="21"/>
          <w:szCs w:val="21"/>
          <w:highlight w:val="none"/>
          <w:lang w:val="en-US" w:eastAsia="zh-CN"/>
        </w:rPr>
        <w:t>项目，无具体清单及图纸，请承包人根据本项目概况和招标内容务必仔细踏勘项目现场、仔细了解研究项目实际情况，做到对工程现场和周边情况足够了解，考虑项目各项风险内容，审慎报价。相关设计方案须通过专家评审后方可施工。</w:t>
      </w:r>
    </w:p>
    <w:p w14:paraId="0EEA0861">
      <w:pPr>
        <w:widowControl/>
        <w:adjustRightInd w:val="0"/>
        <w:snapToGrid w:val="0"/>
        <w:spacing w:line="440" w:lineRule="exact"/>
        <w:ind w:firstLine="420" w:firstLineChars="200"/>
        <w:jc w:val="left"/>
        <w:outlineLvl w:val="9"/>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承包人报价时须依据各级政府环保、交通、城市管理等部门的政策及文件要求，自行考虑本工程相关投入，相关费用均包含在报价中。</w:t>
      </w:r>
    </w:p>
    <w:p w14:paraId="7F86854A">
      <w:pPr>
        <w:widowControl w:val="0"/>
        <w:spacing w:after="120" w:afterLines="0"/>
        <w:ind w:left="400" w:leftChars="200" w:firstLine="420" w:firstLineChars="200"/>
        <w:jc w:val="both"/>
        <w:outlineLvl w:val="9"/>
        <w:rPr>
          <w:rFonts w:ascii="Times New Roman" w:hAnsi="Times New Roman" w:eastAsia="宋体" w:cs="Times New Roman"/>
          <w:color w:val="auto"/>
          <w:kern w:val="2"/>
          <w:sz w:val="21"/>
          <w:szCs w:val="24"/>
          <w:highlight w:val="none"/>
          <w:lang w:val="en-US" w:eastAsia="zh-CN" w:bidi="ar-SA"/>
        </w:rPr>
      </w:pPr>
    </w:p>
    <w:p w14:paraId="3AAC555A">
      <w:pPr>
        <w:widowControl w:val="0"/>
        <w:spacing w:after="120" w:afterLines="0"/>
        <w:ind w:left="400" w:leftChars="200" w:firstLine="420" w:firstLineChars="200"/>
        <w:jc w:val="both"/>
        <w:outlineLvl w:val="9"/>
        <w:rPr>
          <w:rFonts w:ascii="Times New Roman" w:hAnsi="Times New Roman" w:eastAsia="宋体" w:cs="Times New Roman"/>
          <w:color w:val="auto"/>
          <w:kern w:val="2"/>
          <w:sz w:val="21"/>
          <w:szCs w:val="24"/>
          <w:highlight w:val="none"/>
          <w:lang w:val="en-US" w:eastAsia="zh-CN" w:bidi="ar-SA"/>
        </w:rPr>
      </w:pPr>
    </w:p>
    <w:p w14:paraId="55F8C6DE">
      <w:pPr>
        <w:outlineLvl w:val="9"/>
        <w:rPr>
          <w:rFonts w:hint="eastAsia" w:ascii="Times New Roman" w:hAnsi="Times New Roman" w:cs="Times New Roman"/>
          <w:b/>
          <w:color w:val="auto"/>
          <w:kern w:val="2"/>
          <w:sz w:val="32"/>
          <w:szCs w:val="32"/>
          <w:highlight w:val="none"/>
        </w:rPr>
      </w:pPr>
      <w:r>
        <w:rPr>
          <w:rFonts w:hint="eastAsia" w:ascii="Times New Roman" w:hAnsi="Times New Roman" w:cs="Times New Roman"/>
          <w:b/>
          <w:color w:val="auto"/>
          <w:kern w:val="2"/>
          <w:sz w:val="32"/>
          <w:szCs w:val="32"/>
          <w:highlight w:val="none"/>
        </w:rPr>
        <w:br w:type="page"/>
      </w:r>
    </w:p>
    <w:p w14:paraId="4AAD84C9">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附件2：发包人供应材料设备一览表</w:t>
      </w:r>
    </w:p>
    <w:p w14:paraId="05B9BB6A">
      <w:pPr>
        <w:widowControl w:val="0"/>
        <w:spacing w:before="1" w:after="1" w:afterLines="0"/>
        <w:jc w:val="both"/>
        <w:outlineLvl w:val="9"/>
        <w:rPr>
          <w:rFonts w:ascii="Times New Roman" w:hAnsi="Times New Roman" w:eastAsia="宋体" w:cs="Times New Roman"/>
          <w:b/>
          <w:color w:val="auto"/>
          <w:kern w:val="2"/>
          <w:sz w:val="11"/>
          <w:szCs w:val="24"/>
          <w:highlight w:val="none"/>
          <w:lang w:val="en-US" w:eastAsia="zh-CN" w:bidi="ar-SA"/>
        </w:rPr>
      </w:pPr>
    </w:p>
    <w:tbl>
      <w:tblPr>
        <w:tblStyle w:val="55"/>
        <w:tblW w:w="8840" w:type="dxa"/>
        <w:tblInd w:w="38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0"/>
        <w:gridCol w:w="1200"/>
        <w:gridCol w:w="1037"/>
        <w:gridCol w:w="628"/>
        <w:gridCol w:w="632"/>
        <w:gridCol w:w="902"/>
        <w:gridCol w:w="1023"/>
        <w:gridCol w:w="1037"/>
        <w:gridCol w:w="1037"/>
        <w:gridCol w:w="654"/>
      </w:tblGrid>
      <w:tr w14:paraId="20D37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690" w:type="dxa"/>
            <w:tcBorders>
              <w:left w:val="single" w:color="000000" w:sz="12" w:space="0"/>
              <w:bottom w:val="single" w:color="000000" w:sz="8" w:space="0"/>
              <w:right w:val="single" w:color="000000" w:sz="8" w:space="0"/>
            </w:tcBorders>
            <w:vAlign w:val="center"/>
          </w:tcPr>
          <w:p w14:paraId="13CDA7D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序号</w:t>
            </w:r>
          </w:p>
        </w:tc>
        <w:tc>
          <w:tcPr>
            <w:tcW w:w="1200" w:type="dxa"/>
            <w:tcBorders>
              <w:left w:val="single" w:color="000000" w:sz="8" w:space="0"/>
              <w:bottom w:val="single" w:color="000000" w:sz="8" w:space="0"/>
              <w:right w:val="single" w:color="000000" w:sz="8" w:space="0"/>
            </w:tcBorders>
            <w:vAlign w:val="center"/>
          </w:tcPr>
          <w:p w14:paraId="7721ADB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材料、设备品种</w:t>
            </w:r>
          </w:p>
        </w:tc>
        <w:tc>
          <w:tcPr>
            <w:tcW w:w="1037" w:type="dxa"/>
            <w:tcBorders>
              <w:left w:val="single" w:color="000000" w:sz="8" w:space="0"/>
              <w:bottom w:val="single" w:color="000000" w:sz="8" w:space="0"/>
              <w:right w:val="single" w:color="000000" w:sz="8" w:space="0"/>
            </w:tcBorders>
            <w:vAlign w:val="center"/>
          </w:tcPr>
          <w:p w14:paraId="230FAF1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规格型号</w:t>
            </w:r>
          </w:p>
        </w:tc>
        <w:tc>
          <w:tcPr>
            <w:tcW w:w="628" w:type="dxa"/>
            <w:tcBorders>
              <w:left w:val="single" w:color="000000" w:sz="8" w:space="0"/>
              <w:bottom w:val="single" w:color="000000" w:sz="8" w:space="0"/>
              <w:right w:val="single" w:color="000000" w:sz="8" w:space="0"/>
            </w:tcBorders>
            <w:vAlign w:val="center"/>
          </w:tcPr>
          <w:p w14:paraId="01F3805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单位</w:t>
            </w:r>
          </w:p>
        </w:tc>
        <w:tc>
          <w:tcPr>
            <w:tcW w:w="632" w:type="dxa"/>
            <w:tcBorders>
              <w:left w:val="single" w:color="000000" w:sz="8" w:space="0"/>
              <w:bottom w:val="single" w:color="000000" w:sz="8" w:space="0"/>
              <w:right w:val="single" w:color="000000" w:sz="8" w:space="0"/>
            </w:tcBorders>
            <w:vAlign w:val="center"/>
          </w:tcPr>
          <w:p w14:paraId="770E21B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数量</w:t>
            </w:r>
          </w:p>
        </w:tc>
        <w:tc>
          <w:tcPr>
            <w:tcW w:w="902" w:type="dxa"/>
            <w:tcBorders>
              <w:left w:val="single" w:color="000000" w:sz="8" w:space="0"/>
              <w:bottom w:val="single" w:color="000000" w:sz="8" w:space="0"/>
              <w:right w:val="single" w:color="000000" w:sz="8" w:space="0"/>
            </w:tcBorders>
            <w:vAlign w:val="center"/>
          </w:tcPr>
          <w:p w14:paraId="4ED1FD1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单价</w:t>
            </w:r>
          </w:p>
          <w:p w14:paraId="31FDC60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（元）</w:t>
            </w:r>
          </w:p>
        </w:tc>
        <w:tc>
          <w:tcPr>
            <w:tcW w:w="1023" w:type="dxa"/>
            <w:tcBorders>
              <w:left w:val="single" w:color="000000" w:sz="8" w:space="0"/>
              <w:bottom w:val="single" w:color="000000" w:sz="8" w:space="0"/>
              <w:right w:val="single" w:color="000000" w:sz="8" w:space="0"/>
            </w:tcBorders>
            <w:vAlign w:val="center"/>
          </w:tcPr>
          <w:p w14:paraId="6AA355B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spacing w:val="-4"/>
                <w:kern w:val="2"/>
                <w:sz w:val="24"/>
                <w:szCs w:val="24"/>
                <w:highlight w:val="none"/>
                <w:lang w:val="zh-CN" w:eastAsia="zh-CN" w:bidi="zh-CN"/>
              </w:rPr>
              <w:t>质量等级</w:t>
            </w:r>
          </w:p>
        </w:tc>
        <w:tc>
          <w:tcPr>
            <w:tcW w:w="1037" w:type="dxa"/>
            <w:tcBorders>
              <w:left w:val="single" w:color="000000" w:sz="8" w:space="0"/>
              <w:bottom w:val="single" w:color="000000" w:sz="8" w:space="0"/>
              <w:right w:val="single" w:color="000000" w:sz="8" w:space="0"/>
            </w:tcBorders>
            <w:vAlign w:val="center"/>
          </w:tcPr>
          <w:p w14:paraId="0612F72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供应时间</w:t>
            </w:r>
          </w:p>
        </w:tc>
        <w:tc>
          <w:tcPr>
            <w:tcW w:w="1037" w:type="dxa"/>
            <w:tcBorders>
              <w:left w:val="single" w:color="000000" w:sz="8" w:space="0"/>
              <w:bottom w:val="single" w:color="000000" w:sz="8" w:space="0"/>
              <w:right w:val="single" w:color="000000" w:sz="8" w:space="0"/>
            </w:tcBorders>
            <w:vAlign w:val="center"/>
          </w:tcPr>
          <w:p w14:paraId="0145245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送达地点</w:t>
            </w:r>
          </w:p>
        </w:tc>
        <w:tc>
          <w:tcPr>
            <w:tcW w:w="654" w:type="dxa"/>
            <w:tcBorders>
              <w:left w:val="single" w:color="000000" w:sz="8" w:space="0"/>
              <w:bottom w:val="single" w:color="000000" w:sz="8" w:space="0"/>
            </w:tcBorders>
            <w:vAlign w:val="center"/>
          </w:tcPr>
          <w:p w14:paraId="2372751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备注</w:t>
            </w:r>
          </w:p>
        </w:tc>
      </w:tr>
      <w:tr w14:paraId="474907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1D1B0B3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0FA5A16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01E1B51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1962FF1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8B9890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17E8927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276BD6B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D13C90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40B532E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4ED4413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62E3C4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4093096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17C4043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4CD14EB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4AAA9C4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26CB9C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338F0FE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5E22FF3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2B6D81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8FF64E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647B13F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31D29B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4FDAD7E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18ECB8C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46DE92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2EC37AA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E0C421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19EA10C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424CE3F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FEADAD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5F8A49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2EF0272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16CBC9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0FE95B4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085003C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0B6BF1E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61F190D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F4C025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0D666AF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2D8D5C6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E16403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FF5CD5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19AF960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69FD51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15E3A5A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61A4C1B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42397DC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5D72255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004413C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1E3A7D0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7B2F061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463B01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2409C63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3145D11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69DB23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7CE5488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5C07636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2C6E916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55959AA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0CD7FA5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52E483B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53C05AE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91934D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435DDC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6AD1740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7C0988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3BC58D6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44381CD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B08D4E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5C8D2EB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891CFA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0347636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6ABAD30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41EEBDB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901BD6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529B553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7DD79A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73C9F93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18935AE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988C86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6D59458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739A3B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09076EE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44A8A06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7AE2AC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F015F2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70E2C7F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078DA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2550985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67EEDDB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18A390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2131947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1A5B42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0189553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606E7AF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29619A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8CFA14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16FF4D3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90A5F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0DF428D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157379B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183521B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24E1ABF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196996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1CA8A2E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3C4A7B1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A120AB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538C9C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12CE211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08A4DB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3C7F425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2B0AFBF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1FC7458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172ABC0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99D0BF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20F6501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1C54895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81E7D4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50EEA7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4B05ED5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1590D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605FDB8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7B1A8D9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C0F88C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019F422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55321C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44E9536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755444F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67C030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0FCD39F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3E65650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726B62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6785B1A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34317EF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F8FD48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7283DC7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D0E7E9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008B471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0CE1F71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9232D6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CD9751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019BC25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D2797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2D8CB8C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227F3A3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031081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747B642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C98229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0021762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6CA3944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507BD7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0E08849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58E4636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7703C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4998183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033A7ED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7200152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2008E92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341734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1150425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7BE3B3C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427FA0B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28C1A7C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3092C2E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50AC49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564EBF0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4046234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23C4EB0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510A4BB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8D1071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115430F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592B825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5FED97F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45E9E08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5185765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7DF2D7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0" w:type="dxa"/>
            <w:tcBorders>
              <w:top w:val="single" w:color="000000" w:sz="8" w:space="0"/>
              <w:left w:val="single" w:color="000000" w:sz="12" w:space="0"/>
              <w:bottom w:val="single" w:color="000000" w:sz="8" w:space="0"/>
              <w:right w:val="single" w:color="000000" w:sz="8" w:space="0"/>
            </w:tcBorders>
            <w:vAlign w:val="center"/>
          </w:tcPr>
          <w:p w14:paraId="257DC77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8" w:space="0"/>
              <w:right w:val="single" w:color="000000" w:sz="8" w:space="0"/>
            </w:tcBorders>
            <w:vAlign w:val="center"/>
          </w:tcPr>
          <w:p w14:paraId="2540184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04A7632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8" w:space="0"/>
              <w:right w:val="single" w:color="000000" w:sz="8" w:space="0"/>
            </w:tcBorders>
            <w:vAlign w:val="center"/>
          </w:tcPr>
          <w:p w14:paraId="09546AA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AB7118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8" w:space="0"/>
              <w:right w:val="single" w:color="000000" w:sz="8" w:space="0"/>
            </w:tcBorders>
            <w:vAlign w:val="center"/>
          </w:tcPr>
          <w:p w14:paraId="3A0B5F1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8" w:space="0"/>
              <w:right w:val="single" w:color="000000" w:sz="8" w:space="0"/>
            </w:tcBorders>
            <w:vAlign w:val="center"/>
          </w:tcPr>
          <w:p w14:paraId="0CA71A4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34124DC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8" w:space="0"/>
              <w:right w:val="single" w:color="000000" w:sz="8" w:space="0"/>
            </w:tcBorders>
            <w:vAlign w:val="center"/>
          </w:tcPr>
          <w:p w14:paraId="67182C2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8" w:space="0"/>
            </w:tcBorders>
            <w:vAlign w:val="center"/>
          </w:tcPr>
          <w:p w14:paraId="5A41D06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r w14:paraId="63FE27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690" w:type="dxa"/>
            <w:tcBorders>
              <w:top w:val="single" w:color="000000" w:sz="8" w:space="0"/>
              <w:left w:val="single" w:color="000000" w:sz="12" w:space="0"/>
              <w:bottom w:val="single" w:color="000000" w:sz="12" w:space="0"/>
              <w:right w:val="single" w:color="000000" w:sz="8" w:space="0"/>
            </w:tcBorders>
            <w:vAlign w:val="center"/>
          </w:tcPr>
          <w:p w14:paraId="180C83E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200" w:type="dxa"/>
            <w:tcBorders>
              <w:top w:val="single" w:color="000000" w:sz="8" w:space="0"/>
              <w:left w:val="single" w:color="000000" w:sz="8" w:space="0"/>
              <w:bottom w:val="single" w:color="000000" w:sz="12" w:space="0"/>
              <w:right w:val="single" w:color="000000" w:sz="8" w:space="0"/>
            </w:tcBorders>
            <w:vAlign w:val="center"/>
          </w:tcPr>
          <w:p w14:paraId="2670F2B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12" w:space="0"/>
              <w:right w:val="single" w:color="000000" w:sz="8" w:space="0"/>
            </w:tcBorders>
            <w:vAlign w:val="center"/>
          </w:tcPr>
          <w:p w14:paraId="6BA7F98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28" w:type="dxa"/>
            <w:tcBorders>
              <w:top w:val="single" w:color="000000" w:sz="8" w:space="0"/>
              <w:left w:val="single" w:color="000000" w:sz="8" w:space="0"/>
              <w:bottom w:val="single" w:color="000000" w:sz="12" w:space="0"/>
              <w:right w:val="single" w:color="000000" w:sz="8" w:space="0"/>
            </w:tcBorders>
            <w:vAlign w:val="center"/>
          </w:tcPr>
          <w:p w14:paraId="0E61B23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32" w:type="dxa"/>
            <w:tcBorders>
              <w:top w:val="single" w:color="000000" w:sz="8" w:space="0"/>
              <w:left w:val="single" w:color="000000" w:sz="8" w:space="0"/>
              <w:bottom w:val="single" w:color="000000" w:sz="12" w:space="0"/>
              <w:right w:val="single" w:color="000000" w:sz="8" w:space="0"/>
            </w:tcBorders>
            <w:vAlign w:val="center"/>
          </w:tcPr>
          <w:p w14:paraId="1951742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902" w:type="dxa"/>
            <w:tcBorders>
              <w:top w:val="single" w:color="000000" w:sz="8" w:space="0"/>
              <w:left w:val="single" w:color="000000" w:sz="8" w:space="0"/>
              <w:bottom w:val="single" w:color="000000" w:sz="12" w:space="0"/>
              <w:right w:val="single" w:color="000000" w:sz="8" w:space="0"/>
            </w:tcBorders>
            <w:vAlign w:val="center"/>
          </w:tcPr>
          <w:p w14:paraId="2F5102A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23" w:type="dxa"/>
            <w:tcBorders>
              <w:top w:val="single" w:color="000000" w:sz="8" w:space="0"/>
              <w:left w:val="single" w:color="000000" w:sz="8" w:space="0"/>
              <w:bottom w:val="single" w:color="000000" w:sz="12" w:space="0"/>
              <w:right w:val="single" w:color="000000" w:sz="8" w:space="0"/>
            </w:tcBorders>
            <w:vAlign w:val="center"/>
          </w:tcPr>
          <w:p w14:paraId="39B4BC9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12" w:space="0"/>
              <w:right w:val="single" w:color="000000" w:sz="8" w:space="0"/>
            </w:tcBorders>
            <w:vAlign w:val="center"/>
          </w:tcPr>
          <w:p w14:paraId="64BDC41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037" w:type="dxa"/>
            <w:tcBorders>
              <w:top w:val="single" w:color="000000" w:sz="8" w:space="0"/>
              <w:left w:val="single" w:color="000000" w:sz="8" w:space="0"/>
              <w:bottom w:val="single" w:color="000000" w:sz="12" w:space="0"/>
              <w:right w:val="single" w:color="000000" w:sz="8" w:space="0"/>
            </w:tcBorders>
            <w:vAlign w:val="center"/>
          </w:tcPr>
          <w:p w14:paraId="2F20688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c>
          <w:tcPr>
            <w:tcW w:w="654" w:type="dxa"/>
            <w:tcBorders>
              <w:top w:val="single" w:color="000000" w:sz="8" w:space="0"/>
              <w:left w:val="single" w:color="000000" w:sz="8" w:space="0"/>
              <w:bottom w:val="single" w:color="000000" w:sz="12" w:space="0"/>
            </w:tcBorders>
            <w:vAlign w:val="center"/>
          </w:tcPr>
          <w:p w14:paraId="5DF34F5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Times New Roman" w:hAnsi="宋体" w:eastAsia="宋体" w:cs="宋体"/>
                <w:color w:val="auto"/>
                <w:kern w:val="2"/>
                <w:sz w:val="22"/>
                <w:szCs w:val="24"/>
                <w:highlight w:val="none"/>
                <w:lang w:val="zh-CN" w:eastAsia="zh-CN" w:bidi="zh-CN"/>
              </w:rPr>
            </w:pPr>
          </w:p>
        </w:tc>
      </w:tr>
    </w:tbl>
    <w:p w14:paraId="0CD92A85">
      <w:pPr>
        <w:outlineLvl w:val="9"/>
        <w:rPr>
          <w:rFonts w:hint="eastAsia" w:ascii="Times New Roman" w:hAnsi="Times New Roman" w:cs="Times New Roman"/>
          <w:b/>
          <w:color w:val="auto"/>
          <w:kern w:val="2"/>
          <w:sz w:val="32"/>
          <w:szCs w:val="32"/>
          <w:highlight w:val="none"/>
        </w:rPr>
      </w:pPr>
      <w:r>
        <w:rPr>
          <w:rFonts w:hint="eastAsia" w:ascii="Times New Roman" w:hAnsi="Times New Roman" w:cs="Times New Roman"/>
          <w:b/>
          <w:color w:val="auto"/>
          <w:kern w:val="2"/>
          <w:sz w:val="32"/>
          <w:szCs w:val="32"/>
          <w:highlight w:val="none"/>
        </w:rPr>
        <w:br w:type="page"/>
      </w:r>
    </w:p>
    <w:p w14:paraId="42CAED63">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附件3：工程质量保修书</w:t>
      </w:r>
    </w:p>
    <w:p w14:paraId="57FB971A">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发包人（全称）：</w:t>
      </w:r>
      <w:r>
        <w:rPr>
          <w:rFonts w:hint="eastAsia" w:ascii="Times New Roman" w:hAnsi="Times New Roman" w:cs="Times New Roman"/>
          <w:color w:val="auto"/>
          <w:kern w:val="2"/>
          <w:sz w:val="21"/>
          <w:szCs w:val="21"/>
          <w:highlight w:val="none"/>
          <w:lang w:val="en-US" w:eastAsia="zh-CN" w:bidi="ar-SA"/>
        </w:rPr>
        <w:t>定远县严桥乡人民政府</w:t>
      </w:r>
    </w:p>
    <w:p w14:paraId="78CB1F7E">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承包人（全称）：</w:t>
      </w:r>
    </w:p>
    <w:p w14:paraId="0FA82A32">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12"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pacing w:val="-2"/>
          <w:kern w:val="2"/>
          <w:sz w:val="21"/>
          <w:szCs w:val="21"/>
          <w:highlight w:val="none"/>
          <w:lang w:val="en-US" w:eastAsia="zh-CN" w:bidi="ar-SA"/>
        </w:rPr>
        <w:t>发包人和承包人根据《中华人民共和国建筑法》和《建设工程质量管理条例》，经协商</w:t>
      </w:r>
      <w:r>
        <w:rPr>
          <w:rFonts w:ascii="Times New Roman" w:hAnsi="Times New Roman" w:eastAsia="宋体" w:cs="Times New Roman"/>
          <w:color w:val="auto"/>
          <w:spacing w:val="-1"/>
          <w:kern w:val="2"/>
          <w:sz w:val="21"/>
          <w:szCs w:val="21"/>
          <w:highlight w:val="none"/>
          <w:lang w:val="en-US" w:eastAsia="zh-CN" w:bidi="ar-SA"/>
        </w:rPr>
        <w:t>一致就</w:t>
      </w:r>
      <w:r>
        <w:rPr>
          <w:rFonts w:hint="eastAsia" w:ascii="Times New Roman" w:hAnsi="Times New Roman" w:eastAsia="宋体" w:cs="Times New Roman"/>
          <w:color w:val="auto"/>
          <w:spacing w:val="-3"/>
          <w:kern w:val="2"/>
          <w:sz w:val="21"/>
          <w:szCs w:val="21"/>
          <w:highlight w:val="none"/>
          <w:u w:val="single"/>
          <w:lang w:val="en-US" w:eastAsia="zh-CN" w:bidi="ar-SA"/>
        </w:rPr>
        <w:t xml:space="preserve"> </w:t>
      </w:r>
      <w:r>
        <w:rPr>
          <w:rFonts w:hint="eastAsia" w:ascii="Times New Roman" w:hAnsi="Times New Roman" w:cs="Times New Roman"/>
          <w:color w:val="auto"/>
          <w:spacing w:val="-3"/>
          <w:kern w:val="2"/>
          <w:sz w:val="21"/>
          <w:szCs w:val="21"/>
          <w:highlight w:val="none"/>
          <w:u w:val="single"/>
          <w:lang w:val="en-US" w:eastAsia="zh-CN" w:bidi="ar-SA"/>
        </w:rPr>
        <w:t xml:space="preserve">           </w:t>
      </w:r>
      <w:r>
        <w:rPr>
          <w:rFonts w:hint="eastAsia" w:ascii="Times New Roman" w:hAnsi="Times New Roman" w:eastAsia="宋体" w:cs="Times New Roman"/>
          <w:color w:val="auto"/>
          <w:spacing w:val="-3"/>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（工程全称）订立工程质量保修书。</w:t>
      </w:r>
    </w:p>
    <w:p w14:paraId="3A5C0484">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一、工程质量保修范围和内容</w:t>
      </w:r>
    </w:p>
    <w:p w14:paraId="7777FA69">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承包人在质量保修期内，按照有关法律规定和合同约定，承担工程质量保修责任。</w:t>
      </w:r>
    </w:p>
    <w:p w14:paraId="42EA25E7">
      <w:pPr>
        <w:keepNext w:val="0"/>
        <w:keepLines w:val="0"/>
        <w:pageBreakBefore w:val="0"/>
        <w:widowControl w:val="0"/>
        <w:tabs>
          <w:tab w:val="left" w:pos="6539"/>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质量保修范围包括地基基础工程</w:t>
      </w:r>
      <w:r>
        <w:rPr>
          <w:rFonts w:ascii="Times New Roman" w:hAnsi="Times New Roman" w:eastAsia="宋体" w:cs="Times New Roman"/>
          <w:color w:val="auto"/>
          <w:spacing w:val="-60"/>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主体结构工程</w:t>
      </w:r>
      <w:r>
        <w:rPr>
          <w:rFonts w:ascii="Times New Roman" w:hAnsi="Times New Roman" w:eastAsia="宋体" w:cs="Times New Roman"/>
          <w:color w:val="auto"/>
          <w:spacing w:val="-60"/>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屋面防水工程</w:t>
      </w:r>
      <w:r>
        <w:rPr>
          <w:rFonts w:ascii="Times New Roman" w:hAnsi="Times New Roman" w:eastAsia="宋体" w:cs="Times New Roman"/>
          <w:color w:val="auto"/>
          <w:spacing w:val="-60"/>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有防水要求的卫生间、房间和外墙面的防渗漏，供热与供冷系统，电气管线、给排水管道、设备安装和装修工程，</w:t>
      </w:r>
      <w:r>
        <w:rPr>
          <w:rFonts w:ascii="Times New Roman" w:hAnsi="Times New Roman" w:eastAsia="宋体" w:cs="Times New Roman"/>
          <w:color w:val="auto"/>
          <w:spacing w:val="-102"/>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以及双方约定的其他项目。具体保修的内容，双方约定如下：</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w:t>
      </w:r>
    </w:p>
    <w:p w14:paraId="175B5951">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二、质量保修期</w:t>
      </w:r>
    </w:p>
    <w:p w14:paraId="6DB02D51">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根据《建设工程质量管理条例》及有关规定，工程的质量保修期如下：</w:t>
      </w:r>
    </w:p>
    <w:p w14:paraId="4B91DB84">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1.地基基础工程和主体结构工程为设计文件规定的工程合理使用年限；</w:t>
      </w:r>
    </w:p>
    <w:p w14:paraId="0F7DC6CB">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2.屋面防水工程、有防水要求的卫生间、房间和外墙面的防渗为</w:t>
      </w:r>
      <w:r>
        <w:rPr>
          <w:rFonts w:hint="eastAsia" w:ascii="宋体" w:hAnsi="宋体" w:eastAsia="宋体" w:cs="宋体"/>
          <w:color w:val="auto"/>
          <w:spacing w:val="-4"/>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5</w:t>
      </w:r>
      <w:r>
        <w:rPr>
          <w:rFonts w:hint="eastAsia" w:ascii="宋体" w:hAnsi="宋体" w:eastAsia="宋体" w:cs="宋体"/>
          <w:color w:val="auto"/>
          <w:spacing w:val="-3"/>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p>
    <w:p w14:paraId="7E041C68">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3.装修工程为</w:t>
      </w:r>
      <w:r>
        <w:rPr>
          <w:rFonts w:hint="eastAsia" w:ascii="宋体" w:hAnsi="宋体" w:eastAsia="宋体" w:cs="宋体"/>
          <w:color w:val="auto"/>
          <w:spacing w:val="-1"/>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2 </w:t>
      </w:r>
      <w:r>
        <w:rPr>
          <w:rFonts w:hint="eastAsia" w:ascii="宋体" w:hAnsi="宋体" w:eastAsia="宋体" w:cs="宋体"/>
          <w:color w:val="auto"/>
          <w:kern w:val="2"/>
          <w:sz w:val="21"/>
          <w:szCs w:val="21"/>
          <w:highlight w:val="none"/>
          <w:lang w:val="en-US" w:eastAsia="zh-CN" w:bidi="ar-SA"/>
        </w:rPr>
        <w:t>年；</w:t>
      </w:r>
    </w:p>
    <w:p w14:paraId="38F6E7E3">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4.电气管线、给排水管道、设备安装工程为</w:t>
      </w:r>
      <w:r>
        <w:rPr>
          <w:rFonts w:hint="eastAsia" w:ascii="宋体" w:hAnsi="宋体" w:eastAsia="宋体" w:cs="宋体"/>
          <w:color w:val="auto"/>
          <w:spacing w:val="-2"/>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2</w:t>
      </w:r>
      <w:r>
        <w:rPr>
          <w:rFonts w:hint="eastAsia" w:ascii="宋体" w:hAnsi="宋体" w:eastAsia="宋体" w:cs="宋体"/>
          <w:color w:val="auto"/>
          <w:spacing w:val="-2"/>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p>
    <w:p w14:paraId="73BD60B9">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5.供热与供冷系统为</w:t>
      </w:r>
      <w:r>
        <w:rPr>
          <w:rFonts w:hint="eastAsia" w:ascii="宋体" w:hAnsi="宋体" w:eastAsia="宋体" w:cs="宋体"/>
          <w:color w:val="auto"/>
          <w:spacing w:val="-2"/>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2 </w:t>
      </w:r>
      <w:r>
        <w:rPr>
          <w:rFonts w:hint="eastAsia" w:ascii="宋体" w:hAnsi="宋体" w:eastAsia="宋体" w:cs="宋体"/>
          <w:color w:val="auto"/>
          <w:kern w:val="2"/>
          <w:sz w:val="21"/>
          <w:szCs w:val="21"/>
          <w:highlight w:val="none"/>
          <w:lang w:val="en-US" w:eastAsia="zh-CN" w:bidi="ar-SA"/>
        </w:rPr>
        <w:t>个采暖期、供冷期；</w:t>
      </w:r>
    </w:p>
    <w:p w14:paraId="27789F8B">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6.给排水设施、道路等配套工程为</w:t>
      </w:r>
      <w:r>
        <w:rPr>
          <w:rFonts w:hint="eastAsia" w:ascii="宋体" w:hAnsi="宋体" w:eastAsia="宋体" w:cs="宋体"/>
          <w:color w:val="auto"/>
          <w:spacing w:val="-2"/>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2</w:t>
      </w:r>
      <w:r>
        <w:rPr>
          <w:rFonts w:hint="eastAsia" w:ascii="宋体" w:hAnsi="宋体" w:eastAsia="宋体" w:cs="宋体"/>
          <w:color w:val="auto"/>
          <w:spacing w:val="-1"/>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p>
    <w:p w14:paraId="2DC2B4CA">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7.其他项目保修期限约定如下：</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spacing w:val="-4"/>
          <w:kern w:val="2"/>
          <w:sz w:val="21"/>
          <w:szCs w:val="21"/>
          <w:highlight w:val="none"/>
          <w:lang w:val="en-US" w:eastAsia="zh-CN" w:bidi="ar-SA"/>
        </w:rPr>
        <w:t>。</w:t>
      </w:r>
    </w:p>
    <w:p w14:paraId="69532775">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质量保修期自工程竣工验收合格之日起计算。</w:t>
      </w:r>
    </w:p>
    <w:p w14:paraId="2A8EC75F">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三、缺陷责任期</w:t>
      </w:r>
    </w:p>
    <w:p w14:paraId="3F935A8E">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工程缺陷责任期为</w:t>
      </w:r>
      <w:r>
        <w:rPr>
          <w:rFonts w:ascii="Times New Roman" w:hAnsi="Times New Roman" w:eastAsia="宋体" w:cs="Times New Roman"/>
          <w:color w:val="auto"/>
          <w:spacing w:val="-4"/>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12</w:t>
      </w:r>
      <w:r>
        <w:rPr>
          <w:rFonts w:ascii="Times New Roman" w:hAnsi="Times New Roman" w:eastAsia="宋体" w:cs="Times New Roman"/>
          <w:color w:val="auto"/>
          <w:spacing w:val="-4"/>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个月，缺陷责任期自工程通过竣工验收之日起计算。单位/区段工程先于全部工程进行验收，单位/区段工程缺陷责任期自单位/区段工程验收合格之日起算。</w:t>
      </w:r>
    </w:p>
    <w:p w14:paraId="1201A1F9">
      <w:pPr>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Chars="0" w:right="0" w:righ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缺陷责任期终止后，发包人应返还剩余的质量保证金。</w:t>
      </w:r>
    </w:p>
    <w:p w14:paraId="3C0C7B5F">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四、质量保修责任</w:t>
      </w:r>
    </w:p>
    <w:p w14:paraId="1BE12BDA">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12"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属于</w:t>
      </w:r>
      <w:r>
        <w:rPr>
          <w:rFonts w:hint="eastAsia" w:ascii="宋体" w:hAnsi="宋体" w:eastAsia="宋体" w:cs="宋体"/>
          <w:color w:val="auto"/>
          <w:spacing w:val="-2"/>
          <w:kern w:val="2"/>
          <w:sz w:val="21"/>
          <w:szCs w:val="21"/>
          <w:highlight w:val="none"/>
          <w:lang w:val="en-US" w:eastAsia="zh-CN" w:bidi="ar-SA"/>
        </w:rPr>
        <w:t xml:space="preserve">保修范围、内容的项目，承包人应当在接到保修通知之日起 </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pacing w:val="-7"/>
          <w:kern w:val="2"/>
          <w:sz w:val="21"/>
          <w:szCs w:val="21"/>
          <w:highlight w:val="none"/>
          <w:lang w:val="en-US" w:eastAsia="zh-CN" w:bidi="ar-SA"/>
        </w:rPr>
        <w:t xml:space="preserve"> 天内派人保修。</w:t>
      </w:r>
      <w:r>
        <w:rPr>
          <w:rFonts w:hint="eastAsia" w:ascii="宋体" w:hAnsi="宋体" w:eastAsia="宋体" w:cs="宋体"/>
          <w:color w:val="auto"/>
          <w:kern w:val="2"/>
          <w:sz w:val="21"/>
          <w:szCs w:val="21"/>
          <w:highlight w:val="none"/>
          <w:lang w:val="en-US" w:eastAsia="zh-CN" w:bidi="ar-SA"/>
        </w:rPr>
        <w:t>承包人不在约定期限内派人保修的，发包人可以委托他人修理。</w:t>
      </w:r>
    </w:p>
    <w:p w14:paraId="27D00227">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14:paraId="2A7F9DA8">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3.对于涉及结构安全的质量问题，应当按照《建设工程质量管理条例》的规定，立即向当地建设行政主管部门和有关部门报告，采取安全防范措施，并由承包人提出保修方案，</w:t>
      </w:r>
      <w:r>
        <w:rPr>
          <w:rFonts w:hint="eastAsia" w:ascii="宋体" w:hAnsi="宋体" w:eastAsia="宋体" w:cs="宋体"/>
          <w:color w:val="auto"/>
          <w:spacing w:val="-102"/>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承包人将设计业务分包的，应由原设计分包人或具有相应资质等级的设计人提出保修方案，</w:t>
      </w:r>
      <w:r>
        <w:rPr>
          <w:rFonts w:hint="eastAsia" w:ascii="宋体" w:hAnsi="宋体" w:eastAsia="宋体" w:cs="宋体"/>
          <w:color w:val="auto"/>
          <w:spacing w:val="-102"/>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承包人实施保修。</w:t>
      </w:r>
    </w:p>
    <w:p w14:paraId="045FAF60">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4.质量保修完成后，由发包人组织验收。</w:t>
      </w:r>
    </w:p>
    <w:p w14:paraId="14CB9D40">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五、保修费用</w:t>
      </w:r>
    </w:p>
    <w:p w14:paraId="1A92642C">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保修费用由造成质量缺陷的责任方承担。</w:t>
      </w:r>
    </w:p>
    <w:p w14:paraId="37DB8B99">
      <w:pPr>
        <w:keepNext w:val="0"/>
        <w:keepLines w:val="0"/>
        <w:pageBreakBefore w:val="0"/>
        <w:widowControl w:val="0"/>
        <w:tabs>
          <w:tab w:val="left" w:pos="6749"/>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六、双方约定的其他工程质量保修事项：</w:t>
      </w:r>
      <w:r>
        <w:rPr>
          <w:rFonts w:ascii="Times New Roman" w:hAnsi="Times New Roman" w:eastAsia="Times New Roman" w:cs="Times New Roman"/>
          <w:color w:val="auto"/>
          <w:kern w:val="2"/>
          <w:sz w:val="21"/>
          <w:szCs w:val="21"/>
          <w:highlight w:val="none"/>
          <w:u w:val="single"/>
          <w:lang w:val="en-US" w:eastAsia="zh-CN" w:bidi="ar-SA"/>
        </w:rPr>
        <w:tab/>
      </w:r>
      <w:r>
        <w:rPr>
          <w:rFonts w:ascii="Times New Roman" w:hAnsi="Times New Roman" w:eastAsia="宋体" w:cs="Times New Roman"/>
          <w:color w:val="auto"/>
          <w:kern w:val="2"/>
          <w:sz w:val="21"/>
          <w:szCs w:val="21"/>
          <w:highlight w:val="none"/>
          <w:lang w:val="en-US" w:eastAsia="zh-CN" w:bidi="ar-SA"/>
        </w:rPr>
        <w:t>。</w:t>
      </w:r>
    </w:p>
    <w:p w14:paraId="7F8240F7">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08"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pacing w:val="-3"/>
          <w:kern w:val="2"/>
          <w:sz w:val="21"/>
          <w:szCs w:val="21"/>
          <w:highlight w:val="none"/>
          <w:lang w:val="en-US" w:eastAsia="zh-CN" w:bidi="ar-SA"/>
        </w:rPr>
        <w:t>工程质量保修书由发包人、承包人在工程竣工验收前共同签署，作为工程总承包合同附</w:t>
      </w:r>
      <w:r>
        <w:rPr>
          <w:rFonts w:ascii="Times New Roman" w:hAnsi="Times New Roman" w:eastAsia="宋体" w:cs="Times New Roman"/>
          <w:color w:val="auto"/>
          <w:kern w:val="2"/>
          <w:sz w:val="21"/>
          <w:szCs w:val="21"/>
          <w:highlight w:val="none"/>
          <w:lang w:val="en-US" w:eastAsia="zh-CN" w:bidi="ar-SA"/>
        </w:rPr>
        <w:t>件，其有效期限至保修期满。</w:t>
      </w:r>
    </w:p>
    <w:p w14:paraId="4414BC90">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发包人(公章)：</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spacing w:val="-1"/>
          <w:kern w:val="2"/>
          <w:sz w:val="21"/>
          <w:szCs w:val="21"/>
          <w:highlight w:val="none"/>
          <w:lang w:val="en-US" w:eastAsia="zh-CN" w:bidi="ar-SA"/>
        </w:rPr>
        <w:t>承包</w:t>
      </w:r>
      <w:r>
        <w:rPr>
          <w:rFonts w:ascii="Times New Roman" w:hAnsi="Times New Roman" w:eastAsia="宋体" w:cs="Times New Roman"/>
          <w:color w:val="auto"/>
          <w:kern w:val="2"/>
          <w:sz w:val="21"/>
          <w:szCs w:val="21"/>
          <w:highlight w:val="none"/>
          <w:lang w:val="en-US" w:eastAsia="zh-CN" w:bidi="ar-SA"/>
        </w:rPr>
        <w:t>人(公章)：</w:t>
      </w:r>
    </w:p>
    <w:p w14:paraId="1B79E3DA">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地</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址：</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kern w:val="2"/>
          <w:sz w:val="21"/>
          <w:szCs w:val="21"/>
          <w:highlight w:val="none"/>
          <w:lang w:val="en-US" w:eastAsia="zh-CN" w:bidi="ar-SA"/>
        </w:rPr>
        <w:t>地</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址：</w:t>
      </w:r>
    </w:p>
    <w:p w14:paraId="24738992">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法定代表人(签字)：</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spacing w:val="-1"/>
          <w:kern w:val="2"/>
          <w:sz w:val="21"/>
          <w:szCs w:val="21"/>
          <w:highlight w:val="none"/>
          <w:lang w:val="en-US" w:eastAsia="zh-CN" w:bidi="ar-SA"/>
        </w:rPr>
        <w:t>法定</w:t>
      </w:r>
      <w:r>
        <w:rPr>
          <w:rFonts w:ascii="Times New Roman" w:hAnsi="Times New Roman" w:eastAsia="宋体" w:cs="Times New Roman"/>
          <w:color w:val="auto"/>
          <w:kern w:val="2"/>
          <w:sz w:val="21"/>
          <w:szCs w:val="21"/>
          <w:highlight w:val="none"/>
          <w:lang w:val="en-US" w:eastAsia="zh-CN" w:bidi="ar-SA"/>
        </w:rPr>
        <w:t>代表人(签字)：</w:t>
      </w:r>
    </w:p>
    <w:p w14:paraId="1B067D4B">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委托代理人(签字)：</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spacing w:val="-1"/>
          <w:kern w:val="2"/>
          <w:sz w:val="21"/>
          <w:szCs w:val="21"/>
          <w:highlight w:val="none"/>
          <w:lang w:val="en-US" w:eastAsia="zh-CN" w:bidi="ar-SA"/>
        </w:rPr>
        <w:t>委托</w:t>
      </w:r>
      <w:r>
        <w:rPr>
          <w:rFonts w:ascii="Times New Roman" w:hAnsi="Times New Roman" w:eastAsia="宋体" w:cs="Times New Roman"/>
          <w:color w:val="auto"/>
          <w:kern w:val="2"/>
          <w:sz w:val="21"/>
          <w:szCs w:val="21"/>
          <w:highlight w:val="none"/>
          <w:lang w:val="en-US" w:eastAsia="zh-CN" w:bidi="ar-SA"/>
        </w:rPr>
        <w:t>代理人(签字)：</w:t>
      </w:r>
    </w:p>
    <w:p w14:paraId="2190394A">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电</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话：</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kern w:val="2"/>
          <w:sz w:val="21"/>
          <w:szCs w:val="21"/>
          <w:highlight w:val="none"/>
          <w:lang w:val="en-US" w:eastAsia="zh-CN" w:bidi="ar-SA"/>
        </w:rPr>
        <w:t>电</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话：</w:t>
      </w:r>
    </w:p>
    <w:p w14:paraId="6BCC7A81">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传</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真：</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kern w:val="2"/>
          <w:sz w:val="21"/>
          <w:szCs w:val="21"/>
          <w:highlight w:val="none"/>
          <w:lang w:val="en-US" w:eastAsia="zh-CN" w:bidi="ar-SA"/>
        </w:rPr>
        <w:t>传</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真：</w:t>
      </w:r>
    </w:p>
    <w:p w14:paraId="271E23FA">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开户银行：</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kern w:val="2"/>
          <w:sz w:val="21"/>
          <w:szCs w:val="21"/>
          <w:highlight w:val="none"/>
          <w:lang w:val="en-US" w:eastAsia="zh-CN" w:bidi="ar-SA"/>
        </w:rPr>
        <w:t>开户银行：</w:t>
      </w:r>
    </w:p>
    <w:p w14:paraId="3756106A">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账</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号：</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kern w:val="2"/>
          <w:sz w:val="21"/>
          <w:szCs w:val="21"/>
          <w:highlight w:val="none"/>
          <w:lang w:val="en-US" w:eastAsia="zh-CN" w:bidi="ar-SA"/>
        </w:rPr>
        <w:t>账</w:t>
      </w:r>
      <w:r>
        <w:rPr>
          <w:rFonts w:ascii="Times New Roman" w:hAnsi="Times New Roman" w:eastAsia="宋体" w:cs="Times New Roman"/>
          <w:color w:val="auto"/>
          <w:spacing w:val="105"/>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号：</w:t>
      </w:r>
    </w:p>
    <w:p w14:paraId="4FDF5D5A">
      <w:pPr>
        <w:keepNext w:val="0"/>
        <w:keepLines w:val="0"/>
        <w:pageBreakBefore w:val="0"/>
        <w:widowControl w:val="0"/>
        <w:tabs>
          <w:tab w:val="left" w:pos="4106"/>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邮政编码：</w:t>
      </w:r>
      <w:r>
        <w:rPr>
          <w:rFonts w:ascii="Times New Roman" w:hAnsi="Times New Roman" w:eastAsia="宋体" w:cs="Times New Roman"/>
          <w:color w:val="auto"/>
          <w:kern w:val="2"/>
          <w:sz w:val="21"/>
          <w:szCs w:val="21"/>
          <w:highlight w:val="none"/>
          <w:lang w:val="en-US" w:eastAsia="zh-CN" w:bidi="ar-SA"/>
        </w:rPr>
        <w:tab/>
      </w:r>
      <w:r>
        <w:rPr>
          <w:rFonts w:ascii="Times New Roman" w:hAnsi="Times New Roman" w:eastAsia="宋体" w:cs="Times New Roman"/>
          <w:color w:val="auto"/>
          <w:kern w:val="2"/>
          <w:sz w:val="21"/>
          <w:szCs w:val="21"/>
          <w:highlight w:val="none"/>
          <w:lang w:val="en-US" w:eastAsia="zh-CN" w:bidi="ar-SA"/>
        </w:rPr>
        <w:t>邮政编码：</w:t>
      </w:r>
    </w:p>
    <w:p w14:paraId="089F0B67">
      <w:pPr>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br w:type="page"/>
      </w:r>
    </w:p>
    <w:p w14:paraId="5E474A5E">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附件4：承包人主要管理人员表</w:t>
      </w:r>
    </w:p>
    <w:p w14:paraId="141A1E77">
      <w:pPr>
        <w:widowControl w:val="0"/>
        <w:spacing w:before="2" w:after="120" w:afterLines="0"/>
        <w:jc w:val="both"/>
        <w:outlineLvl w:val="9"/>
        <w:rPr>
          <w:rFonts w:ascii="Times New Roman" w:hAnsi="Times New Roman" w:eastAsia="宋体" w:cs="Times New Roman"/>
          <w:b/>
          <w:color w:val="auto"/>
          <w:kern w:val="2"/>
          <w:sz w:val="11"/>
          <w:szCs w:val="24"/>
          <w:highlight w:val="none"/>
          <w:lang w:val="en-US" w:eastAsia="zh-CN" w:bidi="ar-SA"/>
        </w:rPr>
      </w:pPr>
    </w:p>
    <w:tbl>
      <w:tblPr>
        <w:tblStyle w:val="55"/>
        <w:tblW w:w="0" w:type="auto"/>
        <w:tblInd w:w="-2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09"/>
        <w:gridCol w:w="1411"/>
        <w:gridCol w:w="1137"/>
        <w:gridCol w:w="1137"/>
        <w:gridCol w:w="3922"/>
      </w:tblGrid>
      <w:tr w14:paraId="6B7C59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1509" w:type="dxa"/>
            <w:tcBorders>
              <w:bottom w:val="single" w:color="000000" w:sz="8" w:space="0"/>
              <w:right w:val="single" w:color="000000" w:sz="8" w:space="0"/>
            </w:tcBorders>
            <w:vAlign w:val="center"/>
          </w:tcPr>
          <w:p w14:paraId="6E9B7FD0">
            <w:pPr>
              <w:keepNext w:val="0"/>
              <w:keepLines w:val="0"/>
              <w:pageBreakBefore w:val="0"/>
              <w:widowControl w:val="0"/>
              <w:tabs>
                <w:tab w:val="left" w:pos="1171"/>
              </w:tabs>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名称</w:t>
            </w:r>
          </w:p>
        </w:tc>
        <w:tc>
          <w:tcPr>
            <w:tcW w:w="1411" w:type="dxa"/>
            <w:tcBorders>
              <w:left w:val="single" w:color="000000" w:sz="8" w:space="0"/>
              <w:bottom w:val="single" w:color="000000" w:sz="8" w:space="0"/>
              <w:right w:val="single" w:color="000000" w:sz="8" w:space="0"/>
            </w:tcBorders>
            <w:vAlign w:val="center"/>
          </w:tcPr>
          <w:p w14:paraId="013F458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姓名</w:t>
            </w:r>
          </w:p>
        </w:tc>
        <w:tc>
          <w:tcPr>
            <w:tcW w:w="1137" w:type="dxa"/>
            <w:tcBorders>
              <w:left w:val="single" w:color="000000" w:sz="8" w:space="0"/>
              <w:bottom w:val="single" w:color="000000" w:sz="8" w:space="0"/>
              <w:right w:val="single" w:color="000000" w:sz="8" w:space="0"/>
            </w:tcBorders>
            <w:vAlign w:val="center"/>
          </w:tcPr>
          <w:p w14:paraId="585D00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职务</w:t>
            </w:r>
          </w:p>
        </w:tc>
        <w:tc>
          <w:tcPr>
            <w:tcW w:w="1137" w:type="dxa"/>
            <w:tcBorders>
              <w:left w:val="single" w:color="000000" w:sz="8" w:space="0"/>
              <w:bottom w:val="single" w:color="000000" w:sz="8" w:space="0"/>
              <w:right w:val="single" w:color="000000" w:sz="8" w:space="0"/>
            </w:tcBorders>
            <w:vAlign w:val="center"/>
          </w:tcPr>
          <w:p w14:paraId="7AE93AD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职称</w:t>
            </w:r>
          </w:p>
        </w:tc>
        <w:tc>
          <w:tcPr>
            <w:tcW w:w="3922" w:type="dxa"/>
            <w:tcBorders>
              <w:left w:val="single" w:color="000000" w:sz="8" w:space="0"/>
              <w:bottom w:val="single" w:color="000000" w:sz="8" w:space="0"/>
            </w:tcBorders>
            <w:vAlign w:val="center"/>
          </w:tcPr>
          <w:p w14:paraId="2785CD1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主要资历、经验及承担过的项目</w:t>
            </w:r>
          </w:p>
        </w:tc>
      </w:tr>
      <w:tr w14:paraId="7CD04F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9116" w:type="dxa"/>
            <w:gridSpan w:val="5"/>
            <w:tcBorders>
              <w:top w:val="single" w:color="000000" w:sz="8" w:space="0"/>
              <w:bottom w:val="single" w:color="000000" w:sz="8" w:space="0"/>
            </w:tcBorders>
            <w:vAlign w:val="center"/>
          </w:tcPr>
          <w:p w14:paraId="5EB05EC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一、总部人员</w:t>
            </w:r>
          </w:p>
        </w:tc>
      </w:tr>
      <w:tr w14:paraId="2DFC14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1BCC575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项目主管</w:t>
            </w:r>
          </w:p>
        </w:tc>
        <w:tc>
          <w:tcPr>
            <w:tcW w:w="1411" w:type="dxa"/>
            <w:tcBorders>
              <w:top w:val="single" w:color="000000" w:sz="8" w:space="0"/>
              <w:left w:val="single" w:color="000000" w:sz="8" w:space="0"/>
              <w:bottom w:val="single" w:color="000000" w:sz="8" w:space="0"/>
              <w:right w:val="single" w:color="000000" w:sz="8" w:space="0"/>
            </w:tcBorders>
            <w:vAlign w:val="center"/>
          </w:tcPr>
          <w:p w14:paraId="28E7AC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7A605D5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229F91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29C75E0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C79BC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1509" w:type="dxa"/>
            <w:vMerge w:val="restart"/>
            <w:tcBorders>
              <w:top w:val="single" w:color="000000" w:sz="8" w:space="0"/>
              <w:bottom w:val="single" w:color="000000" w:sz="8" w:space="0"/>
              <w:right w:val="single" w:color="000000" w:sz="8" w:space="0"/>
            </w:tcBorders>
            <w:vAlign w:val="center"/>
          </w:tcPr>
          <w:p w14:paraId="1DA7A57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其他人员</w:t>
            </w:r>
          </w:p>
        </w:tc>
        <w:tc>
          <w:tcPr>
            <w:tcW w:w="1411" w:type="dxa"/>
            <w:tcBorders>
              <w:top w:val="single" w:color="000000" w:sz="8" w:space="0"/>
              <w:left w:val="single" w:color="000000" w:sz="8" w:space="0"/>
              <w:bottom w:val="single" w:color="000000" w:sz="8" w:space="0"/>
              <w:right w:val="single" w:color="000000" w:sz="8" w:space="0"/>
            </w:tcBorders>
            <w:vAlign w:val="center"/>
          </w:tcPr>
          <w:p w14:paraId="2EA503D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0EF61EF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4288EDE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47C82E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1EC60E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vMerge w:val="continue"/>
            <w:tcBorders>
              <w:top w:val="single" w:color="000000" w:sz="8" w:space="0"/>
              <w:bottom w:val="single" w:color="000000" w:sz="8" w:space="0"/>
              <w:right w:val="single" w:color="000000" w:sz="8" w:space="0"/>
            </w:tcBorders>
            <w:vAlign w:val="center"/>
          </w:tcPr>
          <w:p w14:paraId="4B85346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Times New Roman" w:cs="Times New Roman"/>
                <w:color w:val="auto"/>
                <w:kern w:val="2"/>
                <w:sz w:val="2"/>
                <w:szCs w:val="2"/>
                <w:highlight w:val="none"/>
              </w:rPr>
            </w:pPr>
          </w:p>
        </w:tc>
        <w:tc>
          <w:tcPr>
            <w:tcW w:w="1411" w:type="dxa"/>
            <w:tcBorders>
              <w:top w:val="single" w:color="000000" w:sz="8" w:space="0"/>
              <w:left w:val="single" w:color="000000" w:sz="8" w:space="0"/>
              <w:bottom w:val="single" w:color="000000" w:sz="8" w:space="0"/>
              <w:right w:val="single" w:color="000000" w:sz="8" w:space="0"/>
            </w:tcBorders>
            <w:vAlign w:val="center"/>
          </w:tcPr>
          <w:p w14:paraId="2EF8793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07A930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27C93EB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218097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392BF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vMerge w:val="continue"/>
            <w:tcBorders>
              <w:top w:val="single" w:color="000000" w:sz="8" w:space="0"/>
              <w:bottom w:val="single" w:color="000000" w:sz="8" w:space="0"/>
              <w:right w:val="single" w:color="000000" w:sz="8" w:space="0"/>
            </w:tcBorders>
            <w:vAlign w:val="center"/>
          </w:tcPr>
          <w:p w14:paraId="796574A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Times New Roman" w:cs="Times New Roman"/>
                <w:color w:val="auto"/>
                <w:kern w:val="2"/>
                <w:sz w:val="2"/>
                <w:szCs w:val="2"/>
                <w:highlight w:val="none"/>
              </w:rPr>
            </w:pPr>
          </w:p>
        </w:tc>
        <w:tc>
          <w:tcPr>
            <w:tcW w:w="1411" w:type="dxa"/>
            <w:tcBorders>
              <w:top w:val="single" w:color="000000" w:sz="8" w:space="0"/>
              <w:left w:val="single" w:color="000000" w:sz="8" w:space="0"/>
              <w:bottom w:val="single" w:color="000000" w:sz="8" w:space="0"/>
              <w:right w:val="single" w:color="000000" w:sz="8" w:space="0"/>
            </w:tcBorders>
            <w:vAlign w:val="center"/>
          </w:tcPr>
          <w:p w14:paraId="13948ED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117AF4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1C83A6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6DC2720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FC0EB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9116" w:type="dxa"/>
            <w:gridSpan w:val="5"/>
            <w:tcBorders>
              <w:top w:val="single" w:color="000000" w:sz="8" w:space="0"/>
              <w:bottom w:val="single" w:color="000000" w:sz="8" w:space="0"/>
            </w:tcBorders>
            <w:vAlign w:val="center"/>
          </w:tcPr>
          <w:p w14:paraId="60BF320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二、现场人员</w:t>
            </w:r>
          </w:p>
        </w:tc>
      </w:tr>
      <w:tr w14:paraId="23583E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5" w:hRule="atLeast"/>
        </w:trPr>
        <w:tc>
          <w:tcPr>
            <w:tcW w:w="1509" w:type="dxa"/>
            <w:tcBorders>
              <w:top w:val="single" w:color="000000" w:sz="8" w:space="0"/>
              <w:bottom w:val="single" w:color="000000" w:sz="8" w:space="0"/>
              <w:right w:val="single" w:color="000000" w:sz="8" w:space="0"/>
            </w:tcBorders>
            <w:vAlign w:val="center"/>
          </w:tcPr>
          <w:p w14:paraId="00371C04">
            <w:pPr>
              <w:keepNext w:val="0"/>
              <w:keepLines w:val="0"/>
              <w:pageBreakBefore w:val="0"/>
              <w:widowControl w:val="0"/>
              <w:kinsoku/>
              <w:wordWrap/>
              <w:overflowPunct/>
              <w:topLinePunct w:val="0"/>
              <w:autoSpaceDE/>
              <w:autoSpaceDN/>
              <w:bidi w:val="0"/>
              <w:adjustRightInd/>
              <w:snapToGrid/>
              <w:spacing w:line="240" w:lineRule="auto"/>
              <w:ind w:left="0" w:right="96"/>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工程总承包项目经理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72547C2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7A834C1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4D1F194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4A85807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1EAE9D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7D96FBF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项目副经理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6272EC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6F7630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2818873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2F78B83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568ACA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7D70062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设计负责人</w:t>
            </w:r>
          </w:p>
        </w:tc>
        <w:tc>
          <w:tcPr>
            <w:tcW w:w="1411" w:type="dxa"/>
            <w:tcBorders>
              <w:top w:val="single" w:color="000000" w:sz="8" w:space="0"/>
              <w:left w:val="single" w:color="000000" w:sz="8" w:space="0"/>
              <w:bottom w:val="single" w:color="000000" w:sz="8" w:space="0"/>
              <w:right w:val="single" w:color="000000" w:sz="8" w:space="0"/>
            </w:tcBorders>
            <w:vAlign w:val="center"/>
          </w:tcPr>
          <w:p w14:paraId="29DC6E2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3EB068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6EF3ED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48EF1D7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355DBB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1509" w:type="dxa"/>
            <w:tcBorders>
              <w:top w:val="single" w:color="000000" w:sz="8" w:space="0"/>
              <w:bottom w:val="single" w:color="000000" w:sz="8" w:space="0"/>
              <w:right w:val="single" w:color="000000" w:sz="8" w:space="0"/>
            </w:tcBorders>
            <w:vAlign w:val="center"/>
          </w:tcPr>
          <w:p w14:paraId="78A8671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采购负责人</w:t>
            </w:r>
          </w:p>
        </w:tc>
        <w:tc>
          <w:tcPr>
            <w:tcW w:w="1411" w:type="dxa"/>
            <w:tcBorders>
              <w:top w:val="single" w:color="000000" w:sz="8" w:space="0"/>
              <w:left w:val="single" w:color="000000" w:sz="8" w:space="0"/>
              <w:bottom w:val="single" w:color="000000" w:sz="8" w:space="0"/>
              <w:right w:val="single" w:color="000000" w:sz="8" w:space="0"/>
            </w:tcBorders>
            <w:vAlign w:val="center"/>
          </w:tcPr>
          <w:p w14:paraId="317AA83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53A32C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1325CFD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425A9A0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076130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70AB3F9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施工负责人</w:t>
            </w:r>
          </w:p>
        </w:tc>
        <w:tc>
          <w:tcPr>
            <w:tcW w:w="1411" w:type="dxa"/>
            <w:tcBorders>
              <w:top w:val="single" w:color="000000" w:sz="8" w:space="0"/>
              <w:left w:val="single" w:color="000000" w:sz="8" w:space="0"/>
              <w:bottom w:val="single" w:color="000000" w:sz="8" w:space="0"/>
              <w:right w:val="single" w:color="000000" w:sz="8" w:space="0"/>
            </w:tcBorders>
            <w:vAlign w:val="center"/>
          </w:tcPr>
          <w:p w14:paraId="430596A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2509524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F07842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6FAF6A8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09F326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6E7712A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技术负责人</w:t>
            </w:r>
          </w:p>
        </w:tc>
        <w:tc>
          <w:tcPr>
            <w:tcW w:w="1411" w:type="dxa"/>
            <w:tcBorders>
              <w:top w:val="single" w:color="000000" w:sz="8" w:space="0"/>
              <w:left w:val="single" w:color="000000" w:sz="8" w:space="0"/>
              <w:bottom w:val="single" w:color="000000" w:sz="8" w:space="0"/>
              <w:right w:val="single" w:color="000000" w:sz="8" w:space="0"/>
            </w:tcBorders>
            <w:vAlign w:val="center"/>
          </w:tcPr>
          <w:p w14:paraId="0D8B799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382D14C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02848C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4371C3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1EEA23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5323C71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造价管理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68A4ED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02F695F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6DB798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0748CD4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59F87C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1509" w:type="dxa"/>
            <w:tcBorders>
              <w:top w:val="single" w:color="000000" w:sz="8" w:space="0"/>
              <w:bottom w:val="single" w:color="000000" w:sz="8" w:space="0"/>
              <w:right w:val="single" w:color="000000" w:sz="8" w:space="0"/>
            </w:tcBorders>
            <w:vAlign w:val="center"/>
          </w:tcPr>
          <w:p w14:paraId="459D1B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质量管理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3C02CE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7CEFE8A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4039575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10BD153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3FA2E4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31E039F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计划管理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483C162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9B0CF4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22056EB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6CA54E3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1D946F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59B2B6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安全管理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309EAF1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272D44C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3B6DA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6E55103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6B45FA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509" w:type="dxa"/>
            <w:tcBorders>
              <w:top w:val="single" w:color="000000" w:sz="8" w:space="0"/>
              <w:bottom w:val="single" w:color="000000" w:sz="8" w:space="0"/>
              <w:right w:val="single" w:color="000000" w:sz="8" w:space="0"/>
            </w:tcBorders>
            <w:vAlign w:val="center"/>
          </w:tcPr>
          <w:p w14:paraId="6AFEAC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环境管理</w:t>
            </w:r>
          </w:p>
        </w:tc>
        <w:tc>
          <w:tcPr>
            <w:tcW w:w="1411" w:type="dxa"/>
            <w:tcBorders>
              <w:top w:val="single" w:color="000000" w:sz="8" w:space="0"/>
              <w:left w:val="single" w:color="000000" w:sz="8" w:space="0"/>
              <w:bottom w:val="single" w:color="000000" w:sz="8" w:space="0"/>
              <w:right w:val="single" w:color="000000" w:sz="8" w:space="0"/>
            </w:tcBorders>
            <w:vAlign w:val="center"/>
          </w:tcPr>
          <w:p w14:paraId="72BB78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357E4E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77E45F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7FCB5E1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162276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509" w:type="dxa"/>
            <w:vMerge w:val="restart"/>
            <w:tcBorders>
              <w:top w:val="single" w:color="000000" w:sz="8" w:space="0"/>
              <w:bottom w:val="single" w:color="000000" w:sz="8" w:space="0"/>
              <w:right w:val="single" w:color="000000" w:sz="8" w:space="0"/>
            </w:tcBorders>
            <w:vAlign w:val="center"/>
          </w:tcPr>
          <w:p w14:paraId="24E73A35">
            <w:pPr>
              <w:keepNext w:val="0"/>
              <w:keepLines w:val="0"/>
              <w:pageBreakBefore w:val="0"/>
              <w:widowControl w:val="0"/>
              <w:kinsoku/>
              <w:wordWrap/>
              <w:overflowPunct/>
              <w:topLinePunct w:val="0"/>
              <w:autoSpaceDE/>
              <w:autoSpaceDN/>
              <w:bidi w:val="0"/>
              <w:adjustRightInd/>
              <w:snapToGrid/>
              <w:spacing w:before="173" w:line="240" w:lineRule="auto"/>
              <w:ind w:left="0"/>
              <w:jc w:val="center"/>
              <w:textAlignment w:val="auto"/>
              <w:outlineLvl w:val="9"/>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其他人员</w:t>
            </w:r>
          </w:p>
        </w:tc>
        <w:tc>
          <w:tcPr>
            <w:tcW w:w="1411" w:type="dxa"/>
            <w:tcBorders>
              <w:top w:val="single" w:color="000000" w:sz="8" w:space="0"/>
              <w:left w:val="single" w:color="000000" w:sz="8" w:space="0"/>
              <w:bottom w:val="single" w:color="000000" w:sz="8" w:space="0"/>
              <w:right w:val="single" w:color="000000" w:sz="8" w:space="0"/>
            </w:tcBorders>
            <w:vAlign w:val="center"/>
          </w:tcPr>
          <w:p w14:paraId="0231F51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3B9D00C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630098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2747EF4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53776F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1509" w:type="dxa"/>
            <w:vMerge w:val="continue"/>
            <w:tcBorders>
              <w:top w:val="single" w:color="000000" w:sz="8" w:space="0"/>
              <w:bottom w:val="single" w:color="000000" w:sz="8" w:space="0"/>
              <w:right w:val="single" w:color="000000" w:sz="8" w:space="0"/>
            </w:tcBorders>
            <w:vAlign w:val="center"/>
          </w:tcPr>
          <w:p w14:paraId="041A96C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Times New Roman" w:cs="Times New Roman"/>
                <w:color w:val="auto"/>
                <w:kern w:val="2"/>
                <w:sz w:val="2"/>
                <w:szCs w:val="2"/>
                <w:highlight w:val="none"/>
              </w:rPr>
            </w:pPr>
          </w:p>
        </w:tc>
        <w:tc>
          <w:tcPr>
            <w:tcW w:w="1411" w:type="dxa"/>
            <w:tcBorders>
              <w:top w:val="single" w:color="000000" w:sz="8" w:space="0"/>
              <w:left w:val="single" w:color="000000" w:sz="8" w:space="0"/>
              <w:bottom w:val="single" w:color="000000" w:sz="8" w:space="0"/>
              <w:right w:val="single" w:color="000000" w:sz="8" w:space="0"/>
            </w:tcBorders>
            <w:vAlign w:val="center"/>
          </w:tcPr>
          <w:p w14:paraId="3339232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1D90228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5380BB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4ADE414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6D76AB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1509" w:type="dxa"/>
            <w:vMerge w:val="continue"/>
            <w:tcBorders>
              <w:top w:val="single" w:color="000000" w:sz="8" w:space="0"/>
              <w:bottom w:val="single" w:color="000000" w:sz="8" w:space="0"/>
              <w:right w:val="single" w:color="000000" w:sz="8" w:space="0"/>
            </w:tcBorders>
            <w:vAlign w:val="center"/>
          </w:tcPr>
          <w:p w14:paraId="56A114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Times New Roman" w:cs="Times New Roman"/>
                <w:color w:val="auto"/>
                <w:kern w:val="2"/>
                <w:sz w:val="2"/>
                <w:szCs w:val="2"/>
                <w:highlight w:val="none"/>
              </w:rPr>
            </w:pPr>
          </w:p>
        </w:tc>
        <w:tc>
          <w:tcPr>
            <w:tcW w:w="1411" w:type="dxa"/>
            <w:tcBorders>
              <w:top w:val="single" w:color="000000" w:sz="8" w:space="0"/>
              <w:left w:val="single" w:color="000000" w:sz="8" w:space="0"/>
              <w:bottom w:val="single" w:color="000000" w:sz="8" w:space="0"/>
              <w:right w:val="single" w:color="000000" w:sz="8" w:space="0"/>
            </w:tcBorders>
            <w:vAlign w:val="center"/>
          </w:tcPr>
          <w:p w14:paraId="3B2ABF4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688B7D2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bottom w:val="single" w:color="000000" w:sz="8" w:space="0"/>
              <w:right w:val="single" w:color="000000" w:sz="8" w:space="0"/>
            </w:tcBorders>
            <w:vAlign w:val="center"/>
          </w:tcPr>
          <w:p w14:paraId="7518989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bottom w:val="single" w:color="000000" w:sz="8" w:space="0"/>
            </w:tcBorders>
            <w:vAlign w:val="center"/>
          </w:tcPr>
          <w:p w14:paraId="7279189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r w14:paraId="2D3CBA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1509" w:type="dxa"/>
            <w:vMerge w:val="continue"/>
            <w:tcBorders>
              <w:top w:val="single" w:color="000000" w:sz="8" w:space="0"/>
              <w:right w:val="single" w:color="000000" w:sz="8" w:space="0"/>
            </w:tcBorders>
            <w:vAlign w:val="center"/>
          </w:tcPr>
          <w:p w14:paraId="1EB1A12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Times New Roman" w:cs="Times New Roman"/>
                <w:color w:val="auto"/>
                <w:kern w:val="2"/>
                <w:sz w:val="2"/>
                <w:szCs w:val="2"/>
                <w:highlight w:val="none"/>
              </w:rPr>
            </w:pPr>
          </w:p>
        </w:tc>
        <w:tc>
          <w:tcPr>
            <w:tcW w:w="1411" w:type="dxa"/>
            <w:tcBorders>
              <w:top w:val="single" w:color="000000" w:sz="8" w:space="0"/>
              <w:left w:val="single" w:color="000000" w:sz="8" w:space="0"/>
              <w:right w:val="single" w:color="000000" w:sz="8" w:space="0"/>
            </w:tcBorders>
            <w:vAlign w:val="center"/>
          </w:tcPr>
          <w:p w14:paraId="4E19793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right w:val="single" w:color="000000" w:sz="8" w:space="0"/>
            </w:tcBorders>
            <w:vAlign w:val="center"/>
          </w:tcPr>
          <w:p w14:paraId="68E24DE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1137" w:type="dxa"/>
            <w:tcBorders>
              <w:top w:val="single" w:color="000000" w:sz="8" w:space="0"/>
              <w:left w:val="single" w:color="000000" w:sz="8" w:space="0"/>
              <w:right w:val="single" w:color="000000" w:sz="8" w:space="0"/>
            </w:tcBorders>
            <w:vAlign w:val="center"/>
          </w:tcPr>
          <w:p w14:paraId="0F531B3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c>
          <w:tcPr>
            <w:tcW w:w="3922" w:type="dxa"/>
            <w:tcBorders>
              <w:top w:val="single" w:color="000000" w:sz="8" w:space="0"/>
              <w:left w:val="single" w:color="000000" w:sz="8" w:space="0"/>
            </w:tcBorders>
            <w:vAlign w:val="center"/>
          </w:tcPr>
          <w:p w14:paraId="0EBB828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Times New Roman" w:hAnsi="宋体" w:eastAsia="宋体" w:cs="宋体"/>
                <w:color w:val="auto"/>
                <w:kern w:val="2"/>
                <w:sz w:val="22"/>
                <w:szCs w:val="24"/>
                <w:highlight w:val="none"/>
                <w:lang w:val="zh-CN" w:eastAsia="zh-CN" w:bidi="zh-CN"/>
              </w:rPr>
            </w:pPr>
          </w:p>
        </w:tc>
      </w:tr>
    </w:tbl>
    <w:p w14:paraId="260E9FFE">
      <w:pPr>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br w:type="page"/>
      </w:r>
    </w:p>
    <w:p w14:paraId="07657473">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附件5：廉政协议</w:t>
      </w:r>
    </w:p>
    <w:p w14:paraId="7259D00F">
      <w:pPr>
        <w:widowControl w:val="0"/>
        <w:spacing w:before="4" w:after="120" w:afterLines="0"/>
        <w:jc w:val="center"/>
        <w:outlineLvl w:val="9"/>
        <w:rPr>
          <w:rFonts w:ascii="Times New Roman" w:hAnsi="Times New Roman" w:eastAsia="宋体" w:cs="Times New Roman"/>
          <w:b/>
          <w:color w:val="auto"/>
          <w:spacing w:val="17"/>
          <w:kern w:val="2"/>
          <w:sz w:val="31"/>
          <w:szCs w:val="24"/>
          <w:highlight w:val="none"/>
          <w:lang w:val="en-US" w:eastAsia="zh-CN" w:bidi="ar-SA"/>
        </w:rPr>
      </w:pPr>
      <w:r>
        <w:rPr>
          <w:rFonts w:ascii="Times New Roman" w:hAnsi="Times New Roman" w:eastAsia="宋体" w:cs="Times New Roman"/>
          <w:b/>
          <w:color w:val="auto"/>
          <w:spacing w:val="17"/>
          <w:kern w:val="2"/>
          <w:sz w:val="31"/>
          <w:szCs w:val="24"/>
          <w:highlight w:val="none"/>
          <w:lang w:val="en-US" w:eastAsia="zh-CN" w:bidi="ar-SA"/>
        </w:rPr>
        <w:t>廉 政 协 议</w:t>
      </w:r>
    </w:p>
    <w:p w14:paraId="044EF191">
      <w:pPr>
        <w:widowControl w:val="0"/>
        <w:spacing w:before="4" w:after="120" w:afterLines="0"/>
        <w:jc w:val="both"/>
        <w:outlineLvl w:val="9"/>
        <w:rPr>
          <w:rFonts w:ascii="Times New Roman" w:hAnsi="Times New Roman" w:eastAsia="宋体" w:cs="Times New Roman"/>
          <w:b/>
          <w:color w:val="auto"/>
          <w:spacing w:val="17"/>
          <w:kern w:val="2"/>
          <w:sz w:val="31"/>
          <w:szCs w:val="24"/>
          <w:highlight w:val="none"/>
          <w:lang w:val="en-US" w:eastAsia="zh-CN" w:bidi="ar-SA"/>
        </w:rPr>
      </w:pPr>
    </w:p>
    <w:p w14:paraId="4C2FF626">
      <w:pPr>
        <w:keepNext w:val="0"/>
        <w:keepLines w:val="0"/>
        <w:pageBreakBefore w:val="0"/>
        <w:widowControl w:val="0"/>
        <w:tabs>
          <w:tab w:val="left" w:pos="7785"/>
        </w:tabs>
        <w:kinsoku/>
        <w:wordWrap w:val="0"/>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为促进双方诚信经营、廉洁从业，防范商业贿赂，保护国家、集体和当事人的合法权益，根据国家有关法律法规和安徽省、项目所在地廉政建设的规定，</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(以下称甲方)与</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(以下称乙方)，特此订立本协议共同遵照执行。</w:t>
      </w:r>
    </w:p>
    <w:p w14:paraId="78CEA19A">
      <w:pPr>
        <w:keepNext w:val="0"/>
        <w:keepLines w:val="0"/>
        <w:pageBreakBefore w:val="0"/>
        <w:widowControl w:val="0"/>
        <w:tabs>
          <w:tab w:val="left" w:pos="7785"/>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第一条 甲乙双方的权利和义务</w:t>
      </w:r>
    </w:p>
    <w:p w14:paraId="58FD187C">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84CF3AE">
      <w:pPr>
        <w:keepNext w:val="0"/>
        <w:keepLines w:val="0"/>
        <w:pageBreakBefore w:val="0"/>
        <w:widowControl w:val="0"/>
        <w:tabs>
          <w:tab w:val="left" w:pos="5758"/>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（二）严格执行</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的合同要求，自觉履行合同约定的相关义务。</w:t>
      </w:r>
    </w:p>
    <w:p w14:paraId="7C445813">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（三）在业务活动中坚持公开、公正、诚信、透明的原则，不得损害国家、集体利益。</w:t>
      </w:r>
    </w:p>
    <w:p w14:paraId="75D37949">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（四）建立健全廉政制度，开展廉政教育，公布举报电话，监督并认真查处违法违纪行为。</w:t>
      </w:r>
    </w:p>
    <w:p w14:paraId="06DC75CC">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（五）发现对方在业务活动中有违反廉政规定的行为，应及时提醒对方纠正。情节严重的，应向其上级有关部门举报、建议给予处理，并有权要求告知处理结果。</w:t>
      </w:r>
    </w:p>
    <w:p w14:paraId="531D7A62">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第二条 甲方的义务</w:t>
      </w:r>
    </w:p>
    <w:p w14:paraId="2AF8A741">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（一）甲方及其工作人员不得索要或接受乙方的礼金、有价证券和贵重物品，不得在乙方报销任何应由甲方单位或个人支付的费用等。</w:t>
      </w:r>
    </w:p>
    <w:p w14:paraId="7ABD379F">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F0B6636">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（三）甲方及其工作人员不得要求或者接受乙方为其住房装修、婚丧嫁娶活动、配偶子女工作安排以及出国出境、旅游等提供方便等。</w:t>
      </w:r>
    </w:p>
    <w:p w14:paraId="3F7D36B9">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（四）甲方工作人员不得在乙方有股权关联的企业兼职，不得向乙方介绍家属或者亲友从事与甲方业务有关的经济活动。</w:t>
      </w:r>
    </w:p>
    <w:p w14:paraId="29EF274B">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（五）甲方工作人员不得以明显低于市场的价格向乙方购买房屋、汽车等物品；不得以明显高于市场的价格向乙方出售房屋、汽车等物品；不得以其他交易形式非法收受请托人财物。</w:t>
      </w:r>
    </w:p>
    <w:p w14:paraId="525E44ED">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（六）甲方工作人员不得利用职务之便收受乙方以回扣、手续费、加班费、咨询费、劳务费、协调费、辛苦费等各种名义给予或赠送的钱物。</w:t>
      </w:r>
    </w:p>
    <w:p w14:paraId="6FC789F5">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（七）甲方工作人员不得接受乙方给予或赠送的干股或红利。</w:t>
      </w:r>
    </w:p>
    <w:p w14:paraId="63050300">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（八）甲方任何人不得以个人的名义向乙方推荐设备、部件等供货商以及其他合作单位。</w:t>
      </w:r>
    </w:p>
    <w:p w14:paraId="63858EF6">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第三条 乙方的义务</w:t>
      </w:r>
    </w:p>
    <w:p w14:paraId="70B934FC">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（一）乙方不得以任何理由向甲方及其工作人员行贿或馈赠礼金、有价证券、贵重礼品。</w:t>
      </w:r>
    </w:p>
    <w:p w14:paraId="7C9D87D4">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（二）乙方不得以任何名义为甲方及其工作人员报销应由甲方单位或个人支付的任何费用。</w:t>
      </w:r>
    </w:p>
    <w:p w14:paraId="1750AFF8">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（三）乙方不得以任何理由安排甲方工作人员参加可能影响相关业务公开、公正、公平性的宴请及娱乐活动。</w:t>
      </w:r>
    </w:p>
    <w:p w14:paraId="3B5C2277">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（四）乙方不得为甲方单位和个人购置或提供通讯工具和高档办公用品等物品，也不得为甲方提供与工作无关的房屋、汽车等。</w:t>
      </w:r>
    </w:p>
    <w:p w14:paraId="580CCB6C">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（五）乙方不得与甲方工作人员就合同中的质量、数量、价格、工程量、验收等条款进行私下商谈或者达成默契。</w:t>
      </w:r>
    </w:p>
    <w:p w14:paraId="6C6DDF5D">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（六）乙方不得以回扣、手续费、加班费、咨询费、劳务费、协调费、辛苦费等各种名义向甲方工作人员给予或赠送钱物。</w:t>
      </w:r>
    </w:p>
    <w:p w14:paraId="570D03F9">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（七）乙方不得向甲方工作人员提供干股或红利。</w:t>
      </w:r>
    </w:p>
    <w:p w14:paraId="667A0D27">
      <w:pPr>
        <w:keepNext w:val="0"/>
        <w:keepLines w:val="0"/>
        <w:pageBreakBefore w:val="0"/>
        <w:widowControl w:val="0"/>
        <w:tabs>
          <w:tab w:val="left" w:pos="3370"/>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（八）乙方须按</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专项纪检监察工作组(如有)要求开展相关工作。</w:t>
      </w:r>
    </w:p>
    <w:p w14:paraId="5FDF9A99">
      <w:pPr>
        <w:keepNext w:val="0"/>
        <w:keepLines w:val="0"/>
        <w:pageBreakBefore w:val="0"/>
        <w:widowControl w:val="0"/>
        <w:tabs>
          <w:tab w:val="left" w:pos="3370"/>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第四条 违约责任</w:t>
      </w:r>
    </w:p>
    <w:p w14:paraId="0BFBE4A0">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0E69AFA7">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甲方投诉联系部门：</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，联系电话：</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w:t>
      </w:r>
    </w:p>
    <w:p w14:paraId="511D4601">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（二）乙方及其工作人员违反本协议第一、三条规定。根据具体情节和造成的后果，甲方有权对乙方采取以下一种或多种处理办法：</w:t>
      </w:r>
    </w:p>
    <w:p w14:paraId="3F84AA51">
      <w:pPr>
        <w:keepNext w:val="0"/>
        <w:keepLines w:val="0"/>
        <w:pageBreakBefore w:val="0"/>
        <w:widowControl w:val="0"/>
        <w:numPr>
          <w:ilvl w:val="0"/>
          <w:numId w:val="0"/>
        </w:numPr>
        <w:tabs>
          <w:tab w:val="left" w:pos="1268"/>
        </w:tabs>
        <w:kinsoku/>
        <w:wordWrap/>
        <w:overflowPunct/>
        <w:topLinePunct w:val="0"/>
        <w:autoSpaceDE/>
        <w:autoSpaceDN/>
        <w:bidi w:val="0"/>
        <w:adjustRightInd/>
        <w:snapToGrid/>
        <w:spacing w:line="440" w:lineRule="exact"/>
        <w:ind w:leftChars="200"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1.全额收取乙方合同履约保证金不予退还；</w:t>
      </w:r>
    </w:p>
    <w:p w14:paraId="765407BF">
      <w:pPr>
        <w:keepNext w:val="0"/>
        <w:keepLines w:val="0"/>
        <w:pageBreakBefore w:val="0"/>
        <w:widowControl w:val="0"/>
        <w:numPr>
          <w:ilvl w:val="0"/>
          <w:numId w:val="0"/>
        </w:numPr>
        <w:tabs>
          <w:tab w:val="left" w:pos="1268"/>
        </w:tabs>
        <w:kinsoku/>
        <w:wordWrap/>
        <w:overflowPunct/>
        <w:topLinePunct w:val="0"/>
        <w:autoSpaceDE/>
        <w:autoSpaceDN/>
        <w:bidi w:val="0"/>
        <w:adjustRightInd/>
        <w:snapToGrid/>
        <w:spacing w:line="440" w:lineRule="exact"/>
        <w:ind w:leftChars="200"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2.追究乙方其他违约责任；</w:t>
      </w:r>
    </w:p>
    <w:p w14:paraId="25F6544F">
      <w:pPr>
        <w:keepNext w:val="0"/>
        <w:keepLines w:val="0"/>
        <w:pageBreakBefore w:val="0"/>
        <w:widowControl w:val="0"/>
        <w:numPr>
          <w:ilvl w:val="0"/>
          <w:numId w:val="0"/>
        </w:numPr>
        <w:tabs>
          <w:tab w:val="left" w:pos="1268"/>
        </w:tabs>
        <w:kinsoku/>
        <w:wordWrap/>
        <w:overflowPunct/>
        <w:topLinePunct w:val="0"/>
        <w:autoSpaceDE/>
        <w:autoSpaceDN/>
        <w:bidi w:val="0"/>
        <w:adjustRightInd/>
        <w:snapToGrid/>
        <w:spacing w:line="440" w:lineRule="exact"/>
        <w:ind w:leftChars="200"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3.终止或解除双方已签订的包括本合同在内的所有合同；</w:t>
      </w:r>
    </w:p>
    <w:p w14:paraId="0B6FD19B">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4.乙方一定期限内（6个月至3年，具体由甲方根据情况而定）不得参与甲方作为发包人（业主）的工程项目投标。</w:t>
      </w:r>
    </w:p>
    <w:p w14:paraId="1352F73C">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甲方作出的处理意见，乙方应无条件接受并承担给甲方造成的损失，全额返还通过不正当手段从甲方获取的非法所得，并承担相应的法律责任。</w:t>
      </w:r>
    </w:p>
    <w:p w14:paraId="15891DC3">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第五条 双方约定</w:t>
      </w:r>
    </w:p>
    <w:p w14:paraId="4031605E">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本协议由双方或双方上级单位负责监督。可由甲方或甲方上级单位的纪检监察部门约请乙方或乙方上级单位的纪检监察部门对本协议履行情况进行检查，提出在本协议规定范围内的裁定意见。</w:t>
      </w:r>
    </w:p>
    <w:p w14:paraId="1C5470E7">
      <w:pPr>
        <w:keepNext w:val="0"/>
        <w:keepLines w:val="0"/>
        <w:pageBreakBefore w:val="0"/>
        <w:widowControl w:val="0"/>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第六条 本协议有效期为甲乙双方签署之日起至合同终止。</w:t>
      </w:r>
    </w:p>
    <w:p w14:paraId="797C6407">
      <w:pPr>
        <w:keepNext w:val="0"/>
        <w:keepLines w:val="0"/>
        <w:pageBreakBefore w:val="0"/>
        <w:widowControl w:val="0"/>
        <w:tabs>
          <w:tab w:val="left" w:pos="4890"/>
          <w:tab w:val="left" w:pos="5578"/>
        </w:tabs>
        <w:kinsoku/>
        <w:wordWrap/>
        <w:overflowPunct/>
        <w:topLinePunct w:val="0"/>
        <w:autoSpaceDE/>
        <w:autoSpaceDN/>
        <w:bidi w:val="0"/>
        <w:adjustRightInd/>
        <w:snapToGrid/>
        <w:spacing w:after="0" w:afterLines="0" w:line="440" w:lineRule="exact"/>
        <w:ind w:left="0" w:right="0" w:firstLine="420" w:firstLineChars="200"/>
        <w:jc w:val="both"/>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第七条 本协议作为合同的附件，与本合同具有同等法律效力。</w:t>
      </w:r>
    </w:p>
    <w:p w14:paraId="54438073">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p>
    <w:p w14:paraId="54CE46D3">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甲方（盖章）：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乙方（盖章）：</w:t>
      </w:r>
      <w:r>
        <w:rPr>
          <w:rFonts w:hint="eastAsia" w:ascii="宋体" w:hAnsi="宋体" w:cs="宋体"/>
          <w:color w:val="auto"/>
          <w:kern w:val="0"/>
          <w:sz w:val="21"/>
          <w:szCs w:val="21"/>
          <w:highlight w:val="none"/>
          <w:u w:val="single"/>
        </w:rPr>
        <w:t xml:space="preserve">                      </w:t>
      </w:r>
    </w:p>
    <w:p w14:paraId="7AAFAE33">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p>
    <w:p w14:paraId="65C1ECC0">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法定代表人或                                法定代表人或</w:t>
      </w:r>
    </w:p>
    <w:p w14:paraId="595017AF">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授权代表：</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(职务)              授权代表：</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(职务)</w:t>
      </w:r>
    </w:p>
    <w:p w14:paraId="7516FFBE">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姓名：</w:t>
      </w:r>
      <w:r>
        <w:rPr>
          <w:rFonts w:hint="eastAsia" w:ascii="宋体" w:hAnsi="宋体" w:cs="宋体"/>
          <w:color w:val="auto"/>
          <w:kern w:val="0"/>
          <w:sz w:val="21"/>
          <w:szCs w:val="21"/>
          <w:highlight w:val="none"/>
          <w:u w:val="single"/>
        </w:rPr>
        <w:t xml:space="preserve">             </w:t>
      </w:r>
    </w:p>
    <w:p w14:paraId="07CB3D45">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签字：</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签字：</w:t>
      </w:r>
      <w:r>
        <w:rPr>
          <w:rFonts w:hint="eastAsia" w:ascii="宋体" w:hAnsi="宋体" w:cs="宋体"/>
          <w:color w:val="auto"/>
          <w:kern w:val="0"/>
          <w:sz w:val="21"/>
          <w:szCs w:val="21"/>
          <w:highlight w:val="none"/>
          <w:u w:val="single"/>
        </w:rPr>
        <w:t xml:space="preserve">             </w:t>
      </w:r>
    </w:p>
    <w:p w14:paraId="1412688A">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p>
    <w:p w14:paraId="5F79DA57">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廉政监督联系人                              廉政监督联系人</w:t>
      </w:r>
    </w:p>
    <w:p w14:paraId="38ECE4FB">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姓名：</w:t>
      </w:r>
      <w:r>
        <w:rPr>
          <w:rFonts w:hint="eastAsia" w:ascii="宋体" w:hAnsi="宋体" w:cs="宋体"/>
          <w:color w:val="auto"/>
          <w:kern w:val="0"/>
          <w:sz w:val="21"/>
          <w:szCs w:val="21"/>
          <w:highlight w:val="none"/>
          <w:u w:val="single"/>
        </w:rPr>
        <w:t xml:space="preserve">                       </w:t>
      </w:r>
    </w:p>
    <w:p w14:paraId="4DFA0DA1">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签字：</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签字：</w:t>
      </w:r>
      <w:r>
        <w:rPr>
          <w:rFonts w:hint="eastAsia" w:ascii="宋体" w:hAnsi="宋体" w:cs="宋体"/>
          <w:color w:val="auto"/>
          <w:kern w:val="0"/>
          <w:sz w:val="21"/>
          <w:szCs w:val="21"/>
          <w:highlight w:val="none"/>
          <w:u w:val="single"/>
        </w:rPr>
        <w:t xml:space="preserve">                       </w:t>
      </w:r>
    </w:p>
    <w:p w14:paraId="75772C05">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电话：</w:t>
      </w:r>
      <w:r>
        <w:rPr>
          <w:rFonts w:hint="eastAsia" w:ascii="宋体" w:hAnsi="宋体" w:cs="宋体"/>
          <w:color w:val="auto"/>
          <w:kern w:val="0"/>
          <w:sz w:val="21"/>
          <w:szCs w:val="21"/>
          <w:highlight w:val="none"/>
          <w:u w:val="single"/>
        </w:rPr>
        <w:t xml:space="preserve">                       </w:t>
      </w:r>
    </w:p>
    <w:p w14:paraId="2229E06A">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地址：</w:t>
      </w:r>
      <w:r>
        <w:rPr>
          <w:rFonts w:hint="eastAsia" w:ascii="宋体" w:hAnsi="宋体" w:cs="宋体"/>
          <w:color w:val="auto"/>
          <w:kern w:val="0"/>
          <w:sz w:val="21"/>
          <w:szCs w:val="21"/>
          <w:highlight w:val="none"/>
          <w:u w:val="single"/>
        </w:rPr>
        <w:t xml:space="preserve">                       </w:t>
      </w:r>
    </w:p>
    <w:p w14:paraId="0F567046">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日期：</w:t>
      </w:r>
      <w:r>
        <w:rPr>
          <w:rFonts w:hint="eastAsia" w:ascii="宋体" w:hAnsi="宋体" w:cs="宋体"/>
          <w:color w:val="auto"/>
          <w:kern w:val="0"/>
          <w:sz w:val="21"/>
          <w:szCs w:val="21"/>
          <w:highlight w:val="none"/>
          <w:u w:val="single"/>
        </w:rPr>
        <w:t xml:space="preserve">                       </w:t>
      </w:r>
    </w:p>
    <w:p w14:paraId="4F5D7964">
      <w:pPr>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br w:type="page"/>
      </w:r>
    </w:p>
    <w:p w14:paraId="2817B589">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附件6：履约保证金</w:t>
      </w:r>
    </w:p>
    <w:p w14:paraId="251ED136">
      <w:pPr>
        <w:adjustRightInd w:val="0"/>
        <w:snapToGrid w:val="0"/>
        <w:spacing w:line="360" w:lineRule="auto"/>
        <w:jc w:val="center"/>
        <w:outlineLvl w:val="9"/>
        <w:rPr>
          <w:rFonts w:hint="eastAsia" w:ascii="宋体" w:hAnsi="宋体" w:cs="宋体"/>
          <w:b/>
          <w:bCs/>
          <w:color w:val="auto"/>
          <w:kern w:val="2"/>
          <w:sz w:val="32"/>
          <w:szCs w:val="32"/>
          <w:highlight w:val="none"/>
        </w:rPr>
      </w:pPr>
      <w:bookmarkStart w:id="176" w:name="_Toc25855"/>
      <w:bookmarkStart w:id="177" w:name="_Toc8655"/>
      <w:bookmarkStart w:id="178" w:name="_Toc95223505"/>
      <w:r>
        <w:rPr>
          <w:rFonts w:hint="eastAsia" w:ascii="宋体" w:hAnsi="宋体" w:cs="宋体"/>
          <w:b/>
          <w:bCs/>
          <w:color w:val="auto"/>
          <w:kern w:val="2"/>
          <w:sz w:val="32"/>
          <w:szCs w:val="32"/>
          <w:highlight w:val="none"/>
        </w:rPr>
        <w:t>履约保函示范文本</w:t>
      </w:r>
      <w:bookmarkEnd w:id="176"/>
      <w:bookmarkEnd w:id="177"/>
      <w:bookmarkEnd w:id="178"/>
    </w:p>
    <w:p w14:paraId="673B26B3">
      <w:pPr>
        <w:wordWrap w:val="0"/>
        <w:adjustRightInd w:val="0"/>
        <w:snapToGrid w:val="0"/>
        <w:spacing w:line="360" w:lineRule="auto"/>
        <w:jc w:val="right"/>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编号：           </w:t>
      </w:r>
    </w:p>
    <w:p w14:paraId="50DC319D">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（受益人名称）：</w:t>
      </w:r>
    </w:p>
    <w:p w14:paraId="53DF44A1">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鉴于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（以下简称“受益人”）与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（以下简称“申请人”）于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日就</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（标段编号）的</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（标段名称）</w:t>
      </w:r>
      <w:r>
        <w:rPr>
          <w:rFonts w:hint="eastAsia" w:ascii="宋体" w:hAnsi="宋体" w:cs="宋体"/>
          <w:color w:val="auto"/>
          <w:kern w:val="2"/>
          <w:sz w:val="21"/>
          <w:szCs w:val="21"/>
          <w:highlight w:val="none"/>
        </w:rPr>
        <w:t>有关事项协商一致共同签订</w:t>
      </w:r>
      <w:r>
        <w:rPr>
          <w:rFonts w:hint="eastAsia" w:ascii="宋体" w:hAnsi="宋体" w:cs="宋体"/>
          <w:color w:val="auto"/>
          <w:kern w:val="2"/>
          <w:sz w:val="21"/>
          <w:szCs w:val="21"/>
          <w:highlight w:val="none"/>
          <w:u w:val="single"/>
        </w:rPr>
        <w:t>《        》</w:t>
      </w:r>
      <w:r>
        <w:rPr>
          <w:rFonts w:hint="eastAsia" w:ascii="宋体" w:hAnsi="宋体" w:cs="宋体"/>
          <w:color w:val="auto"/>
          <w:kern w:val="2"/>
          <w:sz w:val="21"/>
          <w:szCs w:val="21"/>
          <w:highlight w:val="none"/>
        </w:rPr>
        <w:t>（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w:t>
      </w:r>
    </w:p>
    <w:p w14:paraId="6EAFC3B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一、本保函担保范围：承包人未按照基础合同的约定履行义务，应当向受益人承担的违约责任和赔偿因此造成的损失、利息、律师费、诉讼费用等实现债权的费用。</w:t>
      </w:r>
    </w:p>
    <w:p w14:paraId="6CA1576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二、本保函担保金额最高不超过人民币（大写）</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元（¥</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94D587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三、本保函有效期自开立之日起至基础合同约定的缺陷责任期满之日止。</w:t>
      </w:r>
    </w:p>
    <w:p w14:paraId="2AB41C77">
      <w:pPr>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9"/>
        <w:rPr>
          <w:rFonts w:hint="eastAsia" w:ascii="宋体" w:hAnsi="宋体" w:cs="宋体"/>
          <w:color w:val="auto"/>
          <w:kern w:val="2"/>
          <w:sz w:val="21"/>
          <w:szCs w:val="21"/>
          <w:highlight w:val="none"/>
        </w:rPr>
      </w:pPr>
      <w:bookmarkStart w:id="179" w:name="_Hlk40302764"/>
      <w:r>
        <w:rPr>
          <w:rFonts w:hint="eastAsia" w:ascii="宋体" w:hAnsi="宋体" w:cs="宋体"/>
          <w:color w:val="auto"/>
          <w:kern w:val="2"/>
          <w:sz w:val="21"/>
          <w:szCs w:val="21"/>
          <w:highlight w:val="none"/>
        </w:rPr>
        <w:t>四、开立人承诺，在收到受益人发来的书面付款通知后的七日内无条件支付，前述书面付款通知即为付款要求之单据，且应满足以下要求：</w:t>
      </w:r>
    </w:p>
    <w:bookmarkEnd w:id="179"/>
    <w:p w14:paraId="4004E7B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（1）付款通知到达的日期在本保函的有效期内；</w:t>
      </w:r>
    </w:p>
    <w:p w14:paraId="581B87E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（2）载明要求支付的金额；</w:t>
      </w:r>
    </w:p>
    <w:p w14:paraId="580DA07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（3）载明申请人违反合同义务的条款和内容；</w:t>
      </w:r>
    </w:p>
    <w:p w14:paraId="500EBC65">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（4）声明不存在合同文件约定或我国法律规定免除申请人或开立人支付责任的情形；</w:t>
      </w:r>
    </w:p>
    <w:p w14:paraId="6704DD0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（5）付款通知应在本保函有效期内到达的地址是：</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4E52CEC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bookmarkStart w:id="180" w:name="_Hlk40303486"/>
      <w:r>
        <w:rPr>
          <w:rFonts w:hint="eastAsia" w:ascii="宋体" w:hAnsi="宋体" w:eastAsia="宋体" w:cs="宋体"/>
          <w:color w:val="auto"/>
          <w:kern w:val="2"/>
          <w:sz w:val="21"/>
          <w:szCs w:val="21"/>
          <w:highlight w:val="none"/>
        </w:rPr>
        <w:t>受益人</w:t>
      </w:r>
      <w:r>
        <w:rPr>
          <w:rFonts w:hint="eastAsia" w:ascii="宋体" w:hAnsi="宋体" w:cs="宋体"/>
          <w:color w:val="auto"/>
          <w:kern w:val="2"/>
          <w:sz w:val="21"/>
          <w:szCs w:val="21"/>
          <w:highlight w:val="none"/>
        </w:rPr>
        <w:t>发出的书面付款通知应由其法定代表人（负责人）或授权代理人签字并加盖公章。</w:t>
      </w:r>
      <w:bookmarkEnd w:id="180"/>
    </w:p>
    <w:p w14:paraId="77D50EE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五、本保函项下的权利不得转让，不得设定担保。受益人未经我方书面同意转让本保函或其项下任何权利，对我方不发生法律效力。</w:t>
      </w:r>
    </w:p>
    <w:p w14:paraId="6F4D30F0">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六、与本保函有关的基础合同不成立、不生效、无效、被撤销、被解除，不影响本保函的独立有效。</w:t>
      </w:r>
    </w:p>
    <w:p w14:paraId="6D59862F">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bookmarkStart w:id="181" w:name="_Hlk40303383"/>
      <w:bookmarkStart w:id="182" w:name="_Hlk40354981"/>
      <w:r>
        <w:rPr>
          <w:rFonts w:hint="eastAsia" w:ascii="宋体" w:hAnsi="宋体" w:cs="宋体"/>
          <w:color w:val="auto"/>
          <w:kern w:val="2"/>
          <w:sz w:val="21"/>
          <w:szCs w:val="21"/>
          <w:highlight w:val="none"/>
        </w:rPr>
        <w:t>七、本保函项下的义务和责任均在保函有效期到期后自动消灭。</w:t>
      </w:r>
    </w:p>
    <w:p w14:paraId="2D95DAB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八、本保函适用的法律为中华人民共和国法律，因本保函产生的纠纷案件，</w:t>
      </w:r>
      <w:bookmarkEnd w:id="181"/>
      <w:r>
        <w:rPr>
          <w:rFonts w:hint="eastAsia" w:ascii="宋体" w:hAnsi="宋体" w:cs="宋体"/>
          <w:color w:val="auto"/>
          <w:kern w:val="2"/>
          <w:sz w:val="21"/>
          <w:szCs w:val="21"/>
          <w:highlight w:val="none"/>
        </w:rPr>
        <w:t>由受益人所在地人民法院管辖。</w:t>
      </w:r>
    </w:p>
    <w:bookmarkEnd w:id="182"/>
    <w:p w14:paraId="125D8AE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九、本保函自我方法定代表人或授权代表签字并加盖公章之日起生效。</w:t>
      </w:r>
    </w:p>
    <w:p w14:paraId="578721E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p>
    <w:p w14:paraId="4EBC9A4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p>
    <w:p w14:paraId="104D7D5A">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开 立 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（公章）</w:t>
      </w:r>
    </w:p>
    <w:p w14:paraId="79BA196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法定代表人（或授权代表）：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w:t>
      </w:r>
    </w:p>
    <w:p w14:paraId="38F3A49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kern w:val="2"/>
          <w:sz w:val="21"/>
          <w:szCs w:val="21"/>
          <w:highlight w:val="none"/>
          <w:u w:val="single"/>
        </w:rPr>
        <w:t xml:space="preserve">                                       </w:t>
      </w:r>
    </w:p>
    <w:p w14:paraId="6F1C395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邮政编码：</w:t>
      </w:r>
      <w:r>
        <w:rPr>
          <w:rFonts w:hint="eastAsia" w:ascii="宋体" w:hAnsi="宋体" w:cs="宋体"/>
          <w:color w:val="auto"/>
          <w:kern w:val="2"/>
          <w:sz w:val="21"/>
          <w:szCs w:val="21"/>
          <w:highlight w:val="none"/>
          <w:u w:val="single"/>
        </w:rPr>
        <w:t xml:space="preserve">                 </w:t>
      </w:r>
    </w:p>
    <w:p w14:paraId="0635887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电    话：</w:t>
      </w:r>
      <w:r>
        <w:rPr>
          <w:rFonts w:hint="eastAsia" w:ascii="宋体" w:hAnsi="宋体" w:cs="宋体"/>
          <w:color w:val="auto"/>
          <w:kern w:val="2"/>
          <w:sz w:val="21"/>
          <w:szCs w:val="21"/>
          <w:highlight w:val="none"/>
          <w:u w:val="single"/>
        </w:rPr>
        <w:t xml:space="preserve">                 </w:t>
      </w:r>
    </w:p>
    <w:p w14:paraId="0D4F06E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u w:val="single"/>
        </w:rPr>
        <w:t xml:space="preserve">                 </w:t>
      </w:r>
    </w:p>
    <w:p w14:paraId="681636EA">
      <w:pPr>
        <w:keepNext w:val="0"/>
        <w:keepLines w:val="0"/>
        <w:pageBreakBefore w:val="0"/>
        <w:widowControl w:val="0"/>
        <w:kinsoku/>
        <w:wordWrap/>
        <w:overflowPunct/>
        <w:topLinePunct w:val="0"/>
        <w:autoSpaceDE/>
        <w:autoSpaceDN/>
        <w:bidi w:val="0"/>
        <w:adjustRightInd w:val="0"/>
        <w:snapToGrid w:val="0"/>
        <w:spacing w:line="340" w:lineRule="exact"/>
        <w:ind w:left="1303" w:leftChars="200" w:hanging="903" w:hangingChars="43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开立时间：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119824EF">
      <w:pPr>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br w:type="page"/>
      </w:r>
    </w:p>
    <w:p w14:paraId="567EDC21">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附件7：预付款担保</w:t>
      </w:r>
    </w:p>
    <w:p w14:paraId="6AE89291">
      <w:pPr>
        <w:adjustRightInd w:val="0"/>
        <w:snapToGrid w:val="0"/>
        <w:spacing w:line="360" w:lineRule="auto"/>
        <w:jc w:val="center"/>
        <w:outlineLvl w:val="9"/>
        <w:rPr>
          <w:rFonts w:hint="eastAsia" w:ascii="宋体" w:hAnsi="宋体" w:cs="宋体"/>
          <w:b/>
          <w:bCs/>
          <w:color w:val="auto"/>
          <w:kern w:val="2"/>
          <w:sz w:val="32"/>
          <w:szCs w:val="32"/>
          <w:highlight w:val="none"/>
        </w:rPr>
      </w:pPr>
      <w:bookmarkStart w:id="183" w:name="_Toc95223507"/>
      <w:bookmarkStart w:id="184" w:name="_Toc15322"/>
      <w:bookmarkStart w:id="185" w:name="_Toc2932"/>
      <w:r>
        <w:rPr>
          <w:rFonts w:hint="eastAsia" w:ascii="宋体" w:hAnsi="宋体" w:cs="宋体"/>
          <w:b/>
          <w:bCs/>
          <w:color w:val="auto"/>
          <w:kern w:val="2"/>
          <w:sz w:val="32"/>
          <w:szCs w:val="32"/>
          <w:highlight w:val="none"/>
        </w:rPr>
        <w:t>预付款保函示范文本</w:t>
      </w:r>
      <w:bookmarkEnd w:id="183"/>
      <w:bookmarkEnd w:id="184"/>
      <w:bookmarkEnd w:id="185"/>
    </w:p>
    <w:p w14:paraId="7A48F5E1">
      <w:pPr>
        <w:wordWrap w:val="0"/>
        <w:adjustRightInd w:val="0"/>
        <w:snapToGrid w:val="0"/>
        <w:spacing w:line="360" w:lineRule="auto"/>
        <w:jc w:val="right"/>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编号：           </w:t>
      </w:r>
    </w:p>
    <w:p w14:paraId="6BE41615">
      <w:pPr>
        <w:keepNext w:val="0"/>
        <w:keepLines w:val="0"/>
        <w:pageBreakBefore w:val="0"/>
        <w:widowControl w:val="0"/>
        <w:kinsoku/>
        <w:wordWrap/>
        <w:overflowPunct/>
        <w:topLinePunct w:val="0"/>
        <w:autoSpaceDE/>
        <w:autoSpaceDN/>
        <w:bidi w:val="0"/>
        <w:adjustRightInd w:val="0"/>
        <w:snapToGrid w:val="0"/>
        <w:spacing w:line="340" w:lineRule="exact"/>
        <w:ind w:left="0" w:leftChars="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（受益人名称）：</w:t>
      </w:r>
    </w:p>
    <w:p w14:paraId="36028EB7">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鉴于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（以下简称“受益人”）与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（以下简称“申请人”）于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日就</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（标段编号）的</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（标段名称）</w:t>
      </w:r>
      <w:r>
        <w:rPr>
          <w:rFonts w:hint="eastAsia" w:ascii="宋体" w:hAnsi="宋体" w:cs="宋体"/>
          <w:color w:val="auto"/>
          <w:kern w:val="2"/>
          <w:sz w:val="21"/>
          <w:szCs w:val="21"/>
          <w:highlight w:val="none"/>
        </w:rPr>
        <w:t>有关事项协商一致共同签订</w:t>
      </w:r>
      <w:r>
        <w:rPr>
          <w:rFonts w:hint="eastAsia" w:ascii="宋体" w:hAnsi="宋体" w:cs="宋体"/>
          <w:color w:val="auto"/>
          <w:kern w:val="2"/>
          <w:sz w:val="21"/>
          <w:szCs w:val="21"/>
          <w:highlight w:val="none"/>
          <w:u w:val="single"/>
        </w:rPr>
        <w:t>《        》</w:t>
      </w:r>
      <w:r>
        <w:rPr>
          <w:rFonts w:hint="eastAsia" w:ascii="宋体" w:hAnsi="宋体" w:cs="宋体"/>
          <w:color w:val="auto"/>
          <w:kern w:val="2"/>
          <w:sz w:val="21"/>
          <w:szCs w:val="21"/>
          <w:highlight w:val="none"/>
        </w:rPr>
        <w:t>（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w:t>
      </w:r>
    </w:p>
    <w:p w14:paraId="5DA4210A">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144D0FB7">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二、本保函担保金额最高不超过人民币（大写）</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元（¥</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691A63A">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三、本保函有效期自开立之日起至发包人全额扣回预付款之日止。</w:t>
      </w:r>
    </w:p>
    <w:p w14:paraId="439B3BDB">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四、开立人承诺，在收到受益人发来的书面付款通知后的七日内无条件支付，前述书面付款通知即为付款要求之单据，且应满足以下要求：</w:t>
      </w:r>
    </w:p>
    <w:p w14:paraId="507DA993">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（1）付款通知到达的日期在本保函的有效期内；</w:t>
      </w:r>
    </w:p>
    <w:p w14:paraId="496B7074">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（2）载明要求支付的金额；</w:t>
      </w:r>
    </w:p>
    <w:p w14:paraId="1F59C0F1">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（3）载明申请人违反合同义务的条款和内容；</w:t>
      </w:r>
    </w:p>
    <w:p w14:paraId="590D1699">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（4）声明不存在合同文件约定或我国法律规定免除申请人或开立人支付责任的情形；</w:t>
      </w:r>
    </w:p>
    <w:p w14:paraId="3B652BF5">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（5）付款通知应在本保函有效期内到达的地址是：</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92FFB7B">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受益人发出的书面付款通知应由其法定代表人（负责人）或授权代理人签字并加盖公章。</w:t>
      </w:r>
    </w:p>
    <w:p w14:paraId="52B0CA4C">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五、本保函项下的权利不得转让，不得设定担保。受益人未经开立人书面同意转让本保函或其项下任何权利，对开立人不发生法律效力。</w:t>
      </w:r>
    </w:p>
    <w:p w14:paraId="29AD38AB">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六、本保函项下的基础交易不成立、不生效、无效、被撤销、被解除，不影响本保函的独立有效。</w:t>
      </w:r>
    </w:p>
    <w:p w14:paraId="31EA73FC">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七、本保函项下的义务和责任均在保函有效期到期后自动消灭。</w:t>
      </w:r>
    </w:p>
    <w:p w14:paraId="63588113">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八、本保函适用的法律为中华人民共和国法律，因本保函产生的纠纷案件，由受益人所在地人民法院管辖。</w:t>
      </w:r>
    </w:p>
    <w:p w14:paraId="6962613A">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九、本保函自我方法定代表人或授权代表签字并加盖公章之日起生效。</w:t>
      </w:r>
    </w:p>
    <w:p w14:paraId="1CE30A53">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p>
    <w:p w14:paraId="6EB648DC">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p>
    <w:p w14:paraId="43D86586">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开 立 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 xml:space="preserve">（公章） </w:t>
      </w:r>
    </w:p>
    <w:p w14:paraId="6B3B55DB">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法定代表人（或授权代表）：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w:t>
      </w:r>
    </w:p>
    <w:p w14:paraId="1F8C1D38">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kern w:val="2"/>
          <w:sz w:val="21"/>
          <w:szCs w:val="21"/>
          <w:highlight w:val="none"/>
          <w:u w:val="single"/>
        </w:rPr>
        <w:t xml:space="preserve">                                       </w:t>
      </w:r>
    </w:p>
    <w:p w14:paraId="34D04445">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邮政编码：</w:t>
      </w:r>
      <w:r>
        <w:rPr>
          <w:rFonts w:hint="eastAsia" w:ascii="宋体" w:hAnsi="宋体" w:cs="宋体"/>
          <w:color w:val="auto"/>
          <w:kern w:val="2"/>
          <w:sz w:val="21"/>
          <w:szCs w:val="21"/>
          <w:highlight w:val="none"/>
          <w:u w:val="single"/>
        </w:rPr>
        <w:t xml:space="preserve">                 </w:t>
      </w:r>
    </w:p>
    <w:p w14:paraId="4E7C2F88">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电    话：</w:t>
      </w:r>
      <w:r>
        <w:rPr>
          <w:rFonts w:hint="eastAsia" w:ascii="宋体" w:hAnsi="宋体" w:cs="宋体"/>
          <w:color w:val="auto"/>
          <w:kern w:val="2"/>
          <w:sz w:val="21"/>
          <w:szCs w:val="21"/>
          <w:highlight w:val="none"/>
          <w:u w:val="single"/>
        </w:rPr>
        <w:t xml:space="preserve">                 </w:t>
      </w:r>
    </w:p>
    <w:p w14:paraId="574276E5">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u w:val="single"/>
        </w:rPr>
        <w:t xml:space="preserve">                 </w:t>
      </w:r>
    </w:p>
    <w:p w14:paraId="0FECAFC1">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开立时间：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7847C173">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br w:type="page"/>
      </w:r>
      <w:r>
        <w:rPr>
          <w:rFonts w:hint="eastAsia" w:ascii="宋体" w:hAnsi="宋体" w:eastAsia="宋体" w:cs="Times"/>
          <w:b/>
          <w:bCs/>
          <w:color w:val="auto"/>
          <w:kern w:val="2"/>
          <w:sz w:val="32"/>
          <w:szCs w:val="32"/>
          <w:highlight w:val="none"/>
          <w:lang w:val="en-US" w:eastAsia="zh-CN" w:bidi="ar-SA"/>
        </w:rPr>
        <w:t>附件8：支付担保</w:t>
      </w:r>
    </w:p>
    <w:p w14:paraId="145B68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bCs/>
          <w:color w:val="auto"/>
          <w:kern w:val="2"/>
          <w:sz w:val="32"/>
          <w:szCs w:val="32"/>
          <w:highlight w:val="none"/>
        </w:rPr>
      </w:pPr>
      <w:bookmarkStart w:id="186" w:name="_Toc3562"/>
      <w:bookmarkStart w:id="187" w:name="_Toc8319"/>
      <w:bookmarkStart w:id="188" w:name="_Toc95223509"/>
      <w:r>
        <w:rPr>
          <w:rFonts w:hint="eastAsia" w:ascii="宋体" w:hAnsi="宋体" w:cs="宋体"/>
          <w:b/>
          <w:bCs/>
          <w:color w:val="auto"/>
          <w:kern w:val="2"/>
          <w:sz w:val="32"/>
          <w:szCs w:val="32"/>
          <w:highlight w:val="none"/>
        </w:rPr>
        <w:t>支付保函示范文本</w:t>
      </w:r>
      <w:bookmarkEnd w:id="186"/>
      <w:bookmarkEnd w:id="187"/>
      <w:bookmarkEnd w:id="188"/>
    </w:p>
    <w:p w14:paraId="4638078F">
      <w:pPr>
        <w:wordWrap w:val="0"/>
        <w:adjustRightInd w:val="0"/>
        <w:snapToGrid w:val="0"/>
        <w:spacing w:line="360" w:lineRule="auto"/>
        <w:jc w:val="right"/>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编号：           </w:t>
      </w:r>
    </w:p>
    <w:p w14:paraId="641BB047">
      <w:pPr>
        <w:keepNext w:val="0"/>
        <w:keepLines w:val="0"/>
        <w:pageBreakBefore w:val="0"/>
        <w:widowControl w:val="0"/>
        <w:kinsoku/>
        <w:wordWrap/>
        <w:overflowPunct/>
        <w:topLinePunct w:val="0"/>
        <w:autoSpaceDE/>
        <w:autoSpaceDN/>
        <w:bidi w:val="0"/>
        <w:adjustRightInd w:val="0"/>
        <w:snapToGrid w:val="0"/>
        <w:spacing w:line="330" w:lineRule="exact"/>
        <w:ind w:left="0" w:leftChars="0"/>
        <w:textAlignment w:val="auto"/>
        <w:outlineLvl w:val="9"/>
        <w:rPr>
          <w:rFonts w:hint="eastAsia" w:ascii="宋体" w:hAnsi="宋体" w:cs="宋体"/>
          <w:color w:val="auto"/>
          <w:kern w:val="2"/>
          <w:sz w:val="21"/>
          <w:szCs w:val="21"/>
          <w:highlight w:val="none"/>
        </w:rPr>
      </w:pPr>
      <w:bookmarkStart w:id="189" w:name="_Hlk40355074"/>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（受益人名称）：</w:t>
      </w:r>
    </w:p>
    <w:bookmarkEnd w:id="189"/>
    <w:p w14:paraId="393CFF15">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鉴于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（以下简称“受益人”）与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（以下简称“申请人”）于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日就</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（标段编号）的</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（标段名称）</w:t>
      </w:r>
      <w:r>
        <w:rPr>
          <w:rFonts w:hint="eastAsia" w:ascii="宋体" w:hAnsi="宋体" w:cs="宋体"/>
          <w:color w:val="auto"/>
          <w:kern w:val="2"/>
          <w:sz w:val="21"/>
          <w:szCs w:val="21"/>
          <w:highlight w:val="none"/>
        </w:rPr>
        <w:t>有关事项协商一致共同签订</w:t>
      </w:r>
      <w:r>
        <w:rPr>
          <w:rFonts w:hint="eastAsia" w:ascii="宋体" w:hAnsi="宋体" w:cs="宋体"/>
          <w:color w:val="auto"/>
          <w:kern w:val="2"/>
          <w:sz w:val="21"/>
          <w:szCs w:val="21"/>
          <w:highlight w:val="none"/>
          <w:u w:val="single"/>
        </w:rPr>
        <w:t>《        》</w:t>
      </w:r>
      <w:r>
        <w:rPr>
          <w:rFonts w:hint="eastAsia" w:ascii="宋体" w:hAnsi="宋体" w:cs="宋体"/>
          <w:color w:val="auto"/>
          <w:kern w:val="2"/>
          <w:sz w:val="21"/>
          <w:szCs w:val="21"/>
          <w:highlight w:val="none"/>
        </w:rPr>
        <w:t>（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w:t>
      </w:r>
    </w:p>
    <w:p w14:paraId="494DE801">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一、本保函担保范围：申请人未履行基础合同约定的工程款支付义务，应当向受益人承担的违约责任和赔偿因此造成的损失、利息、律师费、诉讼费用等实现债权的费用。</w:t>
      </w:r>
    </w:p>
    <w:p w14:paraId="30BA5080">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二、本保函担保金额最高不超过人民币（大写）</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元（¥</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1BF4E26D">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三、本保函有效期自开立之日起至基础合同约定的除工程质量保修金以外的全部工程结算款项支付之日后</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日止。</w:t>
      </w:r>
    </w:p>
    <w:p w14:paraId="5FC2D7D3">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8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四、开立人承诺，在收到受益人发来的书面付款通知后的七日内无条件支付，前述书面付款通知即为付款要求之单据，且应满足以下要求：</w:t>
      </w:r>
    </w:p>
    <w:p w14:paraId="07AEC7CB">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（1）付款通知到达的日期在本保函的有效期内；</w:t>
      </w:r>
    </w:p>
    <w:p w14:paraId="6BFFAE9F">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（2）载明要求支付的金额；</w:t>
      </w:r>
    </w:p>
    <w:p w14:paraId="41D99221">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（3）载明申请人违反合同义务的条款和内容；</w:t>
      </w:r>
    </w:p>
    <w:p w14:paraId="617039AC">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（4）声明不存在合同文件约定或我国法律规定免除申请人或开立人支付责任的情形；</w:t>
      </w:r>
    </w:p>
    <w:p w14:paraId="2B4E76A8">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（5）付款通知应在本保函有效期内到达的地址是：</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5AF86C4E">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受益人</w:t>
      </w:r>
      <w:r>
        <w:rPr>
          <w:rFonts w:hint="eastAsia" w:ascii="宋体" w:hAnsi="宋体" w:cs="宋体"/>
          <w:color w:val="auto"/>
          <w:kern w:val="2"/>
          <w:sz w:val="21"/>
          <w:szCs w:val="21"/>
          <w:highlight w:val="none"/>
        </w:rPr>
        <w:t>发出的书面付款通知应由其法定代表人（负责人）或授权代理人签字并加盖公章。</w:t>
      </w:r>
    </w:p>
    <w:p w14:paraId="42AAB267">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五、本保函项下的权利不得转让，不得设定担保。受益人未经开立人书面同意转让本保函或其项下任何权利，对开立人不发生法律效力。</w:t>
      </w:r>
    </w:p>
    <w:p w14:paraId="069F4DE6">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六、本保函项下的基础交易不成立、不生效、无效、被撤销、被解除，不影响本保函的独立有效。</w:t>
      </w:r>
    </w:p>
    <w:p w14:paraId="32BB11E1">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七、本保函项下的义务和责任均在保函有效期到期后自动消灭。</w:t>
      </w:r>
    </w:p>
    <w:p w14:paraId="0AF8291A">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八、本保函适用的法律为中华人民共和国法律，因本保函产生的纠纷案件，由申请人所在地人民法院管辖。</w:t>
      </w:r>
    </w:p>
    <w:p w14:paraId="65CCBA7D">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九、本保函自我方法定代表人或授权代表签字并加盖公章之日起生效。</w:t>
      </w:r>
    </w:p>
    <w:p w14:paraId="64190834">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p>
    <w:p w14:paraId="3DB5E5D5">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开 立 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（公章）</w:t>
      </w:r>
    </w:p>
    <w:p w14:paraId="7BA3F317">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法定代表人（或授权代表）：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w:t>
      </w:r>
    </w:p>
    <w:p w14:paraId="08202382">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kern w:val="2"/>
          <w:sz w:val="21"/>
          <w:szCs w:val="21"/>
          <w:highlight w:val="none"/>
          <w:u w:val="single"/>
        </w:rPr>
        <w:t xml:space="preserve">                                       </w:t>
      </w:r>
    </w:p>
    <w:p w14:paraId="65102E6E">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邮政编码：</w:t>
      </w:r>
      <w:r>
        <w:rPr>
          <w:rFonts w:hint="eastAsia" w:ascii="宋体" w:hAnsi="宋体" w:cs="宋体"/>
          <w:color w:val="auto"/>
          <w:kern w:val="2"/>
          <w:sz w:val="21"/>
          <w:szCs w:val="21"/>
          <w:highlight w:val="none"/>
          <w:u w:val="single"/>
        </w:rPr>
        <w:t xml:space="preserve">                 </w:t>
      </w:r>
    </w:p>
    <w:p w14:paraId="5B967042">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电    话：</w:t>
      </w:r>
      <w:r>
        <w:rPr>
          <w:rFonts w:hint="eastAsia" w:ascii="宋体" w:hAnsi="宋体" w:cs="宋体"/>
          <w:color w:val="auto"/>
          <w:kern w:val="2"/>
          <w:sz w:val="21"/>
          <w:szCs w:val="21"/>
          <w:highlight w:val="none"/>
          <w:u w:val="single"/>
        </w:rPr>
        <w:t xml:space="preserve">                 </w:t>
      </w:r>
    </w:p>
    <w:p w14:paraId="07BCC725">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u w:val="single"/>
        </w:rPr>
        <w:t xml:space="preserve">                 </w:t>
      </w:r>
    </w:p>
    <w:p w14:paraId="15ACDACA">
      <w:pPr>
        <w:keepNext w:val="0"/>
        <w:keepLines w:val="0"/>
        <w:pageBreakBefore w:val="0"/>
        <w:widowControl w:val="0"/>
        <w:kinsoku/>
        <w:wordWrap/>
        <w:overflowPunct/>
        <w:topLinePunct w:val="0"/>
        <w:autoSpaceDE/>
        <w:autoSpaceDN/>
        <w:bidi w:val="0"/>
        <w:adjustRightInd w:val="0"/>
        <w:snapToGrid w:val="0"/>
        <w:spacing w:line="330" w:lineRule="exact"/>
        <w:ind w:left="0" w:leftChars="0" w:firstLine="420" w:firstLineChars="200"/>
        <w:textAlignment w:val="auto"/>
        <w:outlineLvl w:val="9"/>
        <w:rPr>
          <w:rFonts w:hint="eastAsia"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开立</w:t>
      </w:r>
      <w:r>
        <w:rPr>
          <w:rFonts w:hint="eastAsia" w:ascii="宋体" w:hAnsi="宋体" w:cs="宋体"/>
          <w:color w:val="auto"/>
          <w:kern w:val="2"/>
          <w:sz w:val="21"/>
          <w:szCs w:val="21"/>
          <w:highlight w:val="none"/>
        </w:rPr>
        <w:t>时间：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028ACA40">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br w:type="page"/>
      </w:r>
      <w:r>
        <w:rPr>
          <w:rFonts w:hint="eastAsia" w:ascii="宋体" w:hAnsi="宋体" w:eastAsia="宋体" w:cs="Times"/>
          <w:b/>
          <w:bCs/>
          <w:color w:val="auto"/>
          <w:kern w:val="2"/>
          <w:sz w:val="32"/>
          <w:szCs w:val="32"/>
          <w:highlight w:val="none"/>
          <w:lang w:val="en-US" w:eastAsia="zh-CN" w:bidi="ar-SA"/>
        </w:rPr>
        <w:t>附件9：安全生产合同</w:t>
      </w:r>
    </w:p>
    <w:p w14:paraId="5D2D2782">
      <w:pPr>
        <w:adjustRightInd w:val="0"/>
        <w:snapToGrid w:val="0"/>
        <w:spacing w:line="360" w:lineRule="auto"/>
        <w:jc w:val="center"/>
        <w:outlineLvl w:val="9"/>
        <w:rPr>
          <w:rFonts w:hint="eastAsia" w:ascii="宋体" w:hAnsi="宋体" w:cs="宋体"/>
          <w:b/>
          <w:color w:val="auto"/>
          <w:kern w:val="2"/>
          <w:sz w:val="32"/>
          <w:szCs w:val="32"/>
          <w:highlight w:val="none"/>
        </w:rPr>
      </w:pPr>
      <w:bookmarkStart w:id="190" w:name="_Toc95223512"/>
      <w:bookmarkStart w:id="191" w:name="_Toc16956"/>
      <w:bookmarkStart w:id="192" w:name="_Toc32439"/>
      <w:r>
        <w:rPr>
          <w:rFonts w:hint="eastAsia" w:ascii="宋体" w:hAnsi="宋体" w:cs="宋体"/>
          <w:b/>
          <w:color w:val="auto"/>
          <w:kern w:val="2"/>
          <w:sz w:val="32"/>
          <w:szCs w:val="32"/>
          <w:highlight w:val="none"/>
        </w:rPr>
        <w:t>安全生产合同</w:t>
      </w:r>
      <w:bookmarkEnd w:id="190"/>
      <w:bookmarkEnd w:id="191"/>
      <w:bookmarkEnd w:id="192"/>
    </w:p>
    <w:p w14:paraId="728C3B41">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为在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（项目名称）</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（标段）施工合同的实施过程中创造安全、高效的施工环境，切实搞好本项目的安全管理工作，本项目发包人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（发包人名称，以下简称“发包人”）与承包人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（承包人名称，以下简称“承包人”）特此签订安全生产合同：</w:t>
      </w:r>
    </w:p>
    <w:p w14:paraId="2249D643">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1.发包人职责</w:t>
      </w:r>
    </w:p>
    <w:p w14:paraId="29ED0D19">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（1）严格遵守国家有关安全生产的法律法规，认真执行工程承包合同中的有关安全要求。</w:t>
      </w:r>
    </w:p>
    <w:p w14:paraId="43E5B1D2">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（2）按照“安全第一、预防为主”和坚持“管生产必须管安全”的原则进行安全生产管理，做到生产与安全工作同时计划、布置、检查、总结和评比。</w:t>
      </w:r>
    </w:p>
    <w:p w14:paraId="7AEAE703">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（3）重要的安全设施必须坚持与主体工程“三同时”的原则，即：同时设计、审批，同时施工，同时验收，投入使用。</w:t>
      </w:r>
    </w:p>
    <w:p w14:paraId="3553C161">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（4）定期召开安全生产调度会，及时传达中央及地方有关安全生产的精神。</w:t>
      </w:r>
    </w:p>
    <w:p w14:paraId="1AFA694E">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（5）组织对承包人施工现场安全生产检查，监督承包人及时处理发现的各种安全隐患。</w:t>
      </w:r>
    </w:p>
    <w:p w14:paraId="1E73AB5D">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2.承包人职责</w:t>
      </w:r>
    </w:p>
    <w:p w14:paraId="07106EA4">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0FA3FC70">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6B7582">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3B6ADC0D">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（4）承包人在任何时候都应采取各种合理的预防措施，防止其员工发生任何违法、违禁、暴力或妨碍治安的行为。</w:t>
      </w:r>
    </w:p>
    <w:p w14:paraId="402C4BB3">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1CDB37F">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52BF416">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（7）操作人员上岗，必须按规定穿戴防护用品。施工负责人和安全检查员应随时检查劳动防护用品的穿戴情况，不按规定穿戴防护用品的人员不得上岗。</w:t>
      </w:r>
    </w:p>
    <w:p w14:paraId="123E28A4">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（8）所有施工机具设备和高空作业的设备均应定期检查，并有安全员的签字记录，保证其经常处于完好状态；不合格的机具、设备和劳动保护用品严禁使用：</w:t>
      </w:r>
    </w:p>
    <w:p w14:paraId="0415140C">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（9）施工中采用新技术、新工艺、新设备、新材料时，必须制定相应的安全技术措施，施工现场必须具有相关的安全标志牌。</w:t>
      </w:r>
    </w:p>
    <w:p w14:paraId="55CEF150">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BB7A31C">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（11）安全生产费用按照《建设工程安全生产管理条例》的相关规定使用和管理。</w:t>
      </w:r>
    </w:p>
    <w:p w14:paraId="3A1F5533">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3.违约责任</w:t>
      </w:r>
    </w:p>
    <w:p w14:paraId="23F797CB">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如因发包人或承包人违约造成安全事故，将依法追究责任。</w:t>
      </w:r>
    </w:p>
    <w:p w14:paraId="79CDC894">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4.本合同由双方法定代表人或其授权的代理人签署并加盖单位章后生效，全部工程竣工验收后失效。</w:t>
      </w:r>
    </w:p>
    <w:p w14:paraId="14F9C4B4">
      <w:pPr>
        <w:spacing w:line="360" w:lineRule="auto"/>
        <w:ind w:firstLine="420" w:firstLineChars="20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5.本合同正本—式</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份，副本</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份，合同双方各执正本—份，副本</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份，当正本与副本的内容不一致时，以正本为准。</w:t>
      </w:r>
    </w:p>
    <w:p w14:paraId="7B02401F">
      <w:pPr>
        <w:spacing w:line="360" w:lineRule="auto"/>
        <w:outlineLvl w:val="9"/>
        <w:rPr>
          <w:rFonts w:hint="eastAsia" w:ascii="宋体" w:hAnsi="宋体" w:cs="宋体"/>
          <w:color w:val="auto"/>
          <w:kern w:val="2"/>
          <w:sz w:val="21"/>
          <w:szCs w:val="21"/>
          <w:highlight w:val="none"/>
        </w:rPr>
      </w:pPr>
    </w:p>
    <w:p w14:paraId="792F9AA5">
      <w:pPr>
        <w:spacing w:line="360" w:lineRule="auto"/>
        <w:outlineLvl w:val="9"/>
        <w:rPr>
          <w:rFonts w:hint="eastAsia" w:ascii="宋体" w:hAnsi="宋体" w:cs="宋体"/>
          <w:color w:val="auto"/>
          <w:kern w:val="2"/>
          <w:sz w:val="21"/>
          <w:szCs w:val="21"/>
          <w:highlight w:val="none"/>
        </w:rPr>
      </w:pPr>
    </w:p>
    <w:p w14:paraId="0732B732">
      <w:pPr>
        <w:spacing w:line="360" w:lineRule="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发包人：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（盖单位章）           承包人：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（盖单位章）</w:t>
      </w:r>
    </w:p>
    <w:p w14:paraId="06D640A3">
      <w:pPr>
        <w:spacing w:line="360" w:lineRule="auto"/>
        <w:outlineLvl w:val="9"/>
        <w:rPr>
          <w:rFonts w:hint="eastAsia" w:ascii="宋体" w:hAnsi="宋体" w:cs="宋体"/>
          <w:color w:val="auto"/>
          <w:kern w:val="2"/>
          <w:sz w:val="21"/>
          <w:szCs w:val="21"/>
          <w:highlight w:val="none"/>
        </w:rPr>
      </w:pPr>
    </w:p>
    <w:p w14:paraId="2C86BA91">
      <w:pPr>
        <w:spacing w:line="360" w:lineRule="auto"/>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法定代表人或其委托代理人：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           法定代表人或其委托代理人：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w:t>
      </w:r>
    </w:p>
    <w:p w14:paraId="18C7677C">
      <w:pPr>
        <w:spacing w:line="360" w:lineRule="auto"/>
        <w:outlineLvl w:val="9"/>
        <w:rPr>
          <w:rFonts w:hint="eastAsia" w:ascii="宋体" w:hAnsi="宋体" w:cs="宋体"/>
          <w:color w:val="auto"/>
          <w:kern w:val="2"/>
          <w:sz w:val="21"/>
          <w:szCs w:val="21"/>
          <w:highlight w:val="none"/>
        </w:rPr>
      </w:pPr>
    </w:p>
    <w:p w14:paraId="10F10309">
      <w:pPr>
        <w:spacing w:line="360" w:lineRule="auto"/>
        <w:ind w:firstLine="840"/>
        <w:outlineLvl w:val="9"/>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 xml:space="preserve">日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5EAB21EA">
      <w:pPr>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br w:type="page"/>
      </w:r>
    </w:p>
    <w:p w14:paraId="413C18EF">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Times"/>
          <w:b/>
          <w:bCs/>
          <w:color w:val="auto"/>
          <w:kern w:val="2"/>
          <w:sz w:val="32"/>
          <w:szCs w:val="32"/>
          <w:highlight w:val="none"/>
          <w:lang w:val="en-US" w:eastAsia="zh-CN" w:bidi="ar-SA"/>
        </w:rPr>
        <w:t>附件10：项目经理质量终身责任制承诺</w:t>
      </w:r>
    </w:p>
    <w:p w14:paraId="7440CC69">
      <w:pPr>
        <w:adjustRightInd w:val="0"/>
        <w:snapToGrid w:val="0"/>
        <w:spacing w:line="360" w:lineRule="auto"/>
        <w:jc w:val="center"/>
        <w:outlineLvl w:val="9"/>
        <w:rPr>
          <w:rFonts w:hint="eastAsia" w:ascii="宋体" w:hAnsi="宋体" w:cs="宋体"/>
          <w:b/>
          <w:color w:val="auto"/>
          <w:kern w:val="2"/>
          <w:sz w:val="32"/>
          <w:szCs w:val="32"/>
          <w:highlight w:val="none"/>
        </w:rPr>
      </w:pPr>
      <w:bookmarkStart w:id="193" w:name="_Toc19059"/>
      <w:bookmarkStart w:id="194" w:name="_Toc20282"/>
      <w:bookmarkStart w:id="195" w:name="_Toc95223514"/>
      <w:r>
        <w:rPr>
          <w:rFonts w:hint="eastAsia" w:ascii="宋体" w:hAnsi="宋体" w:cs="宋体"/>
          <w:b/>
          <w:color w:val="auto"/>
          <w:kern w:val="2"/>
          <w:sz w:val="32"/>
          <w:szCs w:val="32"/>
          <w:highlight w:val="none"/>
        </w:rPr>
        <w:t>项目经理质量终身责任制承诺</w:t>
      </w:r>
      <w:bookmarkEnd w:id="193"/>
      <w:bookmarkEnd w:id="194"/>
      <w:bookmarkEnd w:id="195"/>
    </w:p>
    <w:p w14:paraId="78E7B18C">
      <w:pPr>
        <w:adjustRightInd w:val="0"/>
        <w:snapToGrid w:val="0"/>
        <w:spacing w:line="360" w:lineRule="auto"/>
        <w:jc w:val="center"/>
        <w:outlineLvl w:val="9"/>
        <w:rPr>
          <w:rFonts w:hint="eastAsia" w:ascii="宋体" w:hAnsi="宋体" w:cs="宋体"/>
          <w:b/>
          <w:color w:val="auto"/>
          <w:kern w:val="2"/>
          <w:sz w:val="32"/>
          <w:szCs w:val="32"/>
          <w:highlight w:val="none"/>
        </w:rPr>
      </w:pPr>
    </w:p>
    <w:p w14:paraId="3C1CE4E8">
      <w:pPr>
        <w:adjustRightInd w:val="0"/>
        <w:snapToGrid w:val="0"/>
        <w:spacing w:line="360" w:lineRule="auto"/>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致：______________(招标人名称)</w:t>
      </w:r>
    </w:p>
    <w:p w14:paraId="0AAC02FA">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本人作为拟委任的施工项目经理，承担相关质量终身责任，现郑重承诺如下：</w:t>
      </w:r>
    </w:p>
    <w:p w14:paraId="2EA317AF">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一、在取得施工许可证后进行施工。</w:t>
      </w:r>
    </w:p>
    <w:p w14:paraId="7BB18B12">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二、严格执行施工规范及标准。</w:t>
      </w:r>
    </w:p>
    <w:p w14:paraId="3169B4C7">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三、严格按规定配备施工项目部关键岗位人员，并确保所有人员到岗履职。</w:t>
      </w:r>
    </w:p>
    <w:p w14:paraId="1DFA62A4">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四、严格按照经施工图审查机构审查合格的工程设计文件及合同约定的质量标准精心组织施工。</w:t>
      </w:r>
    </w:p>
    <w:p w14:paraId="5EC4E10A">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五、施工中采用合格的建筑材料、建筑构配件和设备等，并严格按规定执行见证取样制度。</w:t>
      </w:r>
    </w:p>
    <w:p w14:paraId="0C81D49C">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六、建立、健全质量检查、验收制度，严格工序管理，做好隐蔽工程质量的检查和记录。</w:t>
      </w:r>
    </w:p>
    <w:p w14:paraId="2C041AC3">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七、对施工中出现的质量问题，及时进行整改。严格依法依规履行义务。</w:t>
      </w:r>
    </w:p>
    <w:p w14:paraId="36BC388C">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八、履行相关工程质量检查、验收及事故处理等职责。</w:t>
      </w:r>
    </w:p>
    <w:p w14:paraId="28E0D675">
      <w:pPr>
        <w:adjustRightInd w:val="0"/>
        <w:snapToGrid w:val="0"/>
        <w:spacing w:line="360" w:lineRule="auto"/>
        <w:ind w:firstLine="480" w:firstLineChars="2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九、履行其他法律法规规定的职责。</w:t>
      </w:r>
    </w:p>
    <w:p w14:paraId="5BF40075">
      <w:pPr>
        <w:spacing w:line="360" w:lineRule="auto"/>
        <w:ind w:left="342" w:leftChars="171" w:firstLine="720" w:firstLineChars="300"/>
        <w:outlineLvl w:val="9"/>
        <w:rPr>
          <w:rFonts w:hint="eastAsia" w:ascii="宋体" w:hAnsi="宋体" w:cs="宋体"/>
          <w:bCs/>
          <w:color w:val="auto"/>
          <w:kern w:val="2"/>
          <w:sz w:val="24"/>
          <w:szCs w:val="21"/>
          <w:highlight w:val="none"/>
        </w:rPr>
      </w:pPr>
    </w:p>
    <w:p w14:paraId="7D3328D8">
      <w:pPr>
        <w:spacing w:line="360" w:lineRule="auto"/>
        <w:ind w:left="342" w:leftChars="171" w:firstLine="720" w:firstLineChars="300"/>
        <w:outlineLvl w:val="9"/>
        <w:rPr>
          <w:rFonts w:hint="eastAsia" w:ascii="宋体" w:hAnsi="宋体" w:cs="宋体"/>
          <w:bCs/>
          <w:color w:val="auto"/>
          <w:kern w:val="2"/>
          <w:sz w:val="24"/>
          <w:szCs w:val="21"/>
          <w:highlight w:val="none"/>
        </w:rPr>
      </w:pPr>
    </w:p>
    <w:p w14:paraId="13E65761">
      <w:pPr>
        <w:spacing w:line="360" w:lineRule="auto"/>
        <w:ind w:left="342" w:leftChars="171" w:firstLine="720" w:firstLineChars="3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项目经理：</w:t>
      </w:r>
      <w:r>
        <w:rPr>
          <w:rFonts w:hint="eastAsia" w:ascii="宋体" w:hAnsi="宋体" w:cs="宋体"/>
          <w:bCs/>
          <w:color w:val="auto"/>
          <w:kern w:val="2"/>
          <w:sz w:val="24"/>
          <w:szCs w:val="21"/>
          <w:highlight w:val="none"/>
          <w:u w:val="single"/>
        </w:rPr>
        <w:t xml:space="preserve">                   </w:t>
      </w:r>
      <w:r>
        <w:rPr>
          <w:rFonts w:hint="eastAsia" w:ascii="宋体" w:hAnsi="宋体" w:cs="宋体"/>
          <w:bCs/>
          <w:color w:val="auto"/>
          <w:kern w:val="2"/>
          <w:sz w:val="24"/>
          <w:szCs w:val="21"/>
          <w:highlight w:val="none"/>
        </w:rPr>
        <w:t>（签字）</w:t>
      </w:r>
    </w:p>
    <w:p w14:paraId="1B5ECD69">
      <w:pPr>
        <w:spacing w:line="360" w:lineRule="auto"/>
        <w:ind w:left="342" w:leftChars="171" w:firstLine="720" w:firstLineChars="300"/>
        <w:outlineLvl w:val="9"/>
        <w:rPr>
          <w:rFonts w:hint="eastAsia" w:ascii="宋体" w:hAnsi="宋体" w:cs="宋体"/>
          <w:bCs/>
          <w:color w:val="auto"/>
          <w:kern w:val="2"/>
          <w:sz w:val="24"/>
          <w:szCs w:val="21"/>
          <w:highlight w:val="none"/>
        </w:rPr>
      </w:pPr>
      <w:r>
        <w:rPr>
          <w:rFonts w:hint="eastAsia" w:ascii="宋体" w:hAnsi="宋体" w:cs="宋体"/>
          <w:bCs/>
          <w:color w:val="auto"/>
          <w:kern w:val="2"/>
          <w:sz w:val="24"/>
          <w:szCs w:val="21"/>
          <w:highlight w:val="none"/>
        </w:rPr>
        <w:t>日期：_____年____月____日</w:t>
      </w:r>
    </w:p>
    <w:p w14:paraId="5DED46A7">
      <w:pPr>
        <w:keepNext w:val="0"/>
        <w:keepLines w:val="0"/>
        <w:widowControl w:val="0"/>
        <w:wordWrap/>
        <w:topLinePunct w:val="0"/>
        <w:adjustRightInd w:val="0"/>
        <w:snapToGrid w:val="0"/>
        <w:spacing w:before="0" w:beforeLines="0" w:after="0" w:afterLines="0" w:line="360" w:lineRule="auto"/>
        <w:ind w:firstLine="0" w:firstLineChars="0"/>
        <w:jc w:val="both"/>
        <w:outlineLvl w:val="9"/>
        <w:rPr>
          <w:rFonts w:hint="eastAsia" w:ascii="宋体" w:hAnsi="宋体" w:eastAsia="宋体" w:cs="Times"/>
          <w:b/>
          <w:bCs/>
          <w:color w:val="auto"/>
          <w:kern w:val="2"/>
          <w:sz w:val="32"/>
          <w:szCs w:val="32"/>
          <w:highlight w:val="none"/>
          <w:lang w:val="en-US" w:eastAsia="zh-CN" w:bidi="ar-SA"/>
        </w:rPr>
      </w:pPr>
      <w:r>
        <w:rPr>
          <w:rFonts w:hint="eastAsia" w:ascii="宋体" w:hAnsi="宋体" w:eastAsia="宋体" w:cs="宋体"/>
          <w:b/>
          <w:bCs/>
          <w:color w:val="auto"/>
          <w:kern w:val="2"/>
          <w:sz w:val="32"/>
          <w:szCs w:val="21"/>
          <w:highlight w:val="none"/>
          <w:lang w:val="en-US" w:eastAsia="zh-CN" w:bidi="ar-SA"/>
        </w:rPr>
        <w:br w:type="page"/>
      </w:r>
      <w:r>
        <w:rPr>
          <w:rFonts w:hint="eastAsia" w:ascii="宋体" w:hAnsi="宋体" w:eastAsia="宋体" w:cs="Times"/>
          <w:b/>
          <w:bCs/>
          <w:color w:val="auto"/>
          <w:kern w:val="2"/>
          <w:sz w:val="32"/>
          <w:szCs w:val="32"/>
          <w:highlight w:val="none"/>
          <w:lang w:val="en-US" w:eastAsia="zh-CN" w:bidi="ar-SA"/>
        </w:rPr>
        <w:t>附件11：投标报价、计价方式及合同形式价款确定</w:t>
      </w:r>
    </w:p>
    <w:p w14:paraId="668D55BB">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词语定义：</w:t>
      </w:r>
    </w:p>
    <w:p w14:paraId="6921D035">
      <w:pPr>
        <w:keepNext w:val="0"/>
        <w:keepLines w:val="0"/>
        <w:pageBreakBefore w:val="0"/>
        <w:widowControl w:val="0"/>
        <w:numPr>
          <w:ilvl w:val="0"/>
          <w:numId w:val="0"/>
        </w:numPr>
        <w:tabs>
          <w:tab w:val="left" w:pos="854"/>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1.签约合同价格：本项目签约合同价形式为中标人所报下浮率。</w:t>
      </w:r>
    </w:p>
    <w:p w14:paraId="6A784868">
      <w:pPr>
        <w:keepNext w:val="0"/>
        <w:keepLines w:val="0"/>
        <w:pageBreakBefore w:val="0"/>
        <w:widowControl w:val="0"/>
        <w:numPr>
          <w:ilvl w:val="0"/>
          <w:numId w:val="0"/>
        </w:numPr>
        <w:tabs>
          <w:tab w:val="left" w:pos="854"/>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经核对确认的控制价：系指建设内容、施工图经招标人确认、图纸审查合格后，由招标人委托造价机构按工程量清单计价规则和市场价格编制的工程量清单及控制价，并由发包人、承包人核对确认的价款。以下简称控制价，控制价的单位是元。</w:t>
      </w:r>
    </w:p>
    <w:p w14:paraId="53BA396B">
      <w:pPr>
        <w:keepNext w:val="0"/>
        <w:keepLines w:val="0"/>
        <w:pageBreakBefore w:val="0"/>
        <w:widowControl w:val="0"/>
        <w:numPr>
          <w:ilvl w:val="0"/>
          <w:numId w:val="0"/>
        </w:numPr>
        <w:tabs>
          <w:tab w:val="left" w:pos="854"/>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lang w:val="en-US" w:eastAsia="zh-CN"/>
        </w:rPr>
        <w:t>3.</w:t>
      </w:r>
      <w:r>
        <w:rPr>
          <w:rFonts w:hint="eastAsia" w:ascii="宋体" w:hAnsi="宋体" w:eastAsia="宋体" w:cs="宋体"/>
          <w:b/>
          <w:color w:val="auto"/>
          <w:spacing w:val="0"/>
          <w:w w:val="100"/>
          <w:kern w:val="2"/>
          <w:sz w:val="21"/>
          <w:szCs w:val="21"/>
          <w:highlight w:val="none"/>
        </w:rPr>
        <w:t>造价管理部门备案的控制价：造价咨询机构编制的双方核对后提交造价管理部门备案的控制价（如有）。</w:t>
      </w:r>
    </w:p>
    <w:p w14:paraId="74CD87ED">
      <w:pPr>
        <w:keepNext w:val="0"/>
        <w:keepLines w:val="0"/>
        <w:pageBreakBefore w:val="0"/>
        <w:widowControl w:val="0"/>
        <w:numPr>
          <w:ilvl w:val="0"/>
          <w:numId w:val="0"/>
        </w:numPr>
        <w:tabs>
          <w:tab w:val="left" w:pos="854"/>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4.合同价格：合同价=（控制价-经询价方式（或采购方式）确定的设备材料价格）*（1-中标下浮率）+经询价方式（或采购方式）确定的设备材料价格。合同价单位是元。</w:t>
      </w:r>
    </w:p>
    <w:p w14:paraId="60526592">
      <w:pPr>
        <w:keepNext w:val="0"/>
        <w:keepLines w:val="0"/>
        <w:pageBreakBefore w:val="0"/>
        <w:widowControl w:val="0"/>
        <w:numPr>
          <w:ilvl w:val="0"/>
          <w:numId w:val="0"/>
        </w:numPr>
        <w:tabs>
          <w:tab w:val="left" w:pos="854"/>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5.结算价：系指发包人委托的造价咨询机构出具的结算审核金额，再扣减合同期间双方约定的违约处罚金额后的总价。结算价单位是元。</w:t>
      </w:r>
    </w:p>
    <w:p w14:paraId="1D518AE4">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一、计价综述</w:t>
      </w:r>
    </w:p>
    <w:p w14:paraId="2B4D0C19">
      <w:pPr>
        <w:keepNext w:val="0"/>
        <w:keepLines w:val="0"/>
        <w:pageBreakBefore w:val="0"/>
        <w:widowControl w:val="0"/>
        <w:numPr>
          <w:ilvl w:val="0"/>
          <w:numId w:val="0"/>
        </w:numPr>
        <w:tabs>
          <w:tab w:val="left" w:pos="883"/>
        </w:tabs>
        <w:kinsoku/>
        <w:wordWrap/>
        <w:overflowPunct/>
        <w:topLinePunct w:val="0"/>
        <w:autoSpaceDE/>
        <w:autoSpaceDN/>
        <w:bidi w:val="0"/>
        <w:adjustRightInd/>
        <w:snapToGrid/>
        <w:spacing w:line="420" w:lineRule="exact"/>
        <w:ind w:leftChars="200" w:right="0" w:rightChars="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lang w:val="en-US" w:eastAsia="zh-CN"/>
        </w:rPr>
        <w:t>1.</w:t>
      </w:r>
      <w:r>
        <w:rPr>
          <w:rFonts w:hint="eastAsia" w:ascii="宋体" w:hAnsi="宋体" w:eastAsia="宋体" w:cs="宋体"/>
          <w:b/>
          <w:color w:val="auto"/>
          <w:spacing w:val="0"/>
          <w:w w:val="100"/>
          <w:kern w:val="2"/>
          <w:sz w:val="21"/>
          <w:szCs w:val="21"/>
          <w:highlight w:val="none"/>
        </w:rPr>
        <w:t>招投标环节：</w:t>
      </w:r>
    </w:p>
    <w:p w14:paraId="1FE595CB">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通过招投标环节，确定中标单位以及中标下浮率。</w:t>
      </w:r>
    </w:p>
    <w:p w14:paraId="4EFEF13B">
      <w:pPr>
        <w:keepNext w:val="0"/>
        <w:keepLines w:val="0"/>
        <w:pageBreakBefore w:val="0"/>
        <w:widowControl w:val="0"/>
        <w:numPr>
          <w:ilvl w:val="0"/>
          <w:numId w:val="0"/>
        </w:numPr>
        <w:tabs>
          <w:tab w:val="left" w:pos="883"/>
        </w:tabs>
        <w:kinsoku/>
        <w:wordWrap/>
        <w:overflowPunct/>
        <w:topLinePunct w:val="0"/>
        <w:autoSpaceDE/>
        <w:autoSpaceDN/>
        <w:bidi w:val="0"/>
        <w:adjustRightInd/>
        <w:snapToGrid/>
        <w:spacing w:line="420" w:lineRule="exact"/>
        <w:ind w:leftChars="200" w:right="0" w:rightChars="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lang w:val="en-US" w:eastAsia="zh-CN"/>
        </w:rPr>
        <w:t>2.</w:t>
      </w:r>
      <w:r>
        <w:rPr>
          <w:rFonts w:hint="eastAsia" w:ascii="宋体" w:hAnsi="宋体" w:eastAsia="宋体" w:cs="宋体"/>
          <w:b/>
          <w:color w:val="auto"/>
          <w:spacing w:val="0"/>
          <w:w w:val="100"/>
          <w:kern w:val="2"/>
          <w:sz w:val="21"/>
          <w:szCs w:val="21"/>
          <w:highlight w:val="none"/>
        </w:rPr>
        <w:t>设计环节：</w:t>
      </w:r>
    </w:p>
    <w:p w14:paraId="72EDAB57">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按照发包人确定各单项工程实施先后顺序（发包人有权过程根据实际情况调整单项工程的实施顺序），进行安排设计，设计成果须经发包人批准，最终各单项工程勘察设计成果经图审合格后，按照发包人要求的勘察设计成果文件份数提交至发包人处备案。</w:t>
      </w:r>
    </w:p>
    <w:p w14:paraId="233AC947">
      <w:pPr>
        <w:keepNext w:val="0"/>
        <w:keepLines w:val="0"/>
        <w:pageBreakBefore w:val="0"/>
        <w:widowControl w:val="0"/>
        <w:numPr>
          <w:ilvl w:val="0"/>
          <w:numId w:val="0"/>
        </w:numPr>
        <w:tabs>
          <w:tab w:val="left" w:pos="883"/>
        </w:tabs>
        <w:kinsoku/>
        <w:wordWrap/>
        <w:overflowPunct/>
        <w:topLinePunct w:val="0"/>
        <w:autoSpaceDE/>
        <w:autoSpaceDN/>
        <w:bidi w:val="0"/>
        <w:adjustRightInd/>
        <w:snapToGrid/>
        <w:spacing w:line="420" w:lineRule="exact"/>
        <w:ind w:leftChars="200" w:right="0" w:rightChars="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lang w:val="en-US" w:eastAsia="zh-CN"/>
        </w:rPr>
        <w:t>3.</w:t>
      </w:r>
      <w:r>
        <w:rPr>
          <w:rFonts w:hint="eastAsia" w:ascii="宋体" w:hAnsi="宋体" w:eastAsia="宋体" w:cs="宋体"/>
          <w:b/>
          <w:color w:val="auto"/>
          <w:spacing w:val="0"/>
          <w:w w:val="100"/>
          <w:kern w:val="2"/>
          <w:sz w:val="21"/>
          <w:szCs w:val="21"/>
          <w:highlight w:val="none"/>
        </w:rPr>
        <w:t>清单控制价编制环节：</w:t>
      </w:r>
    </w:p>
    <w:p w14:paraId="110D26CC">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发包人委托造价咨询机构编制各单项工程清单控制价，各个单项工程清单、控制价编制完成后，发包人组织造价咨询单位与承包人进行核对，经核对双方确认后，仍有争议的部分，以发包人委托的造价咨询机构价格为准，承包人须无条件服从，除价格调整因素外，一律不予调整。</w:t>
      </w:r>
    </w:p>
    <w:p w14:paraId="0C945F0E">
      <w:pPr>
        <w:keepNext w:val="0"/>
        <w:keepLines w:val="0"/>
        <w:pageBreakBefore w:val="0"/>
        <w:widowControl w:val="0"/>
        <w:numPr>
          <w:ilvl w:val="0"/>
          <w:numId w:val="0"/>
        </w:numPr>
        <w:tabs>
          <w:tab w:val="left" w:pos="883"/>
        </w:tabs>
        <w:kinsoku/>
        <w:wordWrap/>
        <w:overflowPunct/>
        <w:topLinePunct w:val="0"/>
        <w:autoSpaceDE/>
        <w:autoSpaceDN/>
        <w:bidi w:val="0"/>
        <w:adjustRightInd/>
        <w:snapToGrid/>
        <w:spacing w:line="420" w:lineRule="exact"/>
        <w:ind w:leftChars="200" w:right="0" w:rightChars="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lang w:val="en-US" w:eastAsia="zh-CN"/>
        </w:rPr>
        <w:t>4.</w:t>
      </w:r>
      <w:r>
        <w:rPr>
          <w:rFonts w:hint="eastAsia" w:ascii="宋体" w:hAnsi="宋体" w:eastAsia="宋体" w:cs="宋体"/>
          <w:b/>
          <w:color w:val="auto"/>
          <w:spacing w:val="0"/>
          <w:w w:val="100"/>
          <w:kern w:val="2"/>
          <w:sz w:val="21"/>
          <w:szCs w:val="21"/>
          <w:highlight w:val="none"/>
        </w:rPr>
        <w:t>合同价格确定：</w:t>
      </w:r>
    </w:p>
    <w:p w14:paraId="407FEC4F">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通过上述步骤，确定所有单项工程控制价，除价格调整因素外，经双方核对的控制价中的综合单价一律不予调整。</w:t>
      </w:r>
    </w:p>
    <w:p w14:paraId="184D5126">
      <w:pPr>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合同价格=∑各子项目合同总价。</w:t>
      </w:r>
    </w:p>
    <w:p w14:paraId="567508C5">
      <w:pPr>
        <w:keepNext w:val="0"/>
        <w:keepLines w:val="0"/>
        <w:pageBreakBefore w:val="0"/>
        <w:widowControl w:val="0"/>
        <w:numPr>
          <w:ilvl w:val="0"/>
          <w:numId w:val="0"/>
        </w:numPr>
        <w:tabs>
          <w:tab w:val="left" w:pos="883"/>
        </w:tabs>
        <w:kinsoku/>
        <w:wordWrap/>
        <w:overflowPunct/>
        <w:topLinePunct w:val="0"/>
        <w:autoSpaceDE/>
        <w:autoSpaceDN/>
        <w:bidi w:val="0"/>
        <w:adjustRightInd/>
        <w:snapToGrid/>
        <w:spacing w:line="420" w:lineRule="exact"/>
        <w:ind w:leftChars="0" w:right="0" w:rightChars="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lang w:val="en-US" w:eastAsia="zh-CN"/>
        </w:rPr>
        <w:t>5.</w:t>
      </w:r>
      <w:r>
        <w:rPr>
          <w:rFonts w:hint="eastAsia" w:ascii="宋体" w:hAnsi="宋体" w:eastAsia="宋体" w:cs="宋体"/>
          <w:b/>
          <w:color w:val="auto"/>
          <w:spacing w:val="0"/>
          <w:w w:val="100"/>
          <w:kern w:val="2"/>
          <w:sz w:val="21"/>
          <w:szCs w:val="21"/>
          <w:highlight w:val="none"/>
        </w:rPr>
        <w:t>合同价款的调整：</w:t>
      </w:r>
    </w:p>
    <w:p w14:paraId="203A7F3F">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（1）本项目勘察设计费不单独报价，包含在投标总价中。中标人须负责勘察设计任务并保障该部分成果质量。</w:t>
      </w:r>
      <w:r>
        <w:rPr>
          <w:rFonts w:hint="default" w:ascii="宋体" w:hAnsi="宋体" w:eastAsia="宋体" w:cs="宋体"/>
          <w:color w:val="auto"/>
          <w:spacing w:val="0"/>
          <w:w w:val="100"/>
          <w:kern w:val="2"/>
          <w:sz w:val="21"/>
          <w:szCs w:val="21"/>
          <w:highlight w:val="none"/>
          <w:lang w:val="en-US" w:eastAsia="zh-CN" w:bidi="ar-SA"/>
        </w:rPr>
        <w:t>①</w:t>
      </w:r>
      <w:r>
        <w:rPr>
          <w:rFonts w:hint="eastAsia" w:ascii="宋体" w:hAnsi="宋体" w:eastAsia="宋体" w:cs="宋体"/>
          <w:color w:val="auto"/>
          <w:spacing w:val="0"/>
          <w:w w:val="100"/>
          <w:kern w:val="2"/>
          <w:sz w:val="21"/>
          <w:szCs w:val="21"/>
          <w:highlight w:val="none"/>
          <w:lang w:val="en-US" w:eastAsia="zh-CN" w:bidi="ar-SA"/>
        </w:rPr>
        <w:t>投标人若不具备本项目所需的强制性规定的相关资质，应委托具有相应资质的单位实施，其服务费用均包含在总报价中，招标人将不再支付任何费用。</w:t>
      </w:r>
      <w:r>
        <w:rPr>
          <w:rFonts w:hint="default" w:ascii="宋体" w:hAnsi="宋体" w:eastAsia="宋体" w:cs="宋体"/>
          <w:color w:val="auto"/>
          <w:spacing w:val="0"/>
          <w:w w:val="100"/>
          <w:kern w:val="2"/>
          <w:sz w:val="21"/>
          <w:szCs w:val="21"/>
          <w:highlight w:val="none"/>
          <w:lang w:val="en-US" w:eastAsia="zh-CN" w:bidi="ar-SA"/>
        </w:rPr>
        <w:t>②</w:t>
      </w:r>
      <w:r>
        <w:rPr>
          <w:rFonts w:hint="eastAsia" w:ascii="宋体" w:hAnsi="宋体" w:eastAsia="宋体" w:cs="宋体"/>
          <w:color w:val="auto"/>
          <w:spacing w:val="0"/>
          <w:w w:val="100"/>
          <w:kern w:val="2"/>
          <w:sz w:val="21"/>
          <w:szCs w:val="21"/>
          <w:highlight w:val="none"/>
          <w:lang w:val="en-US" w:eastAsia="zh-CN" w:bidi="ar-SA"/>
        </w:rPr>
        <w:t>勘察设计成果文件及相关咨询、专家评委评审费、会务、图纸审查等费用、施工期间的指导和配合服务等一切费用（包含设计单位自行收集相关规划资料、办公、交通、保险、税费）均包含在投标报价中。投标人应充分考虑市场风险和政策性调整风险等系数进行报价，所有设计成果必须经招标人认可并通过评审及图审，在工程建设完成之前所做的任何修改都不另行增加费用，中标人须无条件进行配合。③具体设计范围及设计内容由招标人根据项目实际情况确定，招标人有权根据项目使用需求增加或减少设计范围及设计内容，中标单位不得以设计范围及设计内容变更为由拒绝或要求增加额外费用。</w:t>
      </w:r>
    </w:p>
    <w:p w14:paraId="223C2C69">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（2）各单项工程费用调整原则及约定：</w:t>
      </w:r>
    </w:p>
    <w:p w14:paraId="2F07176F">
      <w:pPr>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价格调整因素：本项目价格调整的因素有且只有以下情形：</w:t>
      </w:r>
    </w:p>
    <w:p w14:paraId="2B53AF8B">
      <w:pPr>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①政策性调整：人工单价、增值税率等发生政策性调整时，按照安徽省滁州市建设工程造价管理部门发布的有关最新文件执行。因政策性调整引起的单项工程合同价格调整， 原则上在整体项目竣工后一次性调整（当地政府有规定时按照规定执行），施工机械使用费不予调整。</w:t>
      </w:r>
    </w:p>
    <w:p w14:paraId="60692AB8">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②除可调价材料：钢筋、水泥、砼、碎石、水稳、沥青以外，其他材料价格在施工过程中一律不予调整。可调材料的价格变化指项目从监理工程师签发开工令之日起至项目主体工程完工之日期间的滁州信息价平均值（加权平均）与控制价编制时的当月信息价相比较，价格差值在±5%（含±5%）以内的，不予调整，如差值超出±5%，只对超出±5%的部分进行调整，信息价中没有的，采取询价方式（或采购方式）确定的材料价格不再予以调整。各单项工程可调材料价格变化引起合同价款变化在单项工程竣工验收合格后支付。</w:t>
      </w:r>
    </w:p>
    <w:p w14:paraId="6BF12D50">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③由于非承包人原因导致设计变更、签证等引起的变化，按实际调整。设计变更、签证引起新的工程量清单项目，其相应综合单价按以下规则由承包人提出，经发包人、监理单位、跟踪审计单位共同确认后作为结算依据，本项目所有变更事项的程序及审批均参照定远县人民政府关于政府投资项目变更的规定执行，后期若定远县人民政府关于政府投资项目变更的规定有修订或调整的，按最新的管理办法执行。</w:t>
      </w:r>
    </w:p>
    <w:p w14:paraId="482F14C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a.变更主要有以下情形：</w:t>
      </w:r>
    </w:p>
    <w:p w14:paraId="4F5AE48B">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1）因不可抗力或业主主导的原因，造成设计文件中漏、错项、设计深度达不到国家规范要求；</w:t>
      </w:r>
    </w:p>
    <w:p w14:paraId="32858299">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2）为推广应用先进实用技术，更好地保证和提高工程质量的；</w:t>
      </w:r>
    </w:p>
    <w:p w14:paraId="22FE7C7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3）在不降低工程质量和使用功能的前提下，能有效减少工程量、降低施工难度、节约工程投资、加快施工进度而进行设计优化的；</w:t>
      </w:r>
    </w:p>
    <w:p w14:paraId="3D299B6F">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4）有利于确保工程施工安全和环境保护，有利于工程节地、节材、节水、节能，避免水土流失，改善施工条件而调整或修改的；</w:t>
      </w:r>
    </w:p>
    <w:p w14:paraId="59E783F9">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5）项目涉及水利工程、工矿区、规划调整、景区开发、生态建设、文物保护、杆管线迁改和市容管理、环境保护等，需要对原设计进行修改和完善的；</w:t>
      </w:r>
    </w:p>
    <w:p w14:paraId="6D0CB808">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6）根据政府或政府相关主管部门要求，须对项目建设规模、建设标准、建设内容和施工进度进行调整的；</w:t>
      </w:r>
    </w:p>
    <w:p w14:paraId="5ED88B31">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7）其它非承包人原因导致的变更。</w:t>
      </w:r>
    </w:p>
    <w:p w14:paraId="5E398507">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b.变更程序</w:t>
      </w:r>
    </w:p>
    <w:p w14:paraId="3634016C">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1）对上述涉及的工程变更，要由发包人组织监理、跟踪审计、施工四方共同进行，提交四方签名的书面建议，报经政府方审核批准后方可实施。变更建议应当以书面形式提出，并注明变更理由。</w:t>
      </w:r>
    </w:p>
    <w:p w14:paraId="5DA882CC">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2）定远县政府投资项目政府出具最新的变更程序按照最新程序执行。</w:t>
      </w:r>
    </w:p>
    <w:p w14:paraId="7F127B90">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c.本项目为</w:t>
      </w:r>
      <w:r>
        <w:rPr>
          <w:rFonts w:hint="eastAsia" w:cs="宋体"/>
          <w:color w:val="auto"/>
          <w:spacing w:val="0"/>
          <w:w w:val="100"/>
          <w:kern w:val="2"/>
          <w:sz w:val="21"/>
          <w:szCs w:val="21"/>
          <w:highlight w:val="none"/>
          <w:lang w:val="en-US" w:eastAsia="zh-CN" w:bidi="ar-SA"/>
        </w:rPr>
        <w:t>设计施工一体化</w:t>
      </w:r>
      <w:r>
        <w:rPr>
          <w:rFonts w:hint="eastAsia" w:ascii="宋体" w:hAnsi="宋体" w:eastAsia="宋体" w:cs="宋体"/>
          <w:color w:val="auto"/>
          <w:spacing w:val="0"/>
          <w:w w:val="100"/>
          <w:kern w:val="2"/>
          <w:sz w:val="21"/>
          <w:szCs w:val="21"/>
          <w:highlight w:val="none"/>
          <w:lang w:val="en-US" w:eastAsia="zh-CN" w:bidi="ar-SA"/>
        </w:rPr>
        <w:t>项目，因承包人原因变更产生的一切经济损失由承包人承担。因“a.”中原因引起经济签证的结算与本次</w:t>
      </w:r>
      <w:r>
        <w:rPr>
          <w:rFonts w:hint="eastAsia" w:cs="宋体"/>
          <w:color w:val="auto"/>
          <w:spacing w:val="0"/>
          <w:w w:val="100"/>
          <w:kern w:val="2"/>
          <w:sz w:val="21"/>
          <w:szCs w:val="21"/>
          <w:highlight w:val="none"/>
          <w:lang w:val="en-US" w:eastAsia="zh-CN" w:bidi="ar-SA"/>
        </w:rPr>
        <w:t>设计施工一体化</w:t>
      </w:r>
      <w:r>
        <w:rPr>
          <w:rFonts w:hint="eastAsia" w:ascii="宋体" w:hAnsi="宋体" w:eastAsia="宋体" w:cs="宋体"/>
          <w:color w:val="auto"/>
          <w:spacing w:val="0"/>
          <w:w w:val="100"/>
          <w:kern w:val="2"/>
          <w:sz w:val="21"/>
          <w:szCs w:val="21"/>
          <w:highlight w:val="none"/>
          <w:lang w:val="en-US" w:eastAsia="zh-CN" w:bidi="ar-SA"/>
        </w:rPr>
        <w:t>承包人中标固定建安工程下浮费率保持一致，变更涉及的材料价格与变更签证经监理、发包人确认的当月信息价为准（变更签证材料价格不再考虑期间材料物价上涨因素）。因上述原因引起的变更签证，导致合同价款调整的，原则上与进度款支付同步调整支付。</w:t>
      </w:r>
    </w:p>
    <w:p w14:paraId="44BAC4E9">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d.变更价款的计算原则：</w:t>
      </w:r>
    </w:p>
    <w:p w14:paraId="4E1F1FAC">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1）合同中已有适用于变更工程的价格，按合同已有的价格和双方约定的计价方式变更合同价款；</w:t>
      </w:r>
    </w:p>
    <w:p w14:paraId="783BFFE3">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2）合同中只有类似于变更工程的价格，可以参照类似价格变更合同价款；</w:t>
      </w:r>
    </w:p>
    <w:p w14:paraId="36BDE525">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3）合同中没有适用或类似于变更工程的价格，承包人报价后经发包人委托造价咨询机构确认后执行，如有争议，发包人委托造价咨询机构的价格为准。</w:t>
      </w:r>
    </w:p>
    <w:p w14:paraId="355C83F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④不可抗力；</w:t>
      </w:r>
    </w:p>
    <w:p w14:paraId="2A0080C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⑤根据政府或政府相关主管部门要求，发包人有权项目建设规模、建设标准、建设内容进行调整，承包人须无条件执行发包人及监理人发出的变更指令，且不得对此进行利润索赔、工期索赔。由此导致合同价款调整的，原则上与进度款支付同步调整支付。</w:t>
      </w:r>
    </w:p>
    <w:p w14:paraId="25314175">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二、投标报价：</w:t>
      </w:r>
    </w:p>
    <w:p w14:paraId="6B3DEF7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2" w:firstLineChars="200"/>
        <w:jc w:val="both"/>
        <w:textAlignment w:val="auto"/>
        <w:outlineLvl w:val="9"/>
        <w:rPr>
          <w:rFonts w:hint="eastAsia" w:ascii="宋体" w:hAnsi="宋体" w:eastAsia="宋体" w:cs="宋体"/>
          <w:b/>
          <w:bCs/>
          <w:color w:val="auto"/>
          <w:spacing w:val="0"/>
          <w:w w:val="100"/>
          <w:kern w:val="2"/>
          <w:sz w:val="21"/>
          <w:szCs w:val="21"/>
          <w:highlight w:val="none"/>
          <w:lang w:val="en-US" w:eastAsia="zh-CN" w:bidi="ar-SA"/>
        </w:rPr>
      </w:pPr>
      <w:r>
        <w:rPr>
          <w:rFonts w:hint="eastAsia" w:ascii="宋体" w:hAnsi="宋体" w:eastAsia="宋体" w:cs="宋体"/>
          <w:b/>
          <w:bCs/>
          <w:color w:val="auto"/>
          <w:spacing w:val="0"/>
          <w:w w:val="100"/>
          <w:kern w:val="2"/>
          <w:sz w:val="21"/>
          <w:szCs w:val="21"/>
          <w:highlight w:val="none"/>
          <w:lang w:val="en-US" w:eastAsia="zh-CN" w:bidi="ar-SA"/>
        </w:rPr>
        <w:t>本项目采用下浮率报价方式，以发包人委托的造价咨询公司编制的最高投标限价为基数，报价下浮率须≥</w:t>
      </w:r>
      <w:r>
        <w:rPr>
          <w:rFonts w:hint="eastAsia" w:cs="宋体"/>
          <w:b/>
          <w:bCs/>
          <w:color w:val="auto"/>
          <w:spacing w:val="0"/>
          <w:w w:val="100"/>
          <w:kern w:val="2"/>
          <w:sz w:val="21"/>
          <w:szCs w:val="21"/>
          <w:highlight w:val="none"/>
          <w:lang w:val="en-US" w:eastAsia="zh-CN" w:bidi="ar-SA"/>
        </w:rPr>
        <w:t>8</w:t>
      </w:r>
      <w:r>
        <w:rPr>
          <w:rFonts w:hint="eastAsia" w:ascii="宋体" w:hAnsi="宋体" w:eastAsia="宋体" w:cs="宋体"/>
          <w:b/>
          <w:bCs/>
          <w:color w:val="auto"/>
          <w:spacing w:val="0"/>
          <w:w w:val="100"/>
          <w:kern w:val="2"/>
          <w:sz w:val="21"/>
          <w:szCs w:val="21"/>
          <w:highlight w:val="none"/>
          <w:lang w:val="en-US" w:eastAsia="zh-CN" w:bidi="ar-SA"/>
        </w:rPr>
        <w:t>％（报价下浮率保留到小数点后第二位，第三位将按四舍五入进行调整，调整后作为评审和成交下浮率），否则其响应文件将被认定为响应无效。造价咨询机构编制的双方核对后的最高投标限价不得超过200万元。</w:t>
      </w:r>
    </w:p>
    <w:p w14:paraId="2386C7F2">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三、计价方式</w:t>
      </w:r>
    </w:p>
    <w:p w14:paraId="6C395799">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1.工程量清单及控制价计价原则：</w:t>
      </w:r>
    </w:p>
    <w:p w14:paraId="77357ED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（1）委托编制施工图纸工程量清单及控制价：建设单位委托工程量清单及控制价编制单位编制，并经建设单位组织核对并形成经核对确认控制价。</w:t>
      </w:r>
    </w:p>
    <w:p w14:paraId="2333203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（2）工程量清单及控制价的编制原则：</w:t>
      </w:r>
    </w:p>
    <w:p w14:paraId="00CBEAB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①生态修复工程依据安徽省现行计价规范及配套文件</w:t>
      </w:r>
      <w:r>
        <w:rPr>
          <w:rFonts w:hint="eastAsia" w:ascii="宋体" w:hAnsi="宋体" w:eastAsia="宋体" w:cs="Times New Roman"/>
          <w:b/>
          <w:bCs/>
          <w:color w:val="auto"/>
          <w:kern w:val="2"/>
          <w:sz w:val="21"/>
          <w:szCs w:val="21"/>
          <w:highlight w:val="none"/>
          <w:lang w:val="en-US" w:eastAsia="zh-CN" w:bidi="ar-SA"/>
        </w:rPr>
        <w:t>。</w:t>
      </w:r>
    </w:p>
    <w:p w14:paraId="379DB7CA">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②土建、装饰、安装工程、市政、园林、绿化、仿古建筑及配套安装工程依据为2018版安徽省建设工程计价依据，包括：《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w:t>
      </w:r>
    </w:p>
    <w:p w14:paraId="114D3DEE">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③其他行业执行安徽省现行有关依据等（如有）。</w:t>
      </w:r>
    </w:p>
    <w:p w14:paraId="0AE8978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上述所有项目类型，均根据安徽省营改增现行有关规定计价。中标人需无条件认可：在项目清单及控制价编制过程中如有新的文件出台，依据新的文件规定编制项目清单及控制价。如2018版安徽省建设工程计价依据中未涉及的专业，按现行的相关计价规范执行。</w:t>
      </w:r>
    </w:p>
    <w:p w14:paraId="51E5E6A8">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④信息价及材料价格确定：最终各单项工程勘察设计成果经图审合格后，按照发包人要求的勘察设计成果文件份数提交至发包人处，发包人委托造价咨询机构编制各单项工程清单控制价，材料信息价按照发包人提交图纸于造价咨询机构（发包人向造价咨询单位出具信息价月份确认表中的月份）当月滁州市建设工程造价管理站发布的《滁州建设工程造价信息》主刊为准（滁州市信息价中有定远县的信息价，优先采用）,若滁州市信息价中没有的材料价格，参照对应月份南京市、合肥市和马鞍山市信息价中材料价格最低价确定。材料价格上述地区信息价没有的，由发包人、承包人共同作为采购人组织询价方式（或采购方式）确定该部分材料价格，此部分材料价格不再下浮，单独列入控制价中。招标人有权不采用部分设备材料的信息价，不采用信息价的可以选择询价方式（或采购方式）等方式确定，此部分材料价格不再下浮，单独列入控制价中。</w:t>
      </w:r>
    </w:p>
    <w:p w14:paraId="7295FEF9">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⑤关于苗木技术及价格等相关要求如下：</w:t>
      </w:r>
    </w:p>
    <w:p w14:paraId="146C133E">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以《安徽省城市园林绿化植物种植技术规定（试行）》、《安徽省园林绿化植物养护技术规定（试行）》、《城市绿化工程施工及验收规范》为依据,如国家对上述标准规范有调整，按最新标准和规范为准。苗木价格采用编制时最新一期的滁州市建设工程造价管理站发布的《滁州建设工程造价信息》（滁州市信息价中有定远县的信息价，优先采用）。滁州信息价没有的，参照对应月份南京市、合肥市和马鞍山市信息价中材料价格最低价确定，如上述信息价中没有的材料价格，由发包人、承包人等共同作为采购人组织询价方式（或采购方式）确定该部分材料价格，此部分材料价格不再下浮，单独列入控制价中。</w:t>
      </w:r>
    </w:p>
    <w:p w14:paraId="2E2E5B57">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2.按现行市政园林工程等国家现行的相关专业质量验收规范验收，达到合格工程标准。</w:t>
      </w:r>
    </w:p>
    <w:p w14:paraId="54C0D07C">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3.本工程苗木养护期两年。承包人在苗木栽植后应及时按规范养护，确保成活率100%。养护期内，为保证绿化景观效果，承包人按国家养护技术规范派专人进行养护，负责场地保洁，做到绿地无杂草、垃圾、病虫害，枯死苗木应及时补栽，养护期内建设单位将定期或不定期进行检查人员在岗情况及养护效果。</w:t>
      </w:r>
    </w:p>
    <w:p w14:paraId="1196052D">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4.养护期间的用水用电等由承包人自行解决，所发生的一切费用由承包人承担。</w:t>
      </w:r>
    </w:p>
    <w:p w14:paraId="7F6CE3CD">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5.对苗木计量的规定</w:t>
      </w:r>
    </w:p>
    <w:p w14:paraId="46B4DD0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1）胸径：指苗木主干距地面高1.2米处的直径。</w:t>
      </w:r>
    </w:p>
    <w:p w14:paraId="6957C2B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2）高度：指苗木顶部距地面的高度。</w:t>
      </w:r>
    </w:p>
    <w:p w14:paraId="4FD7BE3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3）地径：指苗木树干距地面30厘米处的直径；</w:t>
      </w:r>
    </w:p>
    <w:p w14:paraId="5E503D9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4）所有灌木及地被植物的冠幅和高度是指修剪后的大小。</w:t>
      </w:r>
    </w:p>
    <w:p w14:paraId="158F6D4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5）篱高：指绿篱苗木顶部距地平的高度。</w:t>
      </w:r>
    </w:p>
    <w:p w14:paraId="1B048A73">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6）冠径（冠丛）：指展出枝条幅度的水平直径。</w:t>
      </w:r>
    </w:p>
    <w:p w14:paraId="270F365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7）条长：指攀缘植物，从地面起至顶梢的长度。</w:t>
      </w:r>
    </w:p>
    <w:p w14:paraId="7E8828C0">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8）年生：指从繁殖时起至起苗时止的树龄。</w:t>
      </w:r>
    </w:p>
    <w:p w14:paraId="0EF8D0F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9）树木定杆高度：指地平距树木截杆处的高度。</w:t>
      </w:r>
    </w:p>
    <w:p w14:paraId="4F00D36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10）树木分枝点高度：指树木最底分枝点的高度。</w:t>
      </w:r>
    </w:p>
    <w:p w14:paraId="23A3A7FC">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6.对苗木规格、技术的一般要求</w:t>
      </w:r>
    </w:p>
    <w:p w14:paraId="12B88FC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1）所有苗木要求无病虫害、无药害、无机械损伤、无枯萎现象，保持根系完整和根系湿润，起挖苗木根系切口要平滑，根系无劈裂、无拉断、无干枯现象，叶色鲜艳的健康苗。</w:t>
      </w:r>
    </w:p>
    <w:p w14:paraId="6622868D">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2）小灌木要求冠形饱满、枝条粗壮、密实。</w:t>
      </w:r>
    </w:p>
    <w:p w14:paraId="5CFDFB0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3）所有苗木要求根系完整，土球符合相关规定，所带土球不得破损，裸根苗木保</w:t>
      </w:r>
    </w:p>
    <w:p w14:paraId="2522B784">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⑥工程量清单及控制价的核对原则：各个单项工程清单、控制价编制完成后，发包人组织造价咨询单位与承包人进行核对，承包人自收到发包人的工程量清单和控制价之日起15日内，对工程量清单和控制价进行核对，并将所有疑问一次性提交发包人，发包人组织编制单位核对提出的疑问，如工程量清单存在漏项、错项、单价有误的，按图纸和约定的计价规则调整。承包人对工程量清单、控制价提出疑问的，必须在上述规定的时间内附计算书和详细的工程内容及项目特征，否则发包人对此异议不予受理。按照上述程序经核对双方确认后仍有争议的部分，以发包人委托的造价咨询机构确定的价格为准，承包人须无条件服从。每个单项工程一经双方核对确定后，除价格调整因素外，一律不予调整。</w:t>
      </w:r>
    </w:p>
    <w:p w14:paraId="4D2EF929">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both"/>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注：1.若某一单项工程存在需要询价方式（或采购方式）确定材料价格的，在进行该单项工程控制价组价时，将此询价方式（或采购方式）确定的材料价格设置为0，仅计取安装费。2.若项目所在地造价管理部门要求备案控制价的，则本项目经核对确认控制价以项目所在地造价管理部门备案的控制价为准。</w:t>
      </w:r>
    </w:p>
    <w:p w14:paraId="6C232C4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⑦在编制清单控制价时，其中施工排水、降水分部分项工程量清单及价格按发包人委托的造价咨询机构编制工程量清单和控制价为准；编制清单控制价时，基坑及管沟放坡系数有争议时，以发包人选取为准，无论现场、施工组织设计如何约定，不予调增土方的量，承包人须确保符合相关质量、安全规范等要求；若同一个子目控制价组价时，有两个及以上的定额子目可以套取时，以发包人选取为准；投标人须充分考虑上述风险。土石方工程计量及计价其他事宜由甲乙双方根据项目现场实际情况及施工图纸共同确定，编制清单控制价之前由建设单位代表、监理人员、跟踪审计人员、承包人代表对现场原貌进行复核，将复核的结论提交清单控制价编制单位。</w:t>
      </w:r>
    </w:p>
    <w:p w14:paraId="5817F0DD">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⑧各个单项工程工程量清单及控制价核对确认后，承包人应按设计规范、设计功能及施工图完成全部内容。</w:t>
      </w:r>
    </w:p>
    <w:p w14:paraId="5FFD2A41">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⑨鉴于本项目工期紧张、为保证工程顺利实施，承包人不得以清单、控制价未确定而拖延工程进度，因此拖延工期的，工期不予调整，自行安排赶工措施。</w:t>
      </w:r>
    </w:p>
    <w:p w14:paraId="087985FE">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⑩材料及设备品牌及要求：如发包人提供的《推荐品牌表》中有要求的，承包人按《推荐品牌表》各项要求执行，对主要设备及材料品牌有特殊需求的或《推荐品牌表》中没有的设备及材料，承包人在施工图设计完成后，向发包人推荐不少于三个知名品牌，同时提供推荐品牌设备及材料的相关型号、规格。发包人有权选择其中一个品牌或选择推荐之外的品牌。具体内容由承包人在各设计阶段提供详单。</w:t>
      </w:r>
    </w:p>
    <w:p w14:paraId="400EA9DF">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四、经询价方式（或采购方式）确定材料以及建设单位确定的其他设备、材料</w:t>
      </w:r>
    </w:p>
    <w:p w14:paraId="43F1182F">
      <w:pPr>
        <w:keepNext w:val="0"/>
        <w:keepLines w:val="0"/>
        <w:pageBreakBefore w:val="0"/>
        <w:widowControl w:val="0"/>
        <w:kinsoku/>
        <w:wordWrap/>
        <w:overflowPunct/>
        <w:topLinePunct w:val="0"/>
        <w:autoSpaceDE/>
        <w:autoSpaceDN/>
        <w:bidi w:val="0"/>
        <w:adjustRightInd/>
        <w:snapToGrid/>
        <w:spacing w:line="420" w:lineRule="exact"/>
        <w:ind w:left="0" w:right="0" w:firstLine="420" w:firstLineChars="200"/>
        <w:jc w:val="left"/>
        <w:textAlignment w:val="auto"/>
        <w:outlineLvl w:val="9"/>
        <w:rPr>
          <w:rFonts w:hint="eastAsia" w:ascii="宋体" w:hAnsi="宋体" w:eastAsia="宋体" w:cs="宋体"/>
          <w:color w:val="auto"/>
          <w:spacing w:val="0"/>
          <w:w w:val="100"/>
          <w:kern w:val="2"/>
          <w:sz w:val="21"/>
          <w:szCs w:val="21"/>
          <w:highlight w:val="none"/>
        </w:rPr>
      </w:pPr>
      <w:r>
        <w:rPr>
          <w:rFonts w:hint="eastAsia" w:ascii="宋体" w:hAnsi="宋体" w:eastAsia="宋体" w:cs="宋体"/>
          <w:color w:val="auto"/>
          <w:spacing w:val="0"/>
          <w:w w:val="100"/>
          <w:kern w:val="2"/>
          <w:sz w:val="21"/>
          <w:szCs w:val="21"/>
          <w:highlight w:val="none"/>
        </w:rPr>
        <w:t>1.经询价方式（或采购方式）</w:t>
      </w:r>
    </w:p>
    <w:p w14:paraId="74EDBB5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在编制清单控制价时，造价咨询机构将滁州市（含定远县的信息价）、南京市、合肥市和马鞍山市信息价中没有的材料清单提交发包人，由发包人、承包人共同作为采购人组织招标等采购等方式，或者采取发包人、承包人、监理单位、控制价编制单位、跟踪审计单位等共同参与的方式进行市场询价，</w:t>
      </w:r>
      <w:r>
        <w:rPr>
          <w:rFonts w:hint="eastAsia" w:ascii="宋体" w:hAnsi="宋体" w:eastAsia="宋体" w:cs="宋体"/>
          <w:b/>
          <w:color w:val="auto"/>
          <w:spacing w:val="0"/>
          <w:w w:val="100"/>
          <w:kern w:val="2"/>
          <w:sz w:val="21"/>
          <w:szCs w:val="21"/>
          <w:highlight w:val="none"/>
          <w:lang w:val="en-US" w:eastAsia="zh-CN" w:bidi="ar-SA"/>
        </w:rPr>
        <w:t>具体方式由发包人根据实际情况确定</w:t>
      </w:r>
      <w:r>
        <w:rPr>
          <w:rFonts w:hint="eastAsia" w:ascii="宋体" w:hAnsi="宋体" w:eastAsia="宋体" w:cs="宋体"/>
          <w:color w:val="auto"/>
          <w:spacing w:val="0"/>
          <w:w w:val="100"/>
          <w:kern w:val="2"/>
          <w:sz w:val="21"/>
          <w:szCs w:val="21"/>
          <w:highlight w:val="none"/>
          <w:lang w:val="en-US" w:eastAsia="zh-CN" w:bidi="ar-SA"/>
        </w:rPr>
        <w:t>，确定该部分材料价格，此部分材料价格不再考虑下浮率，单独列入控制价中。</w:t>
      </w:r>
    </w:p>
    <w:p w14:paraId="6481AD11">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注：1.经询价方式（或采购方式）确定的材料价格，结算时需提供该部分的采购合同、发票等材料作参考。</w:t>
      </w:r>
    </w:p>
    <w:p w14:paraId="20619F5E">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2.建设单位确定的建设工程中设备、材料参照“1.经询价方式（或采购方式）确定材料”的原则进行计价。</w:t>
      </w:r>
    </w:p>
    <w:p w14:paraId="44C7EE3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3.建设单位确定的其他设备参照“1.经询价方式（或采购方式）确定材料”的原则进行计价。</w:t>
      </w:r>
    </w:p>
    <w:p w14:paraId="6FFDE75C">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五、总承包服务费及采保费：</w:t>
      </w:r>
    </w:p>
    <w:p w14:paraId="1658A548">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当发包人另行发包的专业工程项目（如有），按下列规定仅计取总承包服务费：当发包人要求承包人对发包的上述工程既进行施工现场协调和统一管理，又提供相应配合服务，按发包专业工程招标的合同价（不包含总承包服务费金额）的</w:t>
      </w:r>
      <w:r>
        <w:rPr>
          <w:rFonts w:hint="eastAsia" w:ascii="宋体" w:hAnsi="宋体" w:eastAsia="宋体" w:cs="宋体"/>
          <w:color w:val="auto"/>
          <w:spacing w:val="0"/>
          <w:w w:val="100"/>
          <w:kern w:val="2"/>
          <w:sz w:val="21"/>
          <w:szCs w:val="21"/>
          <w:highlight w:val="none"/>
          <w:u w:val="single"/>
          <w:lang w:val="en-US" w:eastAsia="zh-CN" w:bidi="ar-SA"/>
        </w:rPr>
        <w:t>3</w:t>
      </w:r>
      <w:r>
        <w:rPr>
          <w:rFonts w:hint="eastAsia" w:ascii="宋体" w:hAnsi="宋体" w:eastAsia="宋体" w:cs="宋体"/>
          <w:color w:val="auto"/>
          <w:spacing w:val="0"/>
          <w:w w:val="100"/>
          <w:kern w:val="2"/>
          <w:sz w:val="21"/>
          <w:szCs w:val="21"/>
          <w:highlight w:val="none"/>
          <w:lang w:val="en-US" w:eastAsia="zh-CN" w:bidi="ar-SA"/>
        </w:rPr>
        <w:t>％计算总承包服务费，一次包死，不随发包专业工程结算价款的调整而调整。</w:t>
      </w:r>
    </w:p>
    <w:p w14:paraId="1F89DFFB">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2.发包人或发包人和承包人共同作为采购人采用询价方式（或采购方式）确定的材料的，按照下列规定仅计取采保费：发包人或发包人和承包人共同作为采购人采用询价方式（或采购方式）确定的材料的，按照合同价的</w:t>
      </w:r>
      <w:r>
        <w:rPr>
          <w:rFonts w:hint="eastAsia" w:ascii="宋体" w:hAnsi="宋体" w:eastAsia="宋体" w:cs="宋体"/>
          <w:color w:val="auto"/>
          <w:spacing w:val="0"/>
          <w:w w:val="100"/>
          <w:kern w:val="2"/>
          <w:sz w:val="21"/>
          <w:szCs w:val="21"/>
          <w:highlight w:val="none"/>
          <w:u w:val="single"/>
          <w:lang w:val="en-US" w:eastAsia="zh-CN" w:bidi="ar-SA"/>
        </w:rPr>
        <w:t>1</w:t>
      </w:r>
      <w:r>
        <w:rPr>
          <w:rFonts w:hint="eastAsia" w:ascii="宋体" w:hAnsi="宋体" w:eastAsia="宋体" w:cs="宋体"/>
          <w:color w:val="auto"/>
          <w:spacing w:val="0"/>
          <w:w w:val="100"/>
          <w:kern w:val="2"/>
          <w:sz w:val="21"/>
          <w:szCs w:val="21"/>
          <w:highlight w:val="none"/>
          <w:lang w:val="en-US" w:eastAsia="zh-CN" w:bidi="ar-SA"/>
        </w:rPr>
        <w:t>%的计取采保费，一次包死，不随该部分结算价款的调整而调整。经询价方式（或采购方式）确定材料到达项目现场后，承包人负责该部分材料的初验、校核、保管、价款支付、施工、养护等，并报发包人、监理单位、跟踪审计单位验收。一经承包人初验合格，承包人须对此部分材料质量负全责，由于承包人现场保管、施工原因导致材料用量额外增加，发包人不予认可，后期该部分材料出现质量问题、成活问题，承包人须立即整改，承包人不得因发包人参与此部分材料采购为由，提出抗辩。</w:t>
      </w:r>
    </w:p>
    <w:p w14:paraId="0A57FC11">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rPr>
      </w:pPr>
      <w:r>
        <w:rPr>
          <w:rFonts w:hint="eastAsia" w:ascii="宋体" w:hAnsi="宋体" w:eastAsia="宋体" w:cs="宋体"/>
          <w:b/>
          <w:color w:val="auto"/>
          <w:spacing w:val="0"/>
          <w:w w:val="100"/>
          <w:kern w:val="2"/>
          <w:sz w:val="21"/>
          <w:szCs w:val="21"/>
          <w:highlight w:val="none"/>
        </w:rPr>
        <w:t>六、合同价款支付</w:t>
      </w:r>
    </w:p>
    <w:p w14:paraId="293CE5C0">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2"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b/>
          <w:bCs w:val="0"/>
          <w:color w:val="auto"/>
          <w:spacing w:val="0"/>
          <w:w w:val="100"/>
          <w:kern w:val="2"/>
          <w:sz w:val="21"/>
          <w:szCs w:val="21"/>
          <w:highlight w:val="none"/>
          <w:lang w:val="en-US" w:eastAsia="zh-CN" w:bidi="ar-SA"/>
        </w:rPr>
        <w:t>付款方式：合同签订生效并具备实施条件后五个工作日内采购人支付合同金额的 40%作为预付款，付预付款前成交供应商须向采购人提交经采购人审核无误的等额保函【须为见索即付保函(无条件保函)】，工程全部结束经验收合格后，采购人付至结算审核价的100%，成交人缴纳结算价的2%作为质保金(质保金缴纳方式可以是转账、保函或保险)后，质保期后一次性退还质保金:采用保函的无须另行缴纳质量保证金，保函有效期须与工程缺陷责任期截止时间保持一致。</w:t>
      </w:r>
    </w:p>
    <w:p w14:paraId="6240A989">
      <w:pPr>
        <w:keepNext w:val="0"/>
        <w:keepLines w:val="0"/>
        <w:pageBreakBefore w:val="0"/>
        <w:widowControl w:val="0"/>
        <w:kinsoku/>
        <w:wordWrap/>
        <w:overflowPunct/>
        <w:topLinePunct w:val="0"/>
        <w:autoSpaceDE/>
        <w:autoSpaceDN/>
        <w:bidi w:val="0"/>
        <w:adjustRightInd/>
        <w:snapToGrid/>
        <w:spacing w:line="420" w:lineRule="exact"/>
        <w:ind w:left="0" w:right="0" w:firstLine="422" w:firstLineChars="200"/>
        <w:jc w:val="left"/>
        <w:textAlignment w:val="auto"/>
        <w:outlineLvl w:val="9"/>
        <w:rPr>
          <w:rFonts w:hint="eastAsia" w:ascii="宋体" w:hAnsi="宋体" w:eastAsia="宋体" w:cs="宋体"/>
          <w:b/>
          <w:color w:val="auto"/>
          <w:spacing w:val="0"/>
          <w:w w:val="100"/>
          <w:kern w:val="2"/>
          <w:sz w:val="21"/>
          <w:szCs w:val="21"/>
          <w:highlight w:val="none"/>
          <w:lang w:val="en-US" w:eastAsia="zh-CN"/>
        </w:rPr>
      </w:pPr>
      <w:r>
        <w:rPr>
          <w:rFonts w:hint="eastAsia" w:ascii="宋体" w:hAnsi="宋体" w:eastAsia="宋体" w:cs="宋体"/>
          <w:b/>
          <w:color w:val="auto"/>
          <w:spacing w:val="0"/>
          <w:w w:val="100"/>
          <w:kern w:val="2"/>
          <w:sz w:val="21"/>
          <w:szCs w:val="21"/>
          <w:highlight w:val="none"/>
        </w:rPr>
        <w:t>七、</w:t>
      </w:r>
      <w:r>
        <w:rPr>
          <w:rFonts w:hint="eastAsia" w:ascii="宋体" w:hAnsi="宋体" w:cs="宋体"/>
          <w:b/>
          <w:color w:val="auto"/>
          <w:spacing w:val="0"/>
          <w:w w:val="100"/>
          <w:kern w:val="2"/>
          <w:sz w:val="21"/>
          <w:szCs w:val="21"/>
          <w:highlight w:val="none"/>
          <w:lang w:val="en-US" w:eastAsia="zh-CN"/>
        </w:rPr>
        <w:t>工程量清单及控制价编制的</w:t>
      </w:r>
      <w:r>
        <w:rPr>
          <w:rFonts w:hint="eastAsia" w:ascii="宋体" w:hAnsi="宋体" w:eastAsia="宋体" w:cs="宋体"/>
          <w:b/>
          <w:color w:val="auto"/>
          <w:spacing w:val="0"/>
          <w:w w:val="100"/>
          <w:kern w:val="2"/>
          <w:sz w:val="21"/>
          <w:szCs w:val="21"/>
          <w:highlight w:val="none"/>
        </w:rPr>
        <w:t>其他</w:t>
      </w:r>
      <w:r>
        <w:rPr>
          <w:rFonts w:hint="eastAsia" w:ascii="宋体" w:hAnsi="宋体" w:cs="宋体"/>
          <w:b/>
          <w:color w:val="auto"/>
          <w:spacing w:val="0"/>
          <w:w w:val="100"/>
          <w:kern w:val="2"/>
          <w:sz w:val="21"/>
          <w:szCs w:val="21"/>
          <w:highlight w:val="none"/>
          <w:lang w:val="en-US" w:eastAsia="zh-CN"/>
        </w:rPr>
        <w:t>约定</w:t>
      </w:r>
    </w:p>
    <w:p w14:paraId="6380D483">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w:t>
      </w:r>
      <w:r>
        <w:rPr>
          <w:rFonts w:hint="eastAsia" w:cs="宋体"/>
          <w:color w:val="auto"/>
          <w:spacing w:val="0"/>
          <w:w w:val="100"/>
          <w:kern w:val="2"/>
          <w:sz w:val="21"/>
          <w:szCs w:val="21"/>
          <w:highlight w:val="none"/>
          <w:lang w:val="en-US" w:eastAsia="zh-CN" w:bidi="ar-SA"/>
        </w:rPr>
        <w:t>.</w:t>
      </w:r>
      <w:r>
        <w:rPr>
          <w:rFonts w:hint="eastAsia" w:ascii="宋体" w:hAnsi="宋体" w:eastAsia="宋体" w:cs="宋体"/>
          <w:color w:val="auto"/>
          <w:spacing w:val="0"/>
          <w:w w:val="100"/>
          <w:kern w:val="2"/>
          <w:sz w:val="21"/>
          <w:szCs w:val="21"/>
          <w:highlight w:val="none"/>
          <w:lang w:val="en-US" w:eastAsia="zh-CN" w:bidi="ar-SA"/>
        </w:rPr>
        <w:t>临时用地费用：施工过程中红线外临时堆土场地租赁或占地等费用、取土场租用及复垦等费用，均由施工单位自行申报相关资料和手续。投标人应自行踏勘现场，熟悉招标资料，该项费用不在清单中单独列项，投标人投标报价时综合考虑，结算时不予签证增加。</w:t>
      </w:r>
    </w:p>
    <w:p w14:paraId="6946383E">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cs="宋体"/>
          <w:color w:val="auto"/>
          <w:spacing w:val="0"/>
          <w:w w:val="100"/>
          <w:kern w:val="2"/>
          <w:sz w:val="21"/>
          <w:szCs w:val="21"/>
          <w:highlight w:val="none"/>
          <w:lang w:val="en-US" w:eastAsia="zh-CN" w:bidi="ar-SA"/>
        </w:rPr>
        <w:t>2</w:t>
      </w:r>
      <w:r>
        <w:rPr>
          <w:rFonts w:hint="eastAsia" w:ascii="宋体" w:hAnsi="宋体" w:eastAsia="宋体" w:cs="宋体"/>
          <w:color w:val="auto"/>
          <w:spacing w:val="0"/>
          <w:w w:val="100"/>
          <w:kern w:val="2"/>
          <w:sz w:val="21"/>
          <w:szCs w:val="21"/>
          <w:highlight w:val="none"/>
          <w:lang w:val="en-US" w:eastAsia="zh-CN" w:bidi="ar-SA"/>
        </w:rPr>
        <w:t>.临时水电接引：施工用水用电接入由承包人自行勘察现场，自行考虑施工用水用电接入方式，满足现场水电使用要求，相关发生的设备采购、安装、报批、临时租地（包含临时用发电机）等一切与之相关工作所涉及费用不单独列项，投标人投标报价时综合考虑，结算时不予签证增加。</w:t>
      </w:r>
    </w:p>
    <w:p w14:paraId="4606BC41">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cs="宋体"/>
          <w:color w:val="auto"/>
          <w:spacing w:val="0"/>
          <w:w w:val="100"/>
          <w:kern w:val="2"/>
          <w:sz w:val="21"/>
          <w:szCs w:val="21"/>
          <w:highlight w:val="none"/>
          <w:lang w:val="en-US" w:eastAsia="zh-CN" w:bidi="ar-SA"/>
        </w:rPr>
        <w:t>3</w:t>
      </w:r>
      <w:r>
        <w:rPr>
          <w:rFonts w:hint="eastAsia" w:ascii="宋体" w:hAnsi="宋体" w:eastAsia="宋体" w:cs="宋体"/>
          <w:color w:val="auto"/>
          <w:spacing w:val="0"/>
          <w:w w:val="100"/>
          <w:kern w:val="2"/>
          <w:sz w:val="21"/>
          <w:szCs w:val="21"/>
          <w:highlight w:val="none"/>
          <w:lang w:val="en-US" w:eastAsia="zh-CN" w:bidi="ar-SA"/>
        </w:rPr>
        <w:t>.施工现场仅提供规划用地范围内的场地作为施工用地，施工单位需保证施工期间道路畅通并布置临时交通标志，现场土方随挖随运，投标人自行对现场进行考察后自行考虑土石方堆放及转运方案，所需的临时施工场地及可能发生的各种费用在投标报价时综合考虑，结算时不予签证增加。</w:t>
      </w:r>
    </w:p>
    <w:p w14:paraId="628288EF">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cs="宋体"/>
          <w:color w:val="auto"/>
          <w:spacing w:val="0"/>
          <w:w w:val="100"/>
          <w:kern w:val="2"/>
          <w:sz w:val="21"/>
          <w:szCs w:val="21"/>
          <w:highlight w:val="none"/>
          <w:lang w:val="en-US" w:eastAsia="zh-CN" w:bidi="ar-SA"/>
        </w:rPr>
        <w:t>4</w:t>
      </w:r>
      <w:r>
        <w:rPr>
          <w:rFonts w:hint="eastAsia" w:ascii="宋体" w:hAnsi="宋体" w:eastAsia="宋体" w:cs="宋体"/>
          <w:color w:val="auto"/>
          <w:spacing w:val="0"/>
          <w:w w:val="100"/>
          <w:kern w:val="2"/>
          <w:sz w:val="21"/>
          <w:szCs w:val="21"/>
          <w:highlight w:val="none"/>
          <w:lang w:val="en-US" w:eastAsia="zh-CN" w:bidi="ar-SA"/>
        </w:rPr>
        <w:t>．本项目必须使用全密闭新型环保智能建筑垃圾运输车，新型车辆必须符合《建筑垃圾运输车技术条件》要求，具备箱体自动强制全密闭功能、良好的安全防护功能、完善的智能管控功能和汽车尾气排放标准达到国IV的要求，所涉及的费用综合考虑在报价中，结算时不予签证增加。</w:t>
      </w:r>
    </w:p>
    <w:p w14:paraId="56ECA4A2">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cs="宋体"/>
          <w:color w:val="auto"/>
          <w:spacing w:val="0"/>
          <w:w w:val="100"/>
          <w:kern w:val="2"/>
          <w:sz w:val="21"/>
          <w:szCs w:val="21"/>
          <w:highlight w:val="none"/>
          <w:lang w:val="en-US" w:eastAsia="zh-CN" w:bidi="ar-SA"/>
        </w:rPr>
        <w:t>5</w:t>
      </w:r>
      <w:r>
        <w:rPr>
          <w:rFonts w:hint="eastAsia" w:ascii="宋体" w:hAnsi="宋体" w:eastAsia="宋体" w:cs="宋体"/>
          <w:color w:val="auto"/>
          <w:spacing w:val="0"/>
          <w:w w:val="100"/>
          <w:kern w:val="2"/>
          <w:sz w:val="21"/>
          <w:szCs w:val="21"/>
          <w:highlight w:val="none"/>
          <w:lang w:val="en-US" w:eastAsia="zh-CN" w:bidi="ar-SA"/>
        </w:rPr>
        <w:t>．本项目涉及的工程实验室建设费，施工范围内各种技术方案编制、论证、评审费，施工监控、检测、试验费等费用均由中标单位承担，投标人在投标报价中综合考虑，清单不单独列项，结算时不予签证增加。</w:t>
      </w:r>
    </w:p>
    <w:p w14:paraId="54871E6D">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6．本项目实施期间的开工、迎检等活动，所涉及的费用由投标单位自行考虑，综合考虑在报价中，清单不单独列项，结算时不予签证增加。</w:t>
      </w:r>
    </w:p>
    <w:p w14:paraId="321014D6">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7．施工时应保证沿线单位厂区车辆、居民通行，所涉及的费用由投标单位自行考虑，综合考虑在报价中，清单不单独列项，结算时不予签证增加。</w:t>
      </w:r>
    </w:p>
    <w:p w14:paraId="6E9A722F">
      <w:pPr>
        <w:keepNext w:val="0"/>
        <w:keepLines w:val="0"/>
        <w:pageBreakBefore w:val="0"/>
        <w:widowControl w:val="0"/>
        <w:kinsoku/>
        <w:wordWrap/>
        <w:overflowPunct/>
        <w:topLinePunct w:val="0"/>
        <w:autoSpaceDE/>
        <w:autoSpaceDN/>
        <w:bidi w:val="0"/>
        <w:adjustRightInd/>
        <w:snapToGrid/>
        <w:spacing w:after="0" w:afterLines="0" w:line="420" w:lineRule="exact"/>
        <w:ind w:left="0" w:right="0" w:firstLine="420" w:firstLineChars="200"/>
        <w:jc w:val="both"/>
        <w:textAlignment w:val="auto"/>
        <w:outlineLvl w:val="9"/>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8．施工过程中因施工车辆造成周边已建城市道路及乡村道路的破坏，应原状修复，相关修复费用清单不单独列项，投标人须在投标报价中综合考虑，结算时不予签证增加。</w:t>
      </w:r>
    </w:p>
    <w:p w14:paraId="7CBB24E7">
      <w:pPr>
        <w:pStyle w:val="19"/>
        <w:outlineLvl w:val="9"/>
        <w:rPr>
          <w:rFonts w:ascii="宋体" w:hAnsi="宋体" w:eastAsia="宋体" w:cs="宋体"/>
          <w:bCs/>
          <w:color w:val="auto"/>
          <w:sz w:val="21"/>
          <w:szCs w:val="21"/>
          <w:highlight w:val="none"/>
        </w:rPr>
      </w:pPr>
    </w:p>
    <w:p w14:paraId="7BB693CF">
      <w:pPr>
        <w:widowControl/>
        <w:jc w:val="left"/>
        <w:outlineLvl w:val="9"/>
        <w:rPr>
          <w:b/>
          <w:color w:val="auto"/>
          <w:sz w:val="24"/>
          <w:highlight w:val="none"/>
        </w:rPr>
      </w:pPr>
      <w:r>
        <w:rPr>
          <w:b/>
          <w:color w:val="auto"/>
          <w:sz w:val="24"/>
          <w:highlight w:val="none"/>
        </w:rPr>
        <w:br w:type="page"/>
      </w:r>
    </w:p>
    <w:p w14:paraId="6AC661E9">
      <w:pPr>
        <w:spacing w:line="360" w:lineRule="auto"/>
        <w:jc w:val="center"/>
        <w:outlineLvl w:val="0"/>
        <w:rPr>
          <w:rFonts w:asciiTheme="minorEastAsia" w:hAnsiTheme="minorEastAsia" w:eastAsiaTheme="minorEastAsia"/>
          <w:b/>
          <w:color w:val="auto"/>
          <w:sz w:val="28"/>
          <w:highlight w:val="none"/>
        </w:rPr>
      </w:pPr>
      <w:bookmarkStart w:id="196" w:name="_Toc22734"/>
      <w:r>
        <w:rPr>
          <w:rFonts w:hint="eastAsia" w:asciiTheme="minorEastAsia" w:hAnsiTheme="minorEastAsia" w:eastAsiaTheme="minorEastAsia"/>
          <w:b/>
          <w:color w:val="auto"/>
          <w:sz w:val="28"/>
          <w:highlight w:val="none"/>
        </w:rPr>
        <w:t>第六章  响应文件格式</w:t>
      </w:r>
      <w:bookmarkEnd w:id="196"/>
    </w:p>
    <w:p w14:paraId="6570608B">
      <w:pPr>
        <w:spacing w:line="900" w:lineRule="exact"/>
        <w:jc w:val="center"/>
        <w:outlineLvl w:val="9"/>
        <w:rPr>
          <w:rFonts w:asciiTheme="minorEastAsia" w:hAnsiTheme="minorEastAsia" w:eastAsiaTheme="minorEastAsia"/>
          <w:b/>
          <w:color w:val="auto"/>
          <w:sz w:val="72"/>
          <w:highlight w:val="none"/>
        </w:rPr>
      </w:pPr>
    </w:p>
    <w:p w14:paraId="02E88D83">
      <w:pPr>
        <w:spacing w:line="900" w:lineRule="exact"/>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40A361AF">
      <w:pPr>
        <w:spacing w:line="900" w:lineRule="exact"/>
        <w:jc w:val="center"/>
        <w:outlineLvl w:val="9"/>
        <w:rPr>
          <w:rFonts w:asciiTheme="minorEastAsia" w:hAnsiTheme="minorEastAsia" w:eastAsiaTheme="minorEastAsia"/>
          <w:b/>
          <w:color w:val="auto"/>
          <w:sz w:val="72"/>
          <w:highlight w:val="none"/>
        </w:rPr>
      </w:pPr>
    </w:p>
    <w:p w14:paraId="2A5B86B1">
      <w:pPr>
        <w:spacing w:line="900" w:lineRule="exact"/>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353F6C12">
      <w:pPr>
        <w:spacing w:line="900" w:lineRule="exact"/>
        <w:jc w:val="center"/>
        <w:outlineLvl w:val="9"/>
        <w:rPr>
          <w:rFonts w:asciiTheme="minorEastAsia" w:hAnsiTheme="minorEastAsia" w:eastAsiaTheme="minorEastAsia"/>
          <w:b/>
          <w:color w:val="auto"/>
          <w:sz w:val="72"/>
          <w:highlight w:val="none"/>
        </w:rPr>
      </w:pPr>
    </w:p>
    <w:p w14:paraId="2BD2CE6D">
      <w:pPr>
        <w:spacing w:line="900" w:lineRule="exact"/>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E329A90">
      <w:pPr>
        <w:spacing w:line="900" w:lineRule="exact"/>
        <w:jc w:val="center"/>
        <w:outlineLvl w:val="9"/>
        <w:rPr>
          <w:rFonts w:asciiTheme="minorEastAsia" w:hAnsiTheme="minorEastAsia" w:eastAsiaTheme="minorEastAsia"/>
          <w:b/>
          <w:color w:val="auto"/>
          <w:sz w:val="72"/>
          <w:highlight w:val="none"/>
        </w:rPr>
      </w:pPr>
    </w:p>
    <w:p w14:paraId="56586244">
      <w:pPr>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20586664">
      <w:pPr>
        <w:spacing w:after="156" w:afterLines="50"/>
        <w:jc w:val="center"/>
        <w:outlineLvl w:val="9"/>
        <w:rPr>
          <w:rFonts w:asciiTheme="minorEastAsia" w:hAnsiTheme="minorEastAsia" w:eastAsiaTheme="minorEastAsia"/>
          <w:b/>
          <w:color w:val="auto"/>
          <w:sz w:val="72"/>
          <w:highlight w:val="none"/>
        </w:rPr>
      </w:pPr>
    </w:p>
    <w:p w14:paraId="56E4FC62">
      <w:pPr>
        <w:spacing w:before="156" w:beforeLines="50" w:after="156" w:afterLines="50"/>
        <w:jc w:val="center"/>
        <w:outlineLvl w:val="9"/>
        <w:rPr>
          <w:rFonts w:asciiTheme="minorEastAsia" w:hAnsiTheme="minorEastAsia" w:eastAsiaTheme="minorEastAsia"/>
          <w:b/>
          <w:color w:val="auto"/>
          <w:sz w:val="32"/>
          <w:szCs w:val="32"/>
          <w:highlight w:val="none"/>
        </w:rPr>
      </w:pPr>
    </w:p>
    <w:p w14:paraId="206A1568">
      <w:pPr>
        <w:spacing w:after="156" w:afterLines="50" w:line="500" w:lineRule="exact"/>
        <w:jc w:val="center"/>
        <w:outlineLvl w:val="9"/>
        <w:rPr>
          <w:rFonts w:asciiTheme="minorEastAsia" w:hAnsiTheme="minorEastAsia" w:eastAsiaTheme="minorEastAsia"/>
          <w:b/>
          <w:color w:val="auto"/>
          <w:sz w:val="28"/>
          <w:szCs w:val="28"/>
          <w:highlight w:val="none"/>
        </w:rPr>
      </w:pPr>
    </w:p>
    <w:p w14:paraId="1EA264FD">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8DFB07D">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91029C7">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C9DD9AF">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97" w:name="_Toc24911"/>
      <w:bookmarkStart w:id="198" w:name="_Toc19892"/>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97"/>
      <w:bookmarkEnd w:id="198"/>
    </w:p>
    <w:p w14:paraId="6A115F82">
      <w:pPr>
        <w:widowControl/>
        <w:jc w:val="left"/>
        <w:outlineLvl w:val="9"/>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4C270DC">
      <w:pPr>
        <w:spacing w:line="360" w:lineRule="auto"/>
        <w:jc w:val="center"/>
        <w:outlineLvl w:val="1"/>
        <w:rPr>
          <w:rFonts w:asciiTheme="minorEastAsia" w:hAnsiTheme="minorEastAsia" w:eastAsiaTheme="minorEastAsia"/>
          <w:b/>
          <w:color w:val="auto"/>
          <w:sz w:val="24"/>
          <w:highlight w:val="none"/>
        </w:rPr>
      </w:pPr>
      <w:bookmarkStart w:id="199" w:name="_Toc461056631"/>
      <w:bookmarkStart w:id="200" w:name="_Toc461053086"/>
      <w:bookmarkStart w:id="201" w:name="_Toc520983587"/>
      <w:bookmarkStart w:id="202" w:name="_Toc28280"/>
      <w:bookmarkStart w:id="203" w:name="_Toc21496"/>
      <w:r>
        <w:rPr>
          <w:rFonts w:hint="eastAsia" w:asciiTheme="minorEastAsia" w:hAnsiTheme="minorEastAsia" w:eastAsiaTheme="minorEastAsia"/>
          <w:b/>
          <w:color w:val="auto"/>
          <w:sz w:val="24"/>
          <w:highlight w:val="none"/>
        </w:rPr>
        <w:t>一</w:t>
      </w:r>
      <w:bookmarkEnd w:id="199"/>
      <w:bookmarkEnd w:id="200"/>
      <w:r>
        <w:rPr>
          <w:rFonts w:hint="eastAsia" w:asciiTheme="minorEastAsia" w:hAnsiTheme="minorEastAsia" w:eastAsiaTheme="minorEastAsia"/>
          <w:b/>
          <w:color w:val="auto"/>
          <w:sz w:val="24"/>
          <w:highlight w:val="none"/>
        </w:rPr>
        <w:t>、报价表格式</w:t>
      </w:r>
      <w:bookmarkEnd w:id="201"/>
      <w:bookmarkEnd w:id="202"/>
      <w:bookmarkEnd w:id="203"/>
    </w:p>
    <w:p w14:paraId="2563A249">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某项目    </w:t>
      </w:r>
    </w:p>
    <w:p w14:paraId="03071BF4">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7DC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F34F6A2">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1CD17602">
            <w:pPr>
              <w:rPr>
                <w:rFonts w:cs="宋体" w:asciiTheme="minorEastAsia" w:hAnsiTheme="minorEastAsia" w:eastAsiaTheme="minorEastAsia"/>
                <w:b/>
                <w:color w:val="auto"/>
                <w:kern w:val="2"/>
                <w:sz w:val="24"/>
                <w:szCs w:val="24"/>
                <w:highlight w:val="none"/>
              </w:rPr>
            </w:pPr>
          </w:p>
        </w:tc>
      </w:tr>
      <w:tr w14:paraId="331D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ABB51B1">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002E736F">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w:t>
            </w:r>
          </w:p>
        </w:tc>
      </w:tr>
      <w:tr w14:paraId="00FF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06D2606">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4F16A424">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4AB04907">
            <w:pPr>
              <w:snapToGrid w:val="0"/>
              <w:rPr>
                <w:rFonts w:cs="宋体" w:asciiTheme="minorEastAsia" w:hAnsiTheme="minorEastAsia" w:eastAsiaTheme="minorEastAsia"/>
                <w:color w:val="auto"/>
                <w:kern w:val="2"/>
                <w:sz w:val="24"/>
                <w:szCs w:val="24"/>
                <w:highlight w:val="none"/>
              </w:rPr>
            </w:pPr>
          </w:p>
          <w:p w14:paraId="6FD88D6C">
            <w:pPr>
              <w:snapToGrid w:val="0"/>
              <w:spacing w:line="360" w:lineRule="auto"/>
              <w:jc w:val="left"/>
              <w:rPr>
                <w:rFonts w:hint="eastAsia" w:ascii="宋体" w:hAnsi="宋体" w:eastAsia="宋体" w:cs="宋体"/>
                <w:bCs/>
                <w:color w:val="auto"/>
                <w:sz w:val="24"/>
                <w:szCs w:val="24"/>
                <w:highlight w:val="none"/>
                <w:u w:val="single"/>
              </w:rPr>
            </w:pPr>
            <w:r>
              <w:rPr>
                <w:rFonts w:hint="eastAsia" w:cs="宋体"/>
                <w:bCs/>
                <w:color w:val="auto"/>
                <w:sz w:val="24"/>
                <w:szCs w:val="24"/>
                <w:highlight w:val="none"/>
                <w:lang w:val="en-US" w:eastAsia="zh-CN"/>
              </w:rPr>
              <w:t>下浮率</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6BFEFB4">
            <w:pPr>
              <w:spacing w:line="360" w:lineRule="auto"/>
              <w:ind w:right="-670"/>
              <w:rPr>
                <w:rFonts w:hint="eastAsia" w:asciiTheme="minorEastAsia" w:hAnsiTheme="minorEastAsia" w:eastAsiaTheme="minorEastAsia"/>
                <w:color w:val="auto"/>
                <w:sz w:val="24"/>
                <w:highlight w:val="none"/>
              </w:rPr>
            </w:pPr>
            <w:r>
              <w:rPr>
                <w:rFonts w:hint="eastAsia" w:cs="宋体"/>
                <w:bCs/>
                <w:color w:val="auto"/>
                <w:sz w:val="24"/>
                <w:szCs w:val="24"/>
                <w:highlight w:val="none"/>
                <w:lang w:val="en-US" w:eastAsia="zh-CN"/>
              </w:rPr>
              <w:t>下浮率</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3F38155B">
            <w:pPr>
              <w:snapToGrid w:val="0"/>
              <w:rPr>
                <w:rFonts w:cs="宋体" w:asciiTheme="minorEastAsia" w:hAnsiTheme="minorEastAsia" w:eastAsiaTheme="minorEastAsia"/>
                <w:b/>
                <w:color w:val="auto"/>
                <w:kern w:val="2"/>
                <w:sz w:val="24"/>
                <w:szCs w:val="24"/>
                <w:highlight w:val="none"/>
              </w:rPr>
            </w:pPr>
          </w:p>
        </w:tc>
      </w:tr>
      <w:tr w14:paraId="781A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8214DCC">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72906755">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lang w:val="en-US" w:eastAsia="zh-CN"/>
              </w:rPr>
              <w:t>符合竞争性磋商文件要求</w:t>
            </w:r>
          </w:p>
        </w:tc>
      </w:tr>
      <w:tr w14:paraId="5A57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077EE33">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7F9734E6">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68D2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6AE4834">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76C6A6B0">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3A00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2A0DBEF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4ADCB00C">
            <w:pPr>
              <w:rPr>
                <w:rFonts w:cs="宋体" w:asciiTheme="minorEastAsia" w:hAnsiTheme="minorEastAsia" w:eastAsiaTheme="minorEastAsia"/>
                <w:b/>
                <w:color w:val="auto"/>
                <w:kern w:val="2"/>
                <w:sz w:val="24"/>
                <w:szCs w:val="24"/>
                <w:highlight w:val="none"/>
              </w:rPr>
            </w:pPr>
          </w:p>
        </w:tc>
      </w:tr>
    </w:tbl>
    <w:p w14:paraId="22E2BDCD">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7D24D94">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63703621">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6B3F12A7">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62F44BB2">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103C9323">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6EDBA61F">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39A98DEB">
      <w:pPr>
        <w:spacing w:line="360" w:lineRule="auto"/>
        <w:jc w:val="center"/>
        <w:outlineLvl w:val="1"/>
        <w:rPr>
          <w:rFonts w:asciiTheme="minorEastAsia" w:hAnsiTheme="minorEastAsia" w:eastAsiaTheme="minorEastAsia"/>
          <w:b/>
          <w:color w:val="auto"/>
          <w:sz w:val="24"/>
          <w:highlight w:val="none"/>
        </w:rPr>
      </w:pPr>
      <w:bookmarkStart w:id="204" w:name="_Toc461056632"/>
      <w:bookmarkStart w:id="205" w:name="_Toc461053087"/>
      <w:bookmarkStart w:id="206" w:name="_Toc20879"/>
      <w:bookmarkStart w:id="207" w:name="_Toc22341"/>
      <w:bookmarkStart w:id="208" w:name="_Toc520983588"/>
      <w:r>
        <w:rPr>
          <w:rFonts w:hint="eastAsia" w:asciiTheme="minorEastAsia" w:hAnsiTheme="minorEastAsia" w:eastAsiaTheme="minorEastAsia"/>
          <w:b/>
          <w:color w:val="auto"/>
          <w:sz w:val="24"/>
          <w:highlight w:val="none"/>
        </w:rPr>
        <w:t>二</w:t>
      </w:r>
      <w:bookmarkEnd w:id="204"/>
      <w:bookmarkEnd w:id="205"/>
      <w:r>
        <w:rPr>
          <w:rFonts w:hint="eastAsia" w:asciiTheme="minorEastAsia" w:hAnsiTheme="minorEastAsia" w:eastAsiaTheme="minorEastAsia"/>
          <w:b/>
          <w:color w:val="auto"/>
          <w:sz w:val="24"/>
          <w:highlight w:val="none"/>
        </w:rPr>
        <w:t>、最后承诺报价表</w:t>
      </w:r>
      <w:bookmarkEnd w:id="206"/>
      <w:bookmarkEnd w:id="207"/>
      <w:bookmarkEnd w:id="208"/>
    </w:p>
    <w:p w14:paraId="5E21CA18">
      <w:pPr>
        <w:spacing w:before="156" w:beforeLines="50" w:after="156" w:afterLines="50" w:line="360" w:lineRule="auto"/>
        <w:ind w:firstLine="236" w:firstLineChars="98"/>
        <w:jc w:val="center"/>
        <w:outlineLvl w:val="9"/>
        <w:rPr>
          <w:b/>
          <w:color w:val="auto"/>
          <w:sz w:val="24"/>
          <w:szCs w:val="28"/>
          <w:highlight w:val="none"/>
        </w:rPr>
      </w:pPr>
      <w:bookmarkStart w:id="209" w:name="_Toc13333"/>
      <w:bookmarkStart w:id="210" w:name="_Toc8562"/>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209"/>
      <w:bookmarkEnd w:id="210"/>
    </w:p>
    <w:p w14:paraId="23CBE97C">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70C3BC75">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BEF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41B2764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049BC90A">
            <w:pPr>
              <w:rPr>
                <w:rFonts w:cs="宋体" w:asciiTheme="minorEastAsia" w:hAnsiTheme="minorEastAsia" w:eastAsiaTheme="minorEastAsia"/>
                <w:b/>
                <w:color w:val="auto"/>
                <w:kern w:val="2"/>
                <w:sz w:val="24"/>
                <w:szCs w:val="24"/>
                <w:highlight w:val="none"/>
              </w:rPr>
            </w:pPr>
          </w:p>
        </w:tc>
      </w:tr>
      <w:tr w14:paraId="1EB8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8379E3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42E4A4EE">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w:t>
            </w:r>
          </w:p>
        </w:tc>
      </w:tr>
      <w:tr w14:paraId="3449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63D90BB3">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51C5EC4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4A2364A9">
            <w:pPr>
              <w:snapToGrid w:val="0"/>
              <w:spacing w:line="360" w:lineRule="auto"/>
              <w:jc w:val="left"/>
              <w:rPr>
                <w:rFonts w:hint="eastAsia" w:ascii="宋体" w:hAnsi="宋体" w:eastAsia="宋体" w:cs="宋体"/>
                <w:bCs/>
                <w:color w:val="auto"/>
                <w:sz w:val="24"/>
                <w:szCs w:val="24"/>
                <w:highlight w:val="none"/>
                <w:u w:val="single"/>
              </w:rPr>
            </w:pPr>
            <w:r>
              <w:rPr>
                <w:rFonts w:hint="eastAsia" w:cs="宋体"/>
                <w:bCs/>
                <w:color w:val="auto"/>
                <w:sz w:val="24"/>
                <w:szCs w:val="24"/>
                <w:highlight w:val="none"/>
                <w:lang w:val="en-US" w:eastAsia="zh-CN"/>
              </w:rPr>
              <w:t>下浮率</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CD2B4DD">
            <w:pPr>
              <w:spacing w:line="360" w:lineRule="auto"/>
              <w:ind w:right="-670"/>
              <w:rPr>
                <w:rFonts w:cs="宋体" w:asciiTheme="minorEastAsia" w:hAnsiTheme="minorEastAsia" w:eastAsiaTheme="minorEastAsia"/>
                <w:b/>
                <w:color w:val="auto"/>
                <w:kern w:val="2"/>
                <w:sz w:val="24"/>
                <w:szCs w:val="24"/>
                <w:highlight w:val="none"/>
              </w:rPr>
            </w:pPr>
            <w:r>
              <w:rPr>
                <w:rFonts w:hint="eastAsia" w:cs="宋体"/>
                <w:bCs/>
                <w:color w:val="auto"/>
                <w:sz w:val="24"/>
                <w:szCs w:val="24"/>
                <w:highlight w:val="none"/>
                <w:lang w:val="en-US" w:eastAsia="zh-CN"/>
              </w:rPr>
              <w:t>下浮率</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BDF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9A369BD">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2E2138FE">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lang w:val="en-US" w:eastAsia="zh-CN"/>
              </w:rPr>
              <w:t>符合竞争性磋商文件要求</w:t>
            </w:r>
          </w:p>
        </w:tc>
      </w:tr>
      <w:tr w14:paraId="70D2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3458434">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3A6B1C67">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3A7D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F264768">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762FE992">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03F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51BEF7B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7104B527">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08CE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0E91199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51AEDC95">
            <w:pPr>
              <w:rPr>
                <w:rFonts w:cs="宋体" w:asciiTheme="minorEastAsia" w:hAnsiTheme="minorEastAsia" w:eastAsiaTheme="minorEastAsia"/>
                <w:b/>
                <w:color w:val="auto"/>
                <w:kern w:val="2"/>
                <w:sz w:val="24"/>
                <w:szCs w:val="24"/>
                <w:highlight w:val="none"/>
              </w:rPr>
            </w:pPr>
          </w:p>
        </w:tc>
      </w:tr>
    </w:tbl>
    <w:p w14:paraId="4D0E0B0C">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67DFE85">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3434CBB">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43196A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cs="宋体" w:asciiTheme="minorEastAsia" w:hAnsiTheme="minorEastAsia" w:eastAsiaTheme="minorEastAsia"/>
          <w:b/>
          <w:bCs/>
          <w:color w:val="auto"/>
          <w:kern w:val="2"/>
          <w:sz w:val="24"/>
          <w:szCs w:val="24"/>
          <w:highlight w:val="none"/>
          <w:lang w:val="en-US" w:eastAsia="zh-CN"/>
        </w:rPr>
      </w:pPr>
      <w:r>
        <w:rPr>
          <w:rFonts w:hint="eastAsia" w:cs="宋体" w:asciiTheme="minorEastAsia" w:hAnsiTheme="minorEastAsia" w:eastAsiaTheme="minorEastAsia"/>
          <w:b/>
          <w:bCs/>
          <w:color w:val="auto"/>
          <w:kern w:val="2"/>
          <w:sz w:val="24"/>
          <w:szCs w:val="24"/>
          <w:highlight w:val="none"/>
          <w:lang w:val="en-US" w:eastAsia="zh-CN"/>
        </w:rPr>
        <w:t>1.本页《报价表》由供应商在接到报价通知后依据磋商情况填写,并在规定时间内提交。</w:t>
      </w:r>
    </w:p>
    <w:p w14:paraId="7EC967A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cs="宋体" w:asciiTheme="minorEastAsia" w:hAnsiTheme="minorEastAsia" w:eastAsiaTheme="minorEastAsia"/>
          <w:b/>
          <w:bCs/>
          <w:color w:val="auto"/>
          <w:kern w:val="2"/>
          <w:sz w:val="24"/>
          <w:szCs w:val="24"/>
          <w:highlight w:val="none"/>
          <w:lang w:val="en-US" w:eastAsia="zh-CN"/>
        </w:rPr>
      </w:pPr>
      <w:r>
        <w:rPr>
          <w:rFonts w:hint="eastAsia" w:cs="宋体" w:asciiTheme="minorEastAsia" w:hAnsiTheme="minorEastAsia" w:eastAsiaTheme="minorEastAsia"/>
          <w:b/>
          <w:bCs/>
          <w:color w:val="auto"/>
          <w:kern w:val="2"/>
          <w:sz w:val="24"/>
          <w:szCs w:val="24"/>
          <w:highlight w:val="none"/>
          <w:lang w:val="en-US" w:eastAsia="zh-CN"/>
        </w:rPr>
        <w:t>2.表中大写金额与小写金额不一致的，以大写金额为准。</w:t>
      </w:r>
    </w:p>
    <w:p w14:paraId="7EC4BB04">
      <w:pPr>
        <w:widowControl/>
        <w:jc w:val="left"/>
        <w:rPr>
          <w:bCs/>
          <w:color w:val="auto"/>
          <w:sz w:val="24"/>
          <w:highlight w:val="none"/>
        </w:rPr>
      </w:pPr>
      <w:r>
        <w:rPr>
          <w:bCs/>
          <w:color w:val="auto"/>
          <w:sz w:val="24"/>
          <w:highlight w:val="none"/>
        </w:rPr>
        <w:br w:type="page"/>
      </w:r>
    </w:p>
    <w:p w14:paraId="5FB5C085">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211" w:name="_Toc7943"/>
      <w:bookmarkStart w:id="212" w:name="_Toc22429"/>
      <w:bookmarkStart w:id="213"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211"/>
      <w:bookmarkEnd w:id="212"/>
    </w:p>
    <w:p w14:paraId="269CB0CE">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4F86C834">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2E69E41">
      <w:pPr>
        <w:spacing w:line="360" w:lineRule="auto"/>
        <w:jc w:val="center"/>
        <w:outlineLvl w:val="1"/>
        <w:rPr>
          <w:rFonts w:asciiTheme="minorEastAsia" w:hAnsiTheme="minorEastAsia" w:eastAsiaTheme="minorEastAsia"/>
          <w:b/>
          <w:color w:val="auto"/>
          <w:sz w:val="24"/>
          <w:highlight w:val="none"/>
        </w:rPr>
      </w:pPr>
      <w:bookmarkStart w:id="214" w:name="_Toc28160"/>
      <w:bookmarkStart w:id="215" w:name="_Toc8006"/>
      <w:r>
        <w:rPr>
          <w:rFonts w:hint="eastAsia" w:asciiTheme="minorEastAsia" w:hAnsiTheme="minorEastAsia" w:eastAsiaTheme="minorEastAsia"/>
          <w:b/>
          <w:color w:val="auto"/>
          <w:sz w:val="24"/>
          <w:highlight w:val="none"/>
        </w:rPr>
        <w:t>四、磋商响应函</w:t>
      </w:r>
      <w:bookmarkEnd w:id="213"/>
      <w:bookmarkEnd w:id="214"/>
      <w:bookmarkEnd w:id="215"/>
    </w:p>
    <w:p w14:paraId="23DBBAC1">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eastAsia="zh-CN"/>
        </w:rPr>
        <w:t>采购人</w:t>
      </w:r>
    </w:p>
    <w:p w14:paraId="4F3A610E">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7EB794E2">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2F4FF679">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660E5AB0">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我方保证按磋商文件约定的工期和磋商文件或业主开工令的要求如期开工、质量</w:t>
      </w:r>
      <w:r>
        <w:rPr>
          <w:rFonts w:hint="eastAsia" w:cs="宋体"/>
          <w:color w:val="auto"/>
          <w:sz w:val="24"/>
          <w:szCs w:val="24"/>
          <w:highlight w:val="none"/>
          <w:lang w:val="en-US" w:eastAsia="zh-CN"/>
        </w:rPr>
        <w:t>符合竞争性磋商文件要求</w:t>
      </w:r>
      <w:r>
        <w:rPr>
          <w:rFonts w:hint="eastAsia" w:ascii="宋体" w:hAnsi="宋体" w:eastAsia="宋体" w:cs="宋体"/>
          <w:color w:val="auto"/>
          <w:sz w:val="24"/>
          <w:szCs w:val="24"/>
          <w:highlight w:val="none"/>
        </w:rPr>
        <w:t>、如期竣工并移交整个工程。</w:t>
      </w:r>
    </w:p>
    <w:p w14:paraId="5B5C029C">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4412B443">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0C080433">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30585D4E">
      <w:pPr>
        <w:pStyle w:val="53"/>
        <w:ind w:firstLine="200"/>
        <w:rPr>
          <w:color w:val="auto"/>
          <w:highlight w:val="none"/>
          <w:lang w:val="en-US"/>
        </w:rPr>
      </w:pPr>
    </w:p>
    <w:p w14:paraId="6FF1B8FA">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712B1C68">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21D44904">
      <w:pPr>
        <w:widowControl/>
        <w:jc w:val="left"/>
        <w:rPr>
          <w:color w:val="auto"/>
          <w:sz w:val="24"/>
          <w:highlight w:val="none"/>
        </w:rPr>
      </w:pPr>
      <w:r>
        <w:rPr>
          <w:color w:val="auto"/>
          <w:sz w:val="24"/>
          <w:highlight w:val="none"/>
        </w:rPr>
        <w:br w:type="page"/>
      </w:r>
    </w:p>
    <w:p w14:paraId="668A0FC7">
      <w:pPr>
        <w:spacing w:line="360" w:lineRule="auto"/>
        <w:jc w:val="center"/>
        <w:outlineLvl w:val="1"/>
        <w:rPr>
          <w:b/>
          <w:i/>
          <w:color w:val="auto"/>
          <w:sz w:val="24"/>
          <w:highlight w:val="none"/>
        </w:rPr>
      </w:pPr>
      <w:bookmarkStart w:id="216" w:name="_Toc2947"/>
      <w:bookmarkStart w:id="217" w:name="_Toc20728"/>
      <w:r>
        <w:rPr>
          <w:rFonts w:hint="eastAsia" w:asciiTheme="minorEastAsia" w:hAnsiTheme="minorEastAsia" w:eastAsiaTheme="minorEastAsia"/>
          <w:b/>
          <w:color w:val="auto"/>
          <w:sz w:val="24"/>
          <w:highlight w:val="none"/>
        </w:rPr>
        <w:t>五、</w:t>
      </w:r>
      <w:bookmarkEnd w:id="216"/>
      <w:bookmarkStart w:id="218" w:name="_Toc8658"/>
      <w:r>
        <w:rPr>
          <w:rFonts w:hint="eastAsia" w:asciiTheme="minorEastAsia" w:hAnsiTheme="minorEastAsia" w:eastAsiaTheme="minorEastAsia"/>
          <w:b/>
          <w:color w:val="auto"/>
          <w:sz w:val="24"/>
          <w:highlight w:val="none"/>
          <w:lang w:val="en-US" w:eastAsia="zh-CN"/>
        </w:rPr>
        <w:t>供应商资格声明书</w:t>
      </w:r>
      <w:bookmarkEnd w:id="217"/>
      <w:r>
        <w:rPr>
          <w:rFonts w:hint="eastAsia" w:asciiTheme="minorEastAsia" w:hAnsiTheme="minorEastAsia" w:eastAsiaTheme="minorEastAsia"/>
          <w:b/>
          <w:color w:val="auto"/>
          <w:sz w:val="24"/>
          <w:highlight w:val="none"/>
          <w:lang w:val="en-US" w:eastAsia="zh-CN"/>
        </w:rPr>
        <w:t xml:space="preserve"> </w:t>
      </w:r>
    </w:p>
    <w:p w14:paraId="5C77D2A9">
      <w:pPr>
        <w:pStyle w:val="31"/>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E99B9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在参与本次项目磋商中，我单位承诺：</w:t>
      </w:r>
    </w:p>
    <w:p w14:paraId="44E1D4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55C73A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54C857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2A1BD8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3E723B">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5AC9DE5A">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9FBA6B4">
      <w:pPr>
        <w:spacing w:line="360" w:lineRule="auto"/>
        <w:rPr>
          <w:rFonts w:hint="eastAsia"/>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596AA0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2C1650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0E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3D59D9">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841" w:type="dxa"/>
          </w:tcPr>
          <w:p w14:paraId="1D02C96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841" w:type="dxa"/>
          </w:tcPr>
          <w:p w14:paraId="6BF87FF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2223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6997E6">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841" w:type="dxa"/>
          </w:tcPr>
          <w:p w14:paraId="4F72401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672F5D3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72D9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AD8456">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841" w:type="dxa"/>
          </w:tcPr>
          <w:p w14:paraId="3FD7AD1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101175E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2B51F6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D317BD6">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1486A2B">
      <w:pPr>
        <w:spacing w:line="360" w:lineRule="auto"/>
        <w:jc w:val="center"/>
        <w:outlineLvl w:val="9"/>
        <w:rPr>
          <w:rFonts w:hint="eastAsia" w:asciiTheme="minorEastAsia" w:hAnsiTheme="minorEastAsia" w:eastAsiaTheme="minorEastAsia"/>
          <w:b/>
          <w:color w:val="auto"/>
          <w:sz w:val="24"/>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218"/>
    </w:p>
    <w:p w14:paraId="3BEB74C5">
      <w:pPr>
        <w:widowControl/>
        <w:jc w:val="center"/>
        <w:outlineLvl w:val="1"/>
        <w:rPr>
          <w:rFonts w:asciiTheme="minorEastAsia" w:hAnsiTheme="minorEastAsia" w:eastAsiaTheme="minorEastAsia"/>
          <w:b/>
          <w:color w:val="auto"/>
          <w:sz w:val="24"/>
          <w:highlight w:val="none"/>
          <w:u w:val="none"/>
        </w:rPr>
      </w:pPr>
      <w:bookmarkStart w:id="219" w:name="_Toc516969106"/>
      <w:bookmarkStart w:id="220" w:name="_Toc204594911"/>
      <w:bookmarkStart w:id="221" w:name="_Toc909"/>
      <w:bookmarkStart w:id="222" w:name="_Toc520983594"/>
      <w:bookmarkStart w:id="223" w:name="_Toc121626298"/>
      <w:bookmarkStart w:id="224" w:name="_Toc25503"/>
      <w:r>
        <w:rPr>
          <w:rFonts w:hint="eastAsia" w:asciiTheme="minorEastAsia" w:hAnsiTheme="minorEastAsia" w:eastAsiaTheme="minorEastAsia"/>
          <w:b/>
          <w:color w:val="auto"/>
          <w:sz w:val="24"/>
          <w:highlight w:val="none"/>
          <w:u w:val="none"/>
        </w:rPr>
        <w:t>六、授权书</w:t>
      </w:r>
      <w:bookmarkEnd w:id="219"/>
      <w:bookmarkEnd w:id="220"/>
      <w:bookmarkEnd w:id="221"/>
      <w:bookmarkEnd w:id="222"/>
      <w:bookmarkEnd w:id="223"/>
      <w:bookmarkEnd w:id="224"/>
    </w:p>
    <w:p w14:paraId="110467B8">
      <w:pPr>
        <w:spacing w:line="360" w:lineRule="auto"/>
        <w:jc w:val="center"/>
        <w:rPr>
          <w:rFonts w:asciiTheme="minorEastAsia" w:hAnsiTheme="minorEastAsia" w:eastAsiaTheme="minorEastAsia"/>
          <w:b/>
          <w:color w:val="auto"/>
          <w:sz w:val="24"/>
          <w:highlight w:val="none"/>
        </w:rPr>
      </w:pPr>
    </w:p>
    <w:p w14:paraId="09B0B2DE">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04B0AEE7">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1A0C56B">
      <w:pPr>
        <w:pStyle w:val="2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04245ED0">
      <w:pPr>
        <w:pStyle w:val="29"/>
        <w:snapToGrid w:val="0"/>
        <w:spacing w:line="360" w:lineRule="auto"/>
        <w:ind w:firstLine="480" w:firstLineChars="200"/>
        <w:jc w:val="left"/>
        <w:rPr>
          <w:rFonts w:hAnsi="宋体" w:eastAsia="宋体"/>
          <w:color w:val="auto"/>
          <w:sz w:val="24"/>
          <w:highlight w:val="none"/>
        </w:rPr>
      </w:pPr>
    </w:p>
    <w:p w14:paraId="78A7307B">
      <w:pPr>
        <w:pStyle w:val="29"/>
        <w:snapToGrid w:val="0"/>
        <w:spacing w:line="360" w:lineRule="auto"/>
        <w:ind w:firstLine="480" w:firstLineChars="200"/>
        <w:jc w:val="left"/>
        <w:rPr>
          <w:rFonts w:hAnsi="宋体" w:eastAsia="宋体"/>
          <w:color w:val="auto"/>
          <w:sz w:val="24"/>
          <w:highlight w:val="none"/>
        </w:rPr>
      </w:pPr>
    </w:p>
    <w:p w14:paraId="23BF0D1D">
      <w:pPr>
        <w:pStyle w:val="29"/>
        <w:snapToGrid w:val="0"/>
        <w:spacing w:line="360" w:lineRule="auto"/>
        <w:ind w:firstLine="480" w:firstLineChars="200"/>
        <w:jc w:val="left"/>
        <w:rPr>
          <w:rFonts w:hAnsi="宋体" w:eastAsia="宋体"/>
          <w:color w:val="auto"/>
          <w:sz w:val="24"/>
          <w:highlight w:val="none"/>
        </w:rPr>
      </w:pPr>
    </w:p>
    <w:p w14:paraId="4AE4CA22">
      <w:pPr>
        <w:pStyle w:val="29"/>
        <w:snapToGrid w:val="0"/>
        <w:spacing w:line="360" w:lineRule="auto"/>
        <w:ind w:firstLine="480" w:firstLineChars="200"/>
        <w:jc w:val="left"/>
        <w:rPr>
          <w:rFonts w:hAnsi="宋体" w:eastAsia="宋体"/>
          <w:color w:val="auto"/>
          <w:sz w:val="24"/>
          <w:highlight w:val="none"/>
        </w:rPr>
      </w:pPr>
    </w:p>
    <w:p w14:paraId="5628A6C0">
      <w:pPr>
        <w:pStyle w:val="2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A5DF889">
      <w:pPr>
        <w:pStyle w:val="29"/>
        <w:snapToGrid w:val="0"/>
        <w:spacing w:line="360" w:lineRule="auto"/>
        <w:ind w:firstLine="480" w:firstLineChars="200"/>
        <w:jc w:val="left"/>
        <w:rPr>
          <w:rFonts w:hAnsi="宋体" w:eastAsia="宋体"/>
          <w:color w:val="auto"/>
          <w:sz w:val="24"/>
          <w:szCs w:val="28"/>
          <w:highlight w:val="none"/>
        </w:rPr>
      </w:pPr>
    </w:p>
    <w:p w14:paraId="6BF1B894">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60E56730">
      <w:pPr>
        <w:spacing w:line="360" w:lineRule="auto"/>
        <w:rPr>
          <w:color w:val="auto"/>
          <w:sz w:val="24"/>
          <w:szCs w:val="28"/>
          <w:highlight w:val="none"/>
        </w:rPr>
      </w:pPr>
    </w:p>
    <w:p w14:paraId="2CE21156">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47B9DB3F">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2E9FBC50">
      <w:pPr>
        <w:spacing w:line="360" w:lineRule="auto"/>
        <w:rPr>
          <w:color w:val="auto"/>
          <w:sz w:val="24"/>
          <w:szCs w:val="28"/>
          <w:highlight w:val="none"/>
        </w:rPr>
      </w:pPr>
    </w:p>
    <w:p w14:paraId="3D000D52">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45599FBB">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562206DA">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21A78170">
      <w:pPr>
        <w:widowControl/>
        <w:jc w:val="left"/>
        <w:rPr>
          <w:color w:val="auto"/>
          <w:sz w:val="24"/>
          <w:highlight w:val="none"/>
        </w:rPr>
      </w:pPr>
      <w:r>
        <w:rPr>
          <w:color w:val="auto"/>
          <w:sz w:val="24"/>
          <w:highlight w:val="none"/>
        </w:rPr>
        <w:br w:type="page"/>
      </w:r>
    </w:p>
    <w:p w14:paraId="36A6A723">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225" w:name="_Toc32351"/>
      <w:bookmarkStart w:id="226" w:name="_Toc12223"/>
      <w:r>
        <w:rPr>
          <w:rFonts w:hint="eastAsia" w:cs="@仿宋_GB2312" w:asciiTheme="minorEastAsia" w:hAnsiTheme="minorEastAsia" w:eastAsiaTheme="minorEastAsia"/>
          <w:b/>
          <w:bCs/>
          <w:color w:val="auto"/>
          <w:kern w:val="2"/>
          <w:sz w:val="24"/>
          <w:szCs w:val="24"/>
          <w:highlight w:val="none"/>
        </w:rPr>
        <w:t>七、法定代表人身份证明书</w:t>
      </w:r>
      <w:bookmarkEnd w:id="225"/>
      <w:bookmarkEnd w:id="226"/>
    </w:p>
    <w:p w14:paraId="005450DA">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4F06EA6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A5C2CA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1E8260E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770504F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52F38914">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3E06763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32EFE41E">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654C340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29A89642">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6F894392">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36C58EBF">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1DBFB023">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61F00E40">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8C03BCA">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59EB93F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5E872E4">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6CD0467">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5A93ED62">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227" w:name="_Toc4373"/>
      <w:bookmarkStart w:id="228" w:name="_Toc20099"/>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227"/>
      <w:bookmarkEnd w:id="228"/>
    </w:p>
    <w:p w14:paraId="7368F911">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eastAsia="zh-CN"/>
        </w:rPr>
        <w:t>采购人</w:t>
      </w:r>
    </w:p>
    <w:p w14:paraId="0408A91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867ED6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080AC90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196786F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72E8D8A9">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4D4B20BA">
      <w:pPr>
        <w:spacing w:line="360" w:lineRule="auto"/>
        <w:ind w:firstLine="480" w:firstLineChars="200"/>
        <w:rPr>
          <w:rFonts w:cs="宋体"/>
          <w:color w:val="auto"/>
          <w:kern w:val="2"/>
          <w:sz w:val="24"/>
          <w:szCs w:val="24"/>
          <w:highlight w:val="none"/>
        </w:rPr>
      </w:pPr>
    </w:p>
    <w:p w14:paraId="737E4BD8">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2A7D9A8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141F054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1B83FA60">
      <w:pPr>
        <w:spacing w:line="360" w:lineRule="auto"/>
        <w:ind w:firstLine="480" w:firstLineChars="200"/>
        <w:rPr>
          <w:rFonts w:cs="宋体"/>
          <w:color w:val="auto"/>
          <w:kern w:val="2"/>
          <w:sz w:val="24"/>
          <w:szCs w:val="24"/>
          <w:highlight w:val="none"/>
        </w:rPr>
      </w:pPr>
    </w:p>
    <w:p w14:paraId="4010E0E4">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7D2D814B">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229" w:name="_Toc438648628"/>
      <w:r>
        <w:rPr>
          <w:rFonts w:hint="eastAsia" w:ascii="@仿宋_GB2312" w:eastAsia="@仿宋_GB2312" w:cs="宋体"/>
          <w:b/>
          <w:color w:val="auto"/>
          <w:kern w:val="2"/>
          <w:sz w:val="24"/>
          <w:szCs w:val="24"/>
          <w:highlight w:val="none"/>
        </w:rPr>
        <w:br w:type="page"/>
      </w:r>
      <w:bookmarkEnd w:id="229"/>
    </w:p>
    <w:p w14:paraId="1966043E">
      <w:pPr>
        <w:spacing w:line="360" w:lineRule="auto"/>
        <w:jc w:val="center"/>
        <w:outlineLvl w:val="1"/>
        <w:rPr>
          <w:rFonts w:asciiTheme="minorEastAsia" w:hAnsiTheme="minorEastAsia" w:eastAsiaTheme="minorEastAsia"/>
          <w:b/>
          <w:color w:val="auto"/>
          <w:sz w:val="24"/>
          <w:highlight w:val="none"/>
        </w:rPr>
      </w:pPr>
      <w:bookmarkStart w:id="230" w:name="_Toc3604"/>
      <w:bookmarkStart w:id="231" w:name="_Toc31386"/>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、联合协议</w:t>
      </w:r>
      <w:bookmarkEnd w:id="230"/>
      <w:bookmarkEnd w:id="231"/>
    </w:p>
    <w:p w14:paraId="22AA1B50">
      <w:pPr>
        <w:pStyle w:val="40"/>
        <w:spacing w:line="360" w:lineRule="auto"/>
        <w:jc w:val="center"/>
        <w:rPr>
          <w:rFonts w:hint="eastAsia" w:ascii="宋体" w:hAnsi="宋体" w:eastAsia="宋体"/>
          <w:b w:val="0"/>
          <w:i/>
          <w:color w:val="FF0000"/>
          <w:sz w:val="24"/>
          <w:highlight w:val="none"/>
        </w:rPr>
      </w:pPr>
      <w:r>
        <w:rPr>
          <w:rFonts w:hint="eastAsia" w:ascii="宋体" w:hAnsi="宋体" w:eastAsia="宋体"/>
          <w:b w:val="0"/>
          <w:i/>
          <w:color w:val="FF0000"/>
          <w:sz w:val="24"/>
          <w:highlight w:val="none"/>
        </w:rPr>
        <w:t>（不允许联合体参加磋商或未组成联合体的，不需此件</w:t>
      </w:r>
      <w:r>
        <w:rPr>
          <w:rFonts w:hint="eastAsia" w:ascii="宋体" w:hAnsi="宋体" w:eastAsia="宋体"/>
          <w:b w:val="0"/>
          <w:i/>
          <w:color w:val="FF0000"/>
          <w:sz w:val="24"/>
          <w:highlight w:val="none"/>
          <w:lang w:eastAsia="zh-CN"/>
        </w:rPr>
        <w:t>，</w:t>
      </w:r>
      <w:r>
        <w:rPr>
          <w:rFonts w:hint="eastAsia" w:ascii="宋体" w:hAnsi="宋体" w:eastAsia="宋体" w:cs="@仿宋_GB2312"/>
          <w:b w:val="0"/>
          <w:bCs w:val="0"/>
          <w:i/>
          <w:iCs/>
          <w:color w:val="FF0000"/>
          <w:kern w:val="2"/>
          <w:sz w:val="24"/>
          <w:szCs w:val="18"/>
          <w:highlight w:val="none"/>
          <w:lang w:val="en-US" w:eastAsia="zh-CN" w:bidi="ar-SA"/>
        </w:rPr>
        <w:t>请删去“联合协议”</w:t>
      </w:r>
      <w:r>
        <w:rPr>
          <w:rFonts w:hint="eastAsia" w:ascii="宋体" w:hAnsi="宋体" w:eastAsia="宋体"/>
          <w:b w:val="0"/>
          <w:i/>
          <w:color w:val="FF0000"/>
          <w:sz w:val="24"/>
          <w:highlight w:val="none"/>
        </w:rPr>
        <w:t>；允许联</w:t>
      </w:r>
    </w:p>
    <w:p w14:paraId="77E88681">
      <w:pPr>
        <w:pStyle w:val="40"/>
        <w:spacing w:line="360" w:lineRule="auto"/>
        <w:jc w:val="center"/>
        <w:rPr>
          <w:rFonts w:ascii="宋体" w:hAnsi="宋体" w:eastAsia="宋体"/>
          <w:b w:val="0"/>
          <w:i/>
          <w:color w:val="FF0000"/>
          <w:sz w:val="24"/>
          <w:highlight w:val="none"/>
        </w:rPr>
      </w:pPr>
      <w:r>
        <w:rPr>
          <w:rFonts w:hint="eastAsia" w:ascii="宋体" w:hAnsi="宋体" w:eastAsia="宋体"/>
          <w:b w:val="0"/>
          <w:i/>
          <w:color w:val="FF0000"/>
          <w:sz w:val="24"/>
          <w:highlight w:val="none"/>
        </w:rPr>
        <w:t>合体参加磋商且供应商为联合体参加磋商的，请将此件制成扫描件上传</w:t>
      </w:r>
      <w:r>
        <w:rPr>
          <w:rFonts w:hint="eastAsia" w:ascii="宋体" w:hAnsi="宋体" w:eastAsia="宋体"/>
          <w:b w:val="0"/>
          <w:i/>
          <w:color w:val="FF0000"/>
          <w:sz w:val="24"/>
          <w:highlight w:val="none"/>
          <w:lang w:eastAsia="zh-CN"/>
        </w:rPr>
        <w:t>，</w:t>
      </w:r>
      <w:r>
        <w:rPr>
          <w:rFonts w:hint="eastAsia" w:ascii="宋体" w:hAnsi="宋体" w:eastAsia="宋体"/>
          <w:b w:val="0"/>
          <w:i/>
          <w:color w:val="FF0000"/>
          <w:sz w:val="24"/>
          <w:highlight w:val="none"/>
          <w:lang w:val="en-US" w:eastAsia="zh-CN"/>
        </w:rPr>
        <w:t>同时删去本提示内容</w:t>
      </w:r>
      <w:r>
        <w:rPr>
          <w:rFonts w:hint="eastAsia" w:ascii="宋体" w:hAnsi="宋体" w:eastAsia="宋体"/>
          <w:b w:val="0"/>
          <w:i/>
          <w:color w:val="FF0000"/>
          <w:sz w:val="24"/>
          <w:highlight w:val="none"/>
        </w:rPr>
        <w:t>）</w:t>
      </w:r>
    </w:p>
    <w:p w14:paraId="55B54D6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28BA4C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2D5538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157F7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5D8D0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CC7A8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104C61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4E92063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423F34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3F59619">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A6BA2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2B99CE1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1FA1298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85391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656D7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5DFAB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ACFDC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AB9EC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C495288">
      <w:pPr>
        <w:pStyle w:val="40"/>
        <w:spacing w:line="360" w:lineRule="auto"/>
        <w:rPr>
          <w:rFonts w:asciiTheme="minorEastAsia" w:hAnsiTheme="minorEastAsia" w:eastAsiaTheme="minorEastAsia"/>
          <w:color w:val="auto"/>
          <w:sz w:val="24"/>
          <w:highlight w:val="none"/>
        </w:rPr>
      </w:pPr>
    </w:p>
    <w:p w14:paraId="27CDB0DF">
      <w:pPr>
        <w:spacing w:line="360" w:lineRule="auto"/>
        <w:ind w:right="480" w:firstLine="4680" w:firstLineChars="19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261D7D6">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0DA2BF2">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32" w:name="_Toc17887"/>
      <w:bookmarkStart w:id="233" w:name="_Toc28359"/>
      <w:r>
        <w:rPr>
          <w:rFonts w:hint="eastAsia" w:asciiTheme="minorEastAsia" w:hAnsiTheme="minorEastAsia" w:eastAsiaTheme="minorEastAsia"/>
          <w:b/>
          <w:color w:val="auto"/>
          <w:sz w:val="24"/>
          <w:highlight w:val="none"/>
          <w:lang w:val="en-US" w:eastAsia="zh-CN"/>
        </w:rPr>
        <w:t>十．拟分包情况说明及分包意向协议</w:t>
      </w:r>
      <w:bookmarkEnd w:id="232"/>
    </w:p>
    <w:p w14:paraId="13FE0DA2">
      <w:pPr>
        <w:pStyle w:val="19"/>
        <w:jc w:val="center"/>
        <w:rPr>
          <w:rFonts w:hint="eastAsia" w:ascii="宋体" w:hAnsi="宋体" w:eastAsia="宋体" w:cs="@仿宋_GB2312"/>
          <w:b w:val="0"/>
          <w:bCs w:val="0"/>
          <w:i/>
          <w:iCs/>
          <w:color w:val="FF0000"/>
          <w:kern w:val="2"/>
          <w:sz w:val="24"/>
          <w:szCs w:val="18"/>
          <w:highlight w:val="none"/>
          <w:lang w:val="en-US" w:eastAsia="zh-CN" w:bidi="ar-SA"/>
        </w:rPr>
      </w:pPr>
      <w:r>
        <w:rPr>
          <w:rFonts w:hint="eastAsia" w:ascii="宋体" w:hAnsi="宋体" w:eastAsia="宋体" w:cs="@仿宋_GB2312"/>
          <w:b w:val="0"/>
          <w:bCs w:val="0"/>
          <w:i/>
          <w:iCs/>
          <w:color w:val="FF0000"/>
          <w:kern w:val="2"/>
          <w:sz w:val="24"/>
          <w:szCs w:val="18"/>
          <w:highlight w:val="none"/>
          <w:lang w:val="en-US" w:eastAsia="zh-CN" w:bidi="ar-SA"/>
        </w:rPr>
        <w:t>（</w:t>
      </w:r>
      <w:r>
        <w:rPr>
          <w:rFonts w:hint="eastAsia" w:ascii="宋体" w:hAnsi="宋体" w:eastAsia="宋体"/>
          <w:b w:val="0"/>
          <w:i/>
          <w:color w:val="FF0000"/>
          <w:sz w:val="24"/>
          <w:highlight w:val="none"/>
        </w:rPr>
        <w:t>不允许</w:t>
      </w:r>
      <w:r>
        <w:rPr>
          <w:rFonts w:hint="eastAsia" w:ascii="宋体" w:hAnsi="宋体" w:eastAsia="宋体"/>
          <w:b w:val="0"/>
          <w:i/>
          <w:color w:val="FF0000"/>
          <w:sz w:val="24"/>
          <w:highlight w:val="none"/>
          <w:lang w:val="en-US" w:eastAsia="zh-CN"/>
        </w:rPr>
        <w:t>合同分包</w:t>
      </w:r>
      <w:r>
        <w:rPr>
          <w:rFonts w:hint="eastAsia" w:ascii="宋体" w:hAnsi="宋体" w:eastAsia="宋体"/>
          <w:b w:val="0"/>
          <w:i/>
          <w:color w:val="FF0000"/>
          <w:sz w:val="24"/>
          <w:highlight w:val="none"/>
        </w:rPr>
        <w:t>或未</w:t>
      </w:r>
      <w:r>
        <w:rPr>
          <w:rFonts w:hint="eastAsia" w:ascii="宋体" w:hAnsi="宋体" w:eastAsia="宋体"/>
          <w:b w:val="0"/>
          <w:i/>
          <w:color w:val="FF0000"/>
          <w:sz w:val="24"/>
          <w:highlight w:val="none"/>
          <w:lang w:val="en-US" w:eastAsia="zh-CN"/>
        </w:rPr>
        <w:t>采用合同分包的</w:t>
      </w:r>
      <w:r>
        <w:rPr>
          <w:rFonts w:hint="eastAsia" w:ascii="宋体" w:hAnsi="宋体" w:eastAsia="宋体"/>
          <w:b w:val="0"/>
          <w:i/>
          <w:color w:val="FF0000"/>
          <w:sz w:val="24"/>
          <w:highlight w:val="none"/>
        </w:rPr>
        <w:t>，</w:t>
      </w:r>
      <w:r>
        <w:rPr>
          <w:rFonts w:hint="eastAsia" w:ascii="宋体" w:hAnsi="宋体" w:eastAsia="宋体" w:cs="@仿宋_GB2312"/>
          <w:b w:val="0"/>
          <w:bCs w:val="0"/>
          <w:i/>
          <w:iCs/>
          <w:color w:val="FF0000"/>
          <w:kern w:val="2"/>
          <w:sz w:val="24"/>
          <w:szCs w:val="18"/>
          <w:highlight w:val="none"/>
          <w:lang w:val="en-US" w:eastAsia="zh-CN" w:bidi="ar-SA"/>
        </w:rPr>
        <w:t>不需</w:t>
      </w:r>
      <w:r>
        <w:rPr>
          <w:rFonts w:hint="eastAsia" w:ascii="宋体" w:hAnsi="宋体" w:eastAsia="宋体"/>
          <w:b w:val="0"/>
          <w:i/>
          <w:color w:val="FF0000"/>
          <w:sz w:val="24"/>
          <w:highlight w:val="none"/>
          <w:lang w:val="en-US" w:eastAsia="zh-CN"/>
        </w:rPr>
        <w:t>此件，请删去“拟分包情况说明及分包意向协议”</w:t>
      </w:r>
      <w:r>
        <w:rPr>
          <w:rFonts w:hint="eastAsia" w:ascii="宋体" w:hAnsi="宋体" w:eastAsia="宋体"/>
          <w:b w:val="0"/>
          <w:i/>
          <w:color w:val="FF0000"/>
          <w:sz w:val="24"/>
          <w:highlight w:val="none"/>
        </w:rPr>
        <w:t>；</w:t>
      </w:r>
      <w:r>
        <w:rPr>
          <w:rFonts w:hint="eastAsia" w:ascii="宋体" w:hAnsi="宋体" w:eastAsia="宋体"/>
          <w:b w:val="0"/>
          <w:i/>
          <w:color w:val="FF0000"/>
          <w:sz w:val="24"/>
          <w:highlight w:val="none"/>
          <w:lang w:val="en-US" w:eastAsia="zh-CN"/>
        </w:rPr>
        <w:t>允许合同分包且供应商采用合同分包的，请将此件制成扫描件上传，同时删去本提示内容）</w:t>
      </w:r>
    </w:p>
    <w:p w14:paraId="4AA3D203">
      <w:pPr>
        <w:spacing w:line="360" w:lineRule="auto"/>
        <w:jc w:val="center"/>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（一）拟分包情况说明</w:t>
      </w:r>
    </w:p>
    <w:p w14:paraId="352CC3BE">
      <w:pPr>
        <w:pStyle w:val="31"/>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5E7039C1">
      <w:pPr>
        <w:pStyle w:val="19"/>
        <w:spacing w:before="181" w:line="359" w:lineRule="auto"/>
        <w:ind w:left="9" w:right="54" w:firstLine="481"/>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我单位参加</w:t>
      </w:r>
      <w:r>
        <w:rPr>
          <w:rFonts w:hint="eastAsia" w:ascii="宋体" w:hAnsi="宋体" w:eastAsia="宋体" w:cs="宋体"/>
          <w:spacing w:val="-3"/>
          <w:sz w:val="24"/>
          <w:szCs w:val="24"/>
          <w:highlight w:val="none"/>
          <w:lang w:val="en-US" w:eastAsia="zh-CN"/>
        </w:rPr>
        <w:t>本项目</w:t>
      </w:r>
      <w:r>
        <w:rPr>
          <w:rFonts w:hint="eastAsia" w:cs="@仿宋_GB2312" w:asciiTheme="minorEastAsia" w:hAnsiTheme="minorEastAsia" w:eastAsiaTheme="minorEastAsia"/>
          <w:color w:val="auto"/>
          <w:kern w:val="2"/>
          <w:sz w:val="24"/>
          <w:szCs w:val="20"/>
          <w:highlight w:val="none"/>
          <w:lang w:val="en-US" w:eastAsia="zh-CN" w:bidi="ar-SA"/>
        </w:rPr>
        <w:t>磋商，拟签订分包合同的单位情况如下表所示，我单位承诺一旦在该项目中获得采购合同将按下表所列情况进行分包，同时承诺分包承担主体不再次分包。</w:t>
      </w:r>
    </w:p>
    <w:tbl>
      <w:tblPr>
        <w:tblStyle w:val="276"/>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43C68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3FF985CB">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序号</w:t>
            </w:r>
          </w:p>
        </w:tc>
        <w:tc>
          <w:tcPr>
            <w:tcW w:w="1286" w:type="dxa"/>
            <w:vAlign w:val="center"/>
          </w:tcPr>
          <w:p w14:paraId="4BD95210">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分包承担主体名称</w:t>
            </w:r>
          </w:p>
        </w:tc>
        <w:tc>
          <w:tcPr>
            <w:tcW w:w="1684" w:type="dxa"/>
            <w:vAlign w:val="center"/>
          </w:tcPr>
          <w:p w14:paraId="4E51E0B2">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分包承担主体类型（选择）</w:t>
            </w:r>
          </w:p>
        </w:tc>
        <w:tc>
          <w:tcPr>
            <w:tcW w:w="1122" w:type="dxa"/>
            <w:vAlign w:val="center"/>
          </w:tcPr>
          <w:p w14:paraId="638856FA">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资质等级</w:t>
            </w:r>
          </w:p>
        </w:tc>
        <w:tc>
          <w:tcPr>
            <w:tcW w:w="1390" w:type="dxa"/>
            <w:vAlign w:val="center"/>
          </w:tcPr>
          <w:p w14:paraId="510FE7F1">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拟分包合同内容</w:t>
            </w:r>
          </w:p>
        </w:tc>
        <w:tc>
          <w:tcPr>
            <w:tcW w:w="1497" w:type="dxa"/>
            <w:vAlign w:val="center"/>
          </w:tcPr>
          <w:p w14:paraId="70A0DAF3">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拟分包合同金额（人民币元）</w:t>
            </w:r>
          </w:p>
        </w:tc>
        <w:tc>
          <w:tcPr>
            <w:tcW w:w="1569" w:type="dxa"/>
            <w:vAlign w:val="center"/>
          </w:tcPr>
          <w:p w14:paraId="2D965753">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占合同金额的比例（%）</w:t>
            </w:r>
          </w:p>
        </w:tc>
      </w:tr>
      <w:tr w14:paraId="6EC06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7DB2A7C9">
            <w:pPr>
              <w:pStyle w:val="277"/>
              <w:spacing w:before="69" w:line="199"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86" w:type="dxa"/>
            <w:vAlign w:val="center"/>
          </w:tcPr>
          <w:p w14:paraId="515A3A22">
            <w:pPr>
              <w:pStyle w:val="277"/>
              <w:jc w:val="both"/>
              <w:rPr>
                <w:rFonts w:hint="eastAsia" w:ascii="宋体" w:hAnsi="宋体" w:eastAsia="宋体" w:cs="宋体"/>
                <w:highlight w:val="none"/>
              </w:rPr>
            </w:pPr>
          </w:p>
        </w:tc>
        <w:tc>
          <w:tcPr>
            <w:tcW w:w="1684" w:type="dxa"/>
            <w:vAlign w:val="center"/>
          </w:tcPr>
          <w:p w14:paraId="29919218">
            <w:pPr>
              <w:pStyle w:val="277"/>
              <w:spacing w:before="37" w:line="221" w:lineRule="auto"/>
              <w:ind w:left="134"/>
              <w:jc w:val="both"/>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□中型企业</w:t>
            </w:r>
          </w:p>
          <w:p w14:paraId="3A95AA25">
            <w:pPr>
              <w:pStyle w:val="277"/>
              <w:spacing w:before="22" w:line="223" w:lineRule="auto"/>
              <w:ind w:left="373" w:right="208" w:hanging="239"/>
              <w:jc w:val="both"/>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rPr>
              <w:t>□小微企</w:t>
            </w:r>
            <w:r>
              <w:rPr>
                <w:rFonts w:hint="eastAsia" w:ascii="宋体" w:hAnsi="宋体" w:eastAsia="宋体" w:cs="宋体"/>
                <w:spacing w:val="11"/>
                <w:sz w:val="24"/>
                <w:szCs w:val="24"/>
                <w:highlight w:val="none"/>
                <w:lang w:val="en-US" w:eastAsia="zh-CN"/>
              </w:rPr>
              <w:t>业</w:t>
            </w:r>
          </w:p>
          <w:p w14:paraId="644D4329">
            <w:pPr>
              <w:pStyle w:val="277"/>
              <w:spacing w:before="22" w:line="223" w:lineRule="auto"/>
              <w:ind w:left="373" w:right="208" w:hanging="239"/>
              <w:jc w:val="both"/>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□其他</w:t>
            </w:r>
          </w:p>
        </w:tc>
        <w:tc>
          <w:tcPr>
            <w:tcW w:w="1122" w:type="dxa"/>
            <w:vAlign w:val="center"/>
          </w:tcPr>
          <w:p w14:paraId="01576CC6">
            <w:pPr>
              <w:pStyle w:val="277"/>
              <w:jc w:val="both"/>
              <w:rPr>
                <w:rFonts w:hint="eastAsia" w:ascii="宋体" w:hAnsi="宋体" w:eastAsia="宋体" w:cs="宋体"/>
                <w:highlight w:val="none"/>
              </w:rPr>
            </w:pPr>
          </w:p>
        </w:tc>
        <w:tc>
          <w:tcPr>
            <w:tcW w:w="1390" w:type="dxa"/>
            <w:vAlign w:val="center"/>
          </w:tcPr>
          <w:p w14:paraId="7AD888D8">
            <w:pPr>
              <w:pStyle w:val="277"/>
              <w:jc w:val="both"/>
              <w:rPr>
                <w:rFonts w:hint="eastAsia" w:ascii="宋体" w:hAnsi="宋体" w:eastAsia="宋体" w:cs="宋体"/>
                <w:highlight w:val="none"/>
              </w:rPr>
            </w:pPr>
          </w:p>
        </w:tc>
        <w:tc>
          <w:tcPr>
            <w:tcW w:w="1497" w:type="dxa"/>
            <w:vAlign w:val="center"/>
          </w:tcPr>
          <w:p w14:paraId="09D72418">
            <w:pPr>
              <w:pStyle w:val="277"/>
              <w:jc w:val="both"/>
              <w:rPr>
                <w:rFonts w:hint="eastAsia" w:ascii="宋体" w:hAnsi="宋体" w:eastAsia="宋体" w:cs="宋体"/>
                <w:highlight w:val="none"/>
              </w:rPr>
            </w:pPr>
          </w:p>
        </w:tc>
        <w:tc>
          <w:tcPr>
            <w:tcW w:w="1569" w:type="dxa"/>
            <w:vAlign w:val="center"/>
          </w:tcPr>
          <w:p w14:paraId="4D98AC60">
            <w:pPr>
              <w:pStyle w:val="277"/>
              <w:jc w:val="both"/>
              <w:rPr>
                <w:rFonts w:hint="eastAsia" w:ascii="宋体" w:hAnsi="宋体" w:eastAsia="宋体" w:cs="宋体"/>
                <w:highlight w:val="none"/>
              </w:rPr>
            </w:pPr>
          </w:p>
        </w:tc>
      </w:tr>
      <w:tr w14:paraId="75696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1E4C8AF7">
            <w:pPr>
              <w:pStyle w:val="277"/>
              <w:spacing w:before="69" w:line="201" w:lineRule="auto"/>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p>
        </w:tc>
        <w:tc>
          <w:tcPr>
            <w:tcW w:w="1286" w:type="dxa"/>
            <w:vAlign w:val="center"/>
          </w:tcPr>
          <w:p w14:paraId="517B8D00">
            <w:pPr>
              <w:pStyle w:val="277"/>
              <w:jc w:val="both"/>
              <w:rPr>
                <w:rFonts w:hint="eastAsia" w:ascii="宋体" w:hAnsi="宋体" w:eastAsia="宋体" w:cs="宋体"/>
                <w:highlight w:val="none"/>
              </w:rPr>
            </w:pPr>
          </w:p>
        </w:tc>
        <w:tc>
          <w:tcPr>
            <w:tcW w:w="1684" w:type="dxa"/>
            <w:vAlign w:val="center"/>
          </w:tcPr>
          <w:p w14:paraId="3B7D0D60">
            <w:pPr>
              <w:pStyle w:val="277"/>
              <w:spacing w:before="38" w:line="221" w:lineRule="auto"/>
              <w:ind w:left="134"/>
              <w:jc w:val="both"/>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□中型企业</w:t>
            </w:r>
          </w:p>
          <w:p w14:paraId="24C0D90E">
            <w:pPr>
              <w:pStyle w:val="277"/>
              <w:spacing w:before="25" w:line="222" w:lineRule="auto"/>
              <w:ind w:left="373" w:right="208" w:hanging="239"/>
              <w:jc w:val="both"/>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□小微企</w:t>
            </w:r>
            <w:r>
              <w:rPr>
                <w:rFonts w:hint="eastAsia" w:ascii="宋体" w:hAnsi="宋体" w:eastAsia="宋体" w:cs="宋体"/>
                <w:spacing w:val="11"/>
                <w:sz w:val="24"/>
                <w:szCs w:val="24"/>
                <w:highlight w:val="none"/>
                <w:lang w:val="en-US" w:eastAsia="zh-CN"/>
              </w:rPr>
              <w:t>业</w:t>
            </w:r>
          </w:p>
          <w:p w14:paraId="04877362">
            <w:pPr>
              <w:pStyle w:val="277"/>
              <w:spacing w:before="25" w:line="222" w:lineRule="auto"/>
              <w:ind w:left="373" w:right="208" w:hanging="239"/>
              <w:jc w:val="both"/>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□其他</w:t>
            </w:r>
          </w:p>
        </w:tc>
        <w:tc>
          <w:tcPr>
            <w:tcW w:w="1122" w:type="dxa"/>
            <w:vAlign w:val="center"/>
          </w:tcPr>
          <w:p w14:paraId="7499CCD1">
            <w:pPr>
              <w:pStyle w:val="277"/>
              <w:jc w:val="both"/>
              <w:rPr>
                <w:rFonts w:hint="eastAsia" w:ascii="宋体" w:hAnsi="宋体" w:eastAsia="宋体" w:cs="宋体"/>
                <w:highlight w:val="none"/>
              </w:rPr>
            </w:pPr>
          </w:p>
        </w:tc>
        <w:tc>
          <w:tcPr>
            <w:tcW w:w="1390" w:type="dxa"/>
            <w:vAlign w:val="center"/>
          </w:tcPr>
          <w:p w14:paraId="1F77C05A">
            <w:pPr>
              <w:pStyle w:val="277"/>
              <w:jc w:val="both"/>
              <w:rPr>
                <w:rFonts w:hint="eastAsia" w:ascii="宋体" w:hAnsi="宋体" w:eastAsia="宋体" w:cs="宋体"/>
                <w:highlight w:val="none"/>
              </w:rPr>
            </w:pPr>
          </w:p>
        </w:tc>
        <w:tc>
          <w:tcPr>
            <w:tcW w:w="1497" w:type="dxa"/>
            <w:vAlign w:val="center"/>
          </w:tcPr>
          <w:p w14:paraId="2A98C851">
            <w:pPr>
              <w:pStyle w:val="277"/>
              <w:jc w:val="both"/>
              <w:rPr>
                <w:rFonts w:hint="eastAsia" w:ascii="宋体" w:hAnsi="宋体" w:eastAsia="宋体" w:cs="宋体"/>
                <w:highlight w:val="none"/>
              </w:rPr>
            </w:pPr>
          </w:p>
        </w:tc>
        <w:tc>
          <w:tcPr>
            <w:tcW w:w="1569" w:type="dxa"/>
            <w:vAlign w:val="center"/>
          </w:tcPr>
          <w:p w14:paraId="3CDBEEAA">
            <w:pPr>
              <w:pStyle w:val="277"/>
              <w:jc w:val="both"/>
              <w:rPr>
                <w:rFonts w:hint="eastAsia" w:ascii="宋体" w:hAnsi="宋体" w:eastAsia="宋体" w:cs="宋体"/>
                <w:highlight w:val="none"/>
              </w:rPr>
            </w:pPr>
          </w:p>
        </w:tc>
      </w:tr>
      <w:tr w14:paraId="5CFCF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08220448">
            <w:pPr>
              <w:pStyle w:val="277"/>
              <w:spacing w:before="69" w:line="81" w:lineRule="exact"/>
              <w:jc w:val="center"/>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w:t>
            </w:r>
          </w:p>
        </w:tc>
        <w:tc>
          <w:tcPr>
            <w:tcW w:w="1286" w:type="dxa"/>
            <w:vAlign w:val="center"/>
          </w:tcPr>
          <w:p w14:paraId="169DE2DA">
            <w:pPr>
              <w:pStyle w:val="277"/>
              <w:jc w:val="both"/>
              <w:rPr>
                <w:rFonts w:hint="eastAsia" w:ascii="宋体" w:hAnsi="宋体" w:eastAsia="宋体" w:cs="宋体"/>
                <w:highlight w:val="none"/>
              </w:rPr>
            </w:pPr>
          </w:p>
        </w:tc>
        <w:tc>
          <w:tcPr>
            <w:tcW w:w="1684" w:type="dxa"/>
            <w:vAlign w:val="center"/>
          </w:tcPr>
          <w:p w14:paraId="1FB0D1BC">
            <w:pPr>
              <w:pStyle w:val="277"/>
              <w:jc w:val="both"/>
              <w:rPr>
                <w:rFonts w:hint="eastAsia" w:ascii="宋体" w:hAnsi="宋体" w:eastAsia="宋体" w:cs="宋体"/>
                <w:highlight w:val="none"/>
              </w:rPr>
            </w:pPr>
          </w:p>
        </w:tc>
        <w:tc>
          <w:tcPr>
            <w:tcW w:w="1122" w:type="dxa"/>
            <w:vAlign w:val="center"/>
          </w:tcPr>
          <w:p w14:paraId="05540E7C">
            <w:pPr>
              <w:pStyle w:val="277"/>
              <w:jc w:val="both"/>
              <w:rPr>
                <w:rFonts w:hint="eastAsia" w:ascii="宋体" w:hAnsi="宋体" w:eastAsia="宋体" w:cs="宋体"/>
                <w:highlight w:val="none"/>
              </w:rPr>
            </w:pPr>
          </w:p>
        </w:tc>
        <w:tc>
          <w:tcPr>
            <w:tcW w:w="1390" w:type="dxa"/>
            <w:vAlign w:val="center"/>
          </w:tcPr>
          <w:p w14:paraId="66887533">
            <w:pPr>
              <w:pStyle w:val="277"/>
              <w:jc w:val="both"/>
              <w:rPr>
                <w:rFonts w:hint="eastAsia" w:ascii="宋体" w:hAnsi="宋体" w:eastAsia="宋体" w:cs="宋体"/>
                <w:highlight w:val="none"/>
              </w:rPr>
            </w:pPr>
          </w:p>
        </w:tc>
        <w:tc>
          <w:tcPr>
            <w:tcW w:w="1497" w:type="dxa"/>
            <w:vAlign w:val="center"/>
          </w:tcPr>
          <w:p w14:paraId="4B588809">
            <w:pPr>
              <w:pStyle w:val="277"/>
              <w:jc w:val="both"/>
              <w:rPr>
                <w:rFonts w:hint="eastAsia" w:ascii="宋体" w:hAnsi="宋体" w:eastAsia="宋体" w:cs="宋体"/>
                <w:highlight w:val="none"/>
              </w:rPr>
            </w:pPr>
          </w:p>
        </w:tc>
        <w:tc>
          <w:tcPr>
            <w:tcW w:w="1569" w:type="dxa"/>
            <w:vAlign w:val="center"/>
          </w:tcPr>
          <w:p w14:paraId="50EB584A">
            <w:pPr>
              <w:pStyle w:val="277"/>
              <w:jc w:val="both"/>
              <w:rPr>
                <w:rFonts w:hint="eastAsia" w:ascii="宋体" w:hAnsi="宋体" w:eastAsia="宋体" w:cs="宋体"/>
                <w:highlight w:val="none"/>
              </w:rPr>
            </w:pPr>
          </w:p>
        </w:tc>
      </w:tr>
      <w:tr w14:paraId="2999B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255882C7">
            <w:pPr>
              <w:spacing w:before="193" w:line="222" w:lineRule="auto"/>
              <w:ind w:left="5170"/>
              <w:jc w:val="both"/>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合计：</w:t>
            </w:r>
          </w:p>
        </w:tc>
        <w:tc>
          <w:tcPr>
            <w:tcW w:w="1497" w:type="dxa"/>
            <w:vAlign w:val="center"/>
          </w:tcPr>
          <w:p w14:paraId="1940A298">
            <w:pPr>
              <w:pStyle w:val="277"/>
              <w:jc w:val="both"/>
              <w:rPr>
                <w:rFonts w:hint="eastAsia" w:ascii="宋体" w:hAnsi="宋体" w:eastAsia="宋体" w:cs="宋体"/>
                <w:highlight w:val="none"/>
              </w:rPr>
            </w:pPr>
          </w:p>
        </w:tc>
        <w:tc>
          <w:tcPr>
            <w:tcW w:w="1569" w:type="dxa"/>
            <w:vAlign w:val="center"/>
          </w:tcPr>
          <w:p w14:paraId="7586B84E">
            <w:pPr>
              <w:pStyle w:val="277"/>
              <w:jc w:val="both"/>
              <w:rPr>
                <w:rFonts w:hint="eastAsia" w:ascii="宋体" w:hAnsi="宋体" w:eastAsia="宋体" w:cs="宋体"/>
                <w:highlight w:val="none"/>
              </w:rPr>
            </w:pPr>
          </w:p>
        </w:tc>
      </w:tr>
    </w:tbl>
    <w:p w14:paraId="22575507">
      <w:pPr>
        <w:spacing w:line="272" w:lineRule="auto"/>
        <w:rPr>
          <w:rFonts w:hint="eastAsia" w:ascii="宋体" w:hAnsi="宋体" w:eastAsia="宋体" w:cs="宋体"/>
          <w:sz w:val="21"/>
          <w:highlight w:val="none"/>
        </w:rPr>
      </w:pPr>
    </w:p>
    <w:p w14:paraId="05D335A6">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p>
    <w:p w14:paraId="64967F6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281C167">
      <w:pPr>
        <w:pStyle w:val="19"/>
        <w:spacing w:before="1" w:line="224" w:lineRule="auto"/>
        <w:ind w:left="9"/>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注：</w:t>
      </w:r>
    </w:p>
    <w:p w14:paraId="73A9D101">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1.拟分包情况说明仅需加盖供应商电子签章。</w:t>
      </w:r>
    </w:p>
    <w:p w14:paraId="73323E26">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考虑拟分包合同金额的方便，供应商在填写最后承诺报价后，（第一次报价-最后承诺报价）除以第一次报价后得出的优惠率视同为上述表中拟分包合同金额的优惠浮动值（特定分项优惠除外），而不考虑措施项目清单和规费税金清单的金额改变。</w:t>
      </w:r>
    </w:p>
    <w:p w14:paraId="3D148FE7">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3.如磋商文件载明本项目分包承担主体应具备的相应资质条件，则供应商须在本表中列明分包承担主体的资质等级，并后附材料扫描件或电子证照，</w:t>
      </w:r>
      <w:r>
        <w:rPr>
          <w:rFonts w:hint="eastAsia" w:asciiTheme="minorEastAsia" w:hAnsiTheme="minorEastAsia" w:eastAsiaTheme="minorEastAsia"/>
          <w:color w:val="auto"/>
          <w:sz w:val="24"/>
          <w:highlight w:val="none"/>
        </w:rPr>
        <w:t>否则</w:t>
      </w:r>
      <w:r>
        <w:rPr>
          <w:rFonts w:hint="eastAsia" w:asciiTheme="minorEastAsia" w:hAnsiTheme="minorEastAsia" w:eastAsiaTheme="minorEastAsia"/>
          <w:b/>
          <w:bCs/>
          <w:color w:val="auto"/>
          <w:sz w:val="24"/>
          <w:highlight w:val="none"/>
          <w:lang w:val="en-US" w:eastAsia="zh-CN"/>
        </w:rPr>
        <w:t>响应</w:t>
      </w:r>
      <w:r>
        <w:rPr>
          <w:rFonts w:hint="eastAsia" w:asciiTheme="minorEastAsia" w:hAnsiTheme="minorEastAsia" w:eastAsiaTheme="minorEastAsia"/>
          <w:b/>
          <w:bCs/>
          <w:color w:val="auto"/>
          <w:sz w:val="24"/>
          <w:highlight w:val="none"/>
        </w:rPr>
        <w:t>无效</w:t>
      </w:r>
      <w:r>
        <w:rPr>
          <w:rFonts w:hint="eastAsia" w:asciiTheme="minorEastAsia" w:hAnsiTheme="minorEastAsia" w:eastAsiaTheme="minorEastAsia"/>
          <w:color w:val="auto"/>
          <w:sz w:val="24"/>
          <w:highlight w:val="none"/>
        </w:rPr>
        <w:t>。</w:t>
      </w:r>
    </w:p>
    <w:p w14:paraId="2000197B">
      <w:pPr>
        <w:spacing w:line="220" w:lineRule="auto"/>
        <w:rPr>
          <w:rFonts w:hint="eastAsia" w:ascii="宋体" w:hAnsi="宋体" w:eastAsia="宋体" w:cs="宋体"/>
          <w:sz w:val="24"/>
          <w:szCs w:val="24"/>
          <w:highlight w:val="none"/>
        </w:rPr>
        <w:sectPr>
          <w:headerReference r:id="rId7" w:type="default"/>
          <w:footerReference r:id="rId8" w:type="default"/>
          <w:pgSz w:w="11907" w:h="16840"/>
          <w:pgMar w:top="1117" w:right="1078" w:bottom="1060" w:left="1700" w:header="510" w:footer="886" w:gutter="0"/>
          <w:pgNumType w:fmt="decimal"/>
          <w:cols w:space="720" w:num="1"/>
        </w:sectPr>
      </w:pPr>
    </w:p>
    <w:p w14:paraId="269B4DF9">
      <w:pPr>
        <w:spacing w:line="360" w:lineRule="auto"/>
        <w:jc w:val="center"/>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（二）分包意向协议</w:t>
      </w:r>
    </w:p>
    <w:p w14:paraId="5DDE2EED">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13CBF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w:t>
      </w:r>
      <w:r>
        <w:rPr>
          <w:rFonts w:hint="eastAsia" w:asciiTheme="minorEastAsia" w:hAnsiTheme="minorEastAsia" w:eastAsiaTheme="minorEastAsia"/>
          <w:sz w:val="24"/>
          <w:highlight w:val="none"/>
          <w:lang w:val="en-US" w:eastAsia="zh-CN"/>
        </w:rPr>
        <w:t>一</w:t>
      </w: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6E51AE0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w:t>
      </w:r>
      <w:r>
        <w:rPr>
          <w:rFonts w:hint="eastAsia" w:asciiTheme="minorEastAsia" w:hAnsiTheme="minorEastAsia" w:eastAsiaTheme="minorEastAsia"/>
          <w:sz w:val="24"/>
          <w:highlight w:val="none"/>
          <w:lang w:val="en-US" w:eastAsia="zh-CN"/>
        </w:rPr>
        <w:t>二</w:t>
      </w: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A2207F8">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w:t>
      </w:r>
    </w:p>
    <w:p w14:paraId="425D1E9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依据《</w:t>
      </w:r>
      <w:r>
        <w:rPr>
          <w:rFonts w:hint="eastAsia" w:asciiTheme="minorEastAsia" w:hAnsiTheme="minorEastAsia" w:eastAsiaTheme="minorEastAsia"/>
          <w:sz w:val="24"/>
          <w:highlight w:val="none"/>
        </w:rPr>
        <w:t>政府采购促进中小企业发展管理办法</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（财库〔2020〕46号）</w:t>
      </w:r>
      <w:r>
        <w:rPr>
          <w:rFonts w:hint="eastAsia" w:asciiTheme="minorEastAsia" w:hAnsiTheme="minorEastAsia" w:eastAsiaTheme="minorEastAsia"/>
          <w:sz w:val="24"/>
          <w:highlight w:val="none"/>
          <w:lang w:val="en-US" w:eastAsia="zh-CN"/>
        </w:rPr>
        <w:t>第八条规定，</w:t>
      </w:r>
      <w:r>
        <w:rPr>
          <w:rFonts w:asciiTheme="minorEastAsia" w:hAnsiTheme="minorEastAsia" w:eastAsiaTheme="minorEastAsia"/>
          <w:sz w:val="24"/>
          <w:highlight w:val="none"/>
        </w:rPr>
        <w:t>现就</w:t>
      </w:r>
      <w:r>
        <w:rPr>
          <w:rFonts w:hint="eastAsia" w:asciiTheme="minorEastAsia" w:hAnsiTheme="minorEastAsia" w:eastAsiaTheme="minorEastAsia"/>
          <w:sz w:val="24"/>
          <w:highlight w:val="none"/>
          <w:lang w:val="en-US" w:eastAsia="zh-CN"/>
        </w:rPr>
        <w:t>分包意向</w:t>
      </w:r>
      <w:r>
        <w:rPr>
          <w:rFonts w:asciiTheme="minorEastAsia" w:hAnsiTheme="minorEastAsia" w:eastAsiaTheme="minorEastAsia"/>
          <w:sz w:val="24"/>
          <w:highlight w:val="none"/>
        </w:rPr>
        <w:t>事宜订立如下协议：</w:t>
      </w:r>
    </w:p>
    <w:p w14:paraId="197047C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1.本项目供应商</w:t>
      </w:r>
      <w:r>
        <w:rPr>
          <w:rFonts w:hint="eastAsia" w:asciiTheme="minorEastAsia" w:hAnsiTheme="minorEastAsia" w:eastAsiaTheme="minorEastAsia"/>
          <w:sz w:val="24"/>
          <w:highlight w:val="none"/>
        </w:rPr>
        <w:t>为</w:t>
      </w:r>
      <w:r>
        <w:rPr>
          <w:rFonts w:hint="eastAsia" w:asciiTheme="minorEastAsia" w:hAnsiTheme="minorEastAsia" w:eastAsiaTheme="minorEastAsia"/>
          <w:sz w:val="24"/>
          <w:highlight w:val="none"/>
          <w:lang w:val="en-US" w:eastAsia="zh-CN"/>
        </w:rPr>
        <w:t>本项目总承包单位</w:t>
      </w:r>
      <w:r>
        <w:rPr>
          <w:rFonts w:hint="eastAsia" w:asciiTheme="minorEastAsia" w:hAnsiTheme="minorEastAsia" w:eastAsiaTheme="minorEastAsia"/>
          <w:sz w:val="24"/>
          <w:highlight w:val="none"/>
        </w:rPr>
        <w:t>。</w:t>
      </w:r>
    </w:p>
    <w:p w14:paraId="6DF71DD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w:t>
      </w:r>
      <w:r>
        <w:rPr>
          <w:rFonts w:hint="eastAsia" w:asciiTheme="minorEastAsia" w:hAnsiTheme="minorEastAsia" w:eastAsiaTheme="minorEastAsia"/>
          <w:sz w:val="24"/>
          <w:highlight w:val="none"/>
          <w:lang w:val="en-US" w:eastAsia="zh-CN"/>
        </w:rPr>
        <w:t>磋商</w:t>
      </w:r>
      <w:r>
        <w:rPr>
          <w:rFonts w:hint="eastAsia" w:asciiTheme="minorEastAsia" w:hAnsiTheme="minorEastAsia" w:eastAsiaTheme="minorEastAsia"/>
          <w:sz w:val="24"/>
          <w:highlight w:val="none"/>
        </w:rPr>
        <w:t>阶段，</w:t>
      </w:r>
      <w:r>
        <w:rPr>
          <w:rFonts w:hint="eastAsia" w:asciiTheme="minorEastAsia" w:hAnsiTheme="minorEastAsia" w:eastAsiaTheme="minorEastAsia"/>
          <w:sz w:val="24"/>
          <w:highlight w:val="none"/>
          <w:lang w:val="en-US" w:eastAsia="zh-CN"/>
        </w:rPr>
        <w:t>总承包单位</w:t>
      </w:r>
      <w:r>
        <w:rPr>
          <w:rFonts w:hint="eastAsia" w:asciiTheme="minorEastAsia" w:hAnsiTheme="minorEastAsia" w:eastAsiaTheme="minorEastAsia"/>
          <w:sz w:val="24"/>
          <w:highlight w:val="none"/>
        </w:rPr>
        <w:t>负责</w:t>
      </w:r>
      <w:r>
        <w:rPr>
          <w:rFonts w:hint="eastAsia" w:asciiTheme="minorEastAsia" w:hAnsiTheme="minorEastAsia" w:eastAsiaTheme="minorEastAsia"/>
          <w:sz w:val="24"/>
          <w:highlight w:val="none"/>
          <w:lang w:val="en-US" w:eastAsia="zh-CN"/>
        </w:rPr>
        <w:t>磋商</w:t>
      </w:r>
      <w:r>
        <w:rPr>
          <w:rFonts w:hint="eastAsia" w:asciiTheme="minorEastAsia" w:hAnsiTheme="minorEastAsia" w:eastAsiaTheme="minorEastAsia"/>
          <w:sz w:val="24"/>
          <w:highlight w:val="none"/>
        </w:rPr>
        <w:t>项目的一切组织、协调工作，并授权代理人参加项目的</w:t>
      </w:r>
      <w:r>
        <w:rPr>
          <w:rFonts w:hint="eastAsia" w:asciiTheme="minorEastAsia" w:hAnsiTheme="minorEastAsia" w:eastAsiaTheme="minorEastAsia"/>
          <w:sz w:val="24"/>
          <w:highlight w:val="none"/>
          <w:lang w:val="en-US" w:eastAsia="zh-CN"/>
        </w:rPr>
        <w:t>磋商</w:t>
      </w:r>
      <w:r>
        <w:rPr>
          <w:rFonts w:hint="eastAsia" w:asciiTheme="minorEastAsia" w:hAnsiTheme="minorEastAsia" w:eastAsiaTheme="minorEastAsia"/>
          <w:sz w:val="24"/>
          <w:highlight w:val="none"/>
        </w:rPr>
        <w:t>，代理人在项目采购过程中所签署的一切文件和处理与本次</w:t>
      </w:r>
      <w:r>
        <w:rPr>
          <w:rFonts w:hint="eastAsia" w:asciiTheme="minorEastAsia" w:hAnsiTheme="minorEastAsia" w:eastAsiaTheme="minorEastAsia"/>
          <w:sz w:val="24"/>
          <w:highlight w:val="none"/>
          <w:lang w:val="en-US" w:eastAsia="zh-CN"/>
        </w:rPr>
        <w:t>磋商</w:t>
      </w:r>
      <w:r>
        <w:rPr>
          <w:rFonts w:hint="eastAsia" w:asciiTheme="minorEastAsia" w:hAnsiTheme="minorEastAsia" w:eastAsiaTheme="minorEastAsia"/>
          <w:sz w:val="24"/>
          <w:highlight w:val="none"/>
        </w:rPr>
        <w:t>有关的一切事务，</w:t>
      </w:r>
      <w:r>
        <w:rPr>
          <w:rFonts w:hint="eastAsia" w:asciiTheme="minorEastAsia" w:hAnsiTheme="minorEastAsia" w:eastAsiaTheme="minorEastAsia"/>
          <w:sz w:val="24"/>
          <w:highlight w:val="none"/>
          <w:lang w:val="en-US" w:eastAsia="zh-CN"/>
        </w:rPr>
        <w:t>总承包单位与采购人签订本项目采购合同</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分别</w:t>
      </w:r>
      <w:r>
        <w:rPr>
          <w:rFonts w:hint="eastAsia" w:asciiTheme="minorEastAsia" w:hAnsiTheme="minorEastAsia" w:eastAsiaTheme="minorEastAsia"/>
          <w:sz w:val="24"/>
          <w:highlight w:val="none"/>
        </w:rPr>
        <w:t>与</w:t>
      </w:r>
      <w:r>
        <w:rPr>
          <w:rFonts w:hint="eastAsia" w:asciiTheme="minorEastAsia" w:hAnsiTheme="minorEastAsia" w:eastAsiaTheme="minorEastAsia"/>
          <w:sz w:val="24"/>
          <w:highlight w:val="none"/>
          <w:lang w:val="en-US" w:eastAsia="zh-CN"/>
        </w:rPr>
        <w:t>各分包企业</w:t>
      </w:r>
      <w:r>
        <w:rPr>
          <w:rFonts w:hint="eastAsia" w:asciiTheme="minorEastAsia" w:hAnsiTheme="minorEastAsia" w:eastAsiaTheme="minorEastAsia"/>
          <w:sz w:val="24"/>
          <w:highlight w:val="none"/>
        </w:rPr>
        <w:t>签订</w:t>
      </w:r>
      <w:r>
        <w:rPr>
          <w:rFonts w:hint="eastAsia" w:asciiTheme="minorEastAsia" w:hAnsiTheme="minorEastAsia" w:eastAsiaTheme="minorEastAsia"/>
          <w:sz w:val="24"/>
          <w:highlight w:val="none"/>
          <w:lang w:val="en-US" w:eastAsia="zh-CN"/>
        </w:rPr>
        <w:t>分包</w:t>
      </w:r>
      <w:r>
        <w:rPr>
          <w:rFonts w:hint="eastAsia" w:asciiTheme="minorEastAsia" w:hAnsiTheme="minorEastAsia" w:eastAsiaTheme="minorEastAsia"/>
          <w:sz w:val="24"/>
          <w:highlight w:val="none"/>
        </w:rPr>
        <w:t>合同，就本项目对采购人承担连带责任。</w:t>
      </w:r>
    </w:p>
    <w:p w14:paraId="38A63A3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各</w:t>
      </w:r>
      <w:r>
        <w:rPr>
          <w:rFonts w:asciiTheme="minorEastAsia" w:hAnsiTheme="minorEastAsia" w:eastAsiaTheme="minorEastAsia"/>
          <w:sz w:val="24"/>
          <w:highlight w:val="none"/>
        </w:rPr>
        <w:t>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33C109B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w:t>
      </w:r>
      <w:r>
        <w:rPr>
          <w:rFonts w:hint="eastAsia" w:asciiTheme="minorEastAsia" w:hAnsiTheme="minorEastAsia" w:eastAsiaTheme="minorEastAsia"/>
          <w:sz w:val="24"/>
          <w:highlight w:val="none"/>
          <w:lang w:eastAsia="zh-CN"/>
        </w:rPr>
        <w:t>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none"/>
          <w:lang w:val="en-US" w:eastAsia="zh-CN"/>
        </w:rPr>
        <w:t>，</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9EEE8A1">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接受</w:t>
      </w:r>
      <w:r>
        <w:rPr>
          <w:rFonts w:hint="eastAsia" w:asciiTheme="minorEastAsia" w:hAnsiTheme="minorEastAsia" w:eastAsiaTheme="minorEastAsia"/>
          <w:sz w:val="24"/>
          <w:highlight w:val="none"/>
          <w:lang w:val="en-US" w:eastAsia="zh-CN"/>
        </w:rPr>
        <w:t>分包企业</w:t>
      </w:r>
      <w:r>
        <w:rPr>
          <w:rFonts w:hint="eastAsia" w:asciiTheme="minorEastAsia" w:hAnsiTheme="minorEastAsia" w:eastAsiaTheme="minorEastAsia"/>
          <w:sz w:val="24"/>
          <w:highlight w:val="none"/>
        </w:rPr>
        <w:t>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负责内容的合同金额</w:t>
      </w:r>
      <w:r>
        <w:rPr>
          <w:rFonts w:hint="eastAsia" w:asciiTheme="minorEastAsia" w:hAnsiTheme="minorEastAsia" w:eastAsiaTheme="minorEastAsia"/>
          <w:sz w:val="24"/>
          <w:highlight w:val="none"/>
          <w:lang w:eastAsia="zh-CN"/>
        </w:rPr>
        <w:t>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none"/>
          <w:lang w:val="en-US" w:eastAsia="zh-CN"/>
        </w:rPr>
        <w:t>，</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E28BDC0">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接受</w:t>
      </w:r>
      <w:r>
        <w:rPr>
          <w:rFonts w:hint="eastAsia" w:asciiTheme="minorEastAsia" w:hAnsiTheme="minorEastAsia" w:eastAsiaTheme="minorEastAsia"/>
          <w:sz w:val="24"/>
          <w:highlight w:val="none"/>
          <w:lang w:val="en-US" w:eastAsia="zh-CN"/>
        </w:rPr>
        <w:t>分包企业</w:t>
      </w:r>
      <w:r>
        <w:rPr>
          <w:rFonts w:hint="eastAsia" w:asciiTheme="minorEastAsia" w:hAnsiTheme="minorEastAsia" w:eastAsiaTheme="minorEastAsia"/>
          <w:sz w:val="24"/>
          <w:highlight w:val="none"/>
        </w:rPr>
        <w:t>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w:t>
      </w:r>
      <w:r>
        <w:rPr>
          <w:rFonts w:hint="eastAsia" w:asciiTheme="minorEastAsia" w:hAnsiTheme="minorEastAsia" w:eastAsiaTheme="minorEastAsia"/>
          <w:sz w:val="24"/>
          <w:highlight w:val="none"/>
          <w:lang w:eastAsia="zh-CN"/>
        </w:rPr>
        <w:t>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none"/>
          <w:lang w:val="en-US" w:eastAsia="zh-CN"/>
        </w:rPr>
        <w:t>，</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BA176E2">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1F958DD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lang w:val="en-US" w:eastAsia="zh-CN"/>
        </w:rPr>
        <w:t>.成交</w:t>
      </w:r>
      <w:r>
        <w:rPr>
          <w:rFonts w:asciiTheme="minorEastAsia" w:hAnsiTheme="minorEastAsia" w:eastAsiaTheme="minorEastAsia"/>
          <w:sz w:val="24"/>
          <w:highlight w:val="none"/>
        </w:rPr>
        <w:t>后，本</w:t>
      </w:r>
      <w:r>
        <w:rPr>
          <w:rFonts w:hint="eastAsia" w:asciiTheme="minorEastAsia" w:hAnsiTheme="minorEastAsia" w:eastAsiaTheme="minorEastAsia"/>
          <w:sz w:val="24"/>
          <w:highlight w:val="none"/>
          <w:lang w:val="en-US" w:eastAsia="zh-CN"/>
        </w:rPr>
        <w:t>分包意向</w:t>
      </w:r>
      <w:r>
        <w:rPr>
          <w:rFonts w:asciiTheme="minorEastAsia" w:hAnsiTheme="minorEastAsia" w:eastAsiaTheme="minorEastAsia"/>
          <w:sz w:val="24"/>
          <w:highlight w:val="none"/>
        </w:rPr>
        <w:t>协议是合同的附件，对</w:t>
      </w:r>
      <w:r>
        <w:rPr>
          <w:rFonts w:hint="eastAsia" w:asciiTheme="minorEastAsia" w:hAnsiTheme="minorEastAsia" w:eastAsiaTheme="minorEastAsia"/>
          <w:sz w:val="24"/>
          <w:highlight w:val="none"/>
          <w:lang w:val="en-US" w:eastAsia="zh-CN"/>
        </w:rPr>
        <w:t>分包</w:t>
      </w:r>
      <w:r>
        <w:rPr>
          <w:rFonts w:asciiTheme="minorEastAsia" w:hAnsiTheme="minorEastAsia" w:eastAsiaTheme="minorEastAsia"/>
          <w:sz w:val="24"/>
          <w:highlight w:val="none"/>
        </w:rPr>
        <w:t>各成员单位有合同约束力。</w:t>
      </w:r>
    </w:p>
    <w:p w14:paraId="5B5DA1EE">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lang w:val="en-US" w:eastAsia="zh-CN"/>
        </w:rPr>
        <w:t>5.</w:t>
      </w:r>
      <w:r>
        <w:rPr>
          <w:rFonts w:asciiTheme="minorEastAsia" w:hAnsiTheme="minorEastAsia" w:eastAsiaTheme="minorEastAsia"/>
          <w:sz w:val="24"/>
          <w:highlight w:val="none"/>
        </w:rPr>
        <w:t>本协议书自签署之日起生效，未</w:t>
      </w:r>
      <w:r>
        <w:rPr>
          <w:rFonts w:hint="eastAsia" w:asciiTheme="minorEastAsia" w:hAnsiTheme="minorEastAsia" w:eastAsiaTheme="minorEastAsia"/>
          <w:sz w:val="24"/>
          <w:highlight w:val="none"/>
          <w:lang w:val="en-US" w:eastAsia="zh-CN"/>
        </w:rPr>
        <w:t>成交</w:t>
      </w:r>
      <w:r>
        <w:rPr>
          <w:rFonts w:asciiTheme="minorEastAsia" w:hAnsiTheme="minorEastAsia" w:eastAsiaTheme="minorEastAsia"/>
          <w:sz w:val="24"/>
          <w:highlight w:val="none"/>
        </w:rPr>
        <w:t>或者合同履行完毕后自动失效。</w:t>
      </w:r>
    </w:p>
    <w:p w14:paraId="53147721">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6.接受分包的中小企业与总承包单位不存在直接控股、管理关系。</w:t>
      </w:r>
    </w:p>
    <w:p w14:paraId="19F6CE17">
      <w:pPr>
        <w:pStyle w:val="19"/>
        <w:rPr>
          <w:rFonts w:hint="default"/>
          <w:highlight w:val="none"/>
          <w:lang w:val="en-US" w:eastAsia="zh-CN"/>
        </w:rPr>
      </w:pPr>
    </w:p>
    <w:p w14:paraId="0C4E229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00883EE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7BA08869">
      <w:pPr>
        <w:spacing w:line="360" w:lineRule="auto"/>
        <w:ind w:firstLine="435"/>
        <w:rPr>
          <w:rFonts w:hint="eastAsia" w:asciiTheme="minorEastAsia" w:hAnsiTheme="minorEastAsia" w:eastAsiaTheme="minorEastAsia"/>
          <w:sz w:val="24"/>
          <w:highlight w:val="none"/>
        </w:rPr>
      </w:pPr>
    </w:p>
    <w:p w14:paraId="3F4646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w:t>
      </w:r>
      <w:r>
        <w:rPr>
          <w:rFonts w:hint="eastAsia" w:asciiTheme="minorEastAsia" w:hAnsiTheme="minorEastAsia" w:eastAsiaTheme="minorEastAsia"/>
          <w:sz w:val="24"/>
          <w:highlight w:val="none"/>
          <w:lang w:val="en-US" w:eastAsia="zh-CN"/>
        </w:rPr>
        <w:t>一</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132F52D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446EFBE1">
      <w:pPr>
        <w:spacing w:line="360" w:lineRule="auto"/>
        <w:ind w:firstLine="435"/>
        <w:rPr>
          <w:rFonts w:hint="eastAsia" w:asciiTheme="minorEastAsia" w:hAnsiTheme="minorEastAsia" w:eastAsiaTheme="minorEastAsia"/>
          <w:sz w:val="24"/>
          <w:highlight w:val="none"/>
        </w:rPr>
      </w:pPr>
    </w:p>
    <w:p w14:paraId="55E808B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w:t>
      </w:r>
      <w:r>
        <w:rPr>
          <w:rFonts w:hint="eastAsia" w:asciiTheme="minorEastAsia" w:hAnsiTheme="minorEastAsia" w:eastAsiaTheme="minorEastAsia"/>
          <w:sz w:val="24"/>
          <w:highlight w:val="none"/>
          <w:lang w:val="en-US" w:eastAsia="zh-CN"/>
        </w:rPr>
        <w:t>二</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697ABB3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4F87182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1219FE4F">
      <w:pPr>
        <w:pStyle w:val="40"/>
        <w:spacing w:line="360" w:lineRule="auto"/>
        <w:rPr>
          <w:rFonts w:asciiTheme="minorEastAsia" w:hAnsiTheme="minorEastAsia" w:eastAsiaTheme="minorEastAsia"/>
          <w:sz w:val="24"/>
          <w:highlight w:val="none"/>
        </w:rPr>
      </w:pPr>
    </w:p>
    <w:p w14:paraId="06A2D5AF">
      <w:pPr>
        <w:spacing w:line="360" w:lineRule="auto"/>
        <w:ind w:right="480" w:firstLine="4680" w:firstLineChars="1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3FE7FEA2">
      <w:pPr>
        <w:spacing w:line="360" w:lineRule="auto"/>
        <w:ind w:right="480" w:firstLine="4680" w:firstLineChars="1950"/>
        <w:rPr>
          <w:rFonts w:asciiTheme="minorEastAsia" w:hAnsiTheme="minorEastAsia" w:eastAsiaTheme="minorEastAsia"/>
          <w:sz w:val="24"/>
          <w:highlight w:val="none"/>
        </w:rPr>
      </w:pPr>
    </w:p>
    <w:p w14:paraId="67EE7A4C">
      <w:pPr>
        <w:spacing w:line="360" w:lineRule="auto"/>
        <w:ind w:right="480" w:firstLine="5460" w:firstLineChars="1950"/>
        <w:rPr>
          <w:rFonts w:asciiTheme="minorEastAsia" w:hAnsiTheme="minorEastAsia" w:eastAsiaTheme="minorEastAsia"/>
          <w:sz w:val="28"/>
          <w:highlight w:val="none"/>
        </w:rPr>
      </w:pPr>
    </w:p>
    <w:p w14:paraId="3A2D5CB8">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31F304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b w:val="0"/>
          <w:bCs/>
          <w:sz w:val="24"/>
          <w:highlight w:val="none"/>
          <w:lang w:eastAsia="zh-CN"/>
        </w:rPr>
      </w:pPr>
      <w:r>
        <w:rPr>
          <w:rFonts w:hint="eastAsia" w:asciiTheme="minorEastAsia" w:hAnsiTheme="minorEastAsia" w:eastAsiaTheme="minorEastAsia"/>
          <w:b w:val="0"/>
          <w:bCs/>
          <w:sz w:val="24"/>
          <w:highlight w:val="none"/>
          <w:lang w:val="en-US" w:eastAsia="zh-CN"/>
        </w:rPr>
        <w:t>1.</w:t>
      </w:r>
      <w:r>
        <w:rPr>
          <w:rFonts w:hint="eastAsia" w:asciiTheme="minorEastAsia" w:hAnsiTheme="minorEastAsia" w:eastAsiaTheme="minorEastAsia"/>
          <w:b w:val="0"/>
          <w:bCs/>
          <w:sz w:val="24"/>
          <w:highlight w:val="none"/>
        </w:rPr>
        <w:t>分包意向协议中须约定向中小企业分包的项目内容及分包内容占合同金额比例</w:t>
      </w:r>
      <w:r>
        <w:rPr>
          <w:rFonts w:hint="eastAsia" w:asciiTheme="minorEastAsia" w:hAnsiTheme="minorEastAsia" w:eastAsiaTheme="minorEastAsia"/>
          <w:b w:val="0"/>
          <w:bCs/>
          <w:sz w:val="24"/>
          <w:highlight w:val="none"/>
          <w:lang w:eastAsia="zh-CN"/>
        </w:rPr>
        <w:t>。</w:t>
      </w:r>
    </w:p>
    <w:p w14:paraId="3A2186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2.考虑负责内容合同金额的方便，供应商在填写最后承诺报价后，（第一次报价-最后承诺报价）除以第一次报价后得出的优惠率视同为上述负责内容合同金额的优惠浮动值（特定分项优惠除外），而不考虑措施项目清单和规费税金清单的金额改变。</w:t>
      </w:r>
    </w:p>
    <w:p w14:paraId="767974D8">
      <w:pPr>
        <w:pStyle w:val="19"/>
        <w:rPr>
          <w:rFonts w:hint="eastAsia" w:asciiTheme="minorEastAsia" w:hAnsiTheme="minorEastAsia" w:eastAsiaTheme="minorEastAsia"/>
          <w:b w:val="0"/>
          <w:bCs/>
          <w:color w:val="auto"/>
          <w:sz w:val="24"/>
          <w:highlight w:val="none"/>
          <w:lang w:val="en-US" w:eastAsia="zh-CN"/>
        </w:rPr>
      </w:pPr>
    </w:p>
    <w:p w14:paraId="54B8D93D">
      <w:pPr>
        <w:pStyle w:val="19"/>
        <w:rPr>
          <w:rFonts w:hint="eastAsia" w:asciiTheme="minorEastAsia" w:hAnsiTheme="minorEastAsia" w:eastAsiaTheme="minorEastAsia"/>
          <w:b w:val="0"/>
          <w:bCs/>
          <w:color w:val="auto"/>
          <w:sz w:val="24"/>
          <w:highlight w:val="none"/>
          <w:lang w:val="en-US" w:eastAsia="zh-CN"/>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14:paraId="296CEC5B">
      <w:pPr>
        <w:spacing w:line="360" w:lineRule="auto"/>
        <w:jc w:val="center"/>
        <w:outlineLvl w:val="1"/>
        <w:rPr>
          <w:rFonts w:asciiTheme="minorEastAsia" w:hAnsiTheme="minorEastAsia" w:eastAsiaTheme="minorEastAsia"/>
          <w:b/>
          <w:color w:val="auto"/>
          <w:sz w:val="24"/>
          <w:highlight w:val="none"/>
        </w:rPr>
      </w:pPr>
      <w:bookmarkStart w:id="234" w:name="_Toc31589"/>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、中小企业声明函</w:t>
      </w:r>
      <w:bookmarkEnd w:id="233"/>
      <w:bookmarkEnd w:id="234"/>
    </w:p>
    <w:p w14:paraId="69A9647C">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highlight w:val="none"/>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2264CEF0">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D5D729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76FDF772">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674A60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1850AFC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50A9C421">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0C0B1254">
      <w:pPr>
        <w:spacing w:line="360" w:lineRule="auto"/>
        <w:ind w:firstLine="435"/>
        <w:rPr>
          <w:rFonts w:cs="@仿宋_GB2312" w:asciiTheme="minorEastAsia" w:hAnsiTheme="minorEastAsia" w:eastAsiaTheme="minorEastAsia"/>
          <w:color w:val="auto"/>
          <w:kern w:val="2"/>
          <w:sz w:val="24"/>
          <w:szCs w:val="24"/>
          <w:highlight w:val="none"/>
        </w:rPr>
      </w:pPr>
    </w:p>
    <w:p w14:paraId="525C4AF7">
      <w:pPr>
        <w:spacing w:line="360" w:lineRule="auto"/>
        <w:ind w:firstLine="435"/>
        <w:rPr>
          <w:rFonts w:cs="@仿宋_GB2312" w:asciiTheme="minorEastAsia" w:hAnsiTheme="minorEastAsia" w:eastAsiaTheme="minorEastAsia"/>
          <w:color w:val="auto"/>
          <w:kern w:val="2"/>
          <w:sz w:val="24"/>
          <w:szCs w:val="24"/>
          <w:highlight w:val="none"/>
        </w:rPr>
      </w:pPr>
    </w:p>
    <w:p w14:paraId="23E5B7AB">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22EBD695">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0815BF5F">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0AAB9CF6">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4961B711">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49FFD841">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57A3A13F">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34C2C9A6">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35489E26">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418449A3">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0936F5B3">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47DC41CC">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31495EAB">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4385437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659D76F">
      <w:pPr>
        <w:spacing w:line="360" w:lineRule="auto"/>
        <w:jc w:val="center"/>
        <w:outlineLvl w:val="1"/>
        <w:rPr>
          <w:rFonts w:asciiTheme="minorEastAsia" w:hAnsiTheme="minorEastAsia" w:eastAsiaTheme="minorEastAsia"/>
          <w:b/>
          <w:color w:val="auto"/>
          <w:sz w:val="24"/>
          <w:highlight w:val="none"/>
        </w:rPr>
      </w:pPr>
      <w:bookmarkStart w:id="235" w:name="_Toc17813"/>
      <w:bookmarkStart w:id="236" w:name="_Toc17154"/>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、残疾人福利性单位声明函</w:t>
      </w:r>
      <w:bookmarkEnd w:id="235"/>
      <w:bookmarkEnd w:id="236"/>
    </w:p>
    <w:p w14:paraId="2A68C9DA">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67BA9DA2">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733278FA">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36BEFAFD">
      <w:pPr>
        <w:spacing w:line="360" w:lineRule="auto"/>
        <w:ind w:firstLine="4228" w:firstLineChars="1762"/>
        <w:rPr>
          <w:rFonts w:cs="Times New Roman"/>
          <w:color w:val="auto"/>
          <w:kern w:val="2"/>
          <w:sz w:val="24"/>
          <w:szCs w:val="24"/>
          <w:highlight w:val="none"/>
        </w:rPr>
      </w:pPr>
    </w:p>
    <w:p w14:paraId="1751E203">
      <w:pPr>
        <w:spacing w:line="360" w:lineRule="auto"/>
        <w:ind w:firstLine="4228" w:firstLineChars="1762"/>
        <w:rPr>
          <w:rFonts w:cs="Times New Roman"/>
          <w:color w:val="auto"/>
          <w:kern w:val="2"/>
          <w:sz w:val="24"/>
          <w:szCs w:val="24"/>
          <w:highlight w:val="none"/>
        </w:rPr>
      </w:pPr>
    </w:p>
    <w:p w14:paraId="5E0C0C25">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7A63DD8D">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7EFA847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0C213D8">
      <w:pPr>
        <w:spacing w:line="360" w:lineRule="auto"/>
        <w:jc w:val="center"/>
        <w:outlineLvl w:val="1"/>
        <w:rPr>
          <w:rFonts w:asciiTheme="minorEastAsia" w:hAnsiTheme="minorEastAsia" w:eastAsiaTheme="minorEastAsia"/>
          <w:b/>
          <w:color w:val="auto"/>
          <w:sz w:val="24"/>
          <w:highlight w:val="none"/>
        </w:rPr>
      </w:pPr>
      <w:bookmarkStart w:id="237" w:name="_Toc17768"/>
      <w:bookmarkStart w:id="238" w:name="_Toc26894"/>
      <w:bookmarkStart w:id="239"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、诚信履约承诺函</w:t>
      </w:r>
      <w:bookmarkEnd w:id="237"/>
      <w:bookmarkEnd w:id="238"/>
    </w:p>
    <w:p w14:paraId="0A6CFAF5">
      <w:pPr>
        <w:spacing w:line="360" w:lineRule="auto"/>
        <w:rPr>
          <w:rFonts w:cs="@仿宋_GB2312" w:asciiTheme="minorEastAsia" w:hAnsiTheme="minorEastAsia" w:eastAsiaTheme="minorEastAsia"/>
          <w:b/>
          <w:bCs/>
          <w:color w:val="auto"/>
          <w:kern w:val="2"/>
          <w:sz w:val="24"/>
          <w:highlight w:val="none"/>
        </w:rPr>
      </w:pPr>
    </w:p>
    <w:p w14:paraId="1921DF5E">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仿宋_GB2312" w:asciiTheme="minorEastAsia" w:hAnsiTheme="minorEastAsia" w:eastAsiaTheme="minorEastAsia"/>
          <w:b/>
          <w:bCs/>
          <w:color w:val="auto"/>
          <w:kern w:val="2"/>
          <w:sz w:val="24"/>
          <w:highlight w:val="none"/>
          <w:u w:val="none"/>
          <w:lang w:eastAsia="zh-CN"/>
        </w:rPr>
        <w:t>采购人</w:t>
      </w:r>
    </w:p>
    <w:p w14:paraId="7122ED0E">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49EB0FB">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1BEE091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7F3E6906">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1114483A">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1B8CFA7F">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68F6EAE7">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1FF116">
      <w:pPr>
        <w:spacing w:line="360" w:lineRule="auto"/>
        <w:rPr>
          <w:rFonts w:cs="@仿宋_GB2312" w:asciiTheme="minorEastAsia" w:hAnsiTheme="minorEastAsia" w:eastAsiaTheme="minorEastAsia"/>
          <w:bCs/>
          <w:color w:val="auto"/>
          <w:kern w:val="2"/>
          <w:sz w:val="24"/>
          <w:highlight w:val="none"/>
        </w:rPr>
      </w:pPr>
    </w:p>
    <w:p w14:paraId="51D3138D">
      <w:pPr>
        <w:spacing w:line="360" w:lineRule="auto"/>
        <w:rPr>
          <w:rFonts w:cs="@仿宋_GB2312" w:asciiTheme="minorEastAsia" w:hAnsiTheme="minorEastAsia" w:eastAsiaTheme="minorEastAsia"/>
          <w:bCs/>
          <w:color w:val="auto"/>
          <w:kern w:val="2"/>
          <w:sz w:val="24"/>
          <w:highlight w:val="none"/>
        </w:rPr>
      </w:pPr>
    </w:p>
    <w:p w14:paraId="60CDC9C9">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63EDC7E7">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52E4EA36">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239"/>
    <w:p w14:paraId="5A267DA5">
      <w:pPr>
        <w:spacing w:line="360" w:lineRule="auto"/>
        <w:jc w:val="center"/>
        <w:outlineLvl w:val="1"/>
        <w:rPr>
          <w:rFonts w:asciiTheme="minorEastAsia" w:hAnsiTheme="minorEastAsia" w:eastAsiaTheme="minorEastAsia"/>
          <w:b/>
          <w:color w:val="auto"/>
          <w:sz w:val="24"/>
          <w:highlight w:val="none"/>
        </w:rPr>
      </w:pPr>
      <w:bookmarkStart w:id="240" w:name="_Toc8176"/>
      <w:bookmarkStart w:id="241" w:name="_Toc28645"/>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四</w:t>
      </w:r>
      <w:r>
        <w:rPr>
          <w:rFonts w:hint="eastAsia" w:asciiTheme="minorEastAsia" w:hAnsiTheme="minorEastAsia" w:eastAsiaTheme="minorEastAsia"/>
          <w:b/>
          <w:color w:val="auto"/>
          <w:sz w:val="24"/>
          <w:highlight w:val="none"/>
        </w:rPr>
        <w:t>、其他相关证明材料</w:t>
      </w:r>
      <w:bookmarkEnd w:id="240"/>
      <w:bookmarkEnd w:id="241"/>
    </w:p>
    <w:p w14:paraId="2CDD18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6A73489A">
      <w:pPr>
        <w:spacing w:line="360" w:lineRule="auto"/>
        <w:ind w:firstLine="480" w:firstLineChars="200"/>
        <w:rPr>
          <w:rFonts w:asciiTheme="minorEastAsia" w:hAnsiTheme="minorEastAsia" w:eastAsiaTheme="minorEastAsia"/>
          <w:color w:val="auto"/>
          <w:sz w:val="24"/>
          <w:highlight w:val="none"/>
        </w:rPr>
      </w:pPr>
    </w:p>
    <w:p w14:paraId="79FAAF8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0CE47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058B7C98">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61EE22BF">
      <w:pPr>
        <w:widowControl/>
        <w:jc w:val="center"/>
        <w:outlineLvl w:val="0"/>
        <w:rPr>
          <w:b/>
          <w:bCs/>
          <w:color w:val="auto"/>
          <w:sz w:val="28"/>
          <w:highlight w:val="none"/>
        </w:rPr>
      </w:pPr>
      <w:bookmarkStart w:id="242"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242"/>
    </w:p>
    <w:p w14:paraId="22A372A4">
      <w:pPr>
        <w:spacing w:line="360" w:lineRule="auto"/>
        <w:jc w:val="center"/>
        <w:outlineLvl w:val="1"/>
        <w:rPr>
          <w:rFonts w:ascii="仿宋" w:hAnsi="仿宋" w:eastAsia="仿宋" w:cs="仿宋"/>
          <w:b/>
          <w:bCs/>
          <w:color w:val="auto"/>
          <w:sz w:val="32"/>
          <w:szCs w:val="44"/>
          <w:highlight w:val="none"/>
        </w:rPr>
      </w:pPr>
      <w:bookmarkStart w:id="243" w:name="_Toc2290"/>
      <w:bookmarkStart w:id="244" w:name="_Toc26448"/>
      <w:r>
        <w:rPr>
          <w:rFonts w:hint="eastAsia" w:ascii="仿宋" w:hAnsi="仿宋" w:eastAsia="仿宋" w:cs="仿宋"/>
          <w:b/>
          <w:bCs/>
          <w:color w:val="auto"/>
          <w:sz w:val="32"/>
          <w:szCs w:val="44"/>
          <w:highlight w:val="none"/>
        </w:rPr>
        <w:t>询问函范本</w:t>
      </w:r>
      <w:bookmarkEnd w:id="243"/>
      <w:bookmarkEnd w:id="244"/>
    </w:p>
    <w:p w14:paraId="4F8C9FB5">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14E36B1">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592501B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3B2DB26F">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45" w:name="_Toc32070"/>
      <w:bookmarkStart w:id="246" w:name="_Toc14234"/>
      <w:r>
        <w:rPr>
          <w:rFonts w:hint="eastAsia" w:cs="仿宋" w:asciiTheme="minorEastAsia" w:hAnsiTheme="minorEastAsia" w:eastAsiaTheme="minorEastAsia"/>
          <w:color w:val="auto"/>
          <w:sz w:val="24"/>
          <w:szCs w:val="24"/>
          <w:highlight w:val="none"/>
        </w:rPr>
        <w:t>一、(事项一)</w:t>
      </w:r>
      <w:bookmarkEnd w:id="245"/>
      <w:bookmarkEnd w:id="246"/>
    </w:p>
    <w:p w14:paraId="2A37CD7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76367E4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EA1A2D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3FDD6DDF">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47" w:name="_Toc6489"/>
      <w:bookmarkStart w:id="248" w:name="_Toc16507"/>
      <w:r>
        <w:rPr>
          <w:rFonts w:hint="eastAsia" w:cs="仿宋" w:asciiTheme="minorEastAsia" w:hAnsiTheme="minorEastAsia" w:eastAsiaTheme="minorEastAsia"/>
          <w:color w:val="auto"/>
          <w:sz w:val="24"/>
          <w:szCs w:val="24"/>
          <w:highlight w:val="none"/>
        </w:rPr>
        <w:t>二、(事项二)</w:t>
      </w:r>
      <w:bookmarkEnd w:id="247"/>
      <w:bookmarkEnd w:id="248"/>
    </w:p>
    <w:p w14:paraId="6E6487E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33A82D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EA2BB4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C76073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954249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C561392">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C130BDB">
      <w:pPr>
        <w:jc w:val="center"/>
        <w:outlineLvl w:val="1"/>
        <w:rPr>
          <w:rFonts w:ascii="仿宋" w:hAnsi="仿宋" w:eastAsia="仿宋" w:cs="仿宋"/>
          <w:b/>
          <w:bCs/>
          <w:color w:val="auto"/>
          <w:sz w:val="32"/>
          <w:szCs w:val="44"/>
          <w:highlight w:val="none"/>
        </w:rPr>
      </w:pPr>
      <w:bookmarkStart w:id="249" w:name="_Toc4923"/>
      <w:bookmarkStart w:id="250" w:name="_Toc26224"/>
      <w:r>
        <w:rPr>
          <w:rFonts w:hint="eastAsia" w:ascii="仿宋" w:hAnsi="仿宋" w:eastAsia="仿宋" w:cs="仿宋"/>
          <w:b/>
          <w:bCs/>
          <w:color w:val="auto"/>
          <w:sz w:val="32"/>
          <w:szCs w:val="44"/>
          <w:highlight w:val="none"/>
        </w:rPr>
        <w:t>质疑函范本</w:t>
      </w:r>
      <w:bookmarkEnd w:id="249"/>
      <w:bookmarkEnd w:id="250"/>
    </w:p>
    <w:p w14:paraId="0F1A6DA2">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251" w:name="_Toc10663"/>
      <w:bookmarkStart w:id="252" w:name="_Toc3847"/>
      <w:r>
        <w:rPr>
          <w:rFonts w:hint="eastAsia" w:cs="仿宋" w:asciiTheme="minorEastAsia" w:hAnsiTheme="minorEastAsia" w:eastAsiaTheme="minorEastAsia"/>
          <w:b/>
          <w:bCs/>
          <w:color w:val="auto"/>
          <w:sz w:val="24"/>
          <w:szCs w:val="24"/>
          <w:highlight w:val="none"/>
        </w:rPr>
        <w:t>一、质疑供应商基本信息</w:t>
      </w:r>
      <w:bookmarkEnd w:id="251"/>
      <w:bookmarkEnd w:id="252"/>
    </w:p>
    <w:p w14:paraId="63C6C9AE">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56D3666">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90D0A10">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BE1F2D2">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F698F55">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5487556">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471B3C3">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53" w:name="_Toc19182"/>
      <w:bookmarkStart w:id="254" w:name="_Toc30012"/>
      <w:r>
        <w:rPr>
          <w:rFonts w:hint="eastAsia" w:cs="仿宋" w:asciiTheme="minorEastAsia" w:hAnsiTheme="minorEastAsia" w:eastAsiaTheme="minorEastAsia"/>
          <w:b/>
          <w:bCs/>
          <w:color w:val="auto"/>
          <w:sz w:val="24"/>
          <w:szCs w:val="24"/>
          <w:highlight w:val="none"/>
        </w:rPr>
        <w:t>二、质疑项目基本情况</w:t>
      </w:r>
      <w:bookmarkEnd w:id="253"/>
      <w:bookmarkEnd w:id="254"/>
    </w:p>
    <w:p w14:paraId="16E4DF9D">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7D1E9AD9">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B6C03C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9EC1ECC">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410C009">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55" w:name="_Toc9989"/>
      <w:bookmarkStart w:id="256" w:name="_Toc21700"/>
      <w:r>
        <w:rPr>
          <w:rFonts w:hint="eastAsia" w:cs="仿宋" w:asciiTheme="minorEastAsia" w:hAnsiTheme="minorEastAsia" w:eastAsiaTheme="minorEastAsia"/>
          <w:b/>
          <w:bCs/>
          <w:color w:val="auto"/>
          <w:sz w:val="24"/>
          <w:szCs w:val="24"/>
          <w:highlight w:val="none"/>
        </w:rPr>
        <w:t>三、质疑事项具体内容</w:t>
      </w:r>
      <w:bookmarkEnd w:id="255"/>
      <w:bookmarkEnd w:id="256"/>
    </w:p>
    <w:p w14:paraId="514AE798">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BFF3DB5">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2EDC3F42">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7FEF8C2">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9D37716">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0B0FE9A">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5D79395">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8A423B2">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57" w:name="_Toc19016"/>
      <w:bookmarkStart w:id="258" w:name="_Toc10625"/>
      <w:r>
        <w:rPr>
          <w:rFonts w:hint="eastAsia" w:cs="仿宋" w:asciiTheme="minorEastAsia" w:hAnsiTheme="minorEastAsia" w:eastAsiaTheme="minorEastAsia"/>
          <w:b/>
          <w:bCs/>
          <w:color w:val="auto"/>
          <w:sz w:val="24"/>
          <w:szCs w:val="24"/>
          <w:highlight w:val="none"/>
        </w:rPr>
        <w:t>四、与质疑事项相关的质疑请求</w:t>
      </w:r>
      <w:bookmarkEnd w:id="257"/>
      <w:bookmarkEnd w:id="258"/>
    </w:p>
    <w:p w14:paraId="04418FBF">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9285E55">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763D49BC">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41DF53B">
      <w:pPr>
        <w:widowControl/>
        <w:jc w:val="left"/>
        <w:outlineLvl w:val="9"/>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292CEF">
      <w:pPr>
        <w:outlineLvl w:val="9"/>
        <w:rPr>
          <w:rFonts w:asciiTheme="minorEastAsia" w:hAnsiTheme="minorEastAsia" w:eastAsiaTheme="minorEastAsia"/>
          <w:b/>
          <w:color w:val="auto"/>
          <w:sz w:val="28"/>
          <w:szCs w:val="32"/>
          <w:highlight w:val="none"/>
        </w:rPr>
      </w:pPr>
      <w:bookmarkStart w:id="259" w:name="_Toc17684"/>
      <w:bookmarkStart w:id="260" w:name="_Toc25274"/>
      <w:r>
        <w:rPr>
          <w:rFonts w:hint="eastAsia" w:asciiTheme="minorEastAsia" w:hAnsiTheme="minorEastAsia" w:eastAsiaTheme="minorEastAsia"/>
          <w:b/>
          <w:color w:val="auto"/>
          <w:sz w:val="28"/>
          <w:szCs w:val="32"/>
          <w:highlight w:val="none"/>
        </w:rPr>
        <w:t>质疑函制作说明：</w:t>
      </w:r>
      <w:bookmarkEnd w:id="259"/>
      <w:bookmarkEnd w:id="260"/>
    </w:p>
    <w:p w14:paraId="6E966C79">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4759E7B">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D3543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AFD1E1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C2F65CB">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6A76E7E5">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4C0267">
      <w:pPr>
        <w:rPr>
          <w:highlight w:val="none"/>
        </w:rPr>
      </w:pPr>
      <w:r>
        <w:rPr>
          <w:highlight w:val="none"/>
        </w:rPr>
        <w:br w:type="page"/>
      </w:r>
    </w:p>
    <w:p w14:paraId="4584FB1A">
      <w:pPr>
        <w:spacing w:line="440" w:lineRule="exact"/>
        <w:rPr>
          <w:rFonts w:hint="eastAsia" w:ascii="Times New Roman" w:hAnsi="Times New Roman" w:cs="Times New Roman"/>
          <w:b/>
          <w:color w:val="000000"/>
          <w:sz w:val="32"/>
          <w:szCs w:val="32"/>
          <w:highlight w:val="none"/>
        </w:rPr>
      </w:pPr>
      <w:r>
        <w:rPr>
          <w:rFonts w:hint="eastAsia" w:ascii="Times New Roman" w:hAnsi="Times New Roman" w:cs="Times New Roman"/>
          <w:b/>
          <w:color w:val="000000"/>
          <w:sz w:val="32"/>
          <w:szCs w:val="32"/>
          <w:highlight w:val="none"/>
        </w:rPr>
        <w:t>附件1</w:t>
      </w:r>
    </w:p>
    <w:p w14:paraId="57BEF5BA">
      <w:pPr>
        <w:spacing w:line="400" w:lineRule="exact"/>
        <w:rPr>
          <w:rFonts w:hint="eastAsia"/>
          <w:highlight w:val="none"/>
        </w:rPr>
      </w:pPr>
    </w:p>
    <w:p w14:paraId="1D2FAE0E">
      <w:pPr>
        <w:spacing w:line="400" w:lineRule="exact"/>
        <w:jc w:val="center"/>
        <w:rPr>
          <w:rFonts w:ascii="黑体" w:hAnsi="黑体" w:eastAsia="黑体"/>
          <w:b/>
          <w:sz w:val="36"/>
          <w:szCs w:val="36"/>
          <w:highlight w:val="none"/>
        </w:rPr>
      </w:pPr>
      <w:r>
        <w:rPr>
          <w:rFonts w:ascii="黑体" w:hAnsi="黑体" w:eastAsia="黑体"/>
          <w:b/>
          <w:sz w:val="36"/>
          <w:szCs w:val="36"/>
          <w:highlight w:val="none"/>
        </w:rPr>
        <w:t>关于联合惩戒失信行为</w:t>
      </w:r>
      <w:r>
        <w:rPr>
          <w:rFonts w:hint="eastAsia" w:ascii="黑体" w:hAnsi="黑体" w:eastAsia="黑体"/>
          <w:b/>
          <w:sz w:val="36"/>
          <w:szCs w:val="36"/>
          <w:highlight w:val="none"/>
          <w:lang w:val="en-US" w:eastAsia="zh-CN"/>
        </w:rPr>
        <w:t xml:space="preserve"> </w:t>
      </w:r>
      <w:r>
        <w:rPr>
          <w:rFonts w:ascii="黑体" w:hAnsi="黑体" w:eastAsia="黑体"/>
          <w:b/>
          <w:sz w:val="36"/>
          <w:szCs w:val="36"/>
          <w:highlight w:val="none"/>
        </w:rPr>
        <w:t>加强信用查询管理的</w:t>
      </w:r>
      <w:r>
        <w:rPr>
          <w:rFonts w:hint="eastAsia" w:ascii="黑体" w:hAnsi="黑体" w:eastAsia="黑体"/>
          <w:b/>
          <w:sz w:val="36"/>
          <w:szCs w:val="36"/>
          <w:highlight w:val="none"/>
        </w:rPr>
        <w:t>通知</w:t>
      </w:r>
    </w:p>
    <w:p w14:paraId="2079C748">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一、失信行为联合惩戒的范围和查询渠道</w:t>
      </w:r>
    </w:p>
    <w:p w14:paraId="0AA3C05D">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在我市公共资源交易活动中对存在下列失信行为的投标人、法定代表人及其</w:t>
      </w:r>
      <w:r>
        <w:rPr>
          <w:rFonts w:hint="eastAsia" w:ascii="宋体" w:hAnsi="宋体"/>
          <w:bCs/>
          <w:sz w:val="28"/>
          <w:szCs w:val="28"/>
          <w:highlight w:val="none"/>
          <w:lang w:eastAsia="zh-CN"/>
        </w:rPr>
        <w:t>项目经理（建造师）</w:t>
      </w:r>
      <w:r>
        <w:rPr>
          <w:rFonts w:hint="eastAsia" w:ascii="宋体" w:hAnsi="宋体"/>
          <w:bCs/>
          <w:sz w:val="28"/>
          <w:szCs w:val="28"/>
          <w:highlight w:val="none"/>
        </w:rPr>
        <w:t>实施联合惩戒，禁止参与我市公共资源交易活动。</w:t>
      </w:r>
    </w:p>
    <w:p w14:paraId="146FD774">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（一）工程建设项目</w:t>
      </w:r>
    </w:p>
    <w:p w14:paraId="608E6515">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1、“信用中国”网站（www.creditchina.gov.cn）查询以下失信行为：</w:t>
      </w:r>
    </w:p>
    <w:p w14:paraId="3C64D8CC">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①投标人被人民法院列入失信被执行人的；</w:t>
      </w:r>
    </w:p>
    <w:p w14:paraId="33CBDB22">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②投标人被税务部门列入重大税收违法案件当事人的；</w:t>
      </w:r>
    </w:p>
    <w:p w14:paraId="58E1EB33">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③投标人被人力资源社会保障行政部门列入拖欠农民工工资“黑名单”的；</w:t>
      </w:r>
    </w:p>
    <w:p w14:paraId="2C3227F6">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④在“信用中国”网站上披露的仍在公示期的严重失信行为的。</w:t>
      </w:r>
    </w:p>
    <w:p w14:paraId="27E70756">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2、国家企业信用信息公示系统网站（www.gsxt.gov.cn）查询以下失信行为：</w:t>
      </w:r>
    </w:p>
    <w:p w14:paraId="7A09D7AC">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①被市场监督管理部门列入经营异常名录</w:t>
      </w:r>
      <w:r>
        <w:rPr>
          <w:rFonts w:hint="eastAsia" w:ascii="宋体" w:hAnsi="宋体"/>
          <w:bCs/>
          <w:sz w:val="28"/>
          <w:szCs w:val="28"/>
          <w:highlight w:val="none"/>
          <w:lang w:eastAsia="zh-CN"/>
        </w:rPr>
        <w:t>或者严重违法企业名单的</w:t>
      </w:r>
      <w:r>
        <w:rPr>
          <w:rFonts w:hint="eastAsia" w:ascii="宋体" w:hAnsi="宋体"/>
          <w:bCs/>
          <w:sz w:val="28"/>
          <w:szCs w:val="28"/>
          <w:highlight w:val="none"/>
        </w:rPr>
        <w:t>。</w:t>
      </w:r>
    </w:p>
    <w:p w14:paraId="754B267A">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宋体" w:hAnsi="宋体"/>
          <w:bCs/>
          <w:sz w:val="28"/>
          <w:szCs w:val="28"/>
          <w:highlight w:val="none"/>
        </w:rPr>
      </w:pPr>
      <w:r>
        <w:rPr>
          <w:rFonts w:hint="eastAsia" w:ascii="宋体" w:hAnsi="宋体"/>
          <w:bCs/>
          <w:sz w:val="28"/>
          <w:szCs w:val="28"/>
          <w:highlight w:val="none"/>
        </w:rPr>
        <w:t>3、滁州市公共资源交易中心网站（http://ggzy.chuzhou.gov.cn/）查询以下失信行为：</w:t>
      </w:r>
    </w:p>
    <w:p w14:paraId="77B1B519">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①被滁州市县两级公管部门取消在一定期限内的投标资格且在取消期限内的；</w:t>
      </w:r>
    </w:p>
    <w:p w14:paraId="6E560A7A">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②被滁州市县两级公管部门记入不良行为记录或者信用信息记录，且在披露期内的。</w:t>
      </w:r>
    </w:p>
    <w:p w14:paraId="273C0207">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4、由竞争主体进行承诺，不进行现场网上信用查询的失信行为：</w:t>
      </w:r>
    </w:p>
    <w:p w14:paraId="5E177FF6">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w:t>
      </w:r>
      <w:r>
        <w:rPr>
          <w:rFonts w:hint="eastAsia" w:ascii="宋体" w:hAnsi="宋体"/>
          <w:bCs/>
          <w:sz w:val="28"/>
          <w:szCs w:val="28"/>
          <w:highlight w:val="none"/>
          <w:lang w:val="en-US" w:eastAsia="zh-CN"/>
        </w:rPr>
        <w:t>前三年有行贿犯罪行为的单位和个人</w:t>
      </w:r>
      <w:r>
        <w:rPr>
          <w:rFonts w:hint="eastAsia" w:ascii="宋体" w:hAnsi="宋体"/>
          <w:bCs/>
          <w:sz w:val="28"/>
          <w:szCs w:val="28"/>
          <w:highlight w:val="none"/>
        </w:rPr>
        <w:t>；</w:t>
      </w:r>
    </w:p>
    <w:p w14:paraId="3353044A">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②被滁州市县两级各行业主管部门取消在一定期限内的投标资格且在取消期限内的；</w:t>
      </w:r>
    </w:p>
    <w:p w14:paraId="7399A878">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③因拖欠农民工工资被县级及以上有关行政主管部门限制投标资格且在限制期限内的。</w:t>
      </w:r>
    </w:p>
    <w:p w14:paraId="4B36CA69">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（二）政府采购项目</w:t>
      </w:r>
    </w:p>
    <w:p w14:paraId="3EF75C0E">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1、“信用中国”网站（www.creditchina.gov.cn）查询以下失信行为：</w:t>
      </w:r>
    </w:p>
    <w:p w14:paraId="7674A6B7">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①投标人被人民法院列入失信被执行人的；</w:t>
      </w:r>
    </w:p>
    <w:p w14:paraId="0522F2AB">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②投标人被税务部门列入重大税收违法案件当事人的；</w:t>
      </w:r>
    </w:p>
    <w:p w14:paraId="393EFC18">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③在“信用中国”网站上披露的仍在公示期的严重失信行为的。</w:t>
      </w:r>
    </w:p>
    <w:p w14:paraId="452E75DE">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2、国家企业信用信息公示系统网站（www.gsxt.gov.cn）查询以下失信行为：</w:t>
      </w:r>
    </w:p>
    <w:p w14:paraId="657C57E7">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①被市场监督管理部门列入经营异常名录</w:t>
      </w:r>
      <w:r>
        <w:rPr>
          <w:rFonts w:hint="eastAsia" w:ascii="宋体" w:hAnsi="宋体"/>
          <w:bCs/>
          <w:sz w:val="28"/>
          <w:szCs w:val="28"/>
          <w:highlight w:val="none"/>
          <w:lang w:eastAsia="zh-CN"/>
        </w:rPr>
        <w:t>或者严重违法企业名单的</w:t>
      </w:r>
      <w:r>
        <w:rPr>
          <w:rFonts w:hint="eastAsia" w:ascii="宋体" w:hAnsi="宋体"/>
          <w:bCs/>
          <w:sz w:val="28"/>
          <w:szCs w:val="28"/>
          <w:highlight w:val="none"/>
        </w:rPr>
        <w:t>。</w:t>
      </w:r>
    </w:p>
    <w:p w14:paraId="4E053D0B">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3、中国政府采购网站（www.ccgp.gov.cn）查询以下失信行为：</w:t>
      </w:r>
    </w:p>
    <w:p w14:paraId="377A58A7">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①政府采购严重违法失信行为</w:t>
      </w:r>
    </w:p>
    <w:p w14:paraId="3468C19E">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4、由竞争主体进行承诺，不进行现场网上信用查询的失信行为：</w:t>
      </w:r>
    </w:p>
    <w:p w14:paraId="255A3033">
      <w:pPr>
        <w:spacing w:line="400" w:lineRule="exact"/>
        <w:ind w:firstLine="560" w:firstLineChars="200"/>
        <w:rPr>
          <w:rFonts w:hint="eastAsia" w:ascii="宋体" w:hAnsi="宋体" w:eastAsia="宋体"/>
          <w:bCs/>
          <w:sz w:val="28"/>
          <w:szCs w:val="28"/>
          <w:highlight w:val="none"/>
          <w:lang w:eastAsia="zh-CN"/>
        </w:rPr>
      </w:pPr>
      <w:r>
        <w:rPr>
          <w:rFonts w:hint="eastAsia" w:ascii="宋体" w:hAnsi="宋体"/>
          <w:bCs/>
          <w:sz w:val="28"/>
          <w:szCs w:val="28"/>
          <w:highlight w:val="none"/>
        </w:rPr>
        <w:t>①</w:t>
      </w:r>
      <w:r>
        <w:rPr>
          <w:rFonts w:hint="eastAsia" w:ascii="宋体" w:hAnsi="宋体"/>
          <w:bCs/>
          <w:sz w:val="28"/>
          <w:szCs w:val="28"/>
          <w:highlight w:val="none"/>
          <w:lang w:val="en-US" w:eastAsia="zh-CN"/>
        </w:rPr>
        <w:t>前三年有行贿犯罪行为的单位和个人</w:t>
      </w:r>
      <w:r>
        <w:rPr>
          <w:rFonts w:hint="eastAsia" w:ascii="宋体" w:hAnsi="宋体"/>
          <w:bCs/>
          <w:sz w:val="28"/>
          <w:szCs w:val="28"/>
          <w:highlight w:val="none"/>
          <w:lang w:eastAsia="zh-CN"/>
        </w:rPr>
        <w:t>。</w:t>
      </w:r>
    </w:p>
    <w:p w14:paraId="6E9E2242">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二、在开评标活动中的查询程序</w:t>
      </w:r>
    </w:p>
    <w:p w14:paraId="1C37E6A2">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1、实行有限数量制资格审查的项目，由项目单位（代理机构）对入围的投标人、法定代表人及其</w:t>
      </w:r>
      <w:r>
        <w:rPr>
          <w:rFonts w:hint="eastAsia" w:ascii="宋体" w:hAnsi="宋体"/>
          <w:bCs/>
          <w:sz w:val="28"/>
          <w:szCs w:val="28"/>
          <w:highlight w:val="none"/>
          <w:lang w:eastAsia="zh-CN"/>
        </w:rPr>
        <w:t>项目经理（建造师）</w:t>
      </w:r>
      <w:r>
        <w:rPr>
          <w:rFonts w:hint="eastAsia" w:ascii="宋体" w:hAnsi="宋体"/>
          <w:bCs/>
          <w:sz w:val="28"/>
          <w:szCs w:val="28"/>
          <w:highlight w:val="none"/>
        </w:rPr>
        <w:t>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3640234D">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39BF8F71">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3、项目单位及其委托的代理机构应当做好信用查询结果截图和记录留存。</w:t>
      </w:r>
    </w:p>
    <w:p w14:paraId="7A5D5B80">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三、相关要求</w:t>
      </w:r>
    </w:p>
    <w:p w14:paraId="7B72BE00">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71B27ACB">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0CEED64">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2、“信用中国”查询的严重失信行为判定依据为各行业主管部门下发的联合惩戒文件中规定的行为（按附件2执行）。</w:t>
      </w:r>
    </w:p>
    <w:p w14:paraId="115906FC">
      <w:pPr>
        <w:spacing w:line="4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3、资格预审的项目以递交资格预审申请文件截止时间查询为准；资格后审的项目以递交投标文件截止时间查询为准。</w:t>
      </w:r>
    </w:p>
    <w:p w14:paraId="509E5B52">
      <w:pPr>
        <w:spacing w:line="400" w:lineRule="exact"/>
        <w:rPr>
          <w:rFonts w:hint="eastAsia"/>
          <w:highlight w:val="none"/>
        </w:rPr>
      </w:pPr>
      <w:bookmarkStart w:id="261" w:name="_Toc11471"/>
      <w:bookmarkStart w:id="262" w:name="_Toc29498"/>
    </w:p>
    <w:bookmarkEnd w:id="261"/>
    <w:bookmarkEnd w:id="262"/>
    <w:p w14:paraId="6F645040">
      <w:pPr>
        <w:rPr>
          <w:rFonts w:hint="eastAsia"/>
          <w:b/>
          <w:color w:val="000000"/>
          <w:sz w:val="32"/>
          <w:szCs w:val="32"/>
          <w:highlight w:val="none"/>
        </w:rPr>
      </w:pPr>
      <w:r>
        <w:rPr>
          <w:rFonts w:hint="eastAsia"/>
          <w:b/>
          <w:color w:val="000000"/>
          <w:sz w:val="32"/>
          <w:szCs w:val="32"/>
          <w:highlight w:val="none"/>
        </w:rPr>
        <w:t>附件2</w:t>
      </w:r>
    </w:p>
    <w:p w14:paraId="06671E10">
      <w:pPr>
        <w:jc w:val="center"/>
        <w:rPr>
          <w:rFonts w:hint="eastAsia" w:ascii="宋体" w:hAnsi="宋体"/>
          <w:b/>
          <w:color w:val="000000"/>
          <w:sz w:val="32"/>
          <w:szCs w:val="32"/>
          <w:highlight w:val="none"/>
        </w:rPr>
      </w:pPr>
      <w:r>
        <w:rPr>
          <w:rFonts w:hint="eastAsia" w:ascii="宋体" w:hAnsi="宋体"/>
          <w:b/>
          <w:color w:val="000000"/>
          <w:sz w:val="32"/>
          <w:szCs w:val="32"/>
          <w:highlight w:val="none"/>
        </w:rPr>
        <w:t>“信用中国”查询的严重失信行为类别及判定依据</w:t>
      </w:r>
    </w:p>
    <w:p w14:paraId="22B2E522">
      <w:pPr>
        <w:jc w:val="center"/>
        <w:rPr>
          <w:rFonts w:hint="eastAsia" w:ascii="宋体" w:hAnsi="宋体"/>
          <w:b/>
          <w:color w:val="000000"/>
          <w:sz w:val="32"/>
          <w:szCs w:val="32"/>
          <w:highlight w:val="none"/>
        </w:rPr>
      </w:pPr>
    </w:p>
    <w:p w14:paraId="18B1B208">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“信用中国”查询的严重失信行为判定依据为各行业主管部门下发的联合惩戒文件中规定的行为。下面将部分类别的严重失信行为列举如下：</w:t>
      </w:r>
    </w:p>
    <w:p w14:paraId="3B9AA9BC">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一、安全生产领域严重失信行为：</w:t>
      </w:r>
    </w:p>
    <w:p w14:paraId="6DC2EBDD">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（一）发生较大及以上生产安全责任事故，或1年内累计发生3起及以上造成人员死亡的一般生产安全责任事故的；</w:t>
      </w:r>
    </w:p>
    <w:p w14:paraId="533B3FD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（二）未按规定取得安全生产许可，擅自开展生产经营建设活动的；</w:t>
      </w:r>
    </w:p>
    <w:p w14:paraId="5F20431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（三）发现重大生产安全事故隐患，或职业病危害严重超标，不及时整改，仍组织从业人员冒险作业的；</w:t>
      </w:r>
    </w:p>
    <w:p w14:paraId="249BA0DD">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（四）采取隐蔽、欺骗或阻碍等方式逃避、对抗安全监管监察的;</w:t>
      </w:r>
    </w:p>
    <w:p w14:paraId="7D273BC5">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（五）被责令停产停业整顿，仍然从事生产经营建设活动的；</w:t>
      </w:r>
    </w:p>
    <w:p w14:paraId="4899AAA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（六）瞒报、谎报、迟报生产安全事故的；</w:t>
      </w:r>
    </w:p>
    <w:p w14:paraId="449CDE0C">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（七）矿山、危险化学品、金属冶炼等高危行业建设项目安全设施未经验收合格即投入生产和使用的；</w:t>
      </w:r>
    </w:p>
    <w:p w14:paraId="02C5A61D">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（八）矿山生产经营单位存在超层越界开采、以探代采行为的；</w:t>
      </w:r>
    </w:p>
    <w:p w14:paraId="62B768FA">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（九）发生事故后，故意破坏事故现场，伪造有关证据资料，妨碍、对抗事故调查，或主要负责人逃逸的；</w:t>
      </w:r>
    </w:p>
    <w:p w14:paraId="0398A1E1">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（十）安全生产和职业健康技术服务机构出具虚假报告或证明，违规转让或出借资质的。</w:t>
      </w:r>
    </w:p>
    <w:p w14:paraId="2C427E70">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b/>
          <w:color w:val="000000"/>
          <w:sz w:val="28"/>
          <w:szCs w:val="28"/>
          <w:highlight w:val="none"/>
        </w:rPr>
      </w:pPr>
      <w:r>
        <w:rPr>
          <w:rFonts w:hint="eastAsia" w:ascii="宋体" w:hAnsi="宋体"/>
          <w:b/>
          <w:color w:val="000000"/>
          <w:sz w:val="28"/>
          <w:szCs w:val="28"/>
          <w:highlight w:val="none"/>
        </w:rPr>
        <w:t>依据：《对安全生产领域失信行为开展联合惩戒的实施办法》</w:t>
      </w:r>
      <w:r>
        <w:rPr>
          <w:rFonts w:hint="eastAsia"/>
          <w:b/>
          <w:color w:val="000000"/>
          <w:sz w:val="28"/>
          <w:szCs w:val="28"/>
          <w:highlight w:val="none"/>
        </w:rPr>
        <w:t>（安监总办〔2017〕49号）第二条</w:t>
      </w:r>
    </w:p>
    <w:p w14:paraId="49CF409B">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二、环境保护领域严重失信行为：</w:t>
      </w:r>
    </w:p>
    <w:p w14:paraId="0BE40C12">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（一）因为环境违法构成</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"https://baike.sogou.com/m/fullLemma?lid=10403954&amp;g_ut=3"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环境犯罪</w:t>
      </w:r>
      <w:r>
        <w:rPr>
          <w:rFonts w:ascii="宋体" w:hAnsi="宋体"/>
          <w:color w:val="000000"/>
          <w:sz w:val="28"/>
          <w:szCs w:val="28"/>
          <w:highlight w:val="none"/>
        </w:rPr>
        <w:fldChar w:fldCharType="end"/>
      </w:r>
      <w:r>
        <w:rPr>
          <w:rFonts w:ascii="宋体" w:hAnsi="宋体"/>
          <w:color w:val="000000"/>
          <w:sz w:val="28"/>
          <w:szCs w:val="28"/>
          <w:highlight w:val="none"/>
        </w:rPr>
        <w:t>的；</w:t>
      </w:r>
    </w:p>
    <w:p w14:paraId="1F1754B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（二）</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"https://baike.sogou.com/m/fullLemma?lid=76033123&amp;g_ut=3"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建设项目环境影响评价</w:t>
      </w:r>
      <w:r>
        <w:rPr>
          <w:rFonts w:ascii="宋体" w:hAnsi="宋体"/>
          <w:color w:val="000000"/>
          <w:sz w:val="28"/>
          <w:szCs w:val="28"/>
          <w:highlight w:val="none"/>
        </w:rPr>
        <w:fldChar w:fldCharType="end"/>
      </w:r>
      <w:r>
        <w:rPr>
          <w:rFonts w:ascii="宋体" w:hAnsi="宋体"/>
          <w:color w:val="000000"/>
          <w:sz w:val="28"/>
          <w:szCs w:val="28"/>
          <w:highlight w:val="none"/>
        </w:rPr>
        <w:t>文件未按规定通过审批，擅自开工建设的；</w:t>
      </w:r>
    </w:p>
    <w:p w14:paraId="43B559C3">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（三）建设项目环保设施未建成、环保措施未落实、未通过</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"https://baike.sogou.com/m/fullLemma?lid=6470550&amp;g_ut=3"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竣工环保验收</w:t>
      </w:r>
      <w:r>
        <w:rPr>
          <w:rFonts w:ascii="宋体" w:hAnsi="宋体"/>
          <w:color w:val="000000"/>
          <w:sz w:val="28"/>
          <w:szCs w:val="28"/>
          <w:highlight w:val="none"/>
        </w:rPr>
        <w:fldChar w:fldCharType="end"/>
      </w:r>
      <w:r>
        <w:rPr>
          <w:rFonts w:ascii="宋体" w:hAnsi="宋体"/>
          <w:color w:val="000000"/>
          <w:sz w:val="28"/>
          <w:szCs w:val="28"/>
          <w:highlight w:val="none"/>
        </w:rPr>
        <w:t>或者验收不合格，主体工程正式投入生产或者使用的；</w:t>
      </w:r>
    </w:p>
    <w:p w14:paraId="734DEDEC">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09CA930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（五）主要污染物排放总量超过控制指标的；</w:t>
      </w:r>
    </w:p>
    <w:p w14:paraId="5CC050A9">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（六）私设暗管或者利用</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"https://baike.sogou.com/m/fullLemma?lid=41657319&amp;g_ut=3"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渗井</w:t>
      </w:r>
      <w:r>
        <w:rPr>
          <w:rFonts w:ascii="宋体" w:hAnsi="宋体"/>
          <w:color w:val="000000"/>
          <w:sz w:val="28"/>
          <w:szCs w:val="28"/>
          <w:highlight w:val="none"/>
        </w:rPr>
        <w:fldChar w:fldCharType="end"/>
      </w:r>
      <w:r>
        <w:rPr>
          <w:rFonts w:ascii="宋体" w:hAnsi="宋体"/>
          <w:color w:val="000000"/>
          <w:sz w:val="28"/>
          <w:szCs w:val="28"/>
          <w:highlight w:val="none"/>
        </w:rPr>
        <w:t>、渗坑、裂隙、溶洞等排放、倾倒、处置水污染物，或者通过私设旁路排放</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"https://baike.sogou.com/m/fullLemma?lid=7758328&amp;g_ut=3"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大气污染物</w:t>
      </w:r>
      <w:r>
        <w:rPr>
          <w:rFonts w:ascii="宋体" w:hAnsi="宋体"/>
          <w:color w:val="000000"/>
          <w:sz w:val="28"/>
          <w:szCs w:val="28"/>
          <w:highlight w:val="none"/>
        </w:rPr>
        <w:fldChar w:fldCharType="end"/>
      </w:r>
      <w:r>
        <w:rPr>
          <w:rFonts w:ascii="宋体" w:hAnsi="宋体"/>
          <w:color w:val="000000"/>
          <w:sz w:val="28"/>
          <w:szCs w:val="28"/>
          <w:highlight w:val="none"/>
        </w:rPr>
        <w:t>的；</w:t>
      </w:r>
    </w:p>
    <w:p w14:paraId="7D917A3C">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（七）非法排放、倾倒、处置危险废物，或者向无</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"https://baike.sogou.com/m/fullLemma?lid=5923292&amp;g_ut=3"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经营许可证</w:t>
      </w:r>
      <w:r>
        <w:rPr>
          <w:rFonts w:ascii="宋体" w:hAnsi="宋体"/>
          <w:color w:val="000000"/>
          <w:sz w:val="28"/>
          <w:szCs w:val="28"/>
          <w:highlight w:val="none"/>
        </w:rPr>
        <w:fldChar w:fldCharType="end"/>
      </w:r>
      <w:r>
        <w:rPr>
          <w:rFonts w:ascii="宋体" w:hAnsi="宋体"/>
          <w:color w:val="000000"/>
          <w:sz w:val="28"/>
          <w:szCs w:val="28"/>
          <w:highlight w:val="none"/>
        </w:rPr>
        <w:t>或者超出经营许可范围的单位或个人提供或者委托其收集、贮存、利用、处置危险废物的；</w:t>
      </w:r>
    </w:p>
    <w:p w14:paraId="42795250">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（八）</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"https://baike.sogou.com/m/fullLemma?lid=167759803&amp;g_ut=3"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环境违法行为</w:t>
      </w:r>
      <w:r>
        <w:rPr>
          <w:rFonts w:ascii="宋体" w:hAnsi="宋体"/>
          <w:color w:val="000000"/>
          <w:sz w:val="28"/>
          <w:szCs w:val="28"/>
          <w:highlight w:val="none"/>
        </w:rPr>
        <w:fldChar w:fldCharType="end"/>
      </w:r>
      <w:r>
        <w:rPr>
          <w:rFonts w:ascii="宋体" w:hAnsi="宋体"/>
          <w:color w:val="000000"/>
          <w:sz w:val="28"/>
          <w:szCs w:val="28"/>
          <w:highlight w:val="none"/>
        </w:rPr>
        <w:t>造成集中式生活饮用水水源取水中断的；</w:t>
      </w:r>
    </w:p>
    <w:p w14:paraId="3AAC9630">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（九）环境违法行为对生活饮用水水源保护区、自然保护区、</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"https://baike.sogou.com/m/fullLemma?lid=155199213&amp;g_ut=3"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国家重点生态功能区</w:t>
      </w:r>
      <w:r>
        <w:rPr>
          <w:rFonts w:ascii="宋体" w:hAnsi="宋体"/>
          <w:color w:val="000000"/>
          <w:sz w:val="28"/>
          <w:szCs w:val="28"/>
          <w:highlight w:val="none"/>
        </w:rPr>
        <w:fldChar w:fldCharType="end"/>
      </w:r>
      <w:r>
        <w:rPr>
          <w:rFonts w:ascii="宋体" w:hAnsi="宋体"/>
          <w:color w:val="000000"/>
          <w:sz w:val="28"/>
          <w:szCs w:val="28"/>
          <w:highlight w:val="none"/>
        </w:rPr>
        <w:t>、风景名胜区、居住功能区、</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"https://baike.sogou.com/m/fullLemma?lid=7757164&amp;g_ut=3" \t "https://baike.sogou.com/m/_blank" </w:instrText>
      </w:r>
      <w:r>
        <w:rPr>
          <w:rFonts w:ascii="宋体" w:hAnsi="宋体"/>
          <w:color w:val="000000"/>
          <w:sz w:val="28"/>
          <w:szCs w:val="28"/>
          <w:highlight w:val="none"/>
        </w:rPr>
        <w:fldChar w:fldCharType="separate"/>
      </w:r>
      <w:r>
        <w:rPr>
          <w:rFonts w:ascii="宋体" w:hAnsi="宋体"/>
          <w:color w:val="000000"/>
          <w:sz w:val="28"/>
          <w:szCs w:val="28"/>
          <w:highlight w:val="none"/>
        </w:rPr>
        <w:t>基本农田保护区</w:t>
      </w:r>
      <w:r>
        <w:rPr>
          <w:rFonts w:ascii="宋体" w:hAnsi="宋体"/>
          <w:color w:val="000000"/>
          <w:sz w:val="28"/>
          <w:szCs w:val="28"/>
          <w:highlight w:val="none"/>
        </w:rPr>
        <w:fldChar w:fldCharType="end"/>
      </w:r>
      <w:r>
        <w:rPr>
          <w:rFonts w:ascii="宋体" w:hAnsi="宋体"/>
          <w:color w:val="000000"/>
          <w:sz w:val="28"/>
          <w:szCs w:val="28"/>
          <w:highlight w:val="none"/>
        </w:rPr>
        <w:t>等环境敏感区造成重大不利影响的；</w:t>
      </w:r>
    </w:p>
    <w:p w14:paraId="13CD2D72">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（十）违法从事自然资源开发、交通基础设施建设，以及其他开发建设活动，造成严重生态破坏的；</w:t>
      </w:r>
    </w:p>
    <w:p w14:paraId="3599A5A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（十一）发生较大及以上突发环境事件的；</w:t>
      </w:r>
    </w:p>
    <w:p w14:paraId="4C2551E0">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（十二）被环保部门挂牌督办，整改逾期未完成的；</w:t>
      </w:r>
    </w:p>
    <w:p w14:paraId="324CE15B">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宋体" w:hAnsi="宋体"/>
          <w:color w:val="000000"/>
          <w:sz w:val="28"/>
          <w:szCs w:val="28"/>
          <w:highlight w:val="none"/>
        </w:rPr>
      </w:pPr>
      <w:r>
        <w:rPr>
          <w:rFonts w:ascii="宋体" w:hAnsi="宋体"/>
          <w:color w:val="000000"/>
          <w:sz w:val="28"/>
          <w:szCs w:val="28"/>
          <w:highlight w:val="none"/>
        </w:rPr>
        <w:t>（十三）以暴力、威胁等方式拒绝、阻挠环保部门工作人员现场检查的；</w:t>
      </w:r>
    </w:p>
    <w:p w14:paraId="4E229914">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rFonts w:ascii="宋体" w:hAnsi="宋体"/>
          <w:color w:val="000000"/>
          <w:sz w:val="28"/>
          <w:szCs w:val="28"/>
          <w:highlight w:val="none"/>
        </w:rPr>
        <w:t>（十四）违反重污染天气应急预案有关规定，对重污染天气响应不力的。</w:t>
      </w:r>
    </w:p>
    <w:p w14:paraId="06684F18">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依据：《</w:t>
      </w:r>
      <w:r>
        <w:rPr>
          <w:rFonts w:ascii="宋体" w:hAnsi="宋体"/>
          <w:b/>
          <w:color w:val="000000"/>
          <w:sz w:val="28"/>
          <w:szCs w:val="28"/>
          <w:highlight w:val="none"/>
        </w:rPr>
        <w:t>关于对环境保护领域失信生产经营单位及其有关人员开展联合惩戒的合作备忘录</w:t>
      </w:r>
      <w:r>
        <w:rPr>
          <w:rFonts w:hint="eastAsia" w:ascii="宋体" w:hAnsi="宋体"/>
          <w:b/>
          <w:color w:val="000000"/>
          <w:sz w:val="28"/>
          <w:szCs w:val="28"/>
          <w:highlight w:val="none"/>
        </w:rPr>
        <w:t>》、</w:t>
      </w:r>
      <w:r>
        <w:rPr>
          <w:rFonts w:ascii="宋体" w:hAnsi="宋体"/>
          <w:b/>
          <w:color w:val="000000"/>
          <w:sz w:val="28"/>
          <w:szCs w:val="28"/>
          <w:highlight w:val="none"/>
        </w:rPr>
        <w:t>《企业环境信用评价办法（试行）》</w:t>
      </w:r>
      <w:r>
        <w:rPr>
          <w:rFonts w:hint="eastAsia" w:ascii="宋体" w:hAnsi="宋体"/>
          <w:b/>
          <w:color w:val="000000"/>
          <w:sz w:val="28"/>
          <w:szCs w:val="28"/>
          <w:highlight w:val="none"/>
        </w:rPr>
        <w:t>（</w:t>
      </w:r>
      <w:r>
        <w:rPr>
          <w:rFonts w:ascii="宋体" w:hAnsi="宋体"/>
          <w:b/>
          <w:color w:val="000000"/>
          <w:sz w:val="28"/>
          <w:szCs w:val="28"/>
          <w:highlight w:val="none"/>
        </w:rPr>
        <w:t>环发〔2013〕150号</w:t>
      </w:r>
      <w:r>
        <w:rPr>
          <w:rFonts w:hint="eastAsia" w:ascii="宋体" w:hAnsi="宋体"/>
          <w:b/>
          <w:color w:val="000000"/>
          <w:sz w:val="28"/>
          <w:szCs w:val="28"/>
          <w:highlight w:val="none"/>
        </w:rPr>
        <w:t>）</w:t>
      </w:r>
    </w:p>
    <w:p w14:paraId="6ABA55D7">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ascii="宋体" w:hAnsi="宋体"/>
          <w:b/>
          <w:color w:val="000000"/>
          <w:sz w:val="28"/>
          <w:szCs w:val="28"/>
          <w:highlight w:val="none"/>
        </w:rPr>
      </w:pPr>
      <w:r>
        <w:rPr>
          <w:rFonts w:hint="eastAsia" w:ascii="宋体" w:hAnsi="宋体"/>
          <w:b/>
          <w:color w:val="000000"/>
          <w:sz w:val="28"/>
          <w:szCs w:val="28"/>
          <w:highlight w:val="none"/>
        </w:rPr>
        <w:t>三、</w:t>
      </w:r>
      <w:r>
        <w:rPr>
          <w:rFonts w:hint="eastAsia" w:ascii="宋体" w:hAnsi="宋体"/>
          <w:b/>
          <w:bCs/>
          <w:color w:val="000000"/>
          <w:sz w:val="28"/>
          <w:szCs w:val="28"/>
          <w:highlight w:val="none"/>
        </w:rPr>
        <w:t>公共资源交易领域严重失信行为</w:t>
      </w:r>
    </w:p>
    <w:p w14:paraId="38A4F62E">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（一）违反法律规定，必须进行招标的项目而不招标的，将必须进行招标的项目化整为零或者以其他任何方式规避招标的； </w:t>
      </w:r>
    </w:p>
    <w:p w14:paraId="3DA7056B">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（二）招标代理机构违反法律规定，泄露应当保密的与招标投标活动有关的情况和资料的，或者与招标人、投标人串通损害国家利益</w:t>
      </w:r>
      <w:r>
        <w:rPr>
          <w:rFonts w:hint="eastAsia"/>
          <w:color w:val="000000"/>
          <w:sz w:val="28"/>
          <w:szCs w:val="28"/>
          <w:highlight w:val="none"/>
        </w:rPr>
        <w:t>、</w:t>
      </w:r>
      <w:r>
        <w:rPr>
          <w:color w:val="000000"/>
          <w:sz w:val="28"/>
          <w:szCs w:val="28"/>
          <w:highlight w:val="none"/>
        </w:rPr>
        <w:t>社会公共利益或者他人合法权益的；</w:t>
      </w:r>
    </w:p>
    <w:p w14:paraId="1C69F88E">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（三）招标人以不合理的条件限制或者排斥潜在投标人的，对潜在投标人实行歧视待遇的，强制要求投标人组成联合体共同投标的</w:t>
      </w:r>
      <w:r>
        <w:rPr>
          <w:rFonts w:hint="eastAsia"/>
          <w:color w:val="000000"/>
          <w:sz w:val="28"/>
          <w:szCs w:val="28"/>
          <w:highlight w:val="none"/>
        </w:rPr>
        <w:t>，</w:t>
      </w:r>
      <w:r>
        <w:rPr>
          <w:color w:val="000000"/>
          <w:sz w:val="28"/>
          <w:szCs w:val="28"/>
          <w:highlight w:val="none"/>
        </w:rPr>
        <w:t>或者限制投标人之间竞争的；</w:t>
      </w:r>
    </w:p>
    <w:p w14:paraId="48A201EB">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（四）依法必须进行招标的项目的招标人向他人透露已获取招标文件的潜在投标人的名称、数量或者可能影响公平竞争的有关招标投标的其他情况的，或者泄露标底的；</w:t>
      </w:r>
    </w:p>
    <w:p w14:paraId="59C994B1">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（五）投标人相互串通投标或者与招标人串通投标的，投标人以向招标人或者评标委员会成员行贿的手段谋取中标的； </w:t>
      </w:r>
    </w:p>
    <w:p w14:paraId="2B80D461">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（六）投标人以他人名义投标或者以其他方式弄虚作假</w:t>
      </w:r>
      <w:r>
        <w:rPr>
          <w:rFonts w:hint="eastAsia"/>
          <w:color w:val="000000"/>
          <w:sz w:val="28"/>
          <w:szCs w:val="28"/>
          <w:highlight w:val="none"/>
        </w:rPr>
        <w:t>，</w:t>
      </w:r>
      <w:r>
        <w:rPr>
          <w:color w:val="000000"/>
          <w:sz w:val="28"/>
          <w:szCs w:val="28"/>
          <w:highlight w:val="none"/>
        </w:rPr>
        <w:t>骗取中标的；</w:t>
      </w:r>
    </w:p>
    <w:p w14:paraId="66946296">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（七）依法必须进行招标的项目，招标人违反法律规定，与投标人就投标价格、投标方案等实质性内容进行谈判的；</w:t>
      </w:r>
    </w:p>
    <w:p w14:paraId="49A38CA1">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78DCACA5">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（九）招标人在评标委员会依法推荐的中标候选人以外确定中标人的，依法必须进行招标的项目在所有投标被评标委员会否决后自行确定中标人的； </w:t>
      </w:r>
    </w:p>
    <w:p w14:paraId="38ACA589">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（十）中标人将中标项目转让给他人的，将中标项目肢解后分别转让给他人的，违反法律规定将中标项目的部分主体、关键性工作分包给他人的，或者分包人再次分包的； </w:t>
      </w:r>
    </w:p>
    <w:p w14:paraId="0ACB9C6C">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（十一）招标人与中标人不按照招标文件和中标人的投标文件订立合同的，或者招标人、中标人订立背离合同实质性内容的协议的； </w:t>
      </w:r>
    </w:p>
    <w:p w14:paraId="5BB89849">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（十二）中标人不按照与招标人订立的合同履行义务，情节严重的； </w:t>
      </w:r>
    </w:p>
    <w:p w14:paraId="5055C3D2">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5B349321">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（十四）采购人、采购代理机构及其工作人员存在与供应商或者采购代理机构恶意串通，在采购过程中接受贿赂或者获取其他不正当利益，在有关部门依法实施的监督检查中提供虚假情况</w:t>
      </w:r>
      <w:r>
        <w:rPr>
          <w:rFonts w:hint="eastAsia"/>
          <w:color w:val="000000"/>
          <w:sz w:val="28"/>
          <w:szCs w:val="28"/>
          <w:highlight w:val="none"/>
        </w:rPr>
        <w:t>，</w:t>
      </w:r>
      <w:r>
        <w:rPr>
          <w:color w:val="000000"/>
          <w:sz w:val="28"/>
          <w:szCs w:val="28"/>
          <w:highlight w:val="none"/>
        </w:rPr>
        <w:t>或者开标前泄露标底等情形的；</w:t>
      </w:r>
    </w:p>
    <w:p w14:paraId="39B51DDF">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（十五）采购人对应当实行集中采购的政府采购项目，不委托集中采购机构实行集中采购的； </w:t>
      </w:r>
    </w:p>
    <w:p w14:paraId="22A58B83">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（十六）采购人、采购代理机构违反法律规定隐匿、销毁应当保存的采购文件或者伪造、变造采购文件的； </w:t>
      </w:r>
    </w:p>
    <w:p w14:paraId="0AB74C2C">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059CFC0F">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（十八）疫苗生产企业向县级疾病预防控制机构以外的单位或者个人销售第二类疫苗的； </w:t>
      </w:r>
    </w:p>
    <w:p w14:paraId="7C7C050F">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r>
        <w:rPr>
          <w:color w:val="000000"/>
          <w:sz w:val="28"/>
          <w:szCs w:val="28"/>
          <w:highlight w:val="none"/>
        </w:rPr>
        <w:t>（十九）存在其他违反公共资源交易法律法规行为的。</w:t>
      </w:r>
    </w:p>
    <w:p w14:paraId="0ADBAAC4">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ascii="宋体" w:hAnsi="宋体"/>
          <w:b/>
          <w:color w:val="000000"/>
          <w:sz w:val="28"/>
          <w:szCs w:val="28"/>
          <w:highlight w:val="none"/>
        </w:rPr>
      </w:pPr>
      <w:r>
        <w:rPr>
          <w:rFonts w:hint="eastAsia" w:ascii="宋体" w:hAnsi="宋体"/>
          <w:b/>
          <w:color w:val="000000"/>
          <w:sz w:val="28"/>
          <w:szCs w:val="28"/>
          <w:highlight w:val="none"/>
        </w:rPr>
        <w:t>依据：《关于对公共资源交易领域严重失信主体开展联合惩戒的备忘录》</w:t>
      </w:r>
      <w:r>
        <w:rPr>
          <w:rFonts w:hint="eastAsia" w:ascii="宋体" w:hAnsi="宋体"/>
          <w:b/>
          <w:color w:val="000000"/>
          <w:sz w:val="28"/>
          <w:szCs w:val="28"/>
          <w:highlight w:val="none"/>
          <w:lang w:eastAsia="zh-CN"/>
        </w:rPr>
        <w:t>（</w:t>
      </w:r>
      <w:r>
        <w:rPr>
          <w:rFonts w:hint="eastAsia" w:ascii="宋体" w:hAnsi="宋体" w:eastAsia="宋体" w:cs="Times New Roman"/>
          <w:b/>
          <w:i w:val="0"/>
          <w:caps w:val="0"/>
          <w:color w:val="000000"/>
          <w:spacing w:val="0"/>
          <w:sz w:val="28"/>
          <w:szCs w:val="28"/>
          <w:highlight w:val="none"/>
          <w:shd w:val="clear" w:color="auto" w:fill="auto"/>
        </w:rPr>
        <w:t>发改法规〔2018〕457号</w:t>
      </w:r>
      <w:r>
        <w:rPr>
          <w:rFonts w:hint="eastAsia" w:ascii="宋体" w:hAnsi="宋体"/>
          <w:b/>
          <w:color w:val="000000"/>
          <w:sz w:val="28"/>
          <w:szCs w:val="28"/>
          <w:highlight w:val="none"/>
          <w:lang w:eastAsia="zh-CN"/>
        </w:rPr>
        <w:t>）</w:t>
      </w:r>
    </w:p>
    <w:p w14:paraId="022A41C8">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color w:val="000000"/>
          <w:sz w:val="28"/>
          <w:szCs w:val="28"/>
          <w:highlight w:val="none"/>
        </w:rPr>
      </w:pPr>
    </w:p>
    <w:p w14:paraId="7860952F">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b/>
          <w:bCs/>
          <w:color w:val="000000"/>
          <w:sz w:val="28"/>
          <w:szCs w:val="28"/>
          <w:highlight w:val="none"/>
        </w:rPr>
      </w:pPr>
      <w:r>
        <w:rPr>
          <w:rFonts w:hint="eastAsia" w:ascii="宋体" w:hAnsi="宋体"/>
          <w:b/>
          <w:color w:val="000000"/>
          <w:sz w:val="28"/>
          <w:szCs w:val="28"/>
          <w:highlight w:val="none"/>
        </w:rPr>
        <w:t>四、</w:t>
      </w:r>
      <w:r>
        <w:rPr>
          <w:rFonts w:hint="eastAsia" w:ascii="宋体" w:hAnsi="宋体"/>
          <w:b/>
          <w:bCs/>
          <w:color w:val="000000"/>
          <w:sz w:val="28"/>
          <w:szCs w:val="28"/>
          <w:highlight w:val="none"/>
        </w:rPr>
        <w:t>社会保险领域严重失信行为</w:t>
      </w:r>
    </w:p>
    <w:p w14:paraId="5E3DC420">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（一）用人单位未按相关规定参加社会保险且拒不整改的； </w:t>
      </w:r>
    </w:p>
    <w:p w14:paraId="7C0A51E8">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（二）用人单位未如实申报社会保险缴费基数且拒不整改的； </w:t>
      </w:r>
    </w:p>
    <w:p w14:paraId="55A4B84E">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（三）应缴纳社会保险费却拒不缴纳的； </w:t>
      </w:r>
    </w:p>
    <w:p w14:paraId="391873E4">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（四）隐匿、转移、侵占、挪用社会保险费款、基金或者违规投资运营的；</w:t>
      </w:r>
    </w:p>
    <w:p w14:paraId="276B5C68">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（五）以欺诈、伪造证明材料或者其他手段参加、申报社会保险和骗取社会保险基金支出或社会保险待遇的； </w:t>
      </w:r>
    </w:p>
    <w:p w14:paraId="4EABCF33">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（六）非法获取、出售或变相交易社会保险个人权益数据的； </w:t>
      </w:r>
    </w:p>
    <w:p w14:paraId="2C63F315">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（七）社会保险服务机构违反服务协议或相关规定的； </w:t>
      </w:r>
    </w:p>
    <w:p w14:paraId="70EB8FFF">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09244CD2">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color w:val="000000"/>
          <w:sz w:val="28"/>
          <w:szCs w:val="28"/>
          <w:highlight w:val="none"/>
        </w:rPr>
      </w:pPr>
      <w:r>
        <w:rPr>
          <w:color w:val="000000"/>
          <w:sz w:val="28"/>
          <w:szCs w:val="28"/>
          <w:highlight w:val="none"/>
        </w:rPr>
        <w:t>（九）其他违反法律法规规定的。</w:t>
      </w:r>
    </w:p>
    <w:p w14:paraId="510B5ACF">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b/>
          <w:color w:val="000000"/>
          <w:sz w:val="28"/>
          <w:szCs w:val="28"/>
          <w:highlight w:val="none"/>
        </w:rPr>
      </w:pPr>
      <w:r>
        <w:rPr>
          <w:rFonts w:hint="eastAsia"/>
          <w:b/>
          <w:color w:val="000000"/>
          <w:sz w:val="28"/>
          <w:szCs w:val="28"/>
          <w:highlight w:val="none"/>
        </w:rPr>
        <w:t>依据：《关于对社会保险领域严重失信企业及其有关人员实施联合惩戒的合作备忘录》</w:t>
      </w:r>
      <w:r>
        <w:rPr>
          <w:rFonts w:hint="eastAsia"/>
          <w:b/>
          <w:color w:val="000000"/>
          <w:sz w:val="28"/>
          <w:szCs w:val="28"/>
          <w:highlight w:val="none"/>
          <w:lang w:eastAsia="zh-CN"/>
        </w:rPr>
        <w:t>（</w:t>
      </w:r>
      <w:r>
        <w:rPr>
          <w:rFonts w:hint="eastAsia" w:ascii="Times New Roman" w:hAnsi="Times New Roman" w:eastAsia="宋体" w:cs="Times New Roman"/>
          <w:b/>
          <w:i w:val="0"/>
          <w:caps w:val="0"/>
          <w:color w:val="000000"/>
          <w:spacing w:val="0"/>
          <w:sz w:val="28"/>
          <w:szCs w:val="28"/>
          <w:highlight w:val="none"/>
        </w:rPr>
        <w:t>发改财金〔2018〕1704号</w:t>
      </w:r>
      <w:r>
        <w:rPr>
          <w:rFonts w:hint="eastAsia"/>
          <w:b/>
          <w:color w:val="000000"/>
          <w:sz w:val="28"/>
          <w:szCs w:val="28"/>
          <w:highlight w:val="none"/>
          <w:lang w:eastAsia="zh-CN"/>
        </w:rPr>
        <w:t>）</w:t>
      </w:r>
    </w:p>
    <w:p w14:paraId="7A00020B">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color w:val="000000"/>
          <w:sz w:val="28"/>
          <w:szCs w:val="28"/>
          <w:highlight w:val="none"/>
        </w:rPr>
      </w:pPr>
    </w:p>
    <w:p w14:paraId="626900F6">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b/>
          <w:bCs/>
          <w:color w:val="000000"/>
          <w:sz w:val="28"/>
          <w:szCs w:val="28"/>
          <w:highlight w:val="none"/>
        </w:rPr>
      </w:pPr>
      <w:r>
        <w:rPr>
          <w:rFonts w:hint="eastAsia" w:ascii="宋体" w:hAnsi="宋体"/>
          <w:b/>
          <w:color w:val="000000"/>
          <w:sz w:val="28"/>
          <w:szCs w:val="28"/>
          <w:highlight w:val="none"/>
        </w:rPr>
        <w:t>五、建筑市场领域</w:t>
      </w:r>
      <w:r>
        <w:rPr>
          <w:rFonts w:hint="eastAsia" w:ascii="宋体" w:hAnsi="宋体"/>
          <w:b/>
          <w:bCs/>
          <w:color w:val="000000"/>
          <w:sz w:val="28"/>
          <w:szCs w:val="28"/>
          <w:highlight w:val="none"/>
        </w:rPr>
        <w:t>严重失信行为</w:t>
      </w:r>
    </w:p>
    <w:p w14:paraId="7A398628">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color w:val="000000"/>
          <w:sz w:val="28"/>
          <w:szCs w:val="28"/>
          <w:highlight w:val="none"/>
        </w:rPr>
      </w:pPr>
      <w:r>
        <w:rPr>
          <w:color w:val="000000"/>
          <w:sz w:val="28"/>
          <w:szCs w:val="28"/>
          <w:highlight w:val="none"/>
        </w:rPr>
        <w:t>（一）利用虚假材料、以欺骗手段取得企业资质的；</w:t>
      </w:r>
    </w:p>
    <w:p w14:paraId="52570D07">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color w:val="000000"/>
          <w:sz w:val="28"/>
          <w:szCs w:val="28"/>
          <w:highlight w:val="none"/>
        </w:rPr>
      </w:pPr>
      <w:r>
        <w:rPr>
          <w:color w:val="000000"/>
          <w:sz w:val="28"/>
          <w:szCs w:val="28"/>
          <w:highlight w:val="none"/>
        </w:rPr>
        <w:t>（二）发生转包、出借资质，受到行政处罚的；</w:t>
      </w:r>
    </w:p>
    <w:p w14:paraId="655DC2DD">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color w:val="000000"/>
          <w:sz w:val="28"/>
          <w:szCs w:val="28"/>
          <w:highlight w:val="none"/>
        </w:rPr>
      </w:pPr>
      <w:r>
        <w:rPr>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6F7DB35C">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color w:val="000000"/>
          <w:sz w:val="28"/>
          <w:szCs w:val="28"/>
          <w:highlight w:val="none"/>
        </w:rPr>
      </w:pPr>
      <w:r>
        <w:rPr>
          <w:color w:val="000000"/>
          <w:sz w:val="28"/>
          <w:szCs w:val="28"/>
          <w:highlight w:val="none"/>
        </w:rPr>
        <w:t>（四）经法院判决或仲裁机构裁决，认定为拖欠工程款,且拒不履行生效法律文书确定的义务的。</w:t>
      </w:r>
    </w:p>
    <w:p w14:paraId="29EE1298">
      <w:pPr>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color w:val="000000"/>
          <w:sz w:val="28"/>
          <w:szCs w:val="28"/>
          <w:highlight w:val="none"/>
        </w:rPr>
      </w:pPr>
      <w:r>
        <w:rPr>
          <w:color w:val="000000"/>
          <w:sz w:val="28"/>
          <w:szCs w:val="28"/>
          <w:highlight w:val="none"/>
        </w:rPr>
        <w:t>各级住房城乡建设主管部门应当参照建筑市场主体“黑名单”，对被人力资源社会保障主管部门列入拖欠农民工工资“黑名单”的建筑市场各方主体加强监管。</w:t>
      </w:r>
    </w:p>
    <w:p w14:paraId="6873617B">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color w:val="000000"/>
          <w:sz w:val="28"/>
          <w:szCs w:val="28"/>
          <w:highlight w:val="none"/>
        </w:rPr>
      </w:pPr>
      <w:r>
        <w:rPr>
          <w:rFonts w:hint="eastAsia"/>
          <w:b/>
          <w:color w:val="000000"/>
          <w:sz w:val="28"/>
          <w:szCs w:val="28"/>
          <w:highlight w:val="none"/>
        </w:rPr>
        <w:t>依据：《</w:t>
      </w:r>
      <w:r>
        <w:rPr>
          <w:b/>
          <w:color w:val="000000"/>
          <w:sz w:val="28"/>
          <w:szCs w:val="28"/>
          <w:highlight w:val="none"/>
        </w:rPr>
        <w:t>建筑市场信用管理暂行办法</w:t>
      </w:r>
      <w:r>
        <w:rPr>
          <w:rFonts w:hint="eastAsia"/>
          <w:b/>
          <w:color w:val="000000"/>
          <w:sz w:val="28"/>
          <w:szCs w:val="28"/>
          <w:highlight w:val="none"/>
        </w:rPr>
        <w:t>》</w:t>
      </w:r>
      <w:r>
        <w:rPr>
          <w:rFonts w:hint="default"/>
          <w:b/>
          <w:color w:val="000000"/>
          <w:sz w:val="28"/>
          <w:szCs w:val="28"/>
          <w:highlight w:val="none"/>
          <w:lang w:eastAsia="zh-CN"/>
        </w:rPr>
        <w:t>（</w:t>
      </w:r>
      <w:r>
        <w:rPr>
          <w:rFonts w:ascii="Times New Roman" w:hAnsi="Times New Roman" w:eastAsia="宋体" w:cs="Times New Roman"/>
          <w:b/>
          <w:i w:val="0"/>
          <w:caps w:val="0"/>
          <w:color w:val="000000"/>
          <w:spacing w:val="0"/>
          <w:sz w:val="28"/>
          <w:szCs w:val="28"/>
          <w:highlight w:val="none"/>
          <w:shd w:val="clear" w:color="auto" w:fill="auto"/>
        </w:rPr>
        <w:t>建市</w:t>
      </w:r>
      <w:r>
        <w:rPr>
          <w:rFonts w:hint="eastAsia" w:ascii="Times New Roman" w:hAnsi="Times New Roman" w:eastAsia="宋体" w:cs="Times New Roman"/>
          <w:b/>
          <w:i w:val="0"/>
          <w:caps w:val="0"/>
          <w:color w:val="000000"/>
          <w:spacing w:val="0"/>
          <w:sz w:val="28"/>
          <w:szCs w:val="28"/>
          <w:highlight w:val="none"/>
        </w:rPr>
        <w:t>〔</w:t>
      </w:r>
      <w:r>
        <w:rPr>
          <w:rFonts w:ascii="Times New Roman" w:hAnsi="Times New Roman" w:eastAsia="宋体" w:cs="Times New Roman"/>
          <w:b/>
          <w:i w:val="0"/>
          <w:caps w:val="0"/>
          <w:color w:val="000000"/>
          <w:spacing w:val="0"/>
          <w:sz w:val="28"/>
          <w:szCs w:val="28"/>
          <w:highlight w:val="none"/>
          <w:shd w:val="clear" w:color="auto" w:fill="auto"/>
        </w:rPr>
        <w:t>2017</w:t>
      </w:r>
      <w:r>
        <w:rPr>
          <w:rFonts w:hint="eastAsia" w:ascii="Times New Roman" w:hAnsi="Times New Roman" w:eastAsia="宋体" w:cs="Times New Roman"/>
          <w:b/>
          <w:i w:val="0"/>
          <w:caps w:val="0"/>
          <w:color w:val="000000"/>
          <w:spacing w:val="0"/>
          <w:sz w:val="28"/>
          <w:szCs w:val="28"/>
          <w:highlight w:val="none"/>
        </w:rPr>
        <w:t>〕</w:t>
      </w:r>
      <w:r>
        <w:rPr>
          <w:rFonts w:ascii="Times New Roman" w:hAnsi="Times New Roman" w:eastAsia="宋体" w:cs="Times New Roman"/>
          <w:b/>
          <w:i w:val="0"/>
          <w:caps w:val="0"/>
          <w:color w:val="000000"/>
          <w:spacing w:val="0"/>
          <w:sz w:val="28"/>
          <w:szCs w:val="28"/>
          <w:highlight w:val="none"/>
          <w:shd w:val="clear" w:color="auto" w:fill="auto"/>
        </w:rPr>
        <w:t>241号</w:t>
      </w:r>
      <w:r>
        <w:rPr>
          <w:rFonts w:hint="default"/>
          <w:b/>
          <w:color w:val="000000"/>
          <w:sz w:val="28"/>
          <w:szCs w:val="28"/>
          <w:highlight w:val="none"/>
          <w:lang w:eastAsia="zh-CN"/>
        </w:rPr>
        <w:t>）</w:t>
      </w:r>
    </w:p>
    <w:p w14:paraId="1738524C">
      <w:pPr>
        <w:keepNext w:val="0"/>
        <w:keepLines w:val="0"/>
        <w:pageBreakBefore w:val="0"/>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b/>
          <w:color w:val="000000"/>
          <w:sz w:val="28"/>
          <w:szCs w:val="28"/>
          <w:highlight w:val="none"/>
        </w:rPr>
      </w:pPr>
    </w:p>
    <w:p w14:paraId="6C0DD640">
      <w:pPr>
        <w:keepNext w:val="0"/>
        <w:keepLines w:val="0"/>
        <w:pageBreakBefore w:val="0"/>
        <w:kinsoku/>
        <w:wordWrap/>
        <w:overflowPunct/>
        <w:topLinePunct w:val="0"/>
        <w:autoSpaceDE/>
        <w:autoSpaceDN/>
        <w:bidi w:val="0"/>
        <w:adjustRightInd/>
        <w:snapToGrid/>
        <w:spacing w:line="400" w:lineRule="exact"/>
        <w:ind w:left="0" w:leftChars="0" w:firstLine="562" w:firstLineChars="200"/>
        <w:textAlignment w:val="auto"/>
        <w:rPr>
          <w:rFonts w:hint="eastAsia"/>
          <w:color w:val="000000"/>
          <w:sz w:val="28"/>
          <w:szCs w:val="28"/>
          <w:highlight w:val="none"/>
        </w:rPr>
      </w:pPr>
      <w:r>
        <w:rPr>
          <w:rFonts w:hint="eastAsia" w:ascii="宋体" w:hAnsi="宋体"/>
          <w:b/>
          <w:color w:val="000000"/>
          <w:sz w:val="28"/>
          <w:szCs w:val="28"/>
          <w:highlight w:val="none"/>
        </w:rPr>
        <w:t>六、</w:t>
      </w:r>
      <w:r>
        <w:rPr>
          <w:rFonts w:ascii="宋体" w:hAnsi="宋体"/>
          <w:b/>
          <w:color w:val="000000"/>
          <w:sz w:val="28"/>
          <w:szCs w:val="28"/>
          <w:highlight w:val="none"/>
        </w:rPr>
        <w:t>政府采购严重失信行为</w:t>
      </w:r>
    </w:p>
    <w:p w14:paraId="34C77278">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eastAsia="宋体"/>
          <w:color w:val="000000"/>
          <w:sz w:val="28"/>
          <w:szCs w:val="28"/>
          <w:highlight w:val="none"/>
          <w:lang w:eastAsia="zh-CN"/>
        </w:rPr>
      </w:pPr>
      <w:r>
        <w:rPr>
          <w:rFonts w:hint="eastAsia"/>
          <w:color w:val="000000"/>
          <w:sz w:val="28"/>
          <w:szCs w:val="28"/>
          <w:highlight w:val="none"/>
        </w:rPr>
        <w:t>供应商、采购代理机构在三年内受到财政部门作出下列情形之一的行政处罚，列入政府采购严重违法失信行为记录名单。</w:t>
      </w:r>
    </w:p>
    <w:p w14:paraId="4F39BF39">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eastAsia="宋体"/>
          <w:color w:val="000000"/>
          <w:sz w:val="28"/>
          <w:szCs w:val="28"/>
          <w:highlight w:val="none"/>
          <w:lang w:eastAsia="zh-CN"/>
        </w:rPr>
      </w:pPr>
      <w:r>
        <w:rPr>
          <w:rFonts w:hint="eastAsia"/>
          <w:color w:val="000000"/>
          <w:sz w:val="28"/>
          <w:szCs w:val="28"/>
          <w:highlight w:val="none"/>
        </w:rPr>
        <w:t>　　（一）三万元以上罚款；</w:t>
      </w:r>
    </w:p>
    <w:p w14:paraId="40960581">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eastAsia="宋体"/>
          <w:color w:val="000000"/>
          <w:sz w:val="28"/>
          <w:szCs w:val="28"/>
          <w:highlight w:val="none"/>
          <w:lang w:eastAsia="zh-CN"/>
        </w:rPr>
      </w:pPr>
      <w:r>
        <w:rPr>
          <w:rFonts w:hint="eastAsia"/>
          <w:color w:val="000000"/>
          <w:sz w:val="28"/>
          <w:szCs w:val="28"/>
          <w:highlight w:val="none"/>
        </w:rPr>
        <w:t>　　（二）在一至三年内禁止参加政府采购活动（处罚期限届满的除外）；</w:t>
      </w:r>
    </w:p>
    <w:p w14:paraId="070B9F37">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eastAsia="宋体"/>
          <w:color w:val="000000"/>
          <w:sz w:val="28"/>
          <w:szCs w:val="28"/>
          <w:highlight w:val="none"/>
          <w:lang w:eastAsia="zh-CN"/>
        </w:rPr>
      </w:pPr>
      <w:r>
        <w:rPr>
          <w:rFonts w:hint="eastAsia"/>
          <w:color w:val="000000"/>
          <w:sz w:val="28"/>
          <w:szCs w:val="28"/>
          <w:highlight w:val="none"/>
        </w:rPr>
        <w:t>　　（三）在一至三年内禁止代理政府采购业务（处罚期限届满的除外）；</w:t>
      </w:r>
    </w:p>
    <w:p w14:paraId="5BFF5BB9">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color w:val="000000"/>
          <w:sz w:val="28"/>
          <w:szCs w:val="28"/>
          <w:highlight w:val="none"/>
        </w:rPr>
      </w:pPr>
      <w:r>
        <w:rPr>
          <w:rFonts w:hint="eastAsia" w:ascii="宋体" w:hAnsi="宋体"/>
          <w:color w:val="000000"/>
          <w:sz w:val="28"/>
          <w:szCs w:val="28"/>
          <w:highlight w:val="none"/>
        </w:rPr>
        <w:t xml:space="preserve">　 </w:t>
      </w:r>
      <w:r>
        <w:rPr>
          <w:rFonts w:hint="eastAsia"/>
          <w:color w:val="000000"/>
          <w:sz w:val="28"/>
          <w:szCs w:val="28"/>
          <w:highlight w:val="none"/>
        </w:rPr>
        <w:t>（四）撤销政府采购代理机构资格（仅针对《政府采购法》第78条修改前作出的处罚决定）。</w:t>
      </w:r>
    </w:p>
    <w:p w14:paraId="410AB960">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color w:val="000000"/>
          <w:sz w:val="28"/>
          <w:szCs w:val="28"/>
          <w:highlight w:val="none"/>
        </w:rPr>
      </w:pPr>
      <w:r>
        <w:rPr>
          <w:rFonts w:hint="eastAsia"/>
          <w:b/>
          <w:bCs/>
          <w:color w:val="000000"/>
          <w:sz w:val="28"/>
          <w:szCs w:val="28"/>
          <w:highlight w:val="none"/>
        </w:rPr>
        <w:t>依据：《关于报送政府采购严重违法失信行为信息记录的通知》</w:t>
      </w:r>
      <w:r>
        <w:rPr>
          <w:rFonts w:hint="default"/>
          <w:b/>
          <w:color w:val="000000"/>
          <w:sz w:val="28"/>
          <w:szCs w:val="28"/>
          <w:highlight w:val="none"/>
          <w:lang w:eastAsia="zh-CN"/>
        </w:rPr>
        <w:t>（</w:t>
      </w:r>
      <w:r>
        <w:rPr>
          <w:rFonts w:hint="eastAsia" w:ascii="Times New Roman" w:hAnsi="Times New Roman" w:eastAsia="宋体" w:cs="Times New Roman"/>
          <w:b/>
          <w:i w:val="0"/>
          <w:caps w:val="0"/>
          <w:color w:val="000000"/>
          <w:spacing w:val="0"/>
          <w:sz w:val="28"/>
          <w:szCs w:val="28"/>
          <w:highlight w:val="none"/>
          <w:shd w:val="clear" w:color="auto" w:fill="auto"/>
          <w:lang w:eastAsia="zh-CN"/>
        </w:rPr>
        <w:t>财办库</w:t>
      </w:r>
      <w:r>
        <w:rPr>
          <w:rFonts w:hint="eastAsia" w:ascii="Times New Roman" w:hAnsi="Times New Roman" w:eastAsia="宋体" w:cs="Times New Roman"/>
          <w:b/>
          <w:i w:val="0"/>
          <w:caps w:val="0"/>
          <w:color w:val="000000"/>
          <w:spacing w:val="0"/>
          <w:sz w:val="28"/>
          <w:szCs w:val="28"/>
          <w:highlight w:val="none"/>
        </w:rPr>
        <w:t>〔</w:t>
      </w:r>
      <w:r>
        <w:rPr>
          <w:rFonts w:ascii="Times New Roman" w:hAnsi="Times New Roman" w:eastAsia="宋体" w:cs="Times New Roman"/>
          <w:b/>
          <w:i w:val="0"/>
          <w:caps w:val="0"/>
          <w:color w:val="000000"/>
          <w:spacing w:val="0"/>
          <w:sz w:val="28"/>
          <w:szCs w:val="28"/>
          <w:highlight w:val="none"/>
          <w:shd w:val="clear" w:color="auto" w:fill="auto"/>
        </w:rPr>
        <w:t>201</w:t>
      </w:r>
      <w:r>
        <w:rPr>
          <w:rFonts w:hint="eastAsia" w:ascii="Times New Roman" w:hAnsi="Times New Roman" w:eastAsia="宋体" w:cs="Times New Roman"/>
          <w:b/>
          <w:i w:val="0"/>
          <w:caps w:val="0"/>
          <w:color w:val="000000"/>
          <w:spacing w:val="0"/>
          <w:sz w:val="28"/>
          <w:szCs w:val="28"/>
          <w:highlight w:val="none"/>
          <w:shd w:val="clear" w:color="auto" w:fill="auto"/>
          <w:lang w:val="en-US" w:eastAsia="zh-CN"/>
        </w:rPr>
        <w:t>4</w:t>
      </w:r>
      <w:r>
        <w:rPr>
          <w:rFonts w:hint="eastAsia" w:ascii="Times New Roman" w:hAnsi="Times New Roman" w:eastAsia="宋体" w:cs="Times New Roman"/>
          <w:b/>
          <w:i w:val="0"/>
          <w:caps w:val="0"/>
          <w:color w:val="000000"/>
          <w:spacing w:val="0"/>
          <w:sz w:val="28"/>
          <w:szCs w:val="28"/>
          <w:highlight w:val="none"/>
        </w:rPr>
        <w:t>〕</w:t>
      </w:r>
      <w:r>
        <w:rPr>
          <w:rFonts w:hint="eastAsia" w:ascii="Times New Roman" w:hAnsi="Times New Roman" w:eastAsia="宋体" w:cs="Times New Roman"/>
          <w:b/>
          <w:i w:val="0"/>
          <w:caps w:val="0"/>
          <w:color w:val="000000"/>
          <w:spacing w:val="0"/>
          <w:sz w:val="28"/>
          <w:szCs w:val="28"/>
          <w:highlight w:val="none"/>
          <w:shd w:val="clear" w:color="auto" w:fill="auto"/>
          <w:lang w:val="en-US" w:eastAsia="zh-CN"/>
        </w:rPr>
        <w:t>526</w:t>
      </w:r>
      <w:r>
        <w:rPr>
          <w:rFonts w:ascii="Times New Roman" w:hAnsi="Times New Roman" w:eastAsia="宋体" w:cs="Times New Roman"/>
          <w:b/>
          <w:i w:val="0"/>
          <w:caps w:val="0"/>
          <w:color w:val="000000"/>
          <w:spacing w:val="0"/>
          <w:sz w:val="28"/>
          <w:szCs w:val="28"/>
          <w:highlight w:val="none"/>
          <w:shd w:val="clear" w:color="auto" w:fill="auto"/>
        </w:rPr>
        <w:t>号</w:t>
      </w:r>
      <w:r>
        <w:rPr>
          <w:rFonts w:hint="default"/>
          <w:b/>
          <w:color w:val="000000"/>
          <w:sz w:val="28"/>
          <w:szCs w:val="28"/>
          <w:highlight w:val="none"/>
          <w:lang w:eastAsia="zh-CN"/>
        </w:rPr>
        <w:t>）</w:t>
      </w:r>
    </w:p>
    <w:p w14:paraId="78FA06AE">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color w:val="000000"/>
          <w:sz w:val="28"/>
          <w:szCs w:val="28"/>
          <w:highlight w:val="none"/>
        </w:rPr>
      </w:pPr>
    </w:p>
    <w:p w14:paraId="4609180F">
      <w:pPr>
        <w:keepNext w:val="0"/>
        <w:keepLines w:val="0"/>
        <w:pageBreakBefore w:val="0"/>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七、水利建设领域严重失信行为</w:t>
      </w:r>
    </w:p>
    <w:p w14:paraId="6B67EE94">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（一）1年内不良行为记录累计扣分达到20分的；</w:t>
      </w:r>
    </w:p>
    <w:p w14:paraId="434F86E0">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（二）"重点关注名单"公开期满后仍不整改的；</w:t>
      </w:r>
    </w:p>
    <w:p w14:paraId="343AC54C">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（三）存在以下严重危害人民群众身体健康、生命安全和工程质量，以及特别严重违规行为之一的：</w:t>
      </w:r>
    </w:p>
    <w:p w14:paraId="6218A5DC">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1.发生重大、特大质量或安全事故，并负有直接责任的；</w:t>
      </w:r>
    </w:p>
    <w:p w14:paraId="5F0D9E8C">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2.在单位公开信息、工程相关技术成果和工程建设过程中隐瞒真实情况、弄虚作假，提供虚假材料，谋取不正当利益的；</w:t>
      </w:r>
    </w:p>
    <w:p w14:paraId="43957236">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3.违反有关法律、法规、规章、政策、技术标准、设计文件、合同等有关规定开展工作造成的工程质量问题，经处理后仍影响工程正常使用或减少工程使用寿命的；</w:t>
      </w:r>
    </w:p>
    <w:p w14:paraId="04FEBC3E">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4.违反规定施工，造成生态环境严重破坏且拒不修复的；</w:t>
      </w:r>
    </w:p>
    <w:p w14:paraId="6C7708B5">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5.被证实恶意制造工程质量缺陷或质量隐患的；</w:t>
      </w:r>
    </w:p>
    <w:p w14:paraId="0F554007">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6.其他违反法律法规，造成严重后果或社会危害较大的。</w:t>
      </w:r>
    </w:p>
    <w:p w14:paraId="7B7C8D82">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（四）存在以下严重破坏市场公平竞争秩序和社会正常秩序行为之一的：</w:t>
      </w:r>
    </w:p>
    <w:p w14:paraId="430D0E28">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1.不按合同约定，恶意拖欠承包人项目款的；</w:t>
      </w:r>
    </w:p>
    <w:p w14:paraId="58D031F7">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2.隐瞒有关情况或者提供虚假材料申请资质的，在全国水利建设市场监管服务平台公开虚假信息的，以欺骗、贿赂等不正当手段取得资质等级证书的；</w:t>
      </w:r>
    </w:p>
    <w:p w14:paraId="1F1AA5D0">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3.出借、借用资质证书,允许他人以本单位名义或借用他人名义等弄虚作假方式承揽业务的；</w:t>
      </w:r>
    </w:p>
    <w:p w14:paraId="38C54B96">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4.未取得相应资质或超越资质证书核定范围、营业范围承揽业务的；</w:t>
      </w:r>
    </w:p>
    <w:p w14:paraId="0B505665">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5.操纵招标过程，谋取不正当利益的；</w:t>
      </w:r>
    </w:p>
    <w:p w14:paraId="6B508AE3">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6.与招标人或投标人串通投标的；</w:t>
      </w:r>
    </w:p>
    <w:p w14:paraId="38256E27">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7.以向招标人或评标委员会成员行贿的手段谋取中标的；</w:t>
      </w:r>
    </w:p>
    <w:p w14:paraId="4C593355">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8.中标后，无正当理由不签订合同的；</w:t>
      </w:r>
    </w:p>
    <w:p w14:paraId="6A1FC764">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9.转包或违法分包所承揽业务的；</w:t>
      </w:r>
    </w:p>
    <w:p w14:paraId="1CFEB9F3">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10.弄虚作假，以欺诈手段降低工程或设备质量的；</w:t>
      </w:r>
    </w:p>
    <w:p w14:paraId="7B166E5A">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11.单位行贿、受贿，受到刑事处罚的；</w:t>
      </w:r>
    </w:p>
    <w:p w14:paraId="130D5337">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12.逃税骗税、恶意逃废债务的；</w:t>
      </w:r>
    </w:p>
    <w:p w14:paraId="46959984">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13.参与非法集资，受到刑事处罚的；</w:t>
      </w:r>
    </w:p>
    <w:p w14:paraId="0BC47D9D">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14.在签订、履行合同过程中，存在合同欺诈行为，受到刑事处罚的；</w:t>
      </w:r>
    </w:p>
    <w:p w14:paraId="770F38A1">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15.虚构工程项目，套取资金的；</w:t>
      </w:r>
    </w:p>
    <w:p w14:paraId="7F971603">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16.克扣、无故拖欠农民工工资报酬，数额达到认定拒不支付劳动报酬罪数额标准的；</w:t>
      </w:r>
    </w:p>
    <w:p w14:paraId="19CB0FF5">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17.发生社会公共事件，影响较大，并负有直接责任的。</w:t>
      </w:r>
    </w:p>
    <w:p w14:paraId="19D9DD7D">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（五）存在以下拒不履行法定义务，严重影响司法机关、行政机关公信力行为之一的：</w:t>
      </w:r>
    </w:p>
    <w:p w14:paraId="735A27B8">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1.发生事故拒绝接受调查或拒绝提供有关资料的；</w:t>
      </w:r>
    </w:p>
    <w:p w14:paraId="32C315F5">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2.拒不执行生效的行政处罚决定的；</w:t>
      </w:r>
    </w:p>
    <w:p w14:paraId="0916CE47">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3.拒不执行仲裁、法院判决结果的。</w:t>
      </w:r>
    </w:p>
    <w:p w14:paraId="36C4589C">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560" w:firstLineChars="200"/>
        <w:textAlignment w:val="auto"/>
        <w:rPr>
          <w:rFonts w:hint="eastAsia" w:ascii="宋体" w:hAnsi="宋体" w:eastAsia="宋体" w:cs="宋体"/>
          <w:i w:val="0"/>
          <w:caps w:val="0"/>
          <w:color w:val="000000"/>
          <w:spacing w:val="0"/>
          <w:kern w:val="2"/>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（六）被相关联合惩戒部门列入"黑名单"，符合联合惩戒措施的。</w:t>
      </w:r>
    </w:p>
    <w:p w14:paraId="15FD455E">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i w:val="0"/>
          <w:caps w:val="0"/>
          <w:color w:val="000000"/>
          <w:spacing w:val="0"/>
          <w:kern w:val="2"/>
          <w:sz w:val="28"/>
          <w:szCs w:val="28"/>
          <w:highlight w:val="none"/>
          <w:shd w:val="clear" w:color="auto" w:fill="auto"/>
        </w:rPr>
        <w:t>生产建设项目水土保持市场主体"黑名单"列入标准见</w:t>
      </w:r>
      <w:r>
        <w:rPr>
          <w:rFonts w:hint="eastAsia" w:ascii="宋体" w:hAnsi="宋体" w:eastAsia="宋体" w:cs="宋体"/>
          <w:b w:val="0"/>
          <w:bCs w:val="0"/>
          <w:i w:val="0"/>
          <w:caps w:val="0"/>
          <w:color w:val="000000"/>
          <w:spacing w:val="0"/>
          <w:sz w:val="28"/>
          <w:szCs w:val="28"/>
          <w:highlight w:val="none"/>
          <w:shd w:val="clear" w:color="auto" w:fill="auto"/>
          <w:lang w:eastAsia="zh-CN"/>
        </w:rPr>
        <w:t>《</w:t>
      </w:r>
      <w:r>
        <w:rPr>
          <w:rFonts w:hint="eastAsia" w:ascii="宋体" w:hAnsi="宋体" w:eastAsia="宋体" w:cs="宋体"/>
          <w:b w:val="0"/>
          <w:bCs w:val="0"/>
          <w:i w:val="0"/>
          <w:caps w:val="0"/>
          <w:color w:val="000000"/>
          <w:spacing w:val="0"/>
          <w:sz w:val="28"/>
          <w:szCs w:val="28"/>
          <w:highlight w:val="none"/>
          <w:shd w:val="clear" w:color="auto" w:fill="auto"/>
        </w:rPr>
        <w:t>水利建设市场主体信用信息管理办法</w:t>
      </w:r>
      <w:r>
        <w:rPr>
          <w:rFonts w:hint="eastAsia" w:ascii="宋体" w:hAnsi="宋体" w:eastAsia="宋体" w:cs="宋体"/>
          <w:b w:val="0"/>
          <w:bCs w:val="0"/>
          <w:i w:val="0"/>
          <w:caps w:val="0"/>
          <w:color w:val="000000"/>
          <w:spacing w:val="0"/>
          <w:sz w:val="28"/>
          <w:szCs w:val="28"/>
          <w:highlight w:val="none"/>
          <w:shd w:val="clear" w:color="auto" w:fill="auto"/>
          <w:lang w:eastAsia="zh-CN"/>
        </w:rPr>
        <w:t>》</w:t>
      </w:r>
      <w:r>
        <w:rPr>
          <w:rFonts w:hint="eastAsia" w:ascii="宋体" w:hAnsi="宋体" w:eastAsia="宋体" w:cs="宋体"/>
          <w:i w:val="0"/>
          <w:caps w:val="0"/>
          <w:color w:val="000000"/>
          <w:spacing w:val="0"/>
          <w:kern w:val="2"/>
          <w:sz w:val="28"/>
          <w:szCs w:val="28"/>
          <w:highlight w:val="none"/>
          <w:shd w:val="clear" w:color="auto" w:fill="auto"/>
        </w:rPr>
        <w:t>附件。</w:t>
      </w:r>
    </w:p>
    <w:p w14:paraId="77C713F8">
      <w:pPr>
        <w:keepNext w:val="0"/>
        <w:keepLines w:val="0"/>
        <w:pageBreakBefore w:val="0"/>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依据：《水利建设市场主体信用评价管理办法》</w:t>
      </w:r>
      <w:r>
        <w:rPr>
          <w:rFonts w:hint="eastAsia" w:ascii="宋体" w:hAnsi="宋体" w:eastAsia="宋体" w:cs="宋体"/>
          <w:b/>
          <w:bCs/>
          <w:i w:val="0"/>
          <w:caps w:val="0"/>
          <w:color w:val="000000"/>
          <w:spacing w:val="0"/>
          <w:sz w:val="28"/>
          <w:szCs w:val="28"/>
          <w:highlight w:val="none"/>
        </w:rPr>
        <w:t>水建设〔2019〕307号</w:t>
      </w:r>
      <w:r>
        <w:rPr>
          <w:rFonts w:hint="eastAsia" w:ascii="宋体" w:hAnsi="宋体" w:eastAsia="宋体" w:cs="宋体"/>
          <w:b/>
          <w:bCs/>
          <w:i w:val="0"/>
          <w:caps w:val="0"/>
          <w:color w:val="000000"/>
          <w:spacing w:val="0"/>
          <w:sz w:val="28"/>
          <w:szCs w:val="28"/>
          <w:highlight w:val="none"/>
          <w:lang w:eastAsia="zh-CN"/>
        </w:rPr>
        <w:t>、</w:t>
      </w:r>
      <w:r>
        <w:rPr>
          <w:rFonts w:hint="eastAsia" w:ascii="宋体" w:hAnsi="宋体" w:eastAsia="宋体" w:cs="宋体"/>
          <w:b/>
          <w:bCs/>
          <w:i w:val="0"/>
          <w:caps w:val="0"/>
          <w:color w:val="000000"/>
          <w:spacing w:val="0"/>
          <w:sz w:val="28"/>
          <w:szCs w:val="28"/>
          <w:highlight w:val="none"/>
          <w:shd w:val="clear" w:color="auto" w:fill="auto"/>
          <w:lang w:eastAsia="zh-CN"/>
        </w:rPr>
        <w:t>《</w:t>
      </w:r>
      <w:r>
        <w:rPr>
          <w:rFonts w:hint="eastAsia" w:ascii="宋体" w:hAnsi="宋体" w:eastAsia="宋体" w:cs="宋体"/>
          <w:b/>
          <w:bCs/>
          <w:i w:val="0"/>
          <w:caps w:val="0"/>
          <w:color w:val="000000"/>
          <w:spacing w:val="0"/>
          <w:sz w:val="28"/>
          <w:szCs w:val="28"/>
          <w:highlight w:val="none"/>
          <w:shd w:val="clear" w:color="auto" w:fill="auto"/>
        </w:rPr>
        <w:t>水利建设市场主体信用信息管理办法</w:t>
      </w:r>
      <w:r>
        <w:rPr>
          <w:rFonts w:hint="eastAsia" w:ascii="宋体" w:hAnsi="宋体" w:eastAsia="宋体" w:cs="宋体"/>
          <w:b/>
          <w:bCs/>
          <w:i w:val="0"/>
          <w:caps w:val="0"/>
          <w:color w:val="000000"/>
          <w:spacing w:val="0"/>
          <w:sz w:val="28"/>
          <w:szCs w:val="28"/>
          <w:highlight w:val="none"/>
          <w:shd w:val="clear" w:color="auto" w:fill="auto"/>
          <w:lang w:eastAsia="zh-CN"/>
        </w:rPr>
        <w:t>》</w:t>
      </w:r>
      <w:r>
        <w:rPr>
          <w:rFonts w:hint="eastAsia" w:ascii="宋体" w:hAnsi="宋体" w:eastAsia="宋体" w:cs="宋体"/>
          <w:b/>
          <w:bCs/>
          <w:i w:val="0"/>
          <w:caps w:val="0"/>
          <w:color w:val="000000"/>
          <w:spacing w:val="0"/>
          <w:sz w:val="28"/>
          <w:szCs w:val="28"/>
          <w:highlight w:val="none"/>
          <w:shd w:val="clear" w:color="auto" w:fill="auto"/>
        </w:rPr>
        <w:t>水建设〔2019〕30</w:t>
      </w:r>
      <w:r>
        <w:rPr>
          <w:rFonts w:hint="eastAsia" w:ascii="宋体" w:hAnsi="宋体" w:eastAsia="宋体" w:cs="宋体"/>
          <w:b/>
          <w:bCs/>
          <w:i w:val="0"/>
          <w:caps w:val="0"/>
          <w:color w:val="000000"/>
          <w:spacing w:val="0"/>
          <w:sz w:val="28"/>
          <w:szCs w:val="28"/>
          <w:highlight w:val="none"/>
          <w:shd w:val="clear" w:color="auto" w:fill="auto"/>
          <w:lang w:val="en-US" w:eastAsia="zh-CN"/>
        </w:rPr>
        <w:t>6</w:t>
      </w:r>
      <w:r>
        <w:rPr>
          <w:rFonts w:hint="eastAsia" w:ascii="宋体" w:hAnsi="宋体" w:eastAsia="宋体" w:cs="宋体"/>
          <w:b/>
          <w:bCs/>
          <w:i w:val="0"/>
          <w:caps w:val="0"/>
          <w:color w:val="000000"/>
          <w:spacing w:val="0"/>
          <w:sz w:val="28"/>
          <w:szCs w:val="28"/>
          <w:highlight w:val="none"/>
          <w:shd w:val="clear" w:color="auto" w:fill="auto"/>
        </w:rPr>
        <w:t>号</w:t>
      </w:r>
    </w:p>
    <w:p w14:paraId="26A7B23C">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color w:val="000000"/>
          <w:sz w:val="28"/>
          <w:szCs w:val="28"/>
          <w:highlight w:val="none"/>
        </w:rPr>
      </w:pPr>
    </w:p>
    <w:p w14:paraId="4B644E04">
      <w:pPr>
        <w:keepNext w:val="0"/>
        <w:keepLines w:val="0"/>
        <w:pageBreakBefore w:val="0"/>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未列出的其他类别严重失信行为，由招标人（代理机构）根据各类别行业主管部门下发的联合惩戒文件进行判断。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3E43">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7496898"/>
    </w:sdtPr>
    <w:sdtEndPr>
      <w:rPr>
        <w:rFonts w:asciiTheme="minorEastAsia" w:hAnsiTheme="minorEastAsia" w:eastAsiaTheme="minorEastAsia"/>
        <w:sz w:val="21"/>
        <w:szCs w:val="21"/>
      </w:rPr>
    </w:sdtEndPr>
    <w:sdtContent>
      <w:sdt>
        <w:sdtPr>
          <w:rPr>
            <w:sz w:val="21"/>
            <w:szCs w:val="21"/>
          </w:rPr>
          <w:id w:val="-1"/>
        </w:sdtPr>
        <w:sdtEndPr>
          <w:rPr>
            <w:rFonts w:asciiTheme="minorEastAsia" w:hAnsiTheme="minorEastAsia" w:eastAsiaTheme="minorEastAsia"/>
            <w:sz w:val="21"/>
            <w:szCs w:val="21"/>
          </w:rPr>
        </w:sdtEndPr>
        <w:sdtContent>
          <w:p w14:paraId="188D025C">
            <w:pPr>
              <w:pStyle w:val="3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94</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106</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104</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98CE">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46487">
                          <w:pPr>
                            <w:pStyle w:val="34"/>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446487">
                    <w:pPr>
                      <w:pStyle w:val="34"/>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75115"/>
    </w:sdtPr>
    <w:sdtEndPr>
      <w:rPr>
        <w:rFonts w:asciiTheme="minorEastAsia" w:hAnsiTheme="minorEastAsia" w:eastAsiaTheme="minorEastAsia"/>
        <w:sz w:val="21"/>
        <w:szCs w:val="21"/>
      </w:rPr>
    </w:sdtEndPr>
    <w:sdtContent>
      <w:sdt>
        <w:sdtPr>
          <w:rPr>
            <w:sz w:val="21"/>
            <w:szCs w:val="21"/>
          </w:rPr>
          <w:id w:val="147477334"/>
        </w:sdtPr>
        <w:sdtEndPr>
          <w:rPr>
            <w:rFonts w:asciiTheme="minorEastAsia" w:hAnsiTheme="minorEastAsia" w:eastAsiaTheme="minorEastAsia"/>
            <w:sz w:val="21"/>
            <w:szCs w:val="21"/>
          </w:rPr>
        </w:sdtEndPr>
        <w:sdtContent>
          <w:p w14:paraId="6330BA5E">
            <w:pPr>
              <w:pStyle w:val="3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101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108</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106</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E35A">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25A7">
    <w:pPr>
      <w:pStyle w:val="35"/>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99A2">
    <w:pPr>
      <w:pStyle w:val="35"/>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2102">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E5238"/>
    <w:multiLevelType w:val="multilevel"/>
    <w:tmpl w:val="7F7E5238"/>
    <w:lvl w:ilvl="0" w:tentative="0">
      <w:start w:val="1"/>
      <w:numFmt w:val="none"/>
      <w:pStyle w:val="17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9"/>
      <w:lvlText w:val="           "/>
      <w:lvlJc w:val="left"/>
      <w:pPr>
        <w:tabs>
          <w:tab w:val="left" w:pos="1440"/>
        </w:tabs>
        <w:ind w:left="1152" w:hanging="1152"/>
      </w:pPr>
      <w:rPr>
        <w:rFonts w:hint="eastAsia"/>
      </w:rPr>
    </w:lvl>
    <w:lvl w:ilvl="6" w:tentative="0">
      <w:start w:val="1"/>
      <w:numFmt w:val="decimal"/>
      <w:pStyle w:val="181"/>
      <w:lvlText w:val="%1.%2.%3.%4.%5.%6.%7"/>
      <w:lvlJc w:val="left"/>
      <w:pPr>
        <w:tabs>
          <w:tab w:val="left" w:pos="2520"/>
        </w:tabs>
        <w:ind w:left="1296" w:hanging="1296"/>
      </w:pPr>
      <w:rPr>
        <w:rFonts w:hint="eastAsia"/>
      </w:rPr>
    </w:lvl>
    <w:lvl w:ilvl="7" w:tentative="0">
      <w:start w:val="1"/>
      <w:numFmt w:val="decimal"/>
      <w:pStyle w:val="183"/>
      <w:lvlText w:val="%1.%2.%3.%4.%5.%6.%7.%8"/>
      <w:lvlJc w:val="left"/>
      <w:pPr>
        <w:tabs>
          <w:tab w:val="left" w:pos="1440"/>
        </w:tabs>
        <w:ind w:left="1440" w:hanging="1440"/>
      </w:pPr>
      <w:rPr>
        <w:rFonts w:hint="eastAsia"/>
      </w:rPr>
    </w:lvl>
    <w:lvl w:ilvl="8" w:tentative="0">
      <w:start w:val="1"/>
      <w:numFmt w:val="decimal"/>
      <w:pStyle w:val="185"/>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ZTUwMDZmYjk1ZjE5YjhkYTIxMjc0NDY0NTU4MWY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C47A58"/>
    <w:rsid w:val="02EB05EB"/>
    <w:rsid w:val="03EE5ACB"/>
    <w:rsid w:val="03FB485E"/>
    <w:rsid w:val="04C45554"/>
    <w:rsid w:val="055F3E25"/>
    <w:rsid w:val="05DD144B"/>
    <w:rsid w:val="060D5ED0"/>
    <w:rsid w:val="06EE74DB"/>
    <w:rsid w:val="072015CC"/>
    <w:rsid w:val="08617CF0"/>
    <w:rsid w:val="093E5132"/>
    <w:rsid w:val="096609CC"/>
    <w:rsid w:val="09756E61"/>
    <w:rsid w:val="099C3247"/>
    <w:rsid w:val="0B301291"/>
    <w:rsid w:val="0B34273F"/>
    <w:rsid w:val="0B3568A8"/>
    <w:rsid w:val="0B5759D8"/>
    <w:rsid w:val="0B584B6B"/>
    <w:rsid w:val="0B9A6428"/>
    <w:rsid w:val="0BA46688"/>
    <w:rsid w:val="0BA80E28"/>
    <w:rsid w:val="0BC76A6E"/>
    <w:rsid w:val="0BD069A1"/>
    <w:rsid w:val="0C0B76AE"/>
    <w:rsid w:val="0C695EBF"/>
    <w:rsid w:val="0C743400"/>
    <w:rsid w:val="0C764D16"/>
    <w:rsid w:val="0D162709"/>
    <w:rsid w:val="0D3E7892"/>
    <w:rsid w:val="0D6310BC"/>
    <w:rsid w:val="0DB72352"/>
    <w:rsid w:val="0DD95C10"/>
    <w:rsid w:val="0DFC12FE"/>
    <w:rsid w:val="0DFF1A91"/>
    <w:rsid w:val="0E30091C"/>
    <w:rsid w:val="0EB116DF"/>
    <w:rsid w:val="0EB9796D"/>
    <w:rsid w:val="0ED93BBF"/>
    <w:rsid w:val="0FC76BB7"/>
    <w:rsid w:val="10F935A7"/>
    <w:rsid w:val="11C87B39"/>
    <w:rsid w:val="11D02E86"/>
    <w:rsid w:val="128F2D41"/>
    <w:rsid w:val="12BE53D5"/>
    <w:rsid w:val="12E83133"/>
    <w:rsid w:val="12E8313F"/>
    <w:rsid w:val="13607801"/>
    <w:rsid w:val="1375778E"/>
    <w:rsid w:val="14A910E0"/>
    <w:rsid w:val="14C878A5"/>
    <w:rsid w:val="14E43199"/>
    <w:rsid w:val="16F15C51"/>
    <w:rsid w:val="17141A67"/>
    <w:rsid w:val="17146EEB"/>
    <w:rsid w:val="185A794E"/>
    <w:rsid w:val="18A85F98"/>
    <w:rsid w:val="18DD3949"/>
    <w:rsid w:val="19C9198C"/>
    <w:rsid w:val="1AEE0821"/>
    <w:rsid w:val="1B8D1DE8"/>
    <w:rsid w:val="1BF65BDF"/>
    <w:rsid w:val="1CD32386"/>
    <w:rsid w:val="1D015171"/>
    <w:rsid w:val="1D191BE5"/>
    <w:rsid w:val="1D2E3157"/>
    <w:rsid w:val="1D3B78BE"/>
    <w:rsid w:val="1DEC70E9"/>
    <w:rsid w:val="1E0B00F8"/>
    <w:rsid w:val="1E112FC8"/>
    <w:rsid w:val="1EE2069D"/>
    <w:rsid w:val="1F2E6A6D"/>
    <w:rsid w:val="1F8F5F24"/>
    <w:rsid w:val="21326E5F"/>
    <w:rsid w:val="218C669E"/>
    <w:rsid w:val="21A12912"/>
    <w:rsid w:val="22317971"/>
    <w:rsid w:val="22A07A2E"/>
    <w:rsid w:val="22A138EC"/>
    <w:rsid w:val="23141F62"/>
    <w:rsid w:val="237C1D35"/>
    <w:rsid w:val="241D3932"/>
    <w:rsid w:val="2456666F"/>
    <w:rsid w:val="247E2DFD"/>
    <w:rsid w:val="2492221D"/>
    <w:rsid w:val="25F3318F"/>
    <w:rsid w:val="265B0373"/>
    <w:rsid w:val="274D5052"/>
    <w:rsid w:val="27BA21B7"/>
    <w:rsid w:val="27E85AF1"/>
    <w:rsid w:val="285833F8"/>
    <w:rsid w:val="288E11CC"/>
    <w:rsid w:val="28A661CE"/>
    <w:rsid w:val="28A96E2F"/>
    <w:rsid w:val="28E444C1"/>
    <w:rsid w:val="29842A7C"/>
    <w:rsid w:val="2A1534D2"/>
    <w:rsid w:val="2A21651D"/>
    <w:rsid w:val="2A3A138D"/>
    <w:rsid w:val="2B342280"/>
    <w:rsid w:val="2B5044AE"/>
    <w:rsid w:val="2B89414F"/>
    <w:rsid w:val="2C626979"/>
    <w:rsid w:val="2D1633EB"/>
    <w:rsid w:val="2D4A5D8B"/>
    <w:rsid w:val="2D611D48"/>
    <w:rsid w:val="2E992065"/>
    <w:rsid w:val="2EB60132"/>
    <w:rsid w:val="2F850E2A"/>
    <w:rsid w:val="2F8779B7"/>
    <w:rsid w:val="2FE75B13"/>
    <w:rsid w:val="2FE9188B"/>
    <w:rsid w:val="300D4E4E"/>
    <w:rsid w:val="301F3F23"/>
    <w:rsid w:val="30422D49"/>
    <w:rsid w:val="30DD18E3"/>
    <w:rsid w:val="3215051D"/>
    <w:rsid w:val="32562ADC"/>
    <w:rsid w:val="327F64D7"/>
    <w:rsid w:val="32BC4E52"/>
    <w:rsid w:val="32BD6FFF"/>
    <w:rsid w:val="32FC18D5"/>
    <w:rsid w:val="33305D80"/>
    <w:rsid w:val="34152599"/>
    <w:rsid w:val="3544508A"/>
    <w:rsid w:val="366A124C"/>
    <w:rsid w:val="36AD04C3"/>
    <w:rsid w:val="36B204FD"/>
    <w:rsid w:val="36E71BB0"/>
    <w:rsid w:val="3819426D"/>
    <w:rsid w:val="385414FE"/>
    <w:rsid w:val="38644425"/>
    <w:rsid w:val="387737AC"/>
    <w:rsid w:val="38A00F55"/>
    <w:rsid w:val="38CD4FE1"/>
    <w:rsid w:val="3962445C"/>
    <w:rsid w:val="3A0E6D78"/>
    <w:rsid w:val="3A560C73"/>
    <w:rsid w:val="3A995C5C"/>
    <w:rsid w:val="3B0D0D25"/>
    <w:rsid w:val="3B471DD7"/>
    <w:rsid w:val="3B5006E0"/>
    <w:rsid w:val="3C2546B9"/>
    <w:rsid w:val="3C9227B9"/>
    <w:rsid w:val="3CDB071E"/>
    <w:rsid w:val="3F76656C"/>
    <w:rsid w:val="3FCF3ECE"/>
    <w:rsid w:val="402204A1"/>
    <w:rsid w:val="408D59ED"/>
    <w:rsid w:val="40B54BA9"/>
    <w:rsid w:val="42072045"/>
    <w:rsid w:val="42E049F5"/>
    <w:rsid w:val="42EB7271"/>
    <w:rsid w:val="4300202E"/>
    <w:rsid w:val="43406525"/>
    <w:rsid w:val="447F55E1"/>
    <w:rsid w:val="44CC5046"/>
    <w:rsid w:val="44E8259C"/>
    <w:rsid w:val="44F243AD"/>
    <w:rsid w:val="45062140"/>
    <w:rsid w:val="45252F0E"/>
    <w:rsid w:val="45B649C6"/>
    <w:rsid w:val="45EF5681"/>
    <w:rsid w:val="46D629D1"/>
    <w:rsid w:val="46FA3181"/>
    <w:rsid w:val="47894ED5"/>
    <w:rsid w:val="47C27D6C"/>
    <w:rsid w:val="47FC782A"/>
    <w:rsid w:val="4838270D"/>
    <w:rsid w:val="486B4A87"/>
    <w:rsid w:val="48EC3373"/>
    <w:rsid w:val="48F007C1"/>
    <w:rsid w:val="493B64BB"/>
    <w:rsid w:val="495E0E6D"/>
    <w:rsid w:val="4961028C"/>
    <w:rsid w:val="49CD7090"/>
    <w:rsid w:val="49D55251"/>
    <w:rsid w:val="4AC2592D"/>
    <w:rsid w:val="4B5A4F93"/>
    <w:rsid w:val="4BE87A98"/>
    <w:rsid w:val="4C1743E7"/>
    <w:rsid w:val="4C2E43AC"/>
    <w:rsid w:val="4C575B4B"/>
    <w:rsid w:val="4D286EB5"/>
    <w:rsid w:val="4D3F6B37"/>
    <w:rsid w:val="4E1456A1"/>
    <w:rsid w:val="4E2A6612"/>
    <w:rsid w:val="4E616C92"/>
    <w:rsid w:val="4E6F2E5D"/>
    <w:rsid w:val="4F275B37"/>
    <w:rsid w:val="4F80173F"/>
    <w:rsid w:val="4F9B25B3"/>
    <w:rsid w:val="502F47FE"/>
    <w:rsid w:val="508A5A0C"/>
    <w:rsid w:val="50B13DEA"/>
    <w:rsid w:val="50FE0497"/>
    <w:rsid w:val="51791EEB"/>
    <w:rsid w:val="51AB479B"/>
    <w:rsid w:val="53B8319F"/>
    <w:rsid w:val="5407371F"/>
    <w:rsid w:val="54104D89"/>
    <w:rsid w:val="545911AF"/>
    <w:rsid w:val="54BB2F47"/>
    <w:rsid w:val="55076EDB"/>
    <w:rsid w:val="55286102"/>
    <w:rsid w:val="557F62EE"/>
    <w:rsid w:val="559046B5"/>
    <w:rsid w:val="55B17F21"/>
    <w:rsid w:val="55C216A0"/>
    <w:rsid w:val="565019E7"/>
    <w:rsid w:val="567E247E"/>
    <w:rsid w:val="56861129"/>
    <w:rsid w:val="569861B6"/>
    <w:rsid w:val="569E48CE"/>
    <w:rsid w:val="56A03103"/>
    <w:rsid w:val="56B45E9F"/>
    <w:rsid w:val="56B6493F"/>
    <w:rsid w:val="56D26221"/>
    <w:rsid w:val="572F19CA"/>
    <w:rsid w:val="577613A7"/>
    <w:rsid w:val="57BE722F"/>
    <w:rsid w:val="57DD1426"/>
    <w:rsid w:val="5809250B"/>
    <w:rsid w:val="58946959"/>
    <w:rsid w:val="589E1721"/>
    <w:rsid w:val="58DA7713"/>
    <w:rsid w:val="59126EAD"/>
    <w:rsid w:val="5949058F"/>
    <w:rsid w:val="598548C1"/>
    <w:rsid w:val="5A5113C2"/>
    <w:rsid w:val="5A7A082C"/>
    <w:rsid w:val="5A9F6E67"/>
    <w:rsid w:val="5AC16DDD"/>
    <w:rsid w:val="5B157129"/>
    <w:rsid w:val="5B540C6C"/>
    <w:rsid w:val="5C8F7148"/>
    <w:rsid w:val="5D5757D7"/>
    <w:rsid w:val="5D5B355A"/>
    <w:rsid w:val="5D8C4430"/>
    <w:rsid w:val="5EF07C91"/>
    <w:rsid w:val="5F6103C2"/>
    <w:rsid w:val="5F942E25"/>
    <w:rsid w:val="5FCD130C"/>
    <w:rsid w:val="5FD07FE9"/>
    <w:rsid w:val="60613CC2"/>
    <w:rsid w:val="60E308E3"/>
    <w:rsid w:val="60F25E9C"/>
    <w:rsid w:val="61737CE0"/>
    <w:rsid w:val="617A62BB"/>
    <w:rsid w:val="621E2D67"/>
    <w:rsid w:val="622C1041"/>
    <w:rsid w:val="62343E1D"/>
    <w:rsid w:val="62450E0A"/>
    <w:rsid w:val="6270505E"/>
    <w:rsid w:val="628759A7"/>
    <w:rsid w:val="62A2790D"/>
    <w:rsid w:val="62C76A7E"/>
    <w:rsid w:val="62EB49FC"/>
    <w:rsid w:val="62FB09B2"/>
    <w:rsid w:val="632B05B6"/>
    <w:rsid w:val="63B75221"/>
    <w:rsid w:val="63D905AD"/>
    <w:rsid w:val="645760BC"/>
    <w:rsid w:val="645F3309"/>
    <w:rsid w:val="647A03AB"/>
    <w:rsid w:val="652674EA"/>
    <w:rsid w:val="65B46500"/>
    <w:rsid w:val="66800934"/>
    <w:rsid w:val="66E2747D"/>
    <w:rsid w:val="66F7550A"/>
    <w:rsid w:val="673047EC"/>
    <w:rsid w:val="6833421D"/>
    <w:rsid w:val="683B31A6"/>
    <w:rsid w:val="6A4B69A3"/>
    <w:rsid w:val="6A9874AE"/>
    <w:rsid w:val="6AAD1A41"/>
    <w:rsid w:val="6AE508C6"/>
    <w:rsid w:val="6B9C347D"/>
    <w:rsid w:val="6BAC18E9"/>
    <w:rsid w:val="6D2F1B21"/>
    <w:rsid w:val="6D341920"/>
    <w:rsid w:val="6E1259D1"/>
    <w:rsid w:val="6E5F172B"/>
    <w:rsid w:val="6F5D0B2F"/>
    <w:rsid w:val="6F6117F5"/>
    <w:rsid w:val="6F84274A"/>
    <w:rsid w:val="6FBE314B"/>
    <w:rsid w:val="6FDC216E"/>
    <w:rsid w:val="70217AAF"/>
    <w:rsid w:val="705B0CE2"/>
    <w:rsid w:val="70A0444C"/>
    <w:rsid w:val="71B44D27"/>
    <w:rsid w:val="71BB703E"/>
    <w:rsid w:val="71E7396A"/>
    <w:rsid w:val="72A4291F"/>
    <w:rsid w:val="72D50783"/>
    <w:rsid w:val="743B50B2"/>
    <w:rsid w:val="74FC2405"/>
    <w:rsid w:val="75295853"/>
    <w:rsid w:val="758B02BC"/>
    <w:rsid w:val="75F519CC"/>
    <w:rsid w:val="76EFD2B7"/>
    <w:rsid w:val="779C6621"/>
    <w:rsid w:val="78373BAC"/>
    <w:rsid w:val="78D4376C"/>
    <w:rsid w:val="79753CD1"/>
    <w:rsid w:val="79775D93"/>
    <w:rsid w:val="799B26EC"/>
    <w:rsid w:val="79DA107C"/>
    <w:rsid w:val="79F04B91"/>
    <w:rsid w:val="79F0693F"/>
    <w:rsid w:val="7AE53FCA"/>
    <w:rsid w:val="7AF178D1"/>
    <w:rsid w:val="7B5D3DB6"/>
    <w:rsid w:val="7B6C6E96"/>
    <w:rsid w:val="7B811F45"/>
    <w:rsid w:val="7B853EC3"/>
    <w:rsid w:val="7CAE2B9E"/>
    <w:rsid w:val="7CCB7772"/>
    <w:rsid w:val="7D18299B"/>
    <w:rsid w:val="7DD56578"/>
    <w:rsid w:val="7E2F5732"/>
    <w:rsid w:val="7E751468"/>
    <w:rsid w:val="7EB40C0B"/>
    <w:rsid w:val="FFBE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9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4"/>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93"/>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98"/>
    <w:qFormat/>
    <w:uiPriority w:val="0"/>
    <w:pPr>
      <w:keepNext/>
      <w:keepLines/>
      <w:spacing w:before="280" w:after="290" w:line="376" w:lineRule="auto"/>
      <w:outlineLvl w:val="3"/>
    </w:pPr>
    <w:rPr>
      <w:b/>
      <w:bCs/>
      <w:sz w:val="28"/>
      <w:szCs w:val="28"/>
    </w:rPr>
  </w:style>
  <w:style w:type="paragraph" w:styleId="6">
    <w:name w:val="heading 5"/>
    <w:basedOn w:val="1"/>
    <w:next w:val="1"/>
    <w:link w:val="105"/>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7"/>
    <w:qFormat/>
    <w:uiPriority w:val="0"/>
    <w:pPr>
      <w:tabs>
        <w:tab w:val="left" w:pos="1800"/>
        <w:tab w:val="clear" w:pos="1440"/>
      </w:tabs>
      <w:ind w:left="1276" w:hanging="1276"/>
      <w:outlineLvl w:val="6"/>
    </w:pPr>
  </w:style>
  <w:style w:type="paragraph" w:styleId="9">
    <w:name w:val="heading 8"/>
    <w:basedOn w:val="1"/>
    <w:next w:val="1"/>
    <w:link w:val="108"/>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9"/>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unhideWhenUsed/>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54"/>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90"/>
    <w:qFormat/>
    <w:uiPriority w:val="0"/>
    <w:pPr>
      <w:jc w:val="left"/>
    </w:pPr>
    <w:rPr>
      <w:rFonts w:ascii="Arial" w:hAnsi="Arial" w:eastAsia="黑体" w:cs="Arial"/>
    </w:rPr>
  </w:style>
  <w:style w:type="paragraph" w:styleId="17">
    <w:name w:val="Salutation"/>
    <w:basedOn w:val="1"/>
    <w:next w:val="1"/>
    <w:link w:val="120"/>
    <w:qFormat/>
    <w:uiPriority w:val="0"/>
    <w:rPr>
      <w:rFonts w:ascii="仿宋_GB2312" w:hAnsi="Times New Roman" w:eastAsia="仿宋_GB2312" w:cs="Times New Roman"/>
      <w:kern w:val="2"/>
      <w:sz w:val="28"/>
      <w:lang w:val="zh-CN"/>
    </w:rPr>
  </w:style>
  <w:style w:type="paragraph" w:styleId="18">
    <w:name w:val="Body Text 3"/>
    <w:basedOn w:val="1"/>
    <w:link w:val="140"/>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9"/>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14"/>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next w:val="22"/>
    <w:qFormat/>
    <w:uiPriority w:val="0"/>
    <w:pPr>
      <w:snapToGrid w:val="0"/>
    </w:pPr>
    <w:rPr>
      <w:rFonts w:ascii="Arial" w:hAnsi="Arial"/>
    </w:rPr>
  </w:style>
  <w:style w:type="paragraph" w:styleId="22">
    <w:name w:val="Title"/>
    <w:basedOn w:val="1"/>
    <w:next w:val="1"/>
    <w:link w:val="143"/>
    <w:qFormat/>
    <w:uiPriority w:val="0"/>
    <w:pPr>
      <w:spacing w:before="0" w:after="0" w:line="360" w:lineRule="auto"/>
      <w:jc w:val="center"/>
    </w:pPr>
    <w:rPr>
      <w:rFonts w:ascii="宋体" w:hAnsi="宋体" w:eastAsia="黑体"/>
      <w:smallCaps/>
      <w:snapToGrid w:val="0"/>
      <w:sz w:val="44"/>
      <w:szCs w:val="24"/>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unhideWhenUsed/>
    <w:qFormat/>
    <w:uiPriority w:val="39"/>
    <w:pPr>
      <w:ind w:left="840"/>
      <w:jc w:val="left"/>
    </w:pPr>
    <w:rPr>
      <w:rFonts w:ascii="Calibri" w:hAnsi="Calibri" w:cs="Calibri"/>
      <w:kern w:val="2"/>
      <w:sz w:val="18"/>
      <w:szCs w:val="18"/>
    </w:rPr>
  </w:style>
  <w:style w:type="paragraph" w:styleId="28">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9"/>
    <w:qFormat/>
    <w:uiPriority w:val="0"/>
    <w:rPr>
      <w:rFonts w:hAnsi="Courier New" w:eastAsiaTheme="minorEastAsia"/>
      <w:szCs w:val="22"/>
    </w:rPr>
  </w:style>
  <w:style w:type="paragraph" w:styleId="30">
    <w:name w:val="toc 8"/>
    <w:basedOn w:val="1"/>
    <w:next w:val="1"/>
    <w:unhideWhenUsed/>
    <w:qFormat/>
    <w:uiPriority w:val="39"/>
    <w:pPr>
      <w:ind w:left="1470"/>
      <w:jc w:val="left"/>
    </w:pPr>
    <w:rPr>
      <w:rFonts w:ascii="Calibri" w:hAnsi="Calibri" w:cs="Calibri"/>
      <w:kern w:val="2"/>
      <w:sz w:val="18"/>
      <w:szCs w:val="18"/>
    </w:rPr>
  </w:style>
  <w:style w:type="paragraph" w:styleId="31">
    <w:name w:val="Date"/>
    <w:basedOn w:val="1"/>
    <w:next w:val="1"/>
    <w:link w:val="86"/>
    <w:qFormat/>
    <w:uiPriority w:val="0"/>
    <w:rPr>
      <w:rFonts w:ascii="Arial" w:hAnsi="Arial" w:cs="Arial"/>
      <w:b/>
      <w:sz w:val="28"/>
    </w:rPr>
  </w:style>
  <w:style w:type="paragraph" w:styleId="32">
    <w:name w:val="Body Text Indent 2"/>
    <w:basedOn w:val="1"/>
    <w:link w:val="136"/>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73"/>
    <w:unhideWhenUsed/>
    <w:qFormat/>
    <w:uiPriority w:val="0"/>
    <w:rPr>
      <w:sz w:val="18"/>
      <w:szCs w:val="18"/>
    </w:rPr>
  </w:style>
  <w:style w:type="paragraph" w:styleId="34">
    <w:name w:val="footer"/>
    <w:basedOn w:val="1"/>
    <w:link w:val="78"/>
    <w:unhideWhenUsed/>
    <w:qFormat/>
    <w:uiPriority w:val="99"/>
    <w:pPr>
      <w:tabs>
        <w:tab w:val="center" w:pos="4153"/>
        <w:tab w:val="right" w:pos="8306"/>
      </w:tabs>
      <w:snapToGrid w:val="0"/>
      <w:jc w:val="left"/>
    </w:pPr>
    <w:rPr>
      <w:sz w:val="18"/>
      <w:szCs w:val="18"/>
    </w:rPr>
  </w:style>
  <w:style w:type="paragraph" w:styleId="35">
    <w:name w:val="header"/>
    <w:basedOn w:val="1"/>
    <w:link w:val="77"/>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qFormat/>
    <w:uiPriority w:val="0"/>
    <w:pPr>
      <w:spacing w:after="120"/>
      <w:ind w:left="1680" w:leftChars="800"/>
    </w:pPr>
    <w:rPr>
      <w:rFonts w:ascii="Calibri" w:hAnsi="Calibri" w:cs="Times New Roman"/>
      <w:kern w:val="2"/>
      <w:sz w:val="21"/>
      <w:szCs w:val="22"/>
    </w:rPr>
  </w:style>
  <w:style w:type="paragraph" w:styleId="38">
    <w:name w:val="toc 4"/>
    <w:basedOn w:val="1"/>
    <w:next w:val="1"/>
    <w:unhideWhenUsed/>
    <w:qFormat/>
    <w:uiPriority w:val="39"/>
    <w:pPr>
      <w:ind w:left="630"/>
      <w:jc w:val="left"/>
    </w:pPr>
    <w:rPr>
      <w:rFonts w:ascii="Calibri" w:hAnsi="Calibri" w:cs="Calibri"/>
      <w:kern w:val="2"/>
      <w:sz w:val="18"/>
      <w:szCs w:val="18"/>
    </w:rPr>
  </w:style>
  <w:style w:type="paragraph" w:styleId="39">
    <w:name w:val="index heading"/>
    <w:basedOn w:val="1"/>
    <w:next w:val="40"/>
    <w:semiHidden/>
    <w:qFormat/>
    <w:uiPriority w:val="0"/>
    <w:rPr>
      <w:rFonts w:ascii="Times New Roman" w:hAnsi="Times New Roman" w:cs="Times New Roman"/>
      <w:kern w:val="2"/>
      <w:sz w:val="21"/>
      <w:szCs w:val="24"/>
    </w:rPr>
  </w:style>
  <w:style w:type="paragraph" w:styleId="40">
    <w:name w:val="index 1"/>
    <w:basedOn w:val="1"/>
    <w:next w:val="1"/>
    <w:qFormat/>
    <w:uiPriority w:val="0"/>
    <w:pPr>
      <w:jc w:val="center"/>
    </w:pPr>
    <w:rPr>
      <w:rFonts w:ascii="Arial" w:hAnsi="Arial" w:eastAsia="Arial" w:cs="Arial"/>
      <w:b/>
      <w:bCs/>
      <w:sz w:val="28"/>
    </w:rPr>
  </w:style>
  <w:style w:type="paragraph" w:styleId="41">
    <w:name w:val="Subtitle"/>
    <w:basedOn w:val="1"/>
    <w:link w:val="228"/>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qFormat/>
    <w:uiPriority w:val="0"/>
    <w:pPr>
      <w:ind w:left="200" w:hanging="200" w:hangingChars="200"/>
    </w:pPr>
    <w:rPr>
      <w:rFonts w:ascii="Calibri" w:hAnsi="Calibri" w:cs="Times New Roman"/>
      <w:kern w:val="2"/>
      <w:sz w:val="21"/>
      <w:szCs w:val="22"/>
    </w:rPr>
  </w:style>
  <w:style w:type="paragraph" w:styleId="43">
    <w:name w:val="footnote text"/>
    <w:basedOn w:val="1"/>
    <w:link w:val="116"/>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unhideWhenUsed/>
    <w:qFormat/>
    <w:uiPriority w:val="39"/>
    <w:pPr>
      <w:ind w:left="1050"/>
      <w:jc w:val="left"/>
    </w:pPr>
    <w:rPr>
      <w:rFonts w:ascii="Calibri" w:hAnsi="Calibri" w:cs="Calibri"/>
      <w:kern w:val="2"/>
      <w:sz w:val="18"/>
      <w:szCs w:val="18"/>
    </w:rPr>
  </w:style>
  <w:style w:type="paragraph" w:styleId="45">
    <w:name w:val="Body Text Indent 3"/>
    <w:basedOn w:val="1"/>
    <w:link w:val="135"/>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unhideWhenUsed/>
    <w:qFormat/>
    <w:uiPriority w:val="39"/>
    <w:pPr>
      <w:ind w:left="1680"/>
      <w:jc w:val="left"/>
    </w:pPr>
    <w:rPr>
      <w:rFonts w:ascii="Calibri" w:hAnsi="Calibri" w:cs="Calibri"/>
      <w:kern w:val="2"/>
      <w:sz w:val="18"/>
      <w:szCs w:val="18"/>
    </w:rPr>
  </w:style>
  <w:style w:type="paragraph" w:styleId="48">
    <w:name w:val="Body Text 2"/>
    <w:basedOn w:val="1"/>
    <w:link w:val="139"/>
    <w:qFormat/>
    <w:uiPriority w:val="0"/>
    <w:pPr>
      <w:spacing w:line="360" w:lineRule="auto"/>
    </w:pPr>
    <w:rPr>
      <w:rFonts w:hAnsi="Times New Roman" w:cs="Times New Roman"/>
      <w:spacing w:val="-20"/>
      <w:kern w:val="2"/>
      <w:sz w:val="28"/>
      <w:lang w:val="zh-CN"/>
    </w:rPr>
  </w:style>
  <w:style w:type="paragraph" w:styleId="49">
    <w:name w:val="List 4"/>
    <w:basedOn w:val="1"/>
    <w:qFormat/>
    <w:uiPriority w:val="0"/>
    <w:pPr>
      <w:ind w:left="100" w:leftChars="600" w:hanging="200" w:hangingChars="200"/>
    </w:pPr>
    <w:rPr>
      <w:rFonts w:ascii="Calibri" w:hAnsi="Calibri" w:cs="Times New Roman"/>
      <w:kern w:val="2"/>
      <w:sz w:val="21"/>
      <w:szCs w:val="22"/>
    </w:rPr>
  </w:style>
  <w:style w:type="paragraph" w:styleId="50">
    <w:name w:val="List Continue 2"/>
    <w:basedOn w:val="1"/>
    <w:qFormat/>
    <w:uiPriority w:val="0"/>
    <w:pPr>
      <w:spacing w:after="120"/>
      <w:ind w:left="840" w:leftChars="400"/>
    </w:pPr>
    <w:rPr>
      <w:rFonts w:ascii="Calibri" w:hAnsi="Calibri" w:cs="Times New Roman"/>
      <w:kern w:val="2"/>
      <w:sz w:val="21"/>
      <w:szCs w:val="22"/>
    </w:rPr>
  </w:style>
  <w:style w:type="paragraph" w:styleId="51">
    <w:name w:val="Normal (Web)"/>
    <w:basedOn w:val="1"/>
    <w:next w:val="1"/>
    <w:qFormat/>
    <w:uiPriority w:val="0"/>
    <w:pPr>
      <w:widowControl/>
      <w:spacing w:before="100" w:beforeAutospacing="1" w:after="100" w:afterAutospacing="1"/>
      <w:jc w:val="left"/>
    </w:pPr>
    <w:rPr>
      <w:rFonts w:cs="宋体"/>
      <w:color w:val="0066CC"/>
      <w:sz w:val="24"/>
      <w:szCs w:val="24"/>
    </w:rPr>
  </w:style>
  <w:style w:type="paragraph" w:styleId="52">
    <w:name w:val="annotation subject"/>
    <w:basedOn w:val="16"/>
    <w:next w:val="16"/>
    <w:link w:val="101"/>
    <w:unhideWhenUsed/>
    <w:qFormat/>
    <w:uiPriority w:val="0"/>
    <w:rPr>
      <w:rFonts w:ascii="宋体" w:hAnsi="宋体" w:eastAsia="宋体" w:cstheme="minorBidi"/>
      <w:b/>
      <w:bCs/>
    </w:rPr>
  </w:style>
  <w:style w:type="paragraph" w:styleId="53">
    <w:name w:val="Body Text First Indent"/>
    <w:basedOn w:val="19"/>
    <w:semiHidden/>
    <w:unhideWhenUsed/>
    <w:qFormat/>
    <w:uiPriority w:val="99"/>
    <w:pPr>
      <w:ind w:firstLine="420" w:firstLineChars="100"/>
    </w:pPr>
  </w:style>
  <w:style w:type="paragraph" w:styleId="54">
    <w:name w:val="Body Text First Indent 2"/>
    <w:basedOn w:val="20"/>
    <w:next w:val="1"/>
    <w:qFormat/>
    <w:uiPriority w:val="0"/>
    <w:pPr>
      <w:ind w:firstLine="420" w:firstLineChars="200"/>
    </w:pPr>
  </w:style>
  <w:style w:type="table" w:styleId="56">
    <w:name w:val="Table Grid"/>
    <w:basedOn w:val="5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color w:val="CC0033"/>
    </w:rPr>
  </w:style>
  <w:style w:type="character" w:styleId="62">
    <w:name w:val="HTML Definition"/>
    <w:basedOn w:val="57"/>
    <w:semiHidden/>
    <w:unhideWhenUsed/>
    <w:qFormat/>
    <w:uiPriority w:val="99"/>
  </w:style>
  <w:style w:type="character" w:styleId="63">
    <w:name w:val="HTML Typewriter"/>
    <w:basedOn w:val="57"/>
    <w:semiHidden/>
    <w:unhideWhenUsed/>
    <w:qFormat/>
    <w:uiPriority w:val="99"/>
    <w:rPr>
      <w:rFonts w:ascii="monospace" w:hAnsi="monospace" w:eastAsia="monospace" w:cs="monospace"/>
      <w:sz w:val="20"/>
    </w:rPr>
  </w:style>
  <w:style w:type="character" w:styleId="64">
    <w:name w:val="HTML Acronym"/>
    <w:basedOn w:val="57"/>
    <w:semiHidden/>
    <w:unhideWhenUsed/>
    <w:qFormat/>
    <w:uiPriority w:val="99"/>
  </w:style>
  <w:style w:type="character" w:styleId="65">
    <w:name w:val="HTML Variable"/>
    <w:basedOn w:val="57"/>
    <w:semiHidden/>
    <w:unhideWhenUsed/>
    <w:qFormat/>
    <w:uiPriority w:val="99"/>
  </w:style>
  <w:style w:type="character" w:styleId="66">
    <w:name w:val="Hyperlink"/>
    <w:basedOn w:val="57"/>
    <w:unhideWhenUsed/>
    <w:qFormat/>
    <w:uiPriority w:val="99"/>
    <w:rPr>
      <w:color w:val="0000FF" w:themeColor="hyperlink"/>
      <w:u w:val="single"/>
      <w14:textFill>
        <w14:solidFill>
          <w14:schemeClr w14:val="hlink"/>
        </w14:solidFill>
      </w14:textFill>
    </w:rPr>
  </w:style>
  <w:style w:type="character" w:styleId="67">
    <w:name w:val="HTML Code"/>
    <w:basedOn w:val="57"/>
    <w:semiHidden/>
    <w:unhideWhenUsed/>
    <w:qFormat/>
    <w:uiPriority w:val="99"/>
    <w:rPr>
      <w:rFonts w:hint="default" w:ascii="monospace" w:hAnsi="monospace" w:eastAsia="monospace" w:cs="monospace"/>
      <w:sz w:val="20"/>
    </w:rPr>
  </w:style>
  <w:style w:type="character" w:styleId="68">
    <w:name w:val="annotation reference"/>
    <w:basedOn w:val="57"/>
    <w:unhideWhenUsed/>
    <w:qFormat/>
    <w:uiPriority w:val="0"/>
    <w:rPr>
      <w:sz w:val="21"/>
      <w:szCs w:val="21"/>
    </w:rPr>
  </w:style>
  <w:style w:type="character" w:styleId="69">
    <w:name w:val="HTML Cite"/>
    <w:basedOn w:val="57"/>
    <w:semiHidden/>
    <w:unhideWhenUsed/>
    <w:qFormat/>
    <w:uiPriority w:val="99"/>
  </w:style>
  <w:style w:type="character" w:styleId="70">
    <w:name w:val="footnote reference"/>
    <w:unhideWhenUsed/>
    <w:qFormat/>
    <w:uiPriority w:val="0"/>
    <w:rPr>
      <w:vertAlign w:val="superscript"/>
    </w:rPr>
  </w:style>
  <w:style w:type="character" w:styleId="71">
    <w:name w:val="HTML Keyboard"/>
    <w:basedOn w:val="57"/>
    <w:semiHidden/>
    <w:unhideWhenUsed/>
    <w:qFormat/>
    <w:uiPriority w:val="99"/>
    <w:rPr>
      <w:rFonts w:hint="default" w:ascii="monospace" w:hAnsi="monospace" w:eastAsia="monospace" w:cs="monospace"/>
      <w:sz w:val="20"/>
    </w:rPr>
  </w:style>
  <w:style w:type="character" w:styleId="72">
    <w:name w:val="HTML Sample"/>
    <w:qFormat/>
    <w:uiPriority w:val="0"/>
    <w:rPr>
      <w:rFonts w:hint="default" w:ascii="monospace" w:hAnsi="monospace" w:eastAsia="monospace" w:cs="monospace"/>
      <w:sz w:val="21"/>
      <w:szCs w:val="21"/>
    </w:rPr>
  </w:style>
  <w:style w:type="character" w:customStyle="1" w:styleId="73">
    <w:name w:val="批注框文本 Char"/>
    <w:basedOn w:val="57"/>
    <w:link w:val="33"/>
    <w:qFormat/>
    <w:uiPriority w:val="0"/>
    <w:rPr>
      <w:rFonts w:ascii="@仿宋_GB2312" w:hAnsi="@仿宋_GB2312" w:eastAsia="@仿宋_GB2312" w:cs="@仿宋_GB2312"/>
      <w:sz w:val="18"/>
      <w:szCs w:val="18"/>
    </w:rPr>
  </w:style>
  <w:style w:type="paragraph" w:customStyle="1" w:styleId="74">
    <w:name w:val="正文（缩进）"/>
    <w:basedOn w:val="1"/>
    <w:qFormat/>
    <w:uiPriority w:val="0"/>
    <w:pPr>
      <w:widowControl/>
      <w:spacing w:before="156" w:after="156"/>
      <w:ind w:firstLine="480" w:firstLineChars="200"/>
      <w:jc w:val="left"/>
    </w:pPr>
    <w:rPr>
      <w:sz w:val="24"/>
      <w:szCs w:val="24"/>
    </w:rPr>
  </w:style>
  <w:style w:type="paragraph" w:customStyle="1" w:styleId="75">
    <w:name w:val="xl31"/>
    <w:basedOn w:val="1"/>
    <w:qFormat/>
    <w:uiPriority w:val="0"/>
    <w:pPr>
      <w:widowControl/>
      <w:spacing w:before="100" w:beforeAutospacing="1" w:after="100" w:afterAutospacing="1"/>
      <w:jc w:val="center"/>
    </w:pPr>
    <w:rPr>
      <w:b/>
      <w:bCs/>
      <w:sz w:val="28"/>
      <w:szCs w:val="28"/>
    </w:rPr>
  </w:style>
  <w:style w:type="paragraph" w:customStyle="1" w:styleId="76">
    <w:name w:val="D&amp;L"/>
    <w:basedOn w:val="35"/>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7">
    <w:name w:val="页眉 Char"/>
    <w:basedOn w:val="57"/>
    <w:link w:val="35"/>
    <w:qFormat/>
    <w:uiPriority w:val="99"/>
    <w:rPr>
      <w:rFonts w:ascii="@仿宋_GB2312" w:hAnsi="@仿宋_GB2312" w:eastAsia="@仿宋_GB2312" w:cs="@仿宋_GB2312"/>
      <w:sz w:val="18"/>
      <w:szCs w:val="18"/>
    </w:rPr>
  </w:style>
  <w:style w:type="character" w:customStyle="1" w:styleId="78">
    <w:name w:val="页脚 Char"/>
    <w:basedOn w:val="57"/>
    <w:link w:val="34"/>
    <w:qFormat/>
    <w:uiPriority w:val="99"/>
    <w:rPr>
      <w:rFonts w:ascii="@仿宋_GB2312" w:hAnsi="@仿宋_GB2312" w:eastAsia="@仿宋_GB2312" w:cs="@仿宋_GB2312"/>
      <w:sz w:val="18"/>
      <w:szCs w:val="18"/>
    </w:rPr>
  </w:style>
  <w:style w:type="character" w:customStyle="1" w:styleId="79">
    <w:name w:val="纯文本 Char"/>
    <w:link w:val="29"/>
    <w:qFormat/>
    <w:uiPriority w:val="0"/>
    <w:rPr>
      <w:rFonts w:ascii="宋体" w:hAnsi="Courier New"/>
    </w:rPr>
  </w:style>
  <w:style w:type="character" w:customStyle="1" w:styleId="80">
    <w:name w:val="纯文本 字符1"/>
    <w:basedOn w:val="57"/>
    <w:semiHidden/>
    <w:qFormat/>
    <w:uiPriority w:val="99"/>
    <w:rPr>
      <w:rFonts w:hAnsi="Courier New" w:cs="Courier New" w:asciiTheme="minorEastAsia"/>
      <w:szCs w:val="20"/>
    </w:rPr>
  </w:style>
  <w:style w:type="character" w:customStyle="1" w:styleId="81">
    <w:name w:val="未处理的提及1"/>
    <w:basedOn w:val="57"/>
    <w:semiHidden/>
    <w:unhideWhenUsed/>
    <w:qFormat/>
    <w:uiPriority w:val="99"/>
    <w:rPr>
      <w:color w:val="605E5C"/>
      <w:shd w:val="clear" w:color="auto" w:fill="E1DFDD"/>
    </w:rPr>
  </w:style>
  <w:style w:type="paragraph" w:styleId="82">
    <w:name w:val="List Paragraph"/>
    <w:basedOn w:val="1"/>
    <w:qFormat/>
    <w:uiPriority w:val="34"/>
    <w:pPr>
      <w:ind w:firstLine="420" w:firstLineChars="200"/>
    </w:pPr>
  </w:style>
  <w:style w:type="paragraph" w:customStyle="1" w:styleId="83">
    <w:name w:val="Char Char Char Char Char Char Char1 Char"/>
    <w:basedOn w:val="1"/>
    <w:qFormat/>
    <w:uiPriority w:val="0"/>
    <w:rPr>
      <w:rFonts w:ascii="Arial" w:hAnsi="Arial" w:cs="Arial"/>
      <w:sz w:val="24"/>
    </w:rPr>
  </w:style>
  <w:style w:type="table" w:customStyle="1" w:styleId="84">
    <w:name w:val="网格表 1 浅色1"/>
    <w:basedOn w:val="5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
    <w:name w:val="日期 字符"/>
    <w:basedOn w:val="57"/>
    <w:semiHidden/>
    <w:qFormat/>
    <w:uiPriority w:val="99"/>
    <w:rPr>
      <w:rFonts w:ascii="@仿宋_GB2312" w:hAnsi="@仿宋_GB2312" w:eastAsia="@仿宋_GB2312" w:cs="@仿宋_GB2312"/>
      <w:szCs w:val="20"/>
    </w:rPr>
  </w:style>
  <w:style w:type="character" w:customStyle="1" w:styleId="86">
    <w:name w:val="日期 Char"/>
    <w:link w:val="31"/>
    <w:qFormat/>
    <w:uiPriority w:val="0"/>
    <w:rPr>
      <w:rFonts w:ascii="Arial" w:hAnsi="Arial" w:eastAsia="宋体" w:cs="Arial"/>
      <w:b/>
      <w:sz w:val="28"/>
      <w:szCs w:val="20"/>
    </w:rPr>
  </w:style>
  <w:style w:type="character" w:customStyle="1" w:styleId="87">
    <w:name w:val="纯文本 Char1"/>
    <w:link w:val="88"/>
    <w:qFormat/>
    <w:locked/>
    <w:uiPriority w:val="99"/>
    <w:rPr>
      <w:rFonts w:ascii="Arial" w:hAnsi="Arial" w:eastAsia="Arial"/>
      <w:kern w:val="2"/>
      <w:sz w:val="21"/>
      <w:lang w:val="en-US" w:eastAsia="zh-CN" w:bidi="ar-SA"/>
    </w:rPr>
  </w:style>
  <w:style w:type="paragraph" w:customStyle="1" w:styleId="88">
    <w:name w:val="纯文本1"/>
    <w:basedOn w:val="1"/>
    <w:link w:val="87"/>
    <w:qFormat/>
    <w:uiPriority w:val="0"/>
    <w:rPr>
      <w:rFonts w:ascii="Arial" w:hAnsi="Arial" w:eastAsia="Arial"/>
    </w:rPr>
  </w:style>
  <w:style w:type="character" w:customStyle="1" w:styleId="89">
    <w:name w:val="批注文字 Char"/>
    <w:basedOn w:val="57"/>
    <w:qFormat/>
    <w:uiPriority w:val="0"/>
    <w:rPr>
      <w:rFonts w:ascii="@仿宋_GB2312" w:hAnsi="@仿宋_GB2312" w:eastAsia="@仿宋_GB2312" w:cs="@仿宋_GB2312"/>
      <w:szCs w:val="20"/>
    </w:rPr>
  </w:style>
  <w:style w:type="character" w:customStyle="1" w:styleId="90">
    <w:name w:val="批注文字 Char1"/>
    <w:link w:val="16"/>
    <w:qFormat/>
    <w:uiPriority w:val="99"/>
    <w:rPr>
      <w:rFonts w:ascii="Arial" w:hAnsi="Arial" w:eastAsia="黑体" w:cs="Arial"/>
      <w:szCs w:val="20"/>
    </w:rPr>
  </w:style>
  <w:style w:type="character" w:customStyle="1" w:styleId="91">
    <w:name w:val="标题 1 Char"/>
    <w:basedOn w:val="57"/>
    <w:link w:val="3"/>
    <w:qFormat/>
    <w:uiPriority w:val="0"/>
    <w:rPr>
      <w:rFonts w:ascii="@仿宋_GB2312" w:hAnsi="@仿宋_GB2312" w:eastAsia="@仿宋_GB2312" w:cs="@仿宋_GB2312"/>
      <w:b/>
      <w:bCs/>
      <w:kern w:val="44"/>
      <w:sz w:val="44"/>
      <w:szCs w:val="44"/>
    </w:rPr>
  </w:style>
  <w:style w:type="paragraph" w:customStyle="1" w:styleId="9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3">
    <w:name w:val="标题 3 Char"/>
    <w:basedOn w:val="57"/>
    <w:link w:val="5"/>
    <w:qFormat/>
    <w:uiPriority w:val="0"/>
    <w:rPr>
      <w:rFonts w:ascii="@仿宋_GB2312" w:hAnsi="@仿宋_GB2312" w:eastAsia="@仿宋_GB2312" w:cs="@仿宋_GB2312"/>
      <w:b/>
      <w:bCs/>
      <w:sz w:val="32"/>
      <w:szCs w:val="32"/>
    </w:rPr>
  </w:style>
  <w:style w:type="character" w:customStyle="1" w:styleId="94">
    <w:name w:val="fontstyle01"/>
    <w:basedOn w:val="57"/>
    <w:qFormat/>
    <w:uiPriority w:val="0"/>
    <w:rPr>
      <w:rFonts w:hint="eastAsia" w:ascii="宋体" w:hAnsi="宋体" w:eastAsia="宋体"/>
      <w:color w:val="000000"/>
      <w:sz w:val="22"/>
      <w:szCs w:val="22"/>
    </w:rPr>
  </w:style>
  <w:style w:type="character" w:customStyle="1" w:styleId="95">
    <w:name w:val="fontstyle21"/>
    <w:basedOn w:val="57"/>
    <w:qFormat/>
    <w:uiPriority w:val="0"/>
    <w:rPr>
      <w:rFonts w:hint="default" w:ascii="TimesNewRomanPSMT" w:hAnsi="TimesNewRomanPSMT"/>
      <w:color w:val="000000"/>
      <w:sz w:val="22"/>
      <w:szCs w:val="22"/>
    </w:rPr>
  </w:style>
  <w:style w:type="character" w:customStyle="1" w:styleId="9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7">
    <w:name w:val="标题 4 字符"/>
    <w:basedOn w:val="57"/>
    <w:semiHidden/>
    <w:qFormat/>
    <w:uiPriority w:val="9"/>
    <w:rPr>
      <w:rFonts w:asciiTheme="majorHAnsi" w:hAnsiTheme="majorHAnsi" w:eastAsiaTheme="majorEastAsia" w:cstheme="majorBidi"/>
      <w:b/>
      <w:bCs/>
      <w:sz w:val="28"/>
      <w:szCs w:val="28"/>
    </w:rPr>
  </w:style>
  <w:style w:type="character" w:customStyle="1" w:styleId="98">
    <w:name w:val="标题 4 Char"/>
    <w:link w:val="2"/>
    <w:qFormat/>
    <w:uiPriority w:val="0"/>
    <w:rPr>
      <w:rFonts w:ascii="@仿宋_GB2312" w:hAnsi="@仿宋_GB2312" w:eastAsia="@仿宋_GB2312" w:cs="@仿宋_GB2312"/>
      <w:b/>
      <w:bCs/>
      <w:sz w:val="28"/>
      <w:szCs w:val="28"/>
    </w:rPr>
  </w:style>
  <w:style w:type="character" w:customStyle="1" w:styleId="99">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100">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批注主题 Char"/>
    <w:basedOn w:val="90"/>
    <w:link w:val="52"/>
    <w:qFormat/>
    <w:uiPriority w:val="0"/>
    <w:rPr>
      <w:rFonts w:ascii="Arial" w:hAnsi="Arial" w:eastAsia="黑体" w:cs="Arial"/>
      <w:b/>
      <w:bCs/>
      <w:szCs w:val="20"/>
    </w:rPr>
  </w:style>
  <w:style w:type="paragraph" w:customStyle="1" w:styleId="102">
    <w:name w:val="普通 (Web)"/>
    <w:basedOn w:val="1"/>
    <w:qFormat/>
    <w:uiPriority w:val="0"/>
    <w:pPr>
      <w:widowControl/>
      <w:spacing w:before="100" w:beforeAutospacing="1" w:after="100" w:afterAutospacing="1"/>
      <w:jc w:val="left"/>
    </w:pPr>
    <w:rPr>
      <w:rFonts w:cs="Times New Roman"/>
      <w:sz w:val="24"/>
      <w:szCs w:val="24"/>
    </w:rPr>
  </w:style>
  <w:style w:type="table" w:customStyle="1" w:styleId="103">
    <w:name w:val="网格型2"/>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4">
    <w:name w:val="标题 2 Char"/>
    <w:basedOn w:val="57"/>
    <w:link w:val="4"/>
    <w:qFormat/>
    <w:uiPriority w:val="0"/>
    <w:rPr>
      <w:rFonts w:ascii="Cambria" w:hAnsi="Cambria" w:cs="Times New Roman"/>
      <w:b/>
      <w:bCs/>
      <w:kern w:val="2"/>
      <w:sz w:val="32"/>
      <w:szCs w:val="32"/>
      <w:lang w:val="zh-CN" w:eastAsia="zh-CN"/>
    </w:rPr>
  </w:style>
  <w:style w:type="character" w:customStyle="1" w:styleId="105">
    <w:name w:val="标题 5 Char"/>
    <w:basedOn w:val="57"/>
    <w:link w:val="6"/>
    <w:qFormat/>
    <w:uiPriority w:val="0"/>
    <w:rPr>
      <w:rFonts w:ascii="Calibri" w:hAnsi="Calibri" w:cs="Times New Roman"/>
      <w:b/>
      <w:bCs/>
      <w:kern w:val="2"/>
      <w:sz w:val="28"/>
      <w:szCs w:val="28"/>
      <w:lang w:val="zh-CN" w:eastAsia="zh-CN"/>
    </w:rPr>
  </w:style>
  <w:style w:type="character" w:customStyle="1" w:styleId="106">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7">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8">
    <w:name w:val="标题 8 Char"/>
    <w:basedOn w:val="57"/>
    <w:link w:val="9"/>
    <w:qFormat/>
    <w:uiPriority w:val="0"/>
    <w:rPr>
      <w:rFonts w:eastAsia="黑体" w:cs="Times New Roman"/>
      <w:kern w:val="2"/>
      <w:sz w:val="32"/>
      <w:szCs w:val="32"/>
      <w:lang w:val="zh-CN" w:eastAsia="zh-CN"/>
    </w:rPr>
  </w:style>
  <w:style w:type="character" w:customStyle="1" w:styleId="109">
    <w:name w:val="标题 9 Char"/>
    <w:basedOn w:val="57"/>
    <w:link w:val="10"/>
    <w:qFormat/>
    <w:uiPriority w:val="0"/>
    <w:rPr>
      <w:rFonts w:ascii="Cambria" w:hAnsi="Cambria" w:cs="Times New Roman"/>
      <w:kern w:val="2"/>
      <w:sz w:val="21"/>
      <w:szCs w:val="21"/>
      <w:lang w:val="zh-CN" w:eastAsia="zh-CN"/>
    </w:rPr>
  </w:style>
  <w:style w:type="character" w:customStyle="1" w:styleId="110">
    <w:name w:val="纯文本 Char2"/>
    <w:qFormat/>
    <w:uiPriority w:val="0"/>
    <w:rPr>
      <w:rFonts w:ascii="宋体" w:hAnsi="Courier New"/>
    </w:rPr>
  </w:style>
  <w:style w:type="table" w:customStyle="1" w:styleId="111">
    <w:name w:val="网格型3"/>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表 1 浅色11"/>
    <w:basedOn w:val="55"/>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正文文本缩进 Char"/>
    <w:basedOn w:val="57"/>
    <w:link w:val="20"/>
    <w:qFormat/>
    <w:uiPriority w:val="0"/>
    <w:rPr>
      <w:rFonts w:asciiTheme="minorHAnsi" w:hAnsiTheme="minorHAnsi"/>
      <w:kern w:val="2"/>
      <w:sz w:val="21"/>
      <w:szCs w:val="22"/>
    </w:rPr>
  </w:style>
  <w:style w:type="paragraph" w:customStyle="1" w:styleId="115">
    <w:name w:val="Char"/>
    <w:basedOn w:val="1"/>
    <w:qFormat/>
    <w:uiPriority w:val="0"/>
    <w:rPr>
      <w:rFonts w:ascii="Tahoma" w:hAnsi="Tahoma" w:cs="Times New Roman"/>
      <w:sz w:val="24"/>
    </w:rPr>
  </w:style>
  <w:style w:type="character" w:customStyle="1" w:styleId="116">
    <w:name w:val="脚注文本 Char"/>
    <w:basedOn w:val="57"/>
    <w:link w:val="43"/>
    <w:qFormat/>
    <w:uiPriority w:val="0"/>
    <w:rPr>
      <w:rFonts w:ascii="Times New Roman" w:hAnsi="Times New Roman" w:cs="Times New Roman"/>
      <w:kern w:val="2"/>
      <w:sz w:val="18"/>
      <w:szCs w:val="18"/>
      <w:lang w:val="zh-CN" w:eastAsia="zh-CN"/>
    </w:rPr>
  </w:style>
  <w:style w:type="paragraph" w:customStyle="1" w:styleId="117">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9">
    <w:name w:val="Normal_2"/>
    <w:qFormat/>
    <w:uiPriority w:val="0"/>
    <w:rPr>
      <w:rFonts w:ascii="Times New Roman" w:hAnsi="Times New Roman" w:eastAsia="Times New Roman" w:cs="Times New Roman"/>
      <w:sz w:val="24"/>
      <w:szCs w:val="24"/>
      <w:lang w:val="en-US" w:eastAsia="zh-CN" w:bidi="ar-SA"/>
    </w:rPr>
  </w:style>
  <w:style w:type="character" w:customStyle="1" w:styleId="120">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2">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
    <w:qFormat/>
    <w:uiPriority w:val="0"/>
    <w:rPr>
      <w:rFonts w:ascii="Times New Roman" w:hAnsi="Times New Roman" w:eastAsia="Times New Roman" w:cs="Times New Roman"/>
      <w:sz w:val="24"/>
      <w:szCs w:val="24"/>
      <w:lang w:val="en-US" w:eastAsia="zh-CN" w:bidi="ar-SA"/>
    </w:rPr>
  </w:style>
  <w:style w:type="paragraph" w:customStyle="1" w:styleId="127">
    <w:name w:val="Normal_3"/>
    <w:qFormat/>
    <w:uiPriority w:val="0"/>
    <w:rPr>
      <w:rFonts w:ascii="Times New Roman" w:hAnsi="Times New Roman" w:eastAsia="Times New Roman" w:cs="Times New Roman"/>
      <w:sz w:val="24"/>
      <w:szCs w:val="24"/>
      <w:lang w:val="en-US" w:eastAsia="zh-CN" w:bidi="ar-SA"/>
    </w:rPr>
  </w:style>
  <w:style w:type="paragraph" w:customStyle="1" w:styleId="128">
    <w:name w:val="Char Char Char Char Char Char"/>
    <w:basedOn w:val="1"/>
    <w:qFormat/>
    <w:uiPriority w:val="0"/>
    <w:rPr>
      <w:rFonts w:ascii="Tahoma" w:hAnsi="Tahoma" w:cs="Times New Roman"/>
      <w:kern w:val="2"/>
      <w:sz w:val="24"/>
    </w:rPr>
  </w:style>
  <w:style w:type="paragraph" w:customStyle="1" w:styleId="129">
    <w:name w:val="Blockquote"/>
    <w:basedOn w:val="1"/>
    <w:link w:val="130"/>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30">
    <w:name w:val="Blockquote Char"/>
    <w:link w:val="129"/>
    <w:qFormat/>
    <w:uiPriority w:val="0"/>
    <w:rPr>
      <w:rFonts w:ascii="Times New Roman" w:hAnsi="Times New Roman" w:cs="Times New Roman"/>
      <w:sz w:val="24"/>
      <w:lang w:val="zh-CN" w:eastAsia="zh-CN"/>
    </w:rPr>
  </w:style>
  <w:style w:type="paragraph" w:customStyle="1" w:styleId="131">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2">
    <w:name w:val="样式1"/>
    <w:basedOn w:val="1"/>
    <w:next w:val="2"/>
    <w:qFormat/>
    <w:uiPriority w:val="0"/>
    <w:pPr>
      <w:spacing w:line="360" w:lineRule="auto"/>
      <w:ind w:firstLine="420" w:firstLineChars="200"/>
    </w:pPr>
    <w:rPr>
      <w:rFonts w:cs="Times New Roman"/>
      <w:kern w:val="2"/>
      <w:sz w:val="21"/>
      <w:szCs w:val="21"/>
    </w:rPr>
  </w:style>
  <w:style w:type="character" w:customStyle="1" w:styleId="133">
    <w:name w:val="tdrownotice1"/>
    <w:qFormat/>
    <w:uiPriority w:val="0"/>
    <w:rPr>
      <w:sz w:val="22"/>
    </w:rPr>
  </w:style>
  <w:style w:type="paragraph" w:customStyle="1" w:styleId="134">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35">
    <w:name w:val="正文文本缩进 3 Char"/>
    <w:basedOn w:val="57"/>
    <w:link w:val="45"/>
    <w:qFormat/>
    <w:uiPriority w:val="0"/>
    <w:rPr>
      <w:rFonts w:hAnsi="MS Sans Serif" w:cs="Times New Roman"/>
      <w:bCs/>
      <w:color w:val="000000"/>
      <w:sz w:val="24"/>
      <w:lang w:val="zh-CN" w:eastAsia="zh-CN"/>
    </w:rPr>
  </w:style>
  <w:style w:type="character" w:customStyle="1" w:styleId="136">
    <w:name w:val="正文文本缩进 2 Char"/>
    <w:basedOn w:val="57"/>
    <w:link w:val="32"/>
    <w:qFormat/>
    <w:uiPriority w:val="0"/>
    <w:rPr>
      <w:rFonts w:hAnsi="MS Sans Serif" w:cs="Times New Roman"/>
      <w:bCs/>
      <w:spacing w:val="12"/>
      <w:sz w:val="24"/>
      <w:lang w:val="zh-CN" w:eastAsia="zh-CN"/>
    </w:rPr>
  </w:style>
  <w:style w:type="paragraph" w:customStyle="1" w:styleId="137">
    <w:name w:val="目录"/>
    <w:basedOn w:val="1"/>
    <w:qFormat/>
    <w:uiPriority w:val="0"/>
    <w:pPr>
      <w:widowControl/>
      <w:jc w:val="center"/>
    </w:pPr>
    <w:rPr>
      <w:rFonts w:hAnsi="Calibri" w:cs="Times New Roman"/>
      <w:b/>
      <w:sz w:val="36"/>
    </w:rPr>
  </w:style>
  <w:style w:type="paragraph" w:customStyle="1" w:styleId="138">
    <w:name w:val="目录文字"/>
    <w:basedOn w:val="1"/>
    <w:qFormat/>
    <w:uiPriority w:val="0"/>
    <w:pPr>
      <w:widowControl/>
      <w:spacing w:line="480" w:lineRule="auto"/>
      <w:jc w:val="left"/>
    </w:pPr>
    <w:rPr>
      <w:rFonts w:cs="Times New Roman"/>
      <w:sz w:val="24"/>
    </w:rPr>
  </w:style>
  <w:style w:type="character" w:customStyle="1" w:styleId="139">
    <w:name w:val="正文文本 2 Char"/>
    <w:basedOn w:val="57"/>
    <w:link w:val="48"/>
    <w:qFormat/>
    <w:uiPriority w:val="0"/>
    <w:rPr>
      <w:rFonts w:hAnsi="Times New Roman" w:cs="Times New Roman"/>
      <w:spacing w:val="-20"/>
      <w:kern w:val="2"/>
      <w:sz w:val="28"/>
      <w:lang w:val="zh-CN" w:eastAsia="zh-CN"/>
    </w:rPr>
  </w:style>
  <w:style w:type="character" w:customStyle="1" w:styleId="140">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2">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3">
    <w:name w:val="标题 Char"/>
    <w:basedOn w:val="57"/>
    <w:link w:val="22"/>
    <w:qFormat/>
    <w:uiPriority w:val="0"/>
    <w:rPr>
      <w:rFonts w:eastAsia="黑体" w:cs="Times New Roman"/>
      <w:b/>
      <w:smallCaps/>
      <w:snapToGrid w:val="0"/>
      <w:kern w:val="2"/>
      <w:sz w:val="44"/>
      <w:szCs w:val="24"/>
      <w:lang w:val="zh-CN" w:eastAsia="zh-CN"/>
    </w:rPr>
  </w:style>
  <w:style w:type="paragraph" w:customStyle="1" w:styleId="144">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45">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6">
    <w:name w:val="简单回函地址"/>
    <w:basedOn w:val="1"/>
    <w:qFormat/>
    <w:uiPriority w:val="0"/>
    <w:rPr>
      <w:rFonts w:ascii="Calibri" w:hAnsi="Calibri" w:cs="Times New Roman"/>
      <w:kern w:val="2"/>
      <w:sz w:val="21"/>
      <w:szCs w:val="22"/>
    </w:rPr>
  </w:style>
  <w:style w:type="paragraph" w:customStyle="1" w:styleId="147">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8">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9">
    <w:name w:val="t_tag"/>
    <w:basedOn w:val="57"/>
    <w:qFormat/>
    <w:uiPriority w:val="0"/>
  </w:style>
  <w:style w:type="table" w:customStyle="1" w:styleId="150">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1">
    <w:name w:val="批注框文本 Char1"/>
    <w:basedOn w:val="57"/>
    <w:qFormat/>
    <w:uiPriority w:val="0"/>
    <w:rPr>
      <w:rFonts w:ascii="Times New Roman" w:hAnsi="Times New Roman" w:eastAsia="宋体" w:cs="Times New Roman"/>
      <w:sz w:val="18"/>
      <w:szCs w:val="18"/>
    </w:rPr>
  </w:style>
  <w:style w:type="character" w:customStyle="1" w:styleId="152">
    <w:name w:val="批注主题 Char1"/>
    <w:basedOn w:val="90"/>
    <w:qFormat/>
    <w:uiPriority w:val="0"/>
    <w:rPr>
      <w:rFonts w:ascii="@仿宋_GB2312" w:hAnsi="@仿宋_GB2312" w:eastAsia="@仿宋_GB2312" w:cs="@仿宋_GB2312"/>
      <w:b/>
      <w:bCs/>
      <w:szCs w:val="20"/>
    </w:rPr>
  </w:style>
  <w:style w:type="paragraph" w:customStyle="1" w:styleId="153">
    <w:name w:val="Char10 Char Char Char Char Char Char Char Char Char"/>
    <w:basedOn w:val="1"/>
    <w:next w:val="1"/>
    <w:qFormat/>
    <w:uiPriority w:val="0"/>
    <w:rPr>
      <w:rFonts w:ascii="Calibri" w:hAnsi="Calibri" w:cs="Times New Roman"/>
      <w:kern w:val="2"/>
      <w:sz w:val="21"/>
      <w:szCs w:val="22"/>
    </w:rPr>
  </w:style>
  <w:style w:type="character" w:customStyle="1" w:styleId="154">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55">
    <w:name w:val="标题 1 Char1"/>
    <w:qFormat/>
    <w:uiPriority w:val="0"/>
    <w:rPr>
      <w:rFonts w:ascii="Calibri" w:hAnsi="Calibri" w:eastAsia="宋体"/>
      <w:b/>
      <w:kern w:val="44"/>
      <w:sz w:val="44"/>
      <w:szCs w:val="44"/>
    </w:rPr>
  </w:style>
  <w:style w:type="character" w:customStyle="1" w:styleId="156">
    <w:name w:val="标题 3 Char1"/>
    <w:semiHidden/>
    <w:qFormat/>
    <w:uiPriority w:val="0"/>
    <w:rPr>
      <w:rFonts w:ascii="Calibri" w:hAnsi="Calibri" w:eastAsia="宋体"/>
      <w:b/>
      <w:kern w:val="2"/>
      <w:sz w:val="32"/>
    </w:rPr>
  </w:style>
  <w:style w:type="character" w:customStyle="1" w:styleId="157">
    <w:name w:val="标题 4 Char1"/>
    <w:semiHidden/>
    <w:qFormat/>
    <w:uiPriority w:val="0"/>
    <w:rPr>
      <w:rFonts w:ascii="Cambria" w:hAnsi="Cambria" w:eastAsia="宋体"/>
      <w:b/>
      <w:kern w:val="2"/>
      <w:sz w:val="28"/>
      <w:szCs w:val="28"/>
    </w:rPr>
  </w:style>
  <w:style w:type="character" w:customStyle="1" w:styleId="158">
    <w:name w:val="标题 5 Char1"/>
    <w:semiHidden/>
    <w:qFormat/>
    <w:uiPriority w:val="0"/>
    <w:rPr>
      <w:rFonts w:ascii="Calibri" w:hAnsi="Calibri" w:eastAsia="宋体"/>
      <w:b/>
      <w:kern w:val="2"/>
      <w:sz w:val="28"/>
      <w:szCs w:val="28"/>
    </w:rPr>
  </w:style>
  <w:style w:type="character" w:customStyle="1" w:styleId="159">
    <w:name w:val="标题 6 Char1"/>
    <w:semiHidden/>
    <w:qFormat/>
    <w:uiPriority w:val="0"/>
    <w:rPr>
      <w:rFonts w:ascii="Cambria" w:hAnsi="Cambria" w:eastAsia="宋体"/>
      <w:b/>
      <w:kern w:val="2"/>
      <w:sz w:val="24"/>
      <w:szCs w:val="24"/>
    </w:rPr>
  </w:style>
  <w:style w:type="character" w:customStyle="1" w:styleId="160">
    <w:name w:val="标题 7 Char1"/>
    <w:semiHidden/>
    <w:qFormat/>
    <w:uiPriority w:val="0"/>
    <w:rPr>
      <w:rFonts w:ascii="Calibri" w:hAnsi="Calibri" w:eastAsia="宋体"/>
      <w:b/>
      <w:kern w:val="2"/>
      <w:sz w:val="24"/>
      <w:szCs w:val="24"/>
    </w:rPr>
  </w:style>
  <w:style w:type="character" w:customStyle="1" w:styleId="161">
    <w:name w:val="标题 8 Char1"/>
    <w:semiHidden/>
    <w:qFormat/>
    <w:uiPriority w:val="0"/>
    <w:rPr>
      <w:rFonts w:ascii="Cambria" w:hAnsi="Cambria" w:eastAsia="宋体"/>
      <w:kern w:val="2"/>
      <w:sz w:val="24"/>
      <w:szCs w:val="24"/>
    </w:rPr>
  </w:style>
  <w:style w:type="character" w:customStyle="1" w:styleId="162">
    <w:name w:val="标题 9 Char1"/>
    <w:semiHidden/>
    <w:qFormat/>
    <w:uiPriority w:val="0"/>
    <w:rPr>
      <w:rFonts w:ascii="Cambria" w:hAnsi="Cambria" w:eastAsia="宋体"/>
      <w:kern w:val="2"/>
      <w:sz w:val="21"/>
      <w:szCs w:val="21"/>
    </w:rPr>
  </w:style>
  <w:style w:type="paragraph" w:customStyle="1" w:styleId="163">
    <w:name w:val="MsoNormal"/>
    <w:basedOn w:val="164"/>
    <w:qFormat/>
    <w:uiPriority w:val="0"/>
    <w:rPr>
      <w:rFonts w:ascii="Calibri" w:hAnsi="Calibri" w:eastAsia="Calibri"/>
      <w:sz w:val="21"/>
    </w:rPr>
  </w:style>
  <w:style w:type="paragraph" w:customStyle="1" w:styleId="164">
    <w:name w:val="Normal_0"/>
    <w:qFormat/>
    <w:uiPriority w:val="0"/>
    <w:rPr>
      <w:rFonts w:ascii="Times New Roman" w:hAnsi="Times New Roman" w:eastAsia="宋体" w:cs="Times New Roman"/>
      <w:sz w:val="24"/>
      <w:szCs w:val="24"/>
      <w:lang w:val="en-US" w:eastAsia="zh-CN" w:bidi="ar-SA"/>
    </w:rPr>
  </w:style>
  <w:style w:type="paragraph" w:customStyle="1" w:styleId="165">
    <w:name w:val="标题 2_0"/>
    <w:basedOn w:val="166"/>
    <w:next w:val="167"/>
    <w:link w:val="168"/>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标题 2 Char_0"/>
    <w:link w:val="165"/>
    <w:qFormat/>
    <w:uiPriority w:val="0"/>
    <w:rPr>
      <w:rFonts w:ascii="黑体" w:eastAsia="黑体" w:cs="Times New Roman"/>
      <w:b/>
      <w:smallCaps/>
      <w:snapToGrid w:val="0"/>
      <w:sz w:val="36"/>
      <w:szCs w:val="24"/>
      <w:lang w:val="zh-CN" w:eastAsia="zh-CN"/>
    </w:rPr>
  </w:style>
  <w:style w:type="paragraph" w:customStyle="1" w:styleId="169">
    <w:name w:val="纯文本_0"/>
    <w:basedOn w:val="167"/>
    <w:link w:val="170"/>
    <w:qFormat/>
    <w:uiPriority w:val="99"/>
    <w:rPr>
      <w:rFonts w:ascii="宋体" w:hAnsi="Courier New"/>
      <w:szCs w:val="21"/>
    </w:rPr>
  </w:style>
  <w:style w:type="character" w:customStyle="1" w:styleId="170">
    <w:name w:val="Texte Char1"/>
    <w:link w:val="169"/>
    <w:qFormat/>
    <w:uiPriority w:val="99"/>
    <w:rPr>
      <w:rFonts w:hAnsi="Courier New" w:cs="Times New Roman"/>
      <w:kern w:val="2"/>
      <w:sz w:val="21"/>
      <w:szCs w:val="21"/>
    </w:rPr>
  </w:style>
  <w:style w:type="paragraph" w:customStyle="1" w:styleId="171">
    <w:name w:val="纯文本_1"/>
    <w:basedOn w:val="172"/>
    <w:link w:val="173"/>
    <w:qFormat/>
    <w:uiPriority w:val="0"/>
    <w:rPr>
      <w:rFonts w:ascii="宋体" w:hAnsi="Courier New"/>
      <w:szCs w:val="21"/>
      <w:lang w:val="zh-CN"/>
    </w:rPr>
  </w:style>
  <w:style w:type="paragraph" w:customStyle="1" w:styleId="17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0"/>
    <w:link w:val="171"/>
    <w:qFormat/>
    <w:uiPriority w:val="0"/>
    <w:rPr>
      <w:rFonts w:hAnsi="Courier New" w:cs="Times New Roman"/>
      <w:kern w:val="2"/>
      <w:sz w:val="21"/>
      <w:szCs w:val="21"/>
      <w:lang w:val="zh-CN" w:eastAsia="zh-CN"/>
    </w:rPr>
  </w:style>
  <w:style w:type="paragraph" w:customStyle="1" w:styleId="174">
    <w:name w:val="标题 3_0"/>
    <w:basedOn w:val="175"/>
    <w:next w:val="176"/>
    <w:link w:val="187"/>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缩进_0"/>
    <w:basedOn w:val="175"/>
    <w:unhideWhenUsed/>
    <w:qFormat/>
    <w:uiPriority w:val="0"/>
    <w:pPr>
      <w:ind w:firstLine="420" w:firstLineChars="200"/>
    </w:pPr>
    <w:rPr>
      <w:rFonts w:ascii="Calibri" w:hAnsi="Calibri"/>
      <w:bCs/>
      <w:szCs w:val="32"/>
    </w:rPr>
  </w:style>
  <w:style w:type="paragraph" w:customStyle="1" w:styleId="177">
    <w:name w:val="标题 1_0"/>
    <w:basedOn w:val="175"/>
    <w:next w:val="175"/>
    <w:link w:val="178"/>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8">
    <w:name w:val="标题 1 Char_0"/>
    <w:link w:val="177"/>
    <w:qFormat/>
    <w:uiPriority w:val="0"/>
    <w:rPr>
      <w:rFonts w:ascii="黑体" w:hAnsi="Times New Roman" w:eastAsia="黑体" w:cs="Times New Roman"/>
      <w:sz w:val="52"/>
      <w:lang w:val="zh-CN" w:eastAsia="zh-CN"/>
    </w:rPr>
  </w:style>
  <w:style w:type="paragraph" w:customStyle="1" w:styleId="179">
    <w:name w:val="标题 6_0"/>
    <w:basedOn w:val="175"/>
    <w:next w:val="175"/>
    <w:link w:val="180"/>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80">
    <w:name w:val="标题 6 Char_0"/>
    <w:link w:val="179"/>
    <w:qFormat/>
    <w:uiPriority w:val="0"/>
    <w:rPr>
      <w:rFonts w:ascii="Arial" w:hAnsi="Arial" w:eastAsia="黑体" w:cs="Times New Roman"/>
      <w:b/>
      <w:bCs/>
      <w:sz w:val="24"/>
      <w:szCs w:val="24"/>
      <w:lang w:val="zh-CN" w:eastAsia="zh-CN"/>
    </w:rPr>
  </w:style>
  <w:style w:type="paragraph" w:customStyle="1" w:styleId="181">
    <w:name w:val="标题 7_0"/>
    <w:basedOn w:val="175"/>
    <w:next w:val="175"/>
    <w:link w:val="182"/>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2">
    <w:name w:val="标题 7 Char_0"/>
    <w:link w:val="181"/>
    <w:qFormat/>
    <w:uiPriority w:val="0"/>
    <w:rPr>
      <w:rFonts w:ascii="Times New Roman" w:hAnsi="Times New Roman" w:cs="Times New Roman"/>
      <w:b/>
      <w:bCs/>
      <w:sz w:val="24"/>
      <w:szCs w:val="24"/>
      <w:lang w:val="zh-CN" w:eastAsia="zh-CN"/>
    </w:rPr>
  </w:style>
  <w:style w:type="paragraph" w:customStyle="1" w:styleId="183">
    <w:name w:val="标题 8_0"/>
    <w:basedOn w:val="175"/>
    <w:next w:val="175"/>
    <w:link w:val="184"/>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4">
    <w:name w:val="标题 8 Char_0"/>
    <w:link w:val="183"/>
    <w:qFormat/>
    <w:uiPriority w:val="0"/>
    <w:rPr>
      <w:rFonts w:ascii="Arial" w:hAnsi="Arial" w:eastAsia="黑体" w:cs="Times New Roman"/>
      <w:sz w:val="24"/>
      <w:szCs w:val="24"/>
      <w:lang w:val="zh-CN" w:eastAsia="zh-CN"/>
    </w:rPr>
  </w:style>
  <w:style w:type="paragraph" w:customStyle="1" w:styleId="185">
    <w:name w:val="标题 9_0"/>
    <w:basedOn w:val="175"/>
    <w:next w:val="175"/>
    <w:link w:val="186"/>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6">
    <w:name w:val="标题 9 Char_0"/>
    <w:link w:val="185"/>
    <w:qFormat/>
    <w:uiPriority w:val="0"/>
    <w:rPr>
      <w:rFonts w:ascii="Arial" w:hAnsi="Arial" w:eastAsia="黑体" w:cs="Times New Roman"/>
      <w:sz w:val="21"/>
      <w:szCs w:val="21"/>
      <w:lang w:val="zh-CN" w:eastAsia="zh-CN"/>
    </w:rPr>
  </w:style>
  <w:style w:type="character" w:customStyle="1" w:styleId="187">
    <w:name w:val="标题 3 Char_0"/>
    <w:link w:val="174"/>
    <w:qFormat/>
    <w:uiPriority w:val="0"/>
    <w:rPr>
      <w:rFonts w:ascii="Times New Roman" w:hAnsi="Times New Roman" w:cs="Times New Roman"/>
      <w:b/>
      <w:sz w:val="32"/>
      <w:lang w:val="zh-CN" w:eastAsia="zh-CN"/>
    </w:rPr>
  </w:style>
  <w:style w:type="paragraph" w:customStyle="1" w:styleId="188">
    <w:name w:val="Blockquote_0"/>
    <w:basedOn w:val="175"/>
    <w:link w:val="189"/>
    <w:qFormat/>
    <w:uiPriority w:val="0"/>
    <w:pPr>
      <w:autoSpaceDE w:val="0"/>
      <w:autoSpaceDN w:val="0"/>
      <w:adjustRightInd w:val="0"/>
      <w:spacing w:before="100" w:after="100"/>
      <w:ind w:left="360" w:right="360"/>
      <w:jc w:val="left"/>
    </w:pPr>
    <w:rPr>
      <w:kern w:val="0"/>
      <w:sz w:val="24"/>
      <w:szCs w:val="20"/>
      <w:lang w:val="zh-CN"/>
    </w:rPr>
  </w:style>
  <w:style w:type="character" w:customStyle="1" w:styleId="189">
    <w:name w:val="Blockquote Char_0"/>
    <w:link w:val="188"/>
    <w:qFormat/>
    <w:locked/>
    <w:uiPriority w:val="0"/>
    <w:rPr>
      <w:rFonts w:ascii="Times New Roman" w:hAnsi="Times New Roman" w:cs="Times New Roman"/>
      <w:sz w:val="24"/>
      <w:lang w:val="zh-CN" w:eastAsia="zh-CN"/>
    </w:rPr>
  </w:style>
  <w:style w:type="paragraph" w:customStyle="1" w:styleId="190">
    <w:name w:val="标题 4_0"/>
    <w:basedOn w:val="175"/>
    <w:next w:val="175"/>
    <w:link w:val="191"/>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1">
    <w:name w:val="标题 4 Char_0"/>
    <w:link w:val="190"/>
    <w:qFormat/>
    <w:uiPriority w:val="0"/>
    <w:rPr>
      <w:rFonts w:ascii="Arial" w:hAnsi="Arial" w:eastAsia="黑体" w:cs="Times New Roman"/>
      <w:sz w:val="28"/>
      <w:lang w:val="zh-CN" w:eastAsia="zh-CN"/>
    </w:rPr>
  </w:style>
  <w:style w:type="paragraph" w:customStyle="1" w:styleId="192">
    <w:name w:val="纯文本_2"/>
    <w:basedOn w:val="175"/>
    <w:link w:val="193"/>
    <w:qFormat/>
    <w:uiPriority w:val="0"/>
    <w:rPr>
      <w:rFonts w:ascii="宋体" w:hAnsi="Courier New"/>
      <w:szCs w:val="21"/>
      <w:lang w:val="zh-CN"/>
    </w:rPr>
  </w:style>
  <w:style w:type="character" w:customStyle="1" w:styleId="193">
    <w:name w:val="纯文本 Char1_1"/>
    <w:link w:val="192"/>
    <w:qFormat/>
    <w:uiPriority w:val="0"/>
    <w:rPr>
      <w:rFonts w:hAnsi="Courier New" w:cs="Times New Roman"/>
      <w:kern w:val="2"/>
      <w:sz w:val="21"/>
      <w:szCs w:val="21"/>
      <w:lang w:val="zh-CN" w:eastAsia="zh-CN"/>
    </w:rPr>
  </w:style>
  <w:style w:type="paragraph" w:customStyle="1" w:styleId="194">
    <w:name w:val="Blockquote_0_1"/>
    <w:basedOn w:val="195"/>
    <w:link w:val="196"/>
    <w:qFormat/>
    <w:uiPriority w:val="0"/>
    <w:pPr>
      <w:autoSpaceDE w:val="0"/>
      <w:autoSpaceDN w:val="0"/>
      <w:adjustRightInd w:val="0"/>
      <w:spacing w:before="100" w:after="100"/>
      <w:ind w:left="360" w:right="360"/>
      <w:jc w:val="left"/>
    </w:pPr>
    <w:rPr>
      <w:kern w:val="0"/>
      <w:sz w:val="24"/>
      <w:szCs w:val="20"/>
      <w:lang w:val="zh-CN"/>
    </w:rPr>
  </w:style>
  <w:style w:type="paragraph" w:customStyle="1" w:styleId="19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lockquote Char_0_1"/>
    <w:link w:val="194"/>
    <w:qFormat/>
    <w:locked/>
    <w:uiPriority w:val="0"/>
    <w:rPr>
      <w:rFonts w:ascii="Times New Roman" w:hAnsi="Times New Roman" w:cs="Times New Roman"/>
      <w:sz w:val="24"/>
      <w:lang w:val="zh-CN" w:eastAsia="zh-CN"/>
    </w:rPr>
  </w:style>
  <w:style w:type="paragraph" w:customStyle="1" w:styleId="197">
    <w:name w:val="正文文本_0"/>
    <w:basedOn w:val="175"/>
    <w:link w:val="198"/>
    <w:qFormat/>
    <w:uiPriority w:val="0"/>
    <w:pPr>
      <w:spacing w:after="120"/>
    </w:pPr>
    <w:rPr>
      <w:lang w:val="zh-CN"/>
    </w:rPr>
  </w:style>
  <w:style w:type="character" w:customStyle="1" w:styleId="198">
    <w:name w:val="正文文本 Char_0"/>
    <w:link w:val="197"/>
    <w:qFormat/>
    <w:uiPriority w:val="0"/>
    <w:rPr>
      <w:rFonts w:ascii="Times New Roman" w:hAnsi="Times New Roman" w:cs="Times New Roman"/>
      <w:kern w:val="2"/>
      <w:sz w:val="21"/>
      <w:szCs w:val="24"/>
      <w:lang w:val="zh-CN" w:eastAsia="zh-CN"/>
    </w:rPr>
  </w:style>
  <w:style w:type="paragraph" w:customStyle="1" w:styleId="199">
    <w:name w:val="普通(网站)_0"/>
    <w:basedOn w:val="175"/>
    <w:qFormat/>
    <w:uiPriority w:val="0"/>
    <w:pPr>
      <w:widowControl/>
      <w:spacing w:before="100" w:beforeAutospacing="1" w:after="100" w:afterAutospacing="1"/>
      <w:jc w:val="left"/>
    </w:pPr>
    <w:rPr>
      <w:rFonts w:ascii="宋体" w:hAnsi="宋体"/>
      <w:kern w:val="0"/>
      <w:sz w:val="24"/>
    </w:rPr>
  </w:style>
  <w:style w:type="paragraph" w:customStyle="1" w:styleId="2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脚注文本_0"/>
    <w:basedOn w:val="123"/>
    <w:link w:val="203"/>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3">
    <w:name w:val="脚注文本 Char_0"/>
    <w:link w:val="202"/>
    <w:qFormat/>
    <w:uiPriority w:val="0"/>
    <w:rPr>
      <w:rFonts w:ascii="Times New Roman" w:hAnsi="Times New Roman" w:cs="Times New Roman"/>
      <w:sz w:val="18"/>
      <w:lang w:val="zh-CN" w:eastAsia="zh-CN"/>
    </w:rPr>
  </w:style>
  <w:style w:type="paragraph" w:customStyle="1" w:styleId="204">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1">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2">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23">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4">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25">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6">
    <w:name w:val="Char Char Char Char Char"/>
    <w:basedOn w:val="1"/>
    <w:qFormat/>
    <w:uiPriority w:val="0"/>
    <w:rPr>
      <w:rFonts w:ascii="Tahoma" w:hAnsi="Tahoma" w:cs="Times New Roman"/>
      <w:kern w:val="2"/>
      <w:sz w:val="24"/>
    </w:rPr>
  </w:style>
  <w:style w:type="paragraph" w:customStyle="1" w:styleId="227">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8">
    <w:name w:val="副标题 Char"/>
    <w:basedOn w:val="57"/>
    <w:link w:val="41"/>
    <w:qFormat/>
    <w:uiPriority w:val="0"/>
    <w:rPr>
      <w:rFonts w:ascii="Arial" w:hAnsi="Arial" w:cs="Times New Roman"/>
      <w:b/>
      <w:bCs/>
      <w:kern w:val="28"/>
      <w:sz w:val="32"/>
      <w:szCs w:val="32"/>
      <w:lang w:val="zh-CN" w:eastAsia="zh-CN"/>
    </w:rPr>
  </w:style>
  <w:style w:type="character" w:customStyle="1" w:styleId="229">
    <w:name w:val="Char Char"/>
    <w:qFormat/>
    <w:uiPriority w:val="0"/>
    <w:rPr>
      <w:rFonts w:ascii="宋体" w:hAnsi="Courier New" w:eastAsia="宋体" w:cs="Courier New"/>
      <w:kern w:val="2"/>
      <w:sz w:val="21"/>
      <w:szCs w:val="21"/>
      <w:lang w:val="en-US" w:eastAsia="zh-CN" w:bidi="ar-SA"/>
    </w:rPr>
  </w:style>
  <w:style w:type="character" w:customStyle="1" w:styleId="230">
    <w:name w:val="标题4 Char Char"/>
    <w:link w:val="231"/>
    <w:qFormat/>
    <w:uiPriority w:val="0"/>
    <w:rPr>
      <w:rFonts w:ascii="Arial" w:hAnsi="Arial"/>
      <w:b/>
      <w:bCs/>
      <w:sz w:val="24"/>
      <w:szCs w:val="32"/>
    </w:rPr>
  </w:style>
  <w:style w:type="paragraph" w:customStyle="1" w:styleId="231">
    <w:name w:val="标题4"/>
    <w:basedOn w:val="4"/>
    <w:next w:val="26"/>
    <w:link w:val="230"/>
    <w:qFormat/>
    <w:uiPriority w:val="0"/>
    <w:pPr>
      <w:spacing w:before="0" w:after="0" w:line="413" w:lineRule="auto"/>
    </w:pPr>
    <w:rPr>
      <w:rFonts w:ascii="Arial" w:hAnsi="Arial" w:cstheme="minorBidi"/>
      <w:kern w:val="0"/>
      <w:sz w:val="24"/>
      <w:lang w:val="en-US"/>
    </w:rPr>
  </w:style>
  <w:style w:type="character" w:customStyle="1" w:styleId="232">
    <w:name w:val="明显引用 Char"/>
    <w:link w:val="233"/>
    <w:qFormat/>
    <w:uiPriority w:val="0"/>
    <w:rPr>
      <w:b/>
      <w:bCs/>
      <w:i/>
      <w:iCs/>
      <w:color w:val="4F81BD"/>
    </w:rPr>
  </w:style>
  <w:style w:type="paragraph" w:styleId="233">
    <w:name w:val="Intense Quote"/>
    <w:basedOn w:val="1"/>
    <w:next w:val="1"/>
    <w:link w:val="232"/>
    <w:qFormat/>
    <w:uiPriority w:val="0"/>
    <w:pPr>
      <w:pBdr>
        <w:bottom w:val="single" w:color="4F81BD" w:themeColor="accent1" w:sz="4" w:space="4"/>
      </w:pBdr>
      <w:spacing w:before="200" w:after="280"/>
      <w:ind w:left="936" w:right="936"/>
    </w:pPr>
    <w:rPr>
      <w:b/>
      <w:bCs/>
      <w:i/>
      <w:iCs/>
      <w:color w:val="4F81BD"/>
    </w:rPr>
  </w:style>
  <w:style w:type="paragraph" w:customStyle="1" w:styleId="234">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5">
    <w:name w:val="明显引用 Char1"/>
    <w:basedOn w:val="57"/>
    <w:qFormat/>
    <w:uiPriority w:val="30"/>
    <w:rPr>
      <w:rFonts w:ascii="Times New Roman" w:hAnsi="Times New Roman" w:eastAsia="宋体" w:cs="Times New Roman"/>
      <w:i/>
      <w:iCs/>
      <w:color w:val="5B9BD5"/>
      <w:szCs w:val="24"/>
    </w:rPr>
  </w:style>
  <w:style w:type="character" w:customStyle="1" w:styleId="236">
    <w:name w:val="标题5 Char Char"/>
    <w:link w:val="237"/>
    <w:qFormat/>
    <w:uiPriority w:val="0"/>
    <w:rPr>
      <w:rFonts w:ascii="Arial" w:hAnsi="Arial"/>
      <w:b/>
      <w:bCs/>
      <w:sz w:val="24"/>
      <w:szCs w:val="32"/>
    </w:rPr>
  </w:style>
  <w:style w:type="paragraph" w:customStyle="1" w:styleId="237">
    <w:name w:val="标题5"/>
    <w:basedOn w:val="5"/>
    <w:link w:val="236"/>
    <w:qFormat/>
    <w:uiPriority w:val="0"/>
    <w:pPr>
      <w:spacing w:line="413" w:lineRule="auto"/>
      <w:jc w:val="left"/>
    </w:pPr>
    <w:rPr>
      <w:rFonts w:ascii="Arial" w:hAnsi="Arial"/>
      <w:sz w:val="24"/>
    </w:rPr>
  </w:style>
  <w:style w:type="character" w:customStyle="1" w:styleId="238">
    <w:name w:val="引用 Char"/>
    <w:link w:val="239"/>
    <w:qFormat/>
    <w:uiPriority w:val="0"/>
    <w:rPr>
      <w:i/>
      <w:iCs/>
      <w:color w:val="000000"/>
    </w:rPr>
  </w:style>
  <w:style w:type="paragraph" w:styleId="239">
    <w:name w:val="Quote"/>
    <w:basedOn w:val="1"/>
    <w:next w:val="1"/>
    <w:link w:val="238"/>
    <w:qFormat/>
    <w:uiPriority w:val="0"/>
    <w:rPr>
      <w:i/>
      <w:iCs/>
      <w:color w:val="000000"/>
    </w:rPr>
  </w:style>
  <w:style w:type="paragraph" w:customStyle="1" w:styleId="240">
    <w:name w:val="引用1"/>
    <w:basedOn w:val="1"/>
    <w:next w:val="1"/>
    <w:qFormat/>
    <w:uiPriority w:val="0"/>
    <w:rPr>
      <w:rFonts w:ascii="Calibri" w:hAnsi="Calibri" w:cs="Times New Roman"/>
      <w:i/>
      <w:iCs/>
      <w:color w:val="000000"/>
      <w:kern w:val="2"/>
      <w:sz w:val="21"/>
      <w:szCs w:val="22"/>
    </w:rPr>
  </w:style>
  <w:style w:type="character" w:customStyle="1" w:styleId="241">
    <w:name w:val="引用 Char1"/>
    <w:basedOn w:val="57"/>
    <w:qFormat/>
    <w:uiPriority w:val="29"/>
    <w:rPr>
      <w:rFonts w:ascii="Times New Roman" w:hAnsi="Times New Roman" w:eastAsia="宋体" w:cs="Times New Roman"/>
      <w:i/>
      <w:iCs/>
      <w:color w:val="404040"/>
      <w:szCs w:val="24"/>
    </w:rPr>
  </w:style>
  <w:style w:type="character" w:customStyle="1" w:styleId="242">
    <w:name w:val="ask-title2"/>
    <w:qFormat/>
    <w:uiPriority w:val="0"/>
  </w:style>
  <w:style w:type="character" w:customStyle="1" w:styleId="243">
    <w:name w:val="正文文本 Char1"/>
    <w:qFormat/>
    <w:uiPriority w:val="0"/>
    <w:rPr>
      <w:kern w:val="2"/>
      <w:sz w:val="21"/>
      <w:szCs w:val="22"/>
    </w:rPr>
  </w:style>
  <w:style w:type="character" w:customStyle="1" w:styleId="244">
    <w:name w:val="不明显强调1"/>
    <w:qFormat/>
    <w:uiPriority w:val="0"/>
    <w:rPr>
      <w:i/>
      <w:iCs/>
      <w:color w:val="808080"/>
    </w:rPr>
  </w:style>
  <w:style w:type="character" w:customStyle="1" w:styleId="245">
    <w:name w:val="明显参考1"/>
    <w:qFormat/>
    <w:uiPriority w:val="0"/>
    <w:rPr>
      <w:b/>
      <w:bCs/>
      <w:smallCaps/>
      <w:color w:val="C0504D"/>
      <w:spacing w:val="5"/>
      <w:u w:val="single"/>
    </w:rPr>
  </w:style>
  <w:style w:type="character" w:customStyle="1" w:styleId="246">
    <w:name w:val="书籍标题1"/>
    <w:qFormat/>
    <w:uiPriority w:val="0"/>
    <w:rPr>
      <w:b/>
      <w:bCs/>
      <w:smallCaps/>
      <w:spacing w:val="5"/>
    </w:rPr>
  </w:style>
  <w:style w:type="character" w:customStyle="1" w:styleId="247">
    <w:name w:val="日期 Char1"/>
    <w:qFormat/>
    <w:uiPriority w:val="0"/>
    <w:rPr>
      <w:kern w:val="2"/>
      <w:sz w:val="21"/>
      <w:szCs w:val="22"/>
    </w:rPr>
  </w:style>
  <w:style w:type="character" w:customStyle="1" w:styleId="248">
    <w:name w:val="明显强调1"/>
    <w:qFormat/>
    <w:uiPriority w:val="0"/>
    <w:rPr>
      <w:b/>
      <w:bCs/>
      <w:i/>
      <w:iCs/>
      <w:color w:val="4F81BD"/>
    </w:rPr>
  </w:style>
  <w:style w:type="character" w:customStyle="1" w:styleId="249">
    <w:name w:val="textcontents"/>
    <w:qFormat/>
    <w:uiPriority w:val="0"/>
    <w:rPr>
      <w:rFonts w:cs="Times New Roman"/>
    </w:rPr>
  </w:style>
  <w:style w:type="character" w:customStyle="1" w:styleId="250">
    <w:name w:val="不明显参考1"/>
    <w:qFormat/>
    <w:uiPriority w:val="0"/>
    <w:rPr>
      <w:smallCaps/>
      <w:color w:val="C0504D"/>
      <w:u w:val="single"/>
    </w:rPr>
  </w:style>
  <w:style w:type="character" w:customStyle="1" w:styleId="251">
    <w:name w:val="批注文字 Char Char"/>
    <w:qFormat/>
    <w:uiPriority w:val="0"/>
    <w:rPr>
      <w:rFonts w:ascii="宋体" w:hAnsi="Times New Roman" w:eastAsia="宋体" w:cs="Times New Roman"/>
      <w:sz w:val="28"/>
      <w:szCs w:val="20"/>
    </w:rPr>
  </w:style>
  <w:style w:type="character" w:customStyle="1" w:styleId="252">
    <w:name w:val="文档结构图 Char1"/>
    <w:qFormat/>
    <w:uiPriority w:val="0"/>
    <w:rPr>
      <w:rFonts w:ascii="宋体"/>
      <w:kern w:val="2"/>
      <w:sz w:val="18"/>
      <w:szCs w:val="18"/>
    </w:rPr>
  </w:style>
  <w:style w:type="paragraph" w:customStyle="1" w:styleId="253">
    <w:name w:val="修订1"/>
    <w:qFormat/>
    <w:uiPriority w:val="0"/>
    <w:rPr>
      <w:rFonts w:ascii="Times New Roman" w:hAnsi="Times New Roman" w:eastAsia="宋体" w:cs="Times New Roman"/>
      <w:kern w:val="2"/>
      <w:sz w:val="21"/>
      <w:szCs w:val="24"/>
      <w:lang w:val="en-US" w:eastAsia="zh-CN" w:bidi="ar-SA"/>
    </w:rPr>
  </w:style>
  <w:style w:type="character" w:customStyle="1" w:styleId="254">
    <w:name w:val="页脚 Char1"/>
    <w:semiHidden/>
    <w:qFormat/>
    <w:uiPriority w:val="99"/>
    <w:rPr>
      <w:kern w:val="2"/>
      <w:sz w:val="18"/>
      <w:szCs w:val="18"/>
    </w:rPr>
  </w:style>
  <w:style w:type="character" w:customStyle="1" w:styleId="255">
    <w:name w:val="批注框文本 Char2"/>
    <w:semiHidden/>
    <w:qFormat/>
    <w:uiPriority w:val="99"/>
    <w:rPr>
      <w:kern w:val="2"/>
      <w:sz w:val="18"/>
      <w:szCs w:val="18"/>
    </w:rPr>
  </w:style>
  <w:style w:type="character" w:customStyle="1" w:styleId="256">
    <w:name w:val="批注主题 Char2"/>
    <w:semiHidden/>
    <w:qFormat/>
    <w:uiPriority w:val="99"/>
    <w:rPr>
      <w:b/>
      <w:bCs/>
      <w:kern w:val="2"/>
      <w:sz w:val="21"/>
      <w:szCs w:val="22"/>
    </w:rPr>
  </w:style>
  <w:style w:type="character" w:customStyle="1" w:styleId="257">
    <w:name w:val="文档结构图 Char2"/>
    <w:semiHidden/>
    <w:qFormat/>
    <w:uiPriority w:val="99"/>
    <w:rPr>
      <w:rFonts w:ascii="宋体"/>
      <w:kern w:val="2"/>
      <w:sz w:val="18"/>
      <w:szCs w:val="18"/>
    </w:rPr>
  </w:style>
  <w:style w:type="character" w:customStyle="1" w:styleId="258">
    <w:name w:val="页眉 Char1"/>
    <w:semiHidden/>
    <w:qFormat/>
    <w:uiPriority w:val="99"/>
    <w:rPr>
      <w:kern w:val="2"/>
      <w:sz w:val="18"/>
      <w:szCs w:val="18"/>
    </w:rPr>
  </w:style>
  <w:style w:type="character" w:customStyle="1" w:styleId="259">
    <w:name w:val="日期 Char2"/>
    <w:semiHidden/>
    <w:qFormat/>
    <w:uiPriority w:val="99"/>
    <w:rPr>
      <w:kern w:val="2"/>
      <w:sz w:val="21"/>
      <w:szCs w:val="22"/>
    </w:rPr>
  </w:style>
  <w:style w:type="character" w:customStyle="1" w:styleId="260">
    <w:name w:val="正文文本 Char2"/>
    <w:semiHidden/>
    <w:qFormat/>
    <w:uiPriority w:val="99"/>
    <w:rPr>
      <w:kern w:val="2"/>
      <w:sz w:val="21"/>
      <w:szCs w:val="22"/>
    </w:rPr>
  </w:style>
  <w:style w:type="character" w:customStyle="1" w:styleId="261">
    <w:name w:val="标题 Char1"/>
    <w:qFormat/>
    <w:uiPriority w:val="10"/>
    <w:rPr>
      <w:rFonts w:ascii="Cambria" w:hAnsi="Cambria" w:cs="Times New Roman"/>
      <w:b/>
      <w:bCs/>
      <w:kern w:val="2"/>
      <w:sz w:val="32"/>
      <w:szCs w:val="32"/>
    </w:rPr>
  </w:style>
  <w:style w:type="character" w:customStyle="1" w:styleId="262">
    <w:name w:val="副标题 Char1"/>
    <w:qFormat/>
    <w:uiPriority w:val="11"/>
    <w:rPr>
      <w:rFonts w:ascii="Cambria" w:hAnsi="Cambria" w:cs="Times New Roman"/>
      <w:b/>
      <w:bCs/>
      <w:kern w:val="28"/>
      <w:sz w:val="32"/>
      <w:szCs w:val="32"/>
    </w:rPr>
  </w:style>
  <w:style w:type="paragraph" w:customStyle="1" w:styleId="263">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6">
    <w:name w:val="正文2 Char"/>
    <w:link w:val="267"/>
    <w:qFormat/>
    <w:uiPriority w:val="0"/>
    <w:rPr>
      <w:rFonts w:ascii="楷体" w:eastAsia="楷体"/>
      <w:b/>
      <w:color w:val="0000FF"/>
    </w:rPr>
  </w:style>
  <w:style w:type="paragraph" w:customStyle="1" w:styleId="267">
    <w:name w:val="正文2"/>
    <w:link w:val="266"/>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8">
    <w:name w:val="p0"/>
    <w:basedOn w:val="1"/>
    <w:qFormat/>
    <w:uiPriority w:val="0"/>
    <w:pPr>
      <w:widowControl/>
      <w:spacing w:before="100" w:beforeAutospacing="1" w:after="100" w:afterAutospacing="1"/>
      <w:jc w:val="left"/>
    </w:pPr>
    <w:rPr>
      <w:rFonts w:cs="宋体"/>
      <w:sz w:val="24"/>
      <w:szCs w:val="24"/>
    </w:rPr>
  </w:style>
  <w:style w:type="character" w:customStyle="1" w:styleId="269">
    <w:name w:val="正文文本 (2)_"/>
    <w:link w:val="270"/>
    <w:qFormat/>
    <w:locked/>
    <w:uiPriority w:val="99"/>
    <w:rPr>
      <w:rFonts w:ascii="MingLiU" w:eastAsia="MingLiU" w:cs="MingLiU"/>
      <w:spacing w:val="20"/>
      <w:sz w:val="22"/>
      <w:shd w:val="clear" w:color="auto" w:fill="FFFFFF"/>
    </w:rPr>
  </w:style>
  <w:style w:type="paragraph" w:customStyle="1" w:styleId="270">
    <w:name w:val="正文文本 (2)1"/>
    <w:basedOn w:val="1"/>
    <w:link w:val="269"/>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1">
    <w:name w:val="正文文本 (2) + 间距 0 pt5"/>
    <w:qFormat/>
    <w:uiPriority w:val="99"/>
    <w:rPr>
      <w:rFonts w:ascii="MingLiU" w:eastAsia="MingLiU" w:cs="MingLiU"/>
      <w:spacing w:val="0"/>
      <w:sz w:val="22"/>
      <w:shd w:val="clear" w:color="auto" w:fill="FFFFFF"/>
    </w:rPr>
  </w:style>
  <w:style w:type="character" w:customStyle="1" w:styleId="272">
    <w:name w:val="访问过的超链接1"/>
    <w:basedOn w:val="57"/>
    <w:semiHidden/>
    <w:unhideWhenUsed/>
    <w:qFormat/>
    <w:uiPriority w:val="99"/>
    <w:rPr>
      <w:color w:val="954F72"/>
      <w:u w:val="single"/>
    </w:rPr>
  </w:style>
  <w:style w:type="character" w:customStyle="1" w:styleId="273">
    <w:name w:val="明显引用 Char2"/>
    <w:basedOn w:val="57"/>
    <w:qFormat/>
    <w:uiPriority w:val="30"/>
    <w:rPr>
      <w:b/>
      <w:bCs/>
      <w:i/>
      <w:iCs/>
      <w:color w:val="4F81BD" w:themeColor="accent1"/>
      <w14:textFill>
        <w14:solidFill>
          <w14:schemeClr w14:val="accent1"/>
        </w14:solidFill>
      </w14:textFill>
    </w:rPr>
  </w:style>
  <w:style w:type="character" w:customStyle="1" w:styleId="274">
    <w:name w:val="引用 Char2"/>
    <w:basedOn w:val="57"/>
    <w:qFormat/>
    <w:uiPriority w:val="29"/>
    <w:rPr>
      <w:i/>
      <w:iCs/>
      <w:color w:val="000000" w:themeColor="text1"/>
      <w14:textFill>
        <w14:solidFill>
          <w14:schemeClr w14:val="tx1"/>
        </w14:solidFill>
      </w14:textFill>
    </w:rPr>
  </w:style>
  <w:style w:type="table" w:customStyle="1" w:styleId="275">
    <w:name w:val="网格型4"/>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Table Normal"/>
    <w:semiHidden/>
    <w:unhideWhenUsed/>
    <w:qFormat/>
    <w:uiPriority w:val="0"/>
    <w:tblPr>
      <w:tblCellMar>
        <w:top w:w="0" w:type="dxa"/>
        <w:left w:w="0" w:type="dxa"/>
        <w:bottom w:w="0" w:type="dxa"/>
        <w:right w:w="0" w:type="dxa"/>
      </w:tblCellMar>
    </w:tblPr>
  </w:style>
  <w:style w:type="paragraph" w:customStyle="1" w:styleId="277">
    <w:name w:val="Table Text"/>
    <w:basedOn w:val="1"/>
    <w:semiHidden/>
    <w:qFormat/>
    <w:uiPriority w:val="0"/>
    <w:rPr>
      <w:rFonts w:ascii="Arial" w:hAnsi="Arial" w:eastAsia="Arial" w:cs="Arial"/>
      <w:sz w:val="21"/>
      <w:szCs w:val="21"/>
      <w:lang w:val="en-US" w:eastAsia="en-US" w:bidi="ar-SA"/>
    </w:rPr>
  </w:style>
  <w:style w:type="paragraph" w:customStyle="1" w:styleId="27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character" w:customStyle="1" w:styleId="279">
    <w:name w:val="hover"/>
    <w:basedOn w:val="57"/>
    <w:qFormat/>
    <w:uiPriority w:val="0"/>
    <w:rPr>
      <w:color w:val="2590EB"/>
    </w:rPr>
  </w:style>
  <w:style w:type="character" w:customStyle="1" w:styleId="280">
    <w:name w:val="hover1"/>
    <w:basedOn w:val="57"/>
    <w:qFormat/>
    <w:uiPriority w:val="0"/>
    <w:rPr>
      <w:color w:val="2590EB"/>
    </w:rPr>
  </w:style>
  <w:style w:type="character" w:customStyle="1" w:styleId="281">
    <w:name w:val="hover2"/>
    <w:basedOn w:val="57"/>
    <w:qFormat/>
    <w:uiPriority w:val="0"/>
  </w:style>
  <w:style w:type="character" w:customStyle="1" w:styleId="282">
    <w:name w:val="hover3"/>
    <w:basedOn w:val="57"/>
    <w:qFormat/>
    <w:uiPriority w:val="0"/>
    <w:rPr>
      <w:color w:val="2590EB"/>
      <w:shd w:val="clear" w:fill="E9F4FD"/>
    </w:rPr>
  </w:style>
  <w:style w:type="character" w:customStyle="1" w:styleId="283">
    <w:name w:val="hover4"/>
    <w:basedOn w:val="5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117</Pages>
  <Words>182</Words>
  <Characters>209</Characters>
  <Lines>451</Lines>
  <Paragraphs>127</Paragraphs>
  <TotalTime>25</TotalTime>
  <ScaleCrop>false</ScaleCrop>
  <LinksUpToDate>false</LinksUpToDate>
  <CharactersWithSpaces>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2021-12-20T09:21:00Z</dcterms:created>
  <dc:creator>Anakin</dc:creator>
  <cp:lastModifiedBy>陈陈</cp:lastModifiedBy>
  <cp:lastPrinted>2019-12-07T23:20:00Z</cp:lastPrinted>
  <dcterms:modified xsi:type="dcterms:W3CDTF">2025-04-17T06:28:52Z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90947656F7EF92764CCB5A67A4650F90_43</vt:lpwstr>
  </property>
  <property fmtid="{D5CDD505-2E9C-101B-9397-08002B2CF9AE}" pid="4" name="KSOTemplateDocerSaveRecord">
    <vt:lpwstr>eyJoZGlkIjoiMDdkZjJiODY3YjA0YjhjZTJhNDQ5YTU4NDBkMmU5MzAiLCJ1c2VySWQiOiIxMTI0NDY4OTU4In0=</vt:lpwstr>
  </property>
</Properties>
</file>