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EFA22">
      <w:pPr>
        <w:tabs>
          <w:tab w:val="left" w:pos="315"/>
          <w:tab w:val="left" w:pos="8820"/>
        </w:tabs>
        <w:spacing w:beforeLines="100" w:afterLines="50" w:line="500" w:lineRule="exact"/>
        <w:ind w:right="267" w:rightChars="127"/>
        <w:jc w:val="center"/>
        <w:rPr>
          <w:rFonts w:ascii="宋体" w:hAnsi="宋体" w:eastAsia="宋体"/>
          <w:b/>
          <w:bCs/>
          <w:color w:val="auto"/>
          <w:sz w:val="52"/>
          <w:szCs w:val="52"/>
          <w:highlight w:val="none"/>
        </w:rPr>
      </w:pPr>
    </w:p>
    <w:p w14:paraId="458E70CE">
      <w:pPr>
        <w:tabs>
          <w:tab w:val="left" w:pos="315"/>
          <w:tab w:val="left" w:pos="8820"/>
        </w:tabs>
        <w:spacing w:beforeLines="100" w:afterLines="50" w:line="500" w:lineRule="exact"/>
        <w:ind w:right="267" w:rightChars="127"/>
        <w:jc w:val="center"/>
        <w:rPr>
          <w:rFonts w:ascii="宋体" w:hAnsi="宋体" w:eastAsia="宋体"/>
          <w:b/>
          <w:bCs/>
          <w:color w:val="auto"/>
          <w:sz w:val="52"/>
          <w:szCs w:val="52"/>
          <w:highlight w:val="none"/>
        </w:rPr>
      </w:pPr>
    </w:p>
    <w:p w14:paraId="676CCB92">
      <w:pPr>
        <w:tabs>
          <w:tab w:val="left" w:pos="315"/>
          <w:tab w:val="left" w:pos="8820"/>
        </w:tabs>
        <w:spacing w:beforeLines="100" w:afterLines="50" w:line="500" w:lineRule="exact"/>
        <w:ind w:right="267" w:rightChars="127"/>
        <w:jc w:val="center"/>
        <w:rPr>
          <w:rFonts w:ascii="宋体" w:hAnsi="宋体" w:eastAsia="宋体"/>
          <w:b/>
          <w:bCs/>
          <w:color w:val="auto"/>
          <w:sz w:val="52"/>
          <w:szCs w:val="52"/>
          <w:highlight w:val="none"/>
        </w:rPr>
      </w:pPr>
    </w:p>
    <w:p w14:paraId="18198FDE">
      <w:pPr>
        <w:tabs>
          <w:tab w:val="left" w:pos="315"/>
          <w:tab w:val="left" w:pos="8820"/>
        </w:tabs>
        <w:spacing w:beforeLines="100" w:afterLines="50" w:line="500" w:lineRule="exact"/>
        <w:ind w:right="267" w:rightChars="127"/>
        <w:jc w:val="center"/>
        <w:rPr>
          <w:rFonts w:ascii="宋体" w:hAnsi="宋体" w:eastAsia="宋体"/>
          <w:b/>
          <w:bCs/>
          <w:color w:val="auto"/>
          <w:sz w:val="52"/>
          <w:szCs w:val="52"/>
          <w:highlight w:val="none"/>
        </w:rPr>
      </w:pPr>
      <w:bookmarkStart w:id="0" w:name="_Hlk9544796"/>
      <w:r>
        <w:rPr>
          <w:rFonts w:hint="eastAsia" w:ascii="宋体" w:hAnsi="宋体" w:eastAsia="宋体"/>
          <w:b/>
          <w:bCs/>
          <w:color w:val="auto"/>
          <w:sz w:val="52"/>
          <w:szCs w:val="52"/>
          <w:highlight w:val="none"/>
        </w:rPr>
        <w:t>安徽省政府采购项目</w:t>
      </w:r>
    </w:p>
    <w:p w14:paraId="1DF2FE1C">
      <w:pPr>
        <w:tabs>
          <w:tab w:val="left" w:pos="315"/>
          <w:tab w:val="left" w:pos="8820"/>
        </w:tabs>
        <w:spacing w:beforeLines="100" w:afterLines="50" w:line="500" w:lineRule="exact"/>
        <w:ind w:right="267" w:rightChars="127"/>
        <w:jc w:val="center"/>
        <w:rPr>
          <w:rFonts w:ascii="宋体" w:hAnsi="宋体" w:eastAsia="宋体"/>
          <w:b/>
          <w:bCs/>
          <w:color w:val="auto"/>
          <w:sz w:val="52"/>
          <w:szCs w:val="52"/>
          <w:highlight w:val="none"/>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rPr>
        <w:t>（服务类）</w:t>
      </w:r>
    </w:p>
    <w:p w14:paraId="063DB9B9">
      <w:pPr>
        <w:widowControl/>
        <w:jc w:val="center"/>
        <w:rPr>
          <w:color w:val="auto"/>
          <w:highlight w:val="none"/>
        </w:rPr>
      </w:pPr>
      <w:r>
        <w:rPr>
          <w:rFonts w:hint="eastAsia" w:ascii="宋体" w:hAnsi="宋体" w:eastAsia="宋体" w:cs="宋体"/>
          <w:b/>
          <w:bCs/>
          <w:color w:val="auto"/>
          <w:kern w:val="0"/>
          <w:sz w:val="52"/>
          <w:szCs w:val="52"/>
          <w:highlight w:val="none"/>
        </w:rPr>
        <w:t>（2024年版）</w:t>
      </w:r>
    </w:p>
    <w:p w14:paraId="7EF2EFC5">
      <w:pPr>
        <w:tabs>
          <w:tab w:val="left" w:pos="315"/>
          <w:tab w:val="left" w:pos="8820"/>
        </w:tabs>
        <w:spacing w:beforeLines="100" w:afterLines="50" w:line="500" w:lineRule="exact"/>
        <w:ind w:right="267" w:rightChars="127"/>
        <w:jc w:val="center"/>
        <w:rPr>
          <w:rFonts w:ascii="宋体" w:hAnsi="宋体" w:eastAsia="宋体"/>
          <w:b/>
          <w:bCs/>
          <w:color w:val="auto"/>
          <w:sz w:val="44"/>
          <w:szCs w:val="44"/>
          <w:highlight w:val="none"/>
        </w:rPr>
      </w:pPr>
    </w:p>
    <w:p w14:paraId="7C8FCCD7">
      <w:pPr>
        <w:tabs>
          <w:tab w:val="left" w:pos="315"/>
          <w:tab w:val="left" w:pos="8820"/>
        </w:tabs>
        <w:spacing w:beforeLines="100" w:afterLines="50" w:line="500" w:lineRule="exact"/>
        <w:ind w:right="267" w:rightChars="127"/>
        <w:jc w:val="center"/>
        <w:rPr>
          <w:rFonts w:ascii="宋体" w:hAnsi="宋体" w:eastAsia="宋体"/>
          <w:b/>
          <w:bCs/>
          <w:color w:val="auto"/>
          <w:sz w:val="44"/>
          <w:szCs w:val="44"/>
          <w:highlight w:val="none"/>
        </w:rPr>
      </w:pPr>
    </w:p>
    <w:p w14:paraId="1BED40CF">
      <w:pPr>
        <w:tabs>
          <w:tab w:val="left" w:pos="315"/>
          <w:tab w:val="left" w:pos="8820"/>
        </w:tabs>
        <w:spacing w:beforeLines="100" w:afterLines="50" w:line="500" w:lineRule="exact"/>
        <w:ind w:right="267" w:rightChars="127"/>
        <w:jc w:val="center"/>
        <w:rPr>
          <w:rFonts w:ascii="宋体" w:hAnsi="宋体" w:eastAsia="宋体"/>
          <w:b/>
          <w:bCs/>
          <w:color w:val="auto"/>
          <w:sz w:val="44"/>
          <w:szCs w:val="44"/>
          <w:highlight w:val="none"/>
        </w:rPr>
      </w:pPr>
    </w:p>
    <w:p w14:paraId="56010F32">
      <w:pPr>
        <w:tabs>
          <w:tab w:val="left" w:pos="315"/>
          <w:tab w:val="left" w:pos="8820"/>
        </w:tabs>
        <w:spacing w:beforeLines="100" w:afterLines="50" w:line="500" w:lineRule="exact"/>
        <w:ind w:right="267" w:rightChars="127"/>
        <w:jc w:val="center"/>
        <w:rPr>
          <w:rFonts w:ascii="宋体" w:hAnsi="宋体" w:eastAsia="宋体"/>
          <w:b/>
          <w:bCs/>
          <w:color w:val="auto"/>
          <w:sz w:val="44"/>
          <w:szCs w:val="44"/>
          <w:highlight w:val="none"/>
        </w:rPr>
      </w:pPr>
    </w:p>
    <w:p w14:paraId="215C8D57">
      <w:pPr>
        <w:tabs>
          <w:tab w:val="left" w:pos="315"/>
          <w:tab w:val="left" w:pos="8820"/>
        </w:tabs>
        <w:spacing w:beforeLines="100" w:afterLines="50" w:line="500" w:lineRule="exact"/>
        <w:ind w:right="267" w:rightChars="127"/>
        <w:jc w:val="center"/>
        <w:rPr>
          <w:rFonts w:ascii="宋体" w:hAnsi="宋体" w:eastAsia="宋体"/>
          <w:b/>
          <w:bCs/>
          <w:color w:val="auto"/>
          <w:sz w:val="44"/>
          <w:szCs w:val="44"/>
          <w:highlight w:val="none"/>
        </w:rPr>
      </w:pPr>
    </w:p>
    <w:p w14:paraId="1F6336F0">
      <w:pPr>
        <w:tabs>
          <w:tab w:val="left" w:pos="2410"/>
        </w:tabs>
        <w:autoSpaceDE w:val="0"/>
        <w:autoSpaceDN w:val="0"/>
        <w:adjustRightInd w:val="0"/>
        <w:snapToGrid w:val="0"/>
        <w:spacing w:line="360" w:lineRule="auto"/>
        <w:ind w:left="2444" w:leftChars="304" w:hanging="1806" w:hangingChars="500"/>
        <w:rPr>
          <w:rFonts w:hint="eastAsia" w:ascii="宋体" w:hAnsi="宋体" w:eastAsia="宋体"/>
          <w:b/>
          <w:color w:val="auto"/>
          <w:spacing w:val="20"/>
          <w:kern w:val="0"/>
          <w:sz w:val="32"/>
          <w:szCs w:val="32"/>
          <w:highlight w:val="none"/>
          <w:u w:val="single"/>
          <w:lang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eastAsia="zh-CN"/>
        </w:rPr>
        <w:t>定远县2025年农村公路第三方检测项目</w:t>
      </w:r>
    </w:p>
    <w:p w14:paraId="631B054F">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lang w:val="en-US" w:eastAsia="zh-CN"/>
        </w:rPr>
      </w:pPr>
      <w:bookmarkStart w:id="224" w:name="_GoBack"/>
      <w:r>
        <w:rPr>
          <w:rFonts w:hint="eastAsia" w:ascii="宋体" w:hAnsi="宋体" w:eastAsia="宋体"/>
          <w:b/>
          <w:color w:val="auto"/>
          <w:spacing w:val="20"/>
          <w:kern w:val="0"/>
          <w:sz w:val="32"/>
          <w:szCs w:val="32"/>
          <w:highlight w:val="none"/>
        </w:rPr>
        <w:t>项目编号</w:t>
      </w:r>
      <w:bookmarkEnd w:id="224"/>
      <w:r>
        <w:rPr>
          <w:rFonts w:hint="eastAsia" w:ascii="宋体" w:hAnsi="宋体" w:eastAsia="宋体"/>
          <w:b/>
          <w:color w:val="auto"/>
          <w:spacing w:val="20"/>
          <w:kern w:val="0"/>
          <w:sz w:val="32"/>
          <w:szCs w:val="32"/>
          <w:highlight w:val="none"/>
        </w:rPr>
        <w:t>：</w:t>
      </w:r>
      <w:r>
        <w:rPr>
          <w:rFonts w:hint="eastAsia" w:ascii="宋体" w:hAnsi="宋体" w:eastAsia="宋体"/>
          <w:b/>
          <w:color w:val="auto"/>
          <w:spacing w:val="20"/>
          <w:kern w:val="0"/>
          <w:sz w:val="32"/>
          <w:szCs w:val="32"/>
          <w:highlight w:val="none"/>
          <w:lang w:val="en-US" w:eastAsia="zh-CN"/>
        </w:rPr>
        <w:t>czdycg202504-010</w:t>
      </w:r>
    </w:p>
    <w:p w14:paraId="7A70A474">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lang w:eastAsia="zh-CN"/>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lang w:eastAsia="zh-CN"/>
        </w:rPr>
        <w:t>定远县公路运输管理服务中心</w:t>
      </w:r>
    </w:p>
    <w:p w14:paraId="33B06E6A">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single"/>
          <w:lang w:eastAsia="zh-CN"/>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lang w:eastAsia="zh-CN"/>
        </w:rPr>
        <w:t>安徽云算工程造价咨询有限公司</w:t>
      </w:r>
    </w:p>
    <w:p w14:paraId="1A36613A">
      <w:pPr>
        <w:tabs>
          <w:tab w:val="left" w:pos="315"/>
          <w:tab w:val="left" w:pos="8820"/>
        </w:tabs>
        <w:spacing w:beforeLines="100" w:afterLines="50" w:line="500" w:lineRule="exact"/>
        <w:ind w:right="267" w:rightChars="127"/>
        <w:jc w:val="center"/>
        <w:rPr>
          <w:rFonts w:ascii="宋体" w:hAnsi="宋体" w:eastAsia="宋体"/>
          <w:b/>
          <w:bCs/>
          <w:color w:val="auto"/>
          <w:sz w:val="44"/>
          <w:szCs w:val="44"/>
          <w:highlight w:val="none"/>
        </w:rPr>
      </w:pPr>
    </w:p>
    <w:p w14:paraId="13EFE033">
      <w:pPr>
        <w:tabs>
          <w:tab w:val="left" w:pos="2410"/>
        </w:tabs>
        <w:autoSpaceDE w:val="0"/>
        <w:autoSpaceDN w:val="0"/>
        <w:adjustRightInd w:val="0"/>
        <w:snapToGrid w:val="0"/>
        <w:spacing w:line="360" w:lineRule="auto"/>
        <w:jc w:val="center"/>
        <w:rPr>
          <w:rFonts w:ascii="宋体" w:hAnsi="宋体" w:eastAsia="宋体"/>
          <w:b/>
          <w:color w:val="auto"/>
          <w:sz w:val="36"/>
          <w:highlight w:val="none"/>
        </w:rPr>
      </w:pPr>
      <w:r>
        <w:rPr>
          <w:rFonts w:hint="eastAsia" w:ascii="宋体" w:hAnsi="宋体" w:eastAsia="宋体"/>
          <w:b/>
          <w:color w:val="auto"/>
          <w:sz w:val="36"/>
          <w:highlight w:val="none"/>
          <w:u w:val="single"/>
        </w:rPr>
        <w:t>2025</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lang w:val="en-US" w:eastAsia="zh-CN"/>
        </w:rPr>
        <w:t xml:space="preserve"> 4 </w:t>
      </w:r>
      <w:r>
        <w:rPr>
          <w:rFonts w:hint="eastAsia" w:ascii="宋体" w:hAnsi="宋体" w:eastAsia="宋体"/>
          <w:b/>
          <w:color w:val="auto"/>
          <w:sz w:val="36"/>
          <w:highlight w:val="none"/>
        </w:rPr>
        <w:t>月</w:t>
      </w:r>
      <w:r>
        <w:rPr>
          <w:rFonts w:ascii="宋体" w:hAnsi="宋体" w:eastAsia="宋体"/>
          <w:b/>
          <w:color w:val="auto"/>
          <w:sz w:val="36"/>
          <w:highlight w:val="none"/>
        </w:rPr>
        <w:br w:type="page"/>
      </w:r>
    </w:p>
    <w:p w14:paraId="1B1B622C">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p>
    <w:p w14:paraId="26C4501B">
      <w:pPr>
        <w:tabs>
          <w:tab w:val="left" w:pos="2410"/>
        </w:tabs>
        <w:autoSpaceDE w:val="0"/>
        <w:autoSpaceDN w:val="0"/>
        <w:adjustRightInd w:val="0"/>
        <w:snapToGrid w:val="0"/>
        <w:spacing w:line="600" w:lineRule="exact"/>
        <w:jc w:val="center"/>
        <w:rPr>
          <w:rFonts w:ascii="宋体" w:hAnsi="宋体" w:eastAsia="宋体" w:cs="宋体"/>
          <w:b/>
          <w:color w:val="auto"/>
          <w:sz w:val="28"/>
          <w:highlight w:val="none"/>
        </w:rPr>
      </w:pPr>
      <w:r>
        <w:rPr>
          <w:rFonts w:hint="eastAsia" w:ascii="宋体" w:hAnsi="宋体" w:eastAsia="宋体" w:cs="宋体"/>
          <w:b/>
          <w:color w:val="auto"/>
          <w:sz w:val="28"/>
          <w:highlight w:val="none"/>
        </w:rPr>
        <w:t>目  录</w:t>
      </w:r>
    </w:p>
    <w:p w14:paraId="7BBF5A8D">
      <w:pPr>
        <w:pStyle w:val="25"/>
        <w:tabs>
          <w:tab w:val="right" w:leader="dot" w:pos="8306"/>
        </w:tabs>
        <w:spacing w:line="600" w:lineRule="exact"/>
        <w:jc w:val="center"/>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"1-2" \h \z \u </w:instrText>
      </w:r>
      <w:r>
        <w:rPr>
          <w:rFonts w:hint="eastAsia" w:ascii="宋体" w:hAnsi="宋体" w:eastAsia="宋体" w:cs="宋体"/>
          <w:b/>
          <w:color w:val="auto"/>
          <w:sz w:val="24"/>
          <w:szCs w:val="24"/>
          <w:highlight w:val="none"/>
        </w:rPr>
        <w:fldChar w:fldCharType="separate"/>
      </w:r>
      <w:r>
        <w:rPr>
          <w:color w:val="auto"/>
          <w:highlight w:val="none"/>
        </w:rPr>
        <w:fldChar w:fldCharType="begin"/>
      </w:r>
      <w:r>
        <w:rPr>
          <w:color w:val="auto"/>
          <w:highlight w:val="none"/>
        </w:rPr>
        <w:instrText xml:space="preserve"> HYPERLINK \l "_Toc32331" </w:instrText>
      </w:r>
      <w:r>
        <w:rPr>
          <w:color w:val="auto"/>
          <w:highlight w:val="none"/>
        </w:rPr>
        <w:fldChar w:fldCharType="separate"/>
      </w:r>
      <w:r>
        <w:rPr>
          <w:rFonts w:hint="eastAsia" w:ascii="宋体" w:hAnsi="宋体" w:eastAsia="宋体" w:cs="宋体"/>
          <w:color w:val="auto"/>
          <w:sz w:val="24"/>
          <w:szCs w:val="24"/>
          <w:highlight w:val="none"/>
        </w:rPr>
        <w:t>第一章  投标邀请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p>
    <w:p w14:paraId="17D3104D">
      <w:pPr>
        <w:pStyle w:val="25"/>
        <w:tabs>
          <w:tab w:val="right" w:leader="dot" w:pos="8306"/>
        </w:tabs>
        <w:spacing w:line="600" w:lineRule="exact"/>
        <w:jc w:val="center"/>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"_Toc8888" </w:instrText>
      </w:r>
      <w:r>
        <w:rPr>
          <w:color w:val="auto"/>
          <w:highlight w:val="none"/>
        </w:rPr>
        <w:fldChar w:fldCharType="separate"/>
      </w:r>
      <w:r>
        <w:rPr>
          <w:rFonts w:hint="eastAsia" w:ascii="宋体" w:hAnsi="宋体" w:eastAsia="宋体" w:cs="宋体"/>
          <w:color w:val="auto"/>
          <w:sz w:val="24"/>
          <w:szCs w:val="24"/>
          <w:highlight w:val="none"/>
        </w:rPr>
        <w:t>第二章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p>
    <w:p w14:paraId="4ABD7478">
      <w:pPr>
        <w:pStyle w:val="25"/>
        <w:tabs>
          <w:tab w:val="right" w:leader="dot" w:pos="8306"/>
        </w:tabs>
        <w:spacing w:line="600" w:lineRule="exact"/>
        <w:jc w:val="center"/>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"_Toc22605" </w:instrText>
      </w:r>
      <w:r>
        <w:rPr>
          <w:color w:val="auto"/>
          <w:highlight w:val="none"/>
        </w:rPr>
        <w:fldChar w:fldCharType="separate"/>
      </w:r>
      <w:r>
        <w:rPr>
          <w:rFonts w:hint="eastAsia" w:ascii="宋体" w:hAnsi="宋体" w:eastAsia="宋体" w:cs="宋体"/>
          <w:color w:val="auto"/>
          <w:sz w:val="24"/>
          <w:szCs w:val="24"/>
          <w:highlight w:val="none"/>
        </w:rPr>
        <w:t>第三章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4</w:t>
      </w:r>
    </w:p>
    <w:p w14:paraId="27FCEC59">
      <w:pPr>
        <w:pStyle w:val="25"/>
        <w:tabs>
          <w:tab w:val="right" w:leader="dot" w:pos="8306"/>
        </w:tabs>
        <w:spacing w:line="600" w:lineRule="exact"/>
        <w:jc w:val="center"/>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"_Toc30824" </w:instrText>
      </w:r>
      <w:r>
        <w:rPr>
          <w:color w:val="auto"/>
          <w:highlight w:val="none"/>
        </w:rPr>
        <w:fldChar w:fldCharType="separate"/>
      </w:r>
      <w:r>
        <w:rPr>
          <w:rFonts w:hint="eastAsia" w:ascii="宋体" w:hAnsi="宋体" w:eastAsia="宋体" w:cs="宋体"/>
          <w:color w:val="auto"/>
          <w:sz w:val="24"/>
          <w:szCs w:val="24"/>
          <w:highlight w:val="none"/>
        </w:rPr>
        <w:t>第四章  评标方法和标准（综合评分法）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6</w:t>
      </w:r>
    </w:p>
    <w:p w14:paraId="32ED48C6">
      <w:pPr>
        <w:pStyle w:val="25"/>
        <w:tabs>
          <w:tab w:val="right" w:leader="dot" w:pos="8306"/>
        </w:tabs>
        <w:spacing w:line="600" w:lineRule="exact"/>
        <w:jc w:val="center"/>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"_Toc20405" </w:instrText>
      </w:r>
      <w:r>
        <w:rPr>
          <w:color w:val="auto"/>
          <w:highlight w:val="none"/>
        </w:rPr>
        <w:fldChar w:fldCharType="separate"/>
      </w:r>
      <w:r>
        <w:rPr>
          <w:rFonts w:hint="eastAsia" w:ascii="宋体" w:hAnsi="宋体" w:eastAsia="宋体" w:cs="宋体"/>
          <w:color w:val="auto"/>
          <w:sz w:val="24"/>
          <w:szCs w:val="24"/>
          <w:highlight w:val="none"/>
        </w:rPr>
        <w:t>第五章  政府采购合同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9</w:t>
      </w:r>
    </w:p>
    <w:p w14:paraId="4A99820B">
      <w:pPr>
        <w:pStyle w:val="25"/>
        <w:tabs>
          <w:tab w:val="right" w:leader="dot" w:pos="8306"/>
        </w:tabs>
        <w:spacing w:line="600" w:lineRule="exact"/>
        <w:jc w:val="center"/>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"_Toc13555" </w:instrText>
      </w:r>
      <w:r>
        <w:rPr>
          <w:color w:val="auto"/>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0</w:t>
      </w:r>
    </w:p>
    <w:p w14:paraId="72028FB5">
      <w:pPr>
        <w:pStyle w:val="25"/>
        <w:tabs>
          <w:tab w:val="right" w:leader="dot" w:pos="8306"/>
        </w:tabs>
        <w:spacing w:line="600" w:lineRule="exact"/>
        <w:jc w:val="center"/>
        <w:rPr>
          <w:rFonts w:ascii="宋体" w:hAnsi="宋体" w:eastAsia="宋体" w:cs="宋体"/>
          <w:color w:val="auto"/>
          <w:szCs w:val="24"/>
          <w:highlight w:val="none"/>
        </w:rPr>
      </w:pPr>
      <w:r>
        <w:rPr>
          <w:color w:val="auto"/>
          <w:highlight w:val="none"/>
        </w:rPr>
        <w:fldChar w:fldCharType="begin"/>
      </w:r>
      <w:r>
        <w:rPr>
          <w:color w:val="auto"/>
          <w:highlight w:val="none"/>
        </w:rPr>
        <w:instrText xml:space="preserve"> HYPERLINK \l "_Toc20819" </w:instrText>
      </w:r>
      <w:r>
        <w:rPr>
          <w:color w:val="auto"/>
          <w:highlight w:val="none"/>
        </w:rPr>
        <w:fldChar w:fldCharType="separate"/>
      </w:r>
      <w:r>
        <w:rPr>
          <w:rFonts w:hint="eastAsia" w:ascii="宋体" w:hAnsi="宋体" w:eastAsia="宋体" w:cs="宋体"/>
          <w:color w:val="auto"/>
          <w:sz w:val="24"/>
          <w:szCs w:val="24"/>
          <w:highlight w:val="none"/>
        </w:rPr>
        <w:t>第七章</w:t>
      </w:r>
      <w:r>
        <w:rPr>
          <w:rFonts w:hint="eastAsia" w:ascii="宋体" w:hAnsi="宋体" w:eastAsia="宋体" w:cs="宋体"/>
          <w:bCs/>
          <w:color w:val="auto"/>
          <w:sz w:val="24"/>
          <w:szCs w:val="24"/>
          <w:highlight w:val="none"/>
        </w:rPr>
        <w:t xml:space="preserve">  政府采购</w:t>
      </w:r>
      <w:r>
        <w:rPr>
          <w:rFonts w:hint="eastAsia" w:ascii="宋体" w:hAnsi="宋体" w:eastAsia="宋体" w:cs="宋体"/>
          <w:color w:val="auto"/>
          <w:sz w:val="24"/>
          <w:szCs w:val="24"/>
          <w:highlight w:val="none"/>
        </w:rPr>
        <w:t>供应</w:t>
      </w:r>
      <w:r>
        <w:rPr>
          <w:rFonts w:hint="eastAsia" w:ascii="宋体" w:hAnsi="宋体" w:eastAsia="宋体" w:cs="宋体"/>
          <w:bCs/>
          <w:color w:val="auto"/>
          <w:sz w:val="24"/>
          <w:szCs w:val="24"/>
          <w:highlight w:val="none"/>
        </w:rPr>
        <w:t>商询问函和质疑函范本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9</w:t>
      </w:r>
    </w:p>
    <w:p w14:paraId="0CE60544">
      <w:pPr>
        <w:pStyle w:val="25"/>
        <w:tabs>
          <w:tab w:val="right" w:leader="dot" w:pos="8306"/>
        </w:tabs>
        <w:rPr>
          <w:rFonts w:asciiTheme="minorEastAsia" w:hAnsiTheme="minorEastAsia"/>
          <w:b/>
          <w:color w:val="auto"/>
          <w:sz w:val="32"/>
          <w:highlight w:val="none"/>
        </w:rPr>
      </w:pPr>
      <w:r>
        <w:rPr>
          <w:rFonts w:hint="eastAsia" w:ascii="宋体" w:hAnsi="宋体" w:eastAsia="宋体" w:cs="宋体"/>
          <w:color w:val="auto"/>
          <w:szCs w:val="24"/>
          <w:highlight w:val="none"/>
        </w:rPr>
        <w:fldChar w:fldCharType="end"/>
      </w:r>
    </w:p>
    <w:p w14:paraId="45B95857">
      <w:pPr>
        <w:spacing w:line="360" w:lineRule="auto"/>
        <w:rPr>
          <w:rFonts w:asciiTheme="minorEastAsia" w:hAnsiTheme="minorEastAsia" w:eastAsiaTheme="minorEastAsia"/>
          <w:b/>
          <w:color w:val="auto"/>
          <w:sz w:val="32"/>
          <w:highlight w:val="none"/>
        </w:rPr>
      </w:pPr>
    </w:p>
    <w:p w14:paraId="3F58D347">
      <w:pPr>
        <w:spacing w:line="360" w:lineRule="auto"/>
        <w:jc w:val="center"/>
        <w:outlineLvl w:val="1"/>
        <w:rPr>
          <w:rFonts w:asciiTheme="minorEastAsia" w:hAnsiTheme="minorEastAsia" w:eastAsiaTheme="minorEastAsia"/>
          <w:b/>
          <w:color w:val="auto"/>
          <w:sz w:val="28"/>
          <w:highlight w:val="none"/>
        </w:rPr>
        <w:sectPr>
          <w:headerReference r:id="rId3" w:type="default"/>
          <w:footerReference r:id="rId4" w:type="default"/>
          <w:pgSz w:w="11906" w:h="16838"/>
          <w:pgMar w:top="1134" w:right="1134" w:bottom="1134" w:left="1134" w:header="851" w:footer="992" w:gutter="0"/>
          <w:cols w:space="425" w:num="1"/>
          <w:docGrid w:type="lines" w:linePitch="312" w:charSpace="0"/>
        </w:sectPr>
      </w:pPr>
    </w:p>
    <w:p w14:paraId="6474CC27">
      <w:pPr>
        <w:pStyle w:val="2"/>
        <w:tabs>
          <w:tab w:val="left" w:pos="0"/>
          <w:tab w:val="left" w:pos="3165"/>
          <w:tab w:val="center" w:pos="4153"/>
        </w:tabs>
        <w:autoSpaceDE w:val="0"/>
        <w:autoSpaceDN w:val="0"/>
        <w:adjustRightInd w:val="0"/>
        <w:spacing w:before="0" w:after="0" w:line="420" w:lineRule="exact"/>
        <w:jc w:val="center"/>
        <w:rPr>
          <w:rFonts w:asciiTheme="minorEastAsia" w:hAnsiTheme="minorEastAsia" w:eastAsiaTheme="minorEastAsia"/>
          <w:color w:val="auto"/>
          <w:sz w:val="28"/>
          <w:highlight w:val="none"/>
        </w:rPr>
      </w:pPr>
      <w:bookmarkStart w:id="1" w:name="_Toc32331"/>
      <w:r>
        <w:rPr>
          <w:rFonts w:hint="eastAsia" w:asciiTheme="minorEastAsia" w:hAnsiTheme="minorEastAsia" w:eastAsiaTheme="minorEastAsia"/>
          <w:color w:val="auto"/>
          <w:sz w:val="28"/>
          <w:highlight w:val="none"/>
        </w:rPr>
        <w:t xml:space="preserve">第一章 </w:t>
      </w:r>
      <w:bookmarkEnd w:id="1"/>
      <w:bookmarkStart w:id="2" w:name="_Toc28359002"/>
      <w:bookmarkStart w:id="3" w:name="_Toc28359079"/>
      <w:bookmarkStart w:id="4" w:name="_Toc35393621"/>
      <w:bookmarkStart w:id="5" w:name="_Toc35393790"/>
      <w:bookmarkStart w:id="6" w:name="_Hlk24379207"/>
      <w:r>
        <w:rPr>
          <w:rFonts w:asciiTheme="minorEastAsia" w:hAnsiTheme="minorEastAsia" w:eastAsiaTheme="minorEastAsia"/>
          <w:color w:val="auto"/>
          <w:sz w:val="28"/>
          <w:highlight w:val="none"/>
        </w:rPr>
        <w:t>投标邀请</w:t>
      </w:r>
    </w:p>
    <w:p w14:paraId="7F54E545">
      <w:pPr>
        <w:keepNext/>
        <w:keepLines/>
        <w:spacing w:line="5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2C2EBB2C">
      <w:pPr>
        <w:keepNext/>
        <w:keepLines/>
        <w:spacing w:line="5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定远县2025年农村公路第三方检测项目</w:t>
      </w:r>
      <w:r>
        <w:rPr>
          <w:rFonts w:hint="eastAsia" w:ascii="宋体" w:hAnsi="宋体" w:eastAsia="宋体" w:cs="宋体"/>
          <w:color w:val="auto"/>
          <w:sz w:val="24"/>
          <w:szCs w:val="24"/>
          <w:highlight w:val="none"/>
        </w:rPr>
        <w:t>的潜在供应商应在滁州市公共资源交易中心网（http：//ggzy.chuzhou.gov.cn/）获取招标文件，并于</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rPr>
        <w:t>点</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分（北京时间）前递交投标文件。</w:t>
      </w:r>
    </w:p>
    <w:p w14:paraId="3ECD8990">
      <w:pPr>
        <w:spacing w:line="520" w:lineRule="exact"/>
        <w:ind w:firstLine="437"/>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bookmarkEnd w:id="2"/>
      <w:bookmarkEnd w:id="3"/>
      <w:bookmarkEnd w:id="4"/>
      <w:bookmarkEnd w:id="5"/>
    </w:p>
    <w:p w14:paraId="0D08E15D">
      <w:pPr>
        <w:spacing w:line="5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czdycg202504-010</w:t>
      </w:r>
    </w:p>
    <w:p w14:paraId="76454A14">
      <w:pPr>
        <w:spacing w:line="5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bookmarkEnd w:id="6"/>
      <w:r>
        <w:rPr>
          <w:rFonts w:hint="eastAsia" w:ascii="宋体" w:hAnsi="宋体" w:eastAsia="宋体" w:cs="宋体"/>
          <w:color w:val="auto"/>
          <w:sz w:val="24"/>
          <w:szCs w:val="24"/>
          <w:highlight w:val="none"/>
          <w:lang w:eastAsia="zh-CN"/>
        </w:rPr>
        <w:t>定远县2025年农村公路第三方检测项目</w:t>
      </w:r>
    </w:p>
    <w:p w14:paraId="45E1DDCF">
      <w:pPr>
        <w:spacing w:line="5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预算金额：第三方检测费</w:t>
      </w:r>
      <w:r>
        <w:rPr>
          <w:rFonts w:hint="eastAsia" w:ascii="宋体" w:hAnsi="宋体" w:eastAsia="宋体" w:cs="宋体"/>
          <w:color w:val="auto"/>
          <w:sz w:val="24"/>
          <w:szCs w:val="24"/>
          <w:highlight w:val="none"/>
          <w:lang w:eastAsia="zh-CN"/>
        </w:rPr>
        <w:t>约</w:t>
      </w:r>
      <w:r>
        <w:rPr>
          <w:rFonts w:hint="eastAsia" w:ascii="宋体" w:hAnsi="宋体" w:eastAsia="宋体" w:cs="宋体"/>
          <w:color w:val="auto"/>
          <w:sz w:val="24"/>
          <w:szCs w:val="24"/>
          <w:highlight w:val="none"/>
          <w:lang w:val="en-US" w:eastAsia="zh-CN"/>
        </w:rPr>
        <w:t>35万元 。</w:t>
      </w:r>
    </w:p>
    <w:p w14:paraId="03A1080E">
      <w:pPr>
        <w:spacing w:line="5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val="en-US" w:eastAsia="zh-CN"/>
        </w:rPr>
        <w:t>本项目投标报价采用费率报价。投标报价费率最高限价为10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，投标报价高于最高限价的，其投标文件按无效投标处理。</w:t>
      </w:r>
    </w:p>
    <w:p w14:paraId="352A31ED">
      <w:pPr>
        <w:spacing w:line="52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宋体" w:hAnsi="宋体" w:eastAsia="宋体" w:cs="宋体"/>
          <w:color w:val="auto"/>
          <w:sz w:val="24"/>
          <w:szCs w:val="24"/>
          <w:highlight w:val="none"/>
        </w:rPr>
        <w:t>采购需求：依据图纸及规划，对路基、路面、桥梁涵洞、预制构件、交通安全设施工程等检测。具体项目包含本年度其他农村公路项目</w:t>
      </w:r>
      <w:r>
        <w:rPr>
          <w:rFonts w:hint="eastAsia" w:asciiTheme="minorEastAsia" w:hAnsiTheme="minorEastAsia" w:eastAsiaTheme="minorEastAsia" w:cstheme="minorEastAsia"/>
          <w:color w:val="auto"/>
          <w:sz w:val="24"/>
          <w:highlight w:val="none"/>
          <w:lang w:val="en-US" w:eastAsia="zh-CN"/>
        </w:rPr>
        <w:t>。</w:t>
      </w:r>
    </w:p>
    <w:p w14:paraId="2A9BD9CD">
      <w:pPr>
        <w:spacing w:line="5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合同履行期限：计划工期 365 日历天（本项目试验检测服务期涵盖施工阶段和缺陷责任期阶段）</w:t>
      </w:r>
      <w:r>
        <w:rPr>
          <w:rFonts w:hint="eastAsia" w:ascii="宋体" w:hAnsi="宋体" w:eastAsia="宋体" w:cs="宋体"/>
          <w:color w:val="auto"/>
          <w:sz w:val="24"/>
          <w:szCs w:val="24"/>
          <w:highlight w:val="none"/>
          <w:lang w:eastAsia="zh-CN"/>
        </w:rPr>
        <w:t>。</w:t>
      </w:r>
    </w:p>
    <w:p w14:paraId="1471A3A8">
      <w:pPr>
        <w:spacing w:line="5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14:paraId="0E3A6DAF">
      <w:pPr>
        <w:spacing w:line="520" w:lineRule="exact"/>
        <w:ind w:firstLine="437"/>
        <w:outlineLvl w:val="1"/>
        <w:rPr>
          <w:rFonts w:ascii="宋体" w:hAnsi="宋体" w:eastAsia="宋体" w:cs="宋体"/>
          <w:b/>
          <w:bCs/>
          <w:color w:val="auto"/>
          <w:sz w:val="24"/>
          <w:szCs w:val="24"/>
          <w:highlight w:val="none"/>
        </w:rPr>
      </w:pPr>
      <w:bookmarkStart w:id="7" w:name="_Toc35393622"/>
      <w:bookmarkStart w:id="8" w:name="_Toc28359080"/>
      <w:bookmarkStart w:id="9" w:name="_Toc35393791"/>
      <w:bookmarkStart w:id="10" w:name="_Toc28359003"/>
      <w:r>
        <w:rPr>
          <w:rFonts w:hint="eastAsia" w:ascii="宋体" w:hAnsi="宋体" w:eastAsia="宋体" w:cs="宋体"/>
          <w:b/>
          <w:bCs/>
          <w:color w:val="auto"/>
          <w:sz w:val="24"/>
          <w:szCs w:val="24"/>
          <w:highlight w:val="none"/>
        </w:rPr>
        <w:t>二、申请人的资格要求：</w:t>
      </w:r>
      <w:bookmarkEnd w:id="7"/>
      <w:bookmarkEnd w:id="8"/>
      <w:bookmarkEnd w:id="9"/>
      <w:bookmarkEnd w:id="10"/>
    </w:p>
    <w:p w14:paraId="3F937F59">
      <w:pPr>
        <w:spacing w:line="5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59EACDCB">
      <w:pPr>
        <w:spacing w:line="360" w:lineRule="auto"/>
        <w:ind w:firstLine="435"/>
        <w:rPr>
          <w:rFonts w:ascii="宋体" w:hAnsi="宋体" w:eastAsia="宋体" w:cs="宋体"/>
          <w:color w:val="auto"/>
          <w:sz w:val="24"/>
          <w:szCs w:val="24"/>
          <w:highlight w:val="none"/>
        </w:rPr>
      </w:pPr>
      <w:bookmarkStart w:id="11" w:name="_Toc28359081"/>
      <w:bookmarkStart w:id="12" w:name="_Toc28359004"/>
      <w:r>
        <w:rPr>
          <w:rFonts w:hint="eastAsia" w:ascii="宋体" w:hAnsi="宋体" w:eastAsia="宋体" w:cs="宋体"/>
          <w:color w:val="auto"/>
          <w:sz w:val="24"/>
          <w:szCs w:val="24"/>
          <w:highlight w:val="none"/>
        </w:rPr>
        <w:t>2.落实政府采购政策需满足的资格要求：按照财政部、工业和信息化部制定的《政府采购促进中小企业发展管理办法》，本项目为专门面向中小企业采购项目。企业划型标准按照《关于印发中小企业划型标准规定的通知》（工信部联企业〔2011〕300号）规定执行；</w:t>
      </w:r>
    </w:p>
    <w:p w14:paraId="42AC65D8">
      <w:pPr>
        <w:pStyle w:val="28"/>
        <w:spacing w:before="0" w:beforeAutospacing="0" w:after="0" w:afterAutospacing="0" w:line="520" w:lineRule="exact"/>
        <w:ind w:firstLine="480" w:firstLineChars="2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3.本项目的特定资格</w:t>
      </w:r>
      <w:r>
        <w:rPr>
          <w:rFonts w:hint="eastAsia" w:ascii="宋体" w:hAnsi="宋体" w:eastAsia="宋体" w:cs="宋体"/>
          <w:color w:val="auto"/>
          <w:szCs w:val="24"/>
          <w:highlight w:val="none"/>
          <w:lang w:val="en-US" w:eastAsia="zh-CN"/>
        </w:rPr>
        <w:t>要求：</w:t>
      </w:r>
    </w:p>
    <w:p w14:paraId="559FBC43">
      <w:pPr>
        <w:pStyle w:val="28"/>
        <w:spacing w:before="0" w:beforeAutospacing="0" w:after="0" w:afterAutospacing="0" w:line="520" w:lineRule="exact"/>
        <w:ind w:firstLine="480" w:firstLineChars="200"/>
        <w:rPr>
          <w:rFonts w:hint="eastAsia" w:ascii="宋体" w:hAnsi="宋体" w:eastAsia="宋体" w:cs="宋体"/>
          <w:color w:val="auto"/>
          <w:szCs w:val="24"/>
          <w:highlight w:val="none"/>
          <w:lang w:val="en-US" w:eastAsia="zh-CN"/>
        </w:rPr>
      </w:pPr>
      <w:r>
        <w:rPr>
          <w:rFonts w:hint="default" w:ascii="宋体" w:hAnsi="宋体" w:eastAsia="宋体" w:cs="宋体"/>
          <w:color w:val="auto"/>
          <w:szCs w:val="24"/>
          <w:highlight w:val="none"/>
          <w:lang w:val="en-US" w:eastAsia="zh-CN"/>
        </w:rPr>
        <w:t>①</w:t>
      </w:r>
      <w:r>
        <w:rPr>
          <w:rFonts w:hint="eastAsia" w:ascii="宋体" w:hAnsi="宋体" w:eastAsia="宋体" w:cs="宋体"/>
          <w:color w:val="auto"/>
          <w:szCs w:val="24"/>
          <w:highlight w:val="none"/>
          <w:lang w:val="en-US" w:eastAsia="zh-CN"/>
        </w:rPr>
        <w:t>、企业要求：投标人须具有交通运输主管部门颁发的公路工程试验检测机构综合乙级及以上试验检测资质（包含交通安全设施检测项目）和有效的具有省级以上质量技术监督部门颁发的“CMA”计量认证证书；</w:t>
      </w:r>
    </w:p>
    <w:p w14:paraId="1A2F9D66">
      <w:pPr>
        <w:pStyle w:val="28"/>
        <w:spacing w:before="0" w:beforeAutospacing="0" w:after="0" w:afterAutospacing="0" w:line="520" w:lineRule="exact"/>
        <w:ind w:firstLine="480" w:firstLineChars="200"/>
        <w:rPr>
          <w:rFonts w:ascii="宋体" w:hAnsi="宋体" w:eastAsia="宋体" w:cs="宋体"/>
          <w:color w:val="auto"/>
          <w:szCs w:val="24"/>
          <w:highlight w:val="none"/>
        </w:rPr>
      </w:pPr>
      <w:r>
        <w:rPr>
          <w:rFonts w:hint="default" w:ascii="宋体" w:hAnsi="宋体" w:eastAsia="宋体" w:cs="宋体"/>
          <w:color w:val="auto"/>
          <w:szCs w:val="24"/>
          <w:highlight w:val="none"/>
          <w:lang w:val="en-US" w:eastAsia="zh-CN"/>
        </w:rPr>
        <w:t>②</w:t>
      </w:r>
      <w:r>
        <w:rPr>
          <w:rFonts w:hint="eastAsia" w:ascii="宋体" w:hAnsi="宋体" w:eastAsia="宋体" w:cs="宋体"/>
          <w:color w:val="auto"/>
          <w:szCs w:val="24"/>
          <w:highlight w:val="none"/>
          <w:lang w:val="en-US" w:eastAsia="zh-CN"/>
        </w:rPr>
        <w:t>、项目负责人要求：持有交通运输部颁发的</w:t>
      </w:r>
      <w:r>
        <w:rPr>
          <w:rFonts w:hint="eastAsia" w:ascii="宋体" w:hAnsi="宋体" w:eastAsia="宋体" w:cs="宋体"/>
          <w:color w:val="auto"/>
          <w:szCs w:val="24"/>
          <w:highlight w:val="none"/>
        </w:rPr>
        <w:t>公路工程试验</w:t>
      </w:r>
      <w:r>
        <w:rPr>
          <w:rFonts w:hint="eastAsia" w:ascii="宋体" w:hAnsi="宋体" w:eastAsia="宋体" w:cs="宋体"/>
          <w:color w:val="auto"/>
          <w:szCs w:val="24"/>
          <w:highlight w:val="none"/>
          <w:lang w:eastAsia="zh-CN"/>
        </w:rPr>
        <w:t>检测</w:t>
      </w:r>
      <w:r>
        <w:rPr>
          <w:rFonts w:hint="eastAsia" w:ascii="宋体" w:hAnsi="宋体" w:eastAsia="宋体" w:cs="宋体"/>
          <w:color w:val="auto"/>
          <w:szCs w:val="24"/>
          <w:highlight w:val="none"/>
        </w:rPr>
        <w:t>工程师资格证</w:t>
      </w:r>
      <w:r>
        <w:rPr>
          <w:rFonts w:hint="eastAsia" w:ascii="宋体" w:hAnsi="宋体" w:eastAsia="宋体" w:cs="宋体"/>
          <w:color w:val="auto"/>
          <w:szCs w:val="24"/>
          <w:highlight w:val="none"/>
          <w:lang w:val="en-US" w:eastAsia="zh-CN"/>
        </w:rPr>
        <w:t>；</w:t>
      </w:r>
    </w:p>
    <w:p w14:paraId="6EE4CA64">
      <w:pPr>
        <w:spacing w:line="5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4.信誉要求：投标人不得存在以下情形：</w:t>
      </w:r>
    </w:p>
    <w:p w14:paraId="7B242E4D">
      <w:pPr>
        <w:spacing w:line="520" w:lineRule="exact"/>
        <w:ind w:firstLine="480" w:firstLineChars="200"/>
        <w:rPr>
          <w:rFonts w:ascii="宋体" w:hAnsi="宋体" w:eastAsia="宋体" w:cs="宋体"/>
          <w:color w:val="auto"/>
          <w:sz w:val="24"/>
          <w:szCs w:val="24"/>
          <w:highlight w:val="none"/>
        </w:rPr>
      </w:pPr>
      <w:bookmarkStart w:id="13" w:name="_Toc35393623"/>
      <w:bookmarkStart w:id="14" w:name="_Toc35393792"/>
      <w:r>
        <w:rPr>
          <w:rFonts w:hint="eastAsia" w:ascii="宋体" w:hAnsi="宋体" w:eastAsia="宋体" w:cs="宋体"/>
          <w:color w:val="auto"/>
          <w:sz w:val="24"/>
          <w:szCs w:val="24"/>
          <w:highlight w:val="none"/>
        </w:rPr>
        <w:t>①投标人被人民法院列入失信被执行人的；</w:t>
      </w:r>
    </w:p>
    <w:p w14:paraId="001143AE">
      <w:pPr>
        <w:spacing w:line="5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②投标人或其法定代表人或拟派项目经理（项目负责人）前三年有行贿犯罪行为的；</w:t>
      </w:r>
    </w:p>
    <w:p w14:paraId="5BB7BA16">
      <w:pPr>
        <w:spacing w:line="5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③投标人被市场监督管理部门列入经营异常名录或者严重违法企业名单，且未被移除的；</w:t>
      </w:r>
    </w:p>
    <w:p w14:paraId="7CCD435D">
      <w:pPr>
        <w:spacing w:line="5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④投标人被税务部门列入重大税收违法案件当事人的；</w:t>
      </w:r>
    </w:p>
    <w:p w14:paraId="4C51C5F1">
      <w:pPr>
        <w:spacing w:line="5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⑤投标人被政府采购监管部门列入政府采购严重违法失信行为记录名单的；</w:t>
      </w:r>
    </w:p>
    <w:p w14:paraId="7D4E3CDF">
      <w:pPr>
        <w:spacing w:line="5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⑥在“信用中国”网站上披露仍在公示期的严重失信行为的。</w:t>
      </w:r>
    </w:p>
    <w:p w14:paraId="20636FBC">
      <w:pPr>
        <w:spacing w:line="5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5.投标人所属分公司、办事处等分支机构存在第4</w:t>
      </w:r>
      <w:r>
        <w:rPr>
          <w:rFonts w:hint="eastAsia" w:asciiTheme="minorEastAsia" w:hAnsiTheme="minorEastAsia" w:eastAsiaTheme="minorEastAsia"/>
          <w:color w:val="auto"/>
          <w:sz w:val="24"/>
          <w:highlight w:val="none"/>
        </w:rPr>
        <w:t>款</w:t>
      </w:r>
      <w:r>
        <w:rPr>
          <w:rFonts w:hint="eastAsia" w:ascii="宋体" w:hAnsi="宋体" w:eastAsia="宋体" w:cs="宋体"/>
          <w:color w:val="auto"/>
          <w:sz w:val="24"/>
          <w:szCs w:val="24"/>
          <w:highlight w:val="none"/>
        </w:rPr>
        <w:t>信誉要求①-⑥项情形之一的，接受投标人参加本项目。</w:t>
      </w:r>
    </w:p>
    <w:p w14:paraId="481DCFAE">
      <w:pPr>
        <w:spacing w:line="5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备注：第4、5条按照“关于联合惩戒失信行为加强信用查询管理的通知”查询或承诺。</w:t>
      </w:r>
    </w:p>
    <w:p w14:paraId="6A2385C6">
      <w:pPr>
        <w:spacing w:line="520" w:lineRule="exact"/>
        <w:ind w:firstLine="437"/>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三、获取招标文件</w:t>
      </w:r>
      <w:bookmarkEnd w:id="11"/>
      <w:bookmarkEnd w:id="12"/>
      <w:bookmarkEnd w:id="13"/>
      <w:bookmarkEnd w:id="14"/>
    </w:p>
    <w:p w14:paraId="0E0A9E82">
      <w:pPr>
        <w:spacing w:line="520" w:lineRule="exact"/>
        <w:ind w:firstLine="480" w:firstLineChars="200"/>
        <w:rPr>
          <w:rFonts w:ascii="宋体" w:hAnsi="宋体" w:eastAsia="宋体" w:cs="宋体"/>
          <w:iCs/>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2025年</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2025年</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日</w:t>
      </w:r>
      <w:r>
        <w:rPr>
          <w:rFonts w:hint="eastAsia" w:ascii="宋体" w:hAnsi="宋体" w:eastAsia="宋体" w:cs="宋体"/>
          <w:iCs/>
          <w:color w:val="auto"/>
          <w:sz w:val="24"/>
          <w:szCs w:val="24"/>
          <w:highlight w:val="none"/>
          <w:u w:val="single"/>
        </w:rPr>
        <w:t>（提供期限自本公告发布之日起不得少于5个工作日）</w:t>
      </w:r>
    </w:p>
    <w:p w14:paraId="5495BF7A">
      <w:pPr>
        <w:spacing w:line="52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地点：滁州市公共资源交易中心网</w:t>
      </w:r>
    </w:p>
    <w:p w14:paraId="699C1AA7">
      <w:pPr>
        <w:spacing w:line="52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方式：网上下载</w:t>
      </w:r>
    </w:p>
    <w:p w14:paraId="6CEA9E00">
      <w:pPr>
        <w:spacing w:line="5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14:paraId="5935BF74">
      <w:pPr>
        <w:spacing w:line="520" w:lineRule="exact"/>
        <w:ind w:firstLine="437"/>
        <w:outlineLvl w:val="1"/>
        <w:rPr>
          <w:rFonts w:ascii="宋体" w:hAnsi="宋体" w:eastAsia="宋体" w:cs="宋体"/>
          <w:b/>
          <w:bCs/>
          <w:color w:val="auto"/>
          <w:sz w:val="24"/>
          <w:szCs w:val="24"/>
          <w:highlight w:val="none"/>
        </w:rPr>
      </w:pPr>
      <w:bookmarkStart w:id="15" w:name="_Toc28359082"/>
      <w:bookmarkStart w:id="16" w:name="_Toc28359005"/>
      <w:bookmarkStart w:id="17" w:name="_Toc35393624"/>
      <w:bookmarkStart w:id="18" w:name="_Toc35393793"/>
      <w:r>
        <w:rPr>
          <w:rFonts w:hint="eastAsia" w:ascii="宋体" w:hAnsi="宋体" w:eastAsia="宋体" w:cs="宋体"/>
          <w:b/>
          <w:bCs/>
          <w:color w:val="auto"/>
          <w:sz w:val="24"/>
          <w:szCs w:val="24"/>
          <w:highlight w:val="none"/>
        </w:rPr>
        <w:t>四、提交投标文件</w:t>
      </w:r>
      <w:bookmarkEnd w:id="15"/>
      <w:bookmarkEnd w:id="16"/>
      <w:r>
        <w:rPr>
          <w:rFonts w:hint="eastAsia" w:ascii="宋体" w:hAnsi="宋体" w:eastAsia="宋体" w:cs="宋体"/>
          <w:b/>
          <w:bCs/>
          <w:color w:val="auto"/>
          <w:sz w:val="24"/>
          <w:szCs w:val="24"/>
          <w:highlight w:val="none"/>
        </w:rPr>
        <w:t>截止时间、开标时间和地点</w:t>
      </w:r>
      <w:bookmarkEnd w:id="17"/>
      <w:bookmarkEnd w:id="18"/>
    </w:p>
    <w:p w14:paraId="481F61E2">
      <w:pPr>
        <w:spacing w:line="520" w:lineRule="exact"/>
        <w:ind w:firstLine="480" w:firstLineChars="20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u w:val="single"/>
        </w:rPr>
        <w:t>2025年</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（北京时间）</w:t>
      </w:r>
      <w:r>
        <w:rPr>
          <w:rFonts w:hint="eastAsia" w:ascii="宋体" w:hAnsi="宋体" w:eastAsia="宋体" w:cs="宋体"/>
          <w:iCs/>
          <w:color w:val="auto"/>
          <w:sz w:val="24"/>
          <w:szCs w:val="24"/>
          <w:highlight w:val="none"/>
        </w:rPr>
        <w:t>（自招标文件开始发出之日起至供应商提交投标文件截止之日止，不得少于20日）</w:t>
      </w:r>
    </w:p>
    <w:p w14:paraId="7D7EDCD1">
      <w:pPr>
        <w:spacing w:line="52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地点：定远县新行政服务中心三楼第</w:t>
      </w:r>
      <w:r>
        <w:rPr>
          <w:rFonts w:hint="eastAsia" w:ascii="宋体" w:hAnsi="宋体" w:eastAsia="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rPr>
        <w:t>开标室（地址：定远县永康路与泉坞山路交叉口东侧 300米）</w:t>
      </w:r>
    </w:p>
    <w:p w14:paraId="7EACA450">
      <w:pPr>
        <w:spacing w:line="520" w:lineRule="exact"/>
        <w:ind w:firstLine="437"/>
        <w:outlineLvl w:val="1"/>
        <w:rPr>
          <w:rFonts w:ascii="宋体" w:hAnsi="宋体" w:eastAsia="宋体" w:cs="宋体"/>
          <w:b/>
          <w:bCs/>
          <w:color w:val="auto"/>
          <w:sz w:val="24"/>
          <w:szCs w:val="24"/>
          <w:highlight w:val="none"/>
        </w:rPr>
      </w:pPr>
      <w:bookmarkStart w:id="19" w:name="_Toc35393794"/>
      <w:bookmarkStart w:id="20" w:name="_Toc35393625"/>
      <w:bookmarkStart w:id="21" w:name="_Toc28359007"/>
      <w:bookmarkStart w:id="22" w:name="_Toc28359084"/>
      <w:r>
        <w:rPr>
          <w:rFonts w:hint="eastAsia" w:ascii="宋体" w:hAnsi="宋体" w:eastAsia="宋体" w:cs="宋体"/>
          <w:b/>
          <w:bCs/>
          <w:color w:val="auto"/>
          <w:sz w:val="24"/>
          <w:szCs w:val="24"/>
          <w:highlight w:val="none"/>
        </w:rPr>
        <w:t>五、公告期限</w:t>
      </w:r>
      <w:bookmarkEnd w:id="19"/>
      <w:bookmarkEnd w:id="20"/>
      <w:bookmarkEnd w:id="21"/>
      <w:bookmarkEnd w:id="22"/>
    </w:p>
    <w:p w14:paraId="637DFD47">
      <w:pPr>
        <w:spacing w:line="52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14:paraId="1F250FC1">
      <w:pPr>
        <w:spacing w:line="520" w:lineRule="exact"/>
        <w:ind w:firstLine="437"/>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六、投标保证金金额及缴纳账户</w:t>
      </w:r>
    </w:p>
    <w:p w14:paraId="2E0B65C4">
      <w:pPr>
        <w:spacing w:line="520" w:lineRule="exact"/>
        <w:ind w:firstLine="480" w:firstLineChars="200"/>
        <w:rPr>
          <w:rFonts w:ascii="宋体" w:hAnsi="宋体" w:eastAsia="宋体" w:cs="宋体"/>
          <w:color w:val="auto"/>
          <w:sz w:val="24"/>
          <w:szCs w:val="24"/>
          <w:highlight w:val="none"/>
        </w:rPr>
      </w:pPr>
      <w:bookmarkStart w:id="23" w:name="_Toc35393626"/>
      <w:bookmarkStart w:id="24" w:name="_Toc35393795"/>
      <w:r>
        <w:rPr>
          <w:rFonts w:hint="eastAsia" w:ascii="宋体" w:hAnsi="宋体" w:eastAsia="宋体" w:cs="宋体"/>
          <w:color w:val="auto"/>
          <w:sz w:val="24"/>
          <w:szCs w:val="24"/>
          <w:highlight w:val="none"/>
        </w:rPr>
        <w:t>是否要求投标人提交投标保证金：不要求。</w:t>
      </w:r>
    </w:p>
    <w:p w14:paraId="66C74D68">
      <w:pPr>
        <w:spacing w:line="520" w:lineRule="exact"/>
        <w:ind w:firstLine="437"/>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七、其他补充事宜</w:t>
      </w:r>
      <w:bookmarkEnd w:id="23"/>
      <w:bookmarkEnd w:id="24"/>
    </w:p>
    <w:p w14:paraId="758657A8">
      <w:pPr>
        <w:wordWrap w:val="0"/>
        <w:spacing w:line="5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0550-3801669（工作日）；3.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3332D5B0">
      <w:pPr>
        <w:wordWrap w:val="0"/>
        <w:spacing w:line="5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2.请投标人登录滁州市公共资源交易中心网站查看参加本项目的程序。（具体操作步骤和程序请参见服务指南&gt;交易须知&gt;投标人填写投标信息、下载文件及网上提问操作手册）。</w:t>
      </w:r>
    </w:p>
    <w:p w14:paraId="16AE4C0D">
      <w:pPr>
        <w:wordWrap w:val="0"/>
        <w:spacing w:line="5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采用不见面开标（远程解密)方式，开标时投标人无须至开标现场进行解密，开标采取远程解密方式解密投标文件，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以本项目网上招投标系统解密倒计时为准，至完成投标文件解密时间，不得超过60分钟，否则投标文件将被拒绝；</w:t>
      </w:r>
    </w:p>
    <w:p w14:paraId="7CCAD6CE">
      <w:pPr>
        <w:wordWrap w:val="0"/>
        <w:spacing w:line="5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接到远程解密指令后，须在规定时间内解密。因投标人自身原因导致投标文件在规定时间内未能解密、解密失败或解密超时，投标文件无效；因采购代理机构原因或网上平台发生故障，导致无法按时完成投标文件解密的，经采购代理机构申请后可延迟解密时间。</w:t>
      </w:r>
    </w:p>
    <w:p w14:paraId="520F078B">
      <w:pPr>
        <w:spacing w:line="520" w:lineRule="exact"/>
        <w:ind w:firstLine="437"/>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八、对本次招标提出询问，请按以下方式联系</w:t>
      </w:r>
    </w:p>
    <w:p w14:paraId="2556F07A">
      <w:pPr>
        <w:spacing w:line="360" w:lineRule="auto"/>
        <w:ind w:firstLine="437"/>
        <w:outlineLvl w:val="2"/>
        <w:rPr>
          <w:rFonts w:ascii="宋体" w:hAnsi="宋体" w:eastAsia="宋体"/>
          <w:color w:val="auto"/>
          <w:sz w:val="24"/>
          <w:szCs w:val="18"/>
          <w:highlight w:val="none"/>
        </w:rPr>
      </w:pPr>
      <w:r>
        <w:rPr>
          <w:rFonts w:hint="eastAsia" w:ascii="宋体" w:hAnsi="宋体" w:eastAsia="宋体"/>
          <w:color w:val="auto"/>
          <w:sz w:val="24"/>
          <w:szCs w:val="18"/>
          <w:highlight w:val="none"/>
        </w:rPr>
        <w:t>1.采购人信息</w:t>
      </w:r>
    </w:p>
    <w:p w14:paraId="73FB5EA3">
      <w:pPr>
        <w:spacing w:line="360" w:lineRule="auto"/>
        <w:ind w:firstLine="435"/>
        <w:rPr>
          <w:rFonts w:hint="eastAsia" w:ascii="宋体" w:hAnsi="宋体" w:eastAsia="宋体"/>
          <w:color w:val="auto"/>
          <w:sz w:val="24"/>
          <w:szCs w:val="18"/>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lang w:eastAsia="zh-CN"/>
        </w:rPr>
        <w:t>定远县公路运输管理服务中心</w:t>
      </w:r>
    </w:p>
    <w:p w14:paraId="628BF842">
      <w:pPr>
        <w:spacing w:line="360" w:lineRule="auto"/>
        <w:ind w:firstLine="435"/>
        <w:rPr>
          <w:rFonts w:hint="eastAsia" w:ascii="宋体" w:hAnsi="宋体" w:eastAsia="宋体"/>
          <w:color w:val="auto"/>
          <w:sz w:val="24"/>
          <w:szCs w:val="18"/>
          <w:highlight w:val="none"/>
          <w:u w:val="single"/>
          <w:lang w:eastAsia="zh-CN"/>
        </w:rPr>
      </w:pPr>
      <w:r>
        <w:rPr>
          <w:rFonts w:hint="eastAsia" w:ascii="宋体" w:hAnsi="宋体" w:eastAsia="宋体"/>
          <w:color w:val="auto"/>
          <w:sz w:val="24"/>
          <w:szCs w:val="18"/>
          <w:highlight w:val="none"/>
        </w:rPr>
        <w:t>地 址：</w:t>
      </w:r>
      <w:r>
        <w:rPr>
          <w:rFonts w:hint="eastAsia" w:ascii="宋体" w:hAnsi="宋体" w:eastAsia="宋体"/>
          <w:color w:val="auto"/>
          <w:sz w:val="24"/>
          <w:szCs w:val="18"/>
          <w:highlight w:val="none"/>
          <w:u w:val="single"/>
        </w:rPr>
        <w:t xml:space="preserve"> </w:t>
      </w:r>
      <w:r>
        <w:rPr>
          <w:rFonts w:hint="eastAsia" w:ascii="宋体" w:hAnsi="宋体" w:eastAsia="宋体"/>
          <w:color w:val="auto"/>
          <w:sz w:val="24"/>
          <w:szCs w:val="18"/>
          <w:highlight w:val="none"/>
          <w:u w:val="single"/>
          <w:lang w:eastAsia="zh-CN"/>
        </w:rPr>
        <w:t>定远县定城镇东园康城小区北侧</w:t>
      </w:r>
    </w:p>
    <w:p w14:paraId="08BF384C">
      <w:pPr>
        <w:spacing w:line="360" w:lineRule="auto"/>
        <w:ind w:firstLine="435"/>
        <w:rPr>
          <w:rFonts w:hint="eastAsia" w:ascii="宋体" w:hAnsi="宋体" w:eastAsia="宋体"/>
          <w:color w:val="auto"/>
          <w:sz w:val="24"/>
          <w:szCs w:val="18"/>
          <w:highlight w:val="none"/>
          <w:lang w:eastAsia="zh-CN"/>
        </w:rPr>
      </w:pPr>
      <w:r>
        <w:rPr>
          <w:rFonts w:hint="eastAsia" w:ascii="宋体" w:hAnsi="宋体" w:eastAsia="宋体"/>
          <w:color w:val="auto"/>
          <w:sz w:val="24"/>
          <w:szCs w:val="18"/>
          <w:highlight w:val="none"/>
        </w:rPr>
        <w:t>联系人：</w:t>
      </w:r>
      <w:r>
        <w:rPr>
          <w:rFonts w:hint="eastAsia" w:ascii="宋体" w:hAnsi="宋体" w:eastAsia="宋体"/>
          <w:color w:val="auto"/>
          <w:sz w:val="24"/>
          <w:szCs w:val="18"/>
          <w:highlight w:val="none"/>
          <w:u w:val="single"/>
          <w:lang w:eastAsia="zh-CN"/>
        </w:rPr>
        <w:t>魏来</w:t>
      </w:r>
    </w:p>
    <w:p w14:paraId="73714900">
      <w:pPr>
        <w:spacing w:line="360" w:lineRule="auto"/>
        <w:ind w:firstLine="435"/>
        <w:rPr>
          <w:rFonts w:hint="default" w:ascii="宋体" w:hAnsi="宋体" w:eastAsia="宋体"/>
          <w:color w:val="auto"/>
          <w:sz w:val="24"/>
          <w:szCs w:val="18"/>
          <w:highlight w:val="none"/>
          <w:u w:val="single"/>
          <w:lang w:val="en-US" w:eastAsia="zh-CN"/>
        </w:rPr>
      </w:pPr>
      <w:r>
        <w:rPr>
          <w:rFonts w:hint="eastAsia" w:ascii="宋体" w:hAnsi="宋体" w:eastAsia="宋体"/>
          <w:color w:val="auto"/>
          <w:sz w:val="24"/>
          <w:szCs w:val="18"/>
          <w:highlight w:val="none"/>
        </w:rPr>
        <w:t>联系方式：</w:t>
      </w:r>
      <w:r>
        <w:rPr>
          <w:rFonts w:hint="eastAsia" w:ascii="宋体" w:hAnsi="宋体" w:eastAsia="宋体"/>
          <w:color w:val="auto"/>
          <w:sz w:val="24"/>
          <w:szCs w:val="18"/>
          <w:highlight w:val="none"/>
          <w:u w:val="single"/>
          <w:lang w:val="en-US" w:eastAsia="zh-CN"/>
        </w:rPr>
        <w:t>0550-4020106</w:t>
      </w:r>
    </w:p>
    <w:p w14:paraId="4AE15F04">
      <w:pPr>
        <w:spacing w:line="360" w:lineRule="auto"/>
        <w:ind w:firstLine="437"/>
        <w:outlineLvl w:val="2"/>
        <w:rPr>
          <w:rFonts w:ascii="宋体" w:hAnsi="宋体" w:eastAsia="宋体"/>
          <w:color w:val="auto"/>
          <w:sz w:val="24"/>
          <w:szCs w:val="18"/>
          <w:highlight w:val="none"/>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rPr>
        <w:t>信息</w:t>
      </w:r>
    </w:p>
    <w:p w14:paraId="0B6C777E">
      <w:pPr>
        <w:spacing w:line="360" w:lineRule="auto"/>
        <w:ind w:firstLine="435"/>
        <w:rPr>
          <w:rFonts w:hint="eastAsia" w:ascii="宋体" w:hAnsi="宋体" w:eastAsia="宋体"/>
          <w:color w:val="auto"/>
          <w:sz w:val="24"/>
          <w:szCs w:val="18"/>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lang w:eastAsia="zh-CN"/>
        </w:rPr>
        <w:t>安徽云算工程造价咨询有限公司</w:t>
      </w:r>
    </w:p>
    <w:p w14:paraId="73BF50E6">
      <w:pPr>
        <w:spacing w:line="360" w:lineRule="auto"/>
        <w:ind w:firstLine="435"/>
        <w:rPr>
          <w:rFonts w:hint="eastAsia" w:ascii="宋体" w:hAnsi="宋体" w:eastAsia="宋体"/>
          <w:color w:val="auto"/>
          <w:sz w:val="24"/>
          <w:szCs w:val="18"/>
          <w:highlight w:val="none"/>
          <w:u w:val="single"/>
          <w:lang w:eastAsia="zh-CN"/>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ascii="宋体" w:hAnsi="宋体" w:eastAsia="宋体"/>
          <w:color w:val="auto"/>
          <w:sz w:val="24"/>
          <w:szCs w:val="18"/>
          <w:highlight w:val="none"/>
          <w:u w:val="single"/>
          <w:lang w:eastAsia="zh-CN"/>
        </w:rPr>
        <w:t>滁州市紫薇中路加油加气站东侧三楼</w:t>
      </w:r>
    </w:p>
    <w:p w14:paraId="2368D03D">
      <w:pPr>
        <w:spacing w:line="360" w:lineRule="auto"/>
        <w:ind w:firstLine="435"/>
        <w:rPr>
          <w:rFonts w:hint="eastAsia" w:eastAsia="宋体"/>
          <w:color w:val="auto"/>
          <w:highlight w:val="none"/>
          <w:lang w:eastAsia="zh-CN"/>
        </w:rPr>
      </w:pPr>
      <w:r>
        <w:rPr>
          <w:rFonts w:hint="eastAsia" w:ascii="宋体" w:hAnsi="宋体" w:eastAsia="宋体"/>
          <w:color w:val="auto"/>
          <w:sz w:val="24"/>
          <w:szCs w:val="18"/>
          <w:highlight w:val="none"/>
        </w:rPr>
        <w:t>联系人：</w:t>
      </w:r>
      <w:r>
        <w:rPr>
          <w:rFonts w:hint="eastAsia" w:ascii="宋体" w:hAnsi="宋体" w:eastAsia="宋体"/>
          <w:color w:val="auto"/>
          <w:sz w:val="24"/>
          <w:szCs w:val="18"/>
          <w:highlight w:val="none"/>
          <w:u w:val="single"/>
          <w:lang w:eastAsia="zh-CN"/>
        </w:rPr>
        <w:t>赵忠阳</w:t>
      </w:r>
    </w:p>
    <w:p w14:paraId="48057288">
      <w:pPr>
        <w:spacing w:line="360" w:lineRule="auto"/>
        <w:ind w:firstLine="435"/>
        <w:rPr>
          <w:rFonts w:hint="eastAsia" w:ascii="宋体" w:hAnsi="宋体" w:eastAsia="宋体"/>
          <w:color w:val="auto"/>
          <w:sz w:val="24"/>
          <w:szCs w:val="18"/>
          <w:highlight w:val="none"/>
          <w:lang w:eastAsia="zh-CN"/>
        </w:rPr>
      </w:pPr>
      <w:r>
        <w:rPr>
          <w:rFonts w:hint="eastAsia" w:ascii="宋体" w:hAnsi="宋体" w:eastAsia="宋体"/>
          <w:color w:val="auto"/>
          <w:sz w:val="24"/>
          <w:szCs w:val="18"/>
          <w:highlight w:val="none"/>
        </w:rPr>
        <w:t>联系方式：</w:t>
      </w:r>
      <w:r>
        <w:rPr>
          <w:rFonts w:hint="eastAsia" w:ascii="宋体" w:hAnsi="宋体" w:eastAsia="宋体"/>
          <w:color w:val="auto"/>
          <w:sz w:val="24"/>
          <w:szCs w:val="18"/>
          <w:highlight w:val="none"/>
          <w:u w:val="single"/>
          <w:lang w:eastAsia="zh-CN"/>
        </w:rPr>
        <w:t>13485769006、13155088000</w:t>
      </w:r>
    </w:p>
    <w:p w14:paraId="3954B532">
      <w:pPr>
        <w:spacing w:line="360" w:lineRule="auto"/>
        <w:ind w:firstLine="437"/>
        <w:outlineLvl w:val="2"/>
        <w:rPr>
          <w:rFonts w:ascii="宋体" w:hAnsi="宋体" w:eastAsia="宋体"/>
          <w:b/>
          <w:color w:val="auto"/>
          <w:sz w:val="24"/>
          <w:szCs w:val="18"/>
          <w:highlight w:val="none"/>
        </w:rPr>
      </w:pPr>
      <w:r>
        <w:rPr>
          <w:rFonts w:hint="eastAsia" w:ascii="宋体" w:hAnsi="宋体" w:eastAsia="宋体"/>
          <w:bCs/>
          <w:color w:val="auto"/>
          <w:sz w:val="24"/>
          <w:szCs w:val="18"/>
          <w:highlight w:val="none"/>
        </w:rPr>
        <w:t>3</w:t>
      </w:r>
      <w:r>
        <w:rPr>
          <w:rFonts w:hint="eastAsia" w:ascii="宋体" w:hAnsi="宋体" w:eastAsia="宋体"/>
          <w:b/>
          <w:color w:val="auto"/>
          <w:sz w:val="24"/>
          <w:szCs w:val="18"/>
          <w:highlight w:val="none"/>
        </w:rPr>
        <w:t>.</w:t>
      </w:r>
      <w:r>
        <w:rPr>
          <w:rFonts w:hint="eastAsia" w:ascii="宋体" w:hAnsi="宋体" w:eastAsia="宋体"/>
          <w:color w:val="auto"/>
          <w:sz w:val="24"/>
          <w:szCs w:val="18"/>
          <w:highlight w:val="none"/>
        </w:rPr>
        <w:t>政府采购监督管理部门信息</w:t>
      </w:r>
    </w:p>
    <w:p w14:paraId="6F762921">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 xml:space="preserve"> 定远县财政局</w:t>
      </w:r>
    </w:p>
    <w:p w14:paraId="6DF54D1B">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地  址：</w:t>
      </w:r>
      <w:r>
        <w:rPr>
          <w:rFonts w:hint="eastAsia" w:ascii="宋体" w:hAnsi="宋体" w:eastAsia="宋体"/>
          <w:color w:val="auto"/>
          <w:sz w:val="24"/>
          <w:szCs w:val="18"/>
          <w:highlight w:val="none"/>
          <w:u w:val="single"/>
        </w:rPr>
        <w:t xml:space="preserve"> 定远县定城镇幸福路广电大厦三楼327室</w:t>
      </w:r>
    </w:p>
    <w:p w14:paraId="31FBDC0A">
      <w:pPr>
        <w:spacing w:line="360" w:lineRule="auto"/>
        <w:ind w:firstLine="435"/>
        <w:rPr>
          <w:rFonts w:ascii="宋体" w:hAnsi="宋体" w:eastAsia="宋体" w:cs="宋体"/>
          <w:color w:val="auto"/>
          <w:sz w:val="24"/>
          <w:szCs w:val="18"/>
          <w:highlight w:val="none"/>
        </w:rPr>
      </w:pPr>
      <w:r>
        <w:rPr>
          <w:rFonts w:hint="eastAsia" w:ascii="宋体" w:hAnsi="宋体" w:eastAsia="宋体"/>
          <w:color w:val="auto"/>
          <w:sz w:val="24"/>
          <w:szCs w:val="18"/>
          <w:highlight w:val="none"/>
        </w:rPr>
        <w:t>联系方式：</w:t>
      </w:r>
      <w:r>
        <w:rPr>
          <w:rFonts w:hint="eastAsia" w:ascii="宋体" w:hAnsi="宋体" w:eastAsia="宋体"/>
          <w:color w:val="auto"/>
          <w:sz w:val="24"/>
          <w:szCs w:val="18"/>
          <w:highlight w:val="none"/>
          <w:u w:val="single"/>
        </w:rPr>
        <w:t xml:space="preserve"> 0550-4288138</w:t>
      </w:r>
      <w:r>
        <w:rPr>
          <w:rFonts w:hint="eastAsia" w:ascii="宋体" w:hAnsi="宋体" w:eastAsia="宋体" w:cs="宋体"/>
          <w:color w:val="auto"/>
          <w:sz w:val="24"/>
          <w:szCs w:val="18"/>
          <w:highlight w:val="none"/>
        </w:rPr>
        <w:br w:type="page"/>
      </w:r>
    </w:p>
    <w:p w14:paraId="5AFCC6A1">
      <w:pPr>
        <w:spacing w:line="360" w:lineRule="auto"/>
        <w:jc w:val="center"/>
        <w:outlineLvl w:val="0"/>
        <w:rPr>
          <w:rFonts w:asciiTheme="minorEastAsia" w:hAnsiTheme="minorEastAsia" w:eastAsiaTheme="minorEastAsia"/>
          <w:b/>
          <w:color w:val="auto"/>
          <w:sz w:val="28"/>
          <w:highlight w:val="none"/>
        </w:rPr>
      </w:pPr>
      <w:bookmarkStart w:id="25" w:name="_Toc8888"/>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投标人须知</w:t>
      </w:r>
      <w:bookmarkEnd w:id="25"/>
    </w:p>
    <w:p w14:paraId="1564A7FA">
      <w:pPr>
        <w:spacing w:beforeLines="30" w:afterLines="30" w:line="520" w:lineRule="exact"/>
        <w:jc w:val="center"/>
        <w:outlineLvl w:val="1"/>
        <w:rPr>
          <w:rFonts w:asciiTheme="minorEastAsia" w:hAnsiTheme="minorEastAsia" w:eastAsiaTheme="minorEastAsia"/>
          <w:b/>
          <w:color w:val="auto"/>
          <w:sz w:val="24"/>
          <w:highlight w:val="none"/>
        </w:rPr>
      </w:pPr>
      <w:bookmarkStart w:id="26" w:name="_Toc7178"/>
      <w:bookmarkStart w:id="27" w:name="_Toc13589"/>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投标人须知前附表</w:t>
      </w:r>
      <w:bookmarkEnd w:id="26"/>
      <w:bookmarkEnd w:id="27"/>
    </w:p>
    <w:p w14:paraId="1BD37B74">
      <w:pPr>
        <w:spacing w:line="520" w:lineRule="exact"/>
        <w:ind w:firstLine="437"/>
        <w:jc w:val="left"/>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33"/>
        <w:tblW w:w="6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945"/>
        <w:gridCol w:w="7685"/>
      </w:tblGrid>
      <w:tr w14:paraId="1906D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8" w:type="pct"/>
            <w:vAlign w:val="center"/>
          </w:tcPr>
          <w:p w14:paraId="2DB004E9">
            <w:pPr>
              <w:pStyle w:val="53"/>
              <w:widowControl w:val="0"/>
              <w:spacing w:before="0" w:beforeAutospacing="0" w:after="0" w:afterAutospacing="0" w:line="520" w:lineRule="exact"/>
              <w:rPr>
                <w:rFonts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条款号</w:t>
            </w:r>
          </w:p>
        </w:tc>
        <w:tc>
          <w:tcPr>
            <w:tcW w:w="909" w:type="pct"/>
            <w:vAlign w:val="center"/>
          </w:tcPr>
          <w:p w14:paraId="300DF259">
            <w:pPr>
              <w:pStyle w:val="53"/>
              <w:widowControl w:val="0"/>
              <w:spacing w:before="0" w:beforeAutospacing="0" w:after="0" w:afterAutospacing="0" w:line="520" w:lineRule="exact"/>
              <w:rPr>
                <w:rFonts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条款名称</w:t>
            </w:r>
          </w:p>
        </w:tc>
        <w:tc>
          <w:tcPr>
            <w:tcW w:w="3592" w:type="pct"/>
            <w:vAlign w:val="center"/>
          </w:tcPr>
          <w:p w14:paraId="6D69C8DA">
            <w:pPr>
              <w:pStyle w:val="53"/>
              <w:widowControl w:val="0"/>
              <w:spacing w:before="0" w:beforeAutospacing="0" w:after="0" w:afterAutospacing="0" w:line="520" w:lineRule="exact"/>
              <w:rPr>
                <w:rFonts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内容、说明与要求</w:t>
            </w:r>
          </w:p>
        </w:tc>
      </w:tr>
      <w:tr w14:paraId="251FC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8" w:type="pct"/>
            <w:vAlign w:val="center"/>
          </w:tcPr>
          <w:p w14:paraId="26543AA6">
            <w:pPr>
              <w:pStyle w:val="54"/>
              <w:pBdr>
                <w:bottom w:val="none" w:color="auto" w:sz="0" w:space="0"/>
              </w:pBdr>
              <w:tabs>
                <w:tab w:val="clear" w:pos="4153"/>
                <w:tab w:val="clear" w:pos="8306"/>
              </w:tabs>
              <w:adjustRightInd/>
              <w:spacing w:line="520" w:lineRule="exact"/>
              <w:textAlignment w:val="auto"/>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5.2</w:t>
            </w:r>
          </w:p>
        </w:tc>
        <w:tc>
          <w:tcPr>
            <w:tcW w:w="909" w:type="pct"/>
            <w:vAlign w:val="center"/>
          </w:tcPr>
          <w:p w14:paraId="590A723F">
            <w:pPr>
              <w:pStyle w:val="53"/>
              <w:widowControl w:val="0"/>
              <w:spacing w:before="0" w:beforeAutospacing="0" w:after="0" w:afterAutospacing="0" w:line="520" w:lineRule="exact"/>
              <w:jc w:val="left"/>
              <w:rPr>
                <w:rFonts w:ascii="宋体" w:hAnsi="宋体" w:eastAsia="宋体" w:cs="宋体"/>
                <w:b w:val="0"/>
                <w:color w:val="auto"/>
                <w:sz w:val="24"/>
                <w:szCs w:val="24"/>
                <w:highlight w:val="none"/>
              </w:rPr>
            </w:pPr>
            <w:r>
              <w:rPr>
                <w:rFonts w:hint="eastAsia" w:ascii="宋体" w:hAnsi="宋体" w:eastAsia="宋体" w:cs="宋体"/>
                <w:b w:val="0"/>
                <w:color w:val="auto"/>
                <w:kern w:val="2"/>
                <w:sz w:val="24"/>
                <w:szCs w:val="24"/>
                <w:highlight w:val="none"/>
              </w:rPr>
              <w:t>现场考察或标前答疑会</w:t>
            </w:r>
          </w:p>
        </w:tc>
        <w:tc>
          <w:tcPr>
            <w:tcW w:w="3592" w:type="pct"/>
            <w:vAlign w:val="center"/>
          </w:tcPr>
          <w:p w14:paraId="3426E1EA">
            <w:pPr>
              <w:spacing w:line="520" w:lineRule="exact"/>
              <w:rPr>
                <w:rFonts w:ascii="宋体" w:hAnsi="宋体" w:eastAsia="宋体" w:cs="宋体"/>
                <w:bCs/>
                <w:color w:val="auto"/>
                <w:sz w:val="24"/>
                <w:szCs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s="宋体"/>
                <w:color w:val="auto"/>
                <w:sz w:val="24"/>
                <w:szCs w:val="24"/>
                <w:highlight w:val="none"/>
              </w:rPr>
              <w:t>不组织或不召开</w:t>
            </w:r>
          </w:p>
          <w:p w14:paraId="48BE18B7">
            <w:pPr>
              <w:spacing w:line="520" w:lineRule="exact"/>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统一组织或统一召开</w:t>
            </w:r>
          </w:p>
          <w:p w14:paraId="1411FF42">
            <w:pPr>
              <w:spacing w:line="520" w:lineRule="exac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时</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分</w:t>
            </w:r>
          </w:p>
          <w:p w14:paraId="651C0EEB">
            <w:pPr>
              <w:spacing w:line="520" w:lineRule="exac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w:t>
            </w:r>
          </w:p>
          <w:p w14:paraId="41A1C33F">
            <w:pPr>
              <w:spacing w:line="520" w:lineRule="exac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联系人及联系电话：</w:t>
            </w:r>
            <w:r>
              <w:rPr>
                <w:rFonts w:hint="eastAsia" w:ascii="宋体" w:hAnsi="宋体" w:eastAsia="宋体" w:cs="宋体"/>
                <w:bCs/>
                <w:color w:val="auto"/>
                <w:sz w:val="24"/>
                <w:szCs w:val="24"/>
                <w:highlight w:val="none"/>
                <w:u w:val="single"/>
              </w:rPr>
              <w:t xml:space="preserve">/ </w:t>
            </w:r>
          </w:p>
          <w:p w14:paraId="23D0AE47">
            <w:pPr>
              <w:pStyle w:val="53"/>
              <w:widowControl w:val="0"/>
              <w:spacing w:before="0" w:beforeAutospacing="0" w:after="0" w:afterAutospacing="0" w:line="520" w:lineRule="exact"/>
              <w:jc w:val="both"/>
              <w:rPr>
                <w:rFonts w:ascii="宋体" w:hAnsi="宋体" w:eastAsia="宋体" w:cs="宋体"/>
                <w:b w:val="0"/>
                <w:color w:val="auto"/>
                <w:sz w:val="24"/>
                <w:szCs w:val="24"/>
                <w:highlight w:val="none"/>
              </w:rPr>
            </w:pPr>
            <w:r>
              <w:rPr>
                <w:rFonts w:hint="eastAsia" w:ascii="宋体" w:hAnsi="宋体" w:eastAsia="宋体" w:cs="宋体"/>
                <w:bCs w:val="0"/>
                <w:color w:val="auto"/>
                <w:sz w:val="24"/>
                <w:szCs w:val="24"/>
                <w:highlight w:val="none"/>
              </w:rPr>
              <w:t>注：如投标人未参加采购人统一组织的现场考察或采购人统一召开的标前答疑会，视同放弃现场考察或标前答疑会，由此引起的一切责任由投标人自行承担。</w:t>
            </w:r>
          </w:p>
        </w:tc>
      </w:tr>
      <w:tr w14:paraId="689C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8" w:type="pct"/>
            <w:vAlign w:val="center"/>
          </w:tcPr>
          <w:p w14:paraId="697F7BA8">
            <w:pPr>
              <w:pStyle w:val="54"/>
              <w:pBdr>
                <w:bottom w:val="none" w:color="auto" w:sz="0" w:space="0"/>
              </w:pBdr>
              <w:tabs>
                <w:tab w:val="clear" w:pos="4153"/>
                <w:tab w:val="clear" w:pos="8306"/>
              </w:tabs>
              <w:adjustRightInd/>
              <w:spacing w:line="520" w:lineRule="exact"/>
              <w:textAlignment w:val="auto"/>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6.1</w:t>
            </w:r>
          </w:p>
        </w:tc>
        <w:tc>
          <w:tcPr>
            <w:tcW w:w="909" w:type="pct"/>
            <w:vAlign w:val="center"/>
          </w:tcPr>
          <w:p w14:paraId="4E4138C5">
            <w:pPr>
              <w:pStyle w:val="53"/>
              <w:widowControl w:val="0"/>
              <w:spacing w:before="0" w:beforeAutospacing="0" w:after="0" w:afterAutospacing="0" w:line="520" w:lineRule="exact"/>
              <w:jc w:val="left"/>
              <w:rPr>
                <w:rFonts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网上询问截止时间</w:t>
            </w:r>
          </w:p>
        </w:tc>
        <w:tc>
          <w:tcPr>
            <w:tcW w:w="3592" w:type="pct"/>
            <w:vAlign w:val="center"/>
          </w:tcPr>
          <w:p w14:paraId="5B84997A">
            <w:pPr>
              <w:widowControl/>
              <w:spacing w:line="52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r>
      <w:tr w14:paraId="7EE5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8" w:type="pct"/>
            <w:vAlign w:val="center"/>
          </w:tcPr>
          <w:p w14:paraId="4DAA9707">
            <w:pPr>
              <w:pStyle w:val="54"/>
              <w:pBdr>
                <w:bottom w:val="none" w:color="auto" w:sz="0" w:space="0"/>
              </w:pBdr>
              <w:tabs>
                <w:tab w:val="clear" w:pos="4153"/>
                <w:tab w:val="clear" w:pos="8306"/>
              </w:tabs>
              <w:adjustRightInd/>
              <w:spacing w:line="520" w:lineRule="exact"/>
              <w:textAlignment w:val="auto"/>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7.1</w:t>
            </w:r>
          </w:p>
        </w:tc>
        <w:tc>
          <w:tcPr>
            <w:tcW w:w="909" w:type="pct"/>
            <w:vAlign w:val="center"/>
          </w:tcPr>
          <w:p w14:paraId="47B79285">
            <w:pPr>
              <w:pStyle w:val="53"/>
              <w:widowControl w:val="0"/>
              <w:spacing w:before="0" w:beforeAutospacing="0" w:after="0" w:afterAutospacing="0" w:line="520" w:lineRule="exact"/>
              <w:jc w:val="left"/>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包别划分</w:t>
            </w:r>
          </w:p>
        </w:tc>
        <w:tc>
          <w:tcPr>
            <w:tcW w:w="3592" w:type="pct"/>
            <w:vAlign w:val="center"/>
          </w:tcPr>
          <w:p w14:paraId="0FE90C21">
            <w:pPr>
              <w:spacing w:line="520" w:lineRule="exact"/>
              <w:rPr>
                <w:rFonts w:ascii="宋体" w:hAnsi="宋体" w:eastAsia="宋体" w:cs="宋体"/>
                <w:color w:val="auto"/>
                <w:sz w:val="24"/>
                <w:szCs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s="宋体"/>
                <w:color w:val="auto"/>
                <w:sz w:val="24"/>
                <w:szCs w:val="24"/>
                <w:highlight w:val="none"/>
              </w:rPr>
              <w:t>不</w:t>
            </w:r>
            <w:r>
              <w:rPr>
                <w:rFonts w:hint="eastAsia" w:ascii="宋体" w:hAnsi="宋体" w:eastAsia="宋体" w:cs="宋体"/>
                <w:bCs/>
                <w:color w:val="auto"/>
                <w:kern w:val="0"/>
                <w:sz w:val="24"/>
                <w:szCs w:val="24"/>
                <w:highlight w:val="none"/>
              </w:rPr>
              <w:t xml:space="preserve">分包     </w:t>
            </w:r>
            <w:r>
              <w:rPr>
                <w:rFonts w:hint="eastAsia" w:ascii="宋体" w:hAnsi="宋体" w:eastAsia="宋体" w:cs="宋体"/>
                <w:color w:val="auto"/>
                <w:sz w:val="24"/>
                <w:szCs w:val="24"/>
                <w:highlight w:val="none"/>
              </w:rPr>
              <w:t xml:space="preserve">□分包 </w:t>
            </w:r>
          </w:p>
        </w:tc>
      </w:tr>
      <w:tr w14:paraId="728A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98" w:type="pct"/>
            <w:vAlign w:val="center"/>
          </w:tcPr>
          <w:p w14:paraId="51822CE1">
            <w:pPr>
              <w:pStyle w:val="54"/>
              <w:pBdr>
                <w:bottom w:val="none" w:color="auto" w:sz="0" w:space="0"/>
              </w:pBdr>
              <w:tabs>
                <w:tab w:val="clear" w:pos="4153"/>
                <w:tab w:val="clear" w:pos="8306"/>
              </w:tabs>
              <w:adjustRightInd/>
              <w:spacing w:line="520" w:lineRule="exact"/>
              <w:textAlignment w:val="auto"/>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10.1</w:t>
            </w:r>
          </w:p>
        </w:tc>
        <w:tc>
          <w:tcPr>
            <w:tcW w:w="909" w:type="pct"/>
            <w:vAlign w:val="center"/>
          </w:tcPr>
          <w:p w14:paraId="4C8F2921">
            <w:pPr>
              <w:pStyle w:val="53"/>
              <w:widowControl w:val="0"/>
              <w:spacing w:before="0" w:beforeAutospacing="0" w:after="0" w:afterAutospacing="0" w:line="520" w:lineRule="exact"/>
              <w:jc w:val="left"/>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投标保证金</w:t>
            </w:r>
          </w:p>
        </w:tc>
        <w:tc>
          <w:tcPr>
            <w:tcW w:w="3592" w:type="pct"/>
            <w:vAlign w:val="center"/>
          </w:tcPr>
          <w:p w14:paraId="7AE4FE01">
            <w:pPr>
              <w:spacing w:line="520" w:lineRule="exac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不收取</w:t>
            </w:r>
          </w:p>
        </w:tc>
      </w:tr>
      <w:tr w14:paraId="102B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8" w:type="pct"/>
            <w:vAlign w:val="center"/>
          </w:tcPr>
          <w:p w14:paraId="1271238F">
            <w:pPr>
              <w:pStyle w:val="54"/>
              <w:pBdr>
                <w:bottom w:val="none" w:color="auto" w:sz="0" w:space="0"/>
              </w:pBdr>
              <w:tabs>
                <w:tab w:val="clear" w:pos="4153"/>
                <w:tab w:val="clear" w:pos="8306"/>
              </w:tabs>
              <w:adjustRightInd/>
              <w:spacing w:line="520" w:lineRule="exact"/>
              <w:textAlignment w:val="auto"/>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11.1</w:t>
            </w:r>
          </w:p>
        </w:tc>
        <w:tc>
          <w:tcPr>
            <w:tcW w:w="909" w:type="pct"/>
            <w:vAlign w:val="center"/>
          </w:tcPr>
          <w:p w14:paraId="16FAE55B">
            <w:pPr>
              <w:pStyle w:val="53"/>
              <w:widowControl w:val="0"/>
              <w:spacing w:before="0" w:beforeAutospacing="0" w:after="0" w:afterAutospacing="0" w:line="520" w:lineRule="exact"/>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投标有效期</w:t>
            </w:r>
          </w:p>
        </w:tc>
        <w:tc>
          <w:tcPr>
            <w:tcW w:w="3592" w:type="pct"/>
            <w:vAlign w:val="center"/>
          </w:tcPr>
          <w:p w14:paraId="65CE77C7">
            <w:pPr>
              <w:pStyle w:val="53"/>
              <w:widowControl w:val="0"/>
              <w:spacing w:before="0" w:beforeAutospacing="0" w:after="0" w:afterAutospacing="0" w:line="520" w:lineRule="exact"/>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u w:val="single"/>
              </w:rPr>
              <w:t>90</w:t>
            </w:r>
            <w:r>
              <w:rPr>
                <w:rFonts w:hint="eastAsia" w:ascii="宋体" w:hAnsi="宋体" w:eastAsia="宋体" w:cs="宋体"/>
                <w:b w:val="0"/>
                <w:color w:val="auto"/>
                <w:sz w:val="24"/>
                <w:szCs w:val="24"/>
                <w:highlight w:val="none"/>
              </w:rPr>
              <w:t>日历日</w:t>
            </w:r>
          </w:p>
        </w:tc>
      </w:tr>
      <w:tr w14:paraId="6DAD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8" w:type="pct"/>
            <w:vAlign w:val="center"/>
          </w:tcPr>
          <w:p w14:paraId="63253336">
            <w:pPr>
              <w:pStyle w:val="54"/>
              <w:pBdr>
                <w:bottom w:val="none" w:color="auto" w:sz="0" w:space="0"/>
              </w:pBdr>
              <w:tabs>
                <w:tab w:val="clear" w:pos="4153"/>
                <w:tab w:val="clear" w:pos="8306"/>
              </w:tabs>
              <w:adjustRightInd/>
              <w:spacing w:line="520" w:lineRule="exact"/>
              <w:textAlignment w:val="auto"/>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13.1</w:t>
            </w:r>
          </w:p>
        </w:tc>
        <w:tc>
          <w:tcPr>
            <w:tcW w:w="909" w:type="pct"/>
            <w:vAlign w:val="center"/>
          </w:tcPr>
          <w:p w14:paraId="645663A7">
            <w:pPr>
              <w:pStyle w:val="53"/>
              <w:widowControl w:val="0"/>
              <w:spacing w:before="0" w:beforeAutospacing="0" w:after="0" w:afterAutospacing="0" w:line="520" w:lineRule="exact"/>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投标文件解密时间</w:t>
            </w:r>
          </w:p>
        </w:tc>
        <w:tc>
          <w:tcPr>
            <w:tcW w:w="3592" w:type="pct"/>
            <w:vAlign w:val="center"/>
          </w:tcPr>
          <w:p w14:paraId="122EA4F3">
            <w:pPr>
              <w:spacing w:line="520" w:lineRule="exact"/>
              <w:rPr>
                <w:rFonts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投标截止时间后</w:t>
            </w:r>
            <w:r>
              <w:rPr>
                <w:rFonts w:hint="eastAsia" w:ascii="宋体" w:hAnsi="宋体" w:eastAsia="宋体" w:cs="宋体"/>
                <w:bCs/>
                <w:color w:val="auto"/>
                <w:kern w:val="0"/>
                <w:sz w:val="24"/>
                <w:szCs w:val="24"/>
                <w:highlight w:val="none"/>
              </w:rPr>
              <w:t>60分钟内（以本项目网上招投标系统解密倒计时为准）</w:t>
            </w:r>
          </w:p>
        </w:tc>
      </w:tr>
      <w:tr w14:paraId="6314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8" w:type="pct"/>
            <w:vAlign w:val="center"/>
          </w:tcPr>
          <w:p w14:paraId="1769C0CA">
            <w:pPr>
              <w:pStyle w:val="54"/>
              <w:pBdr>
                <w:bottom w:val="none" w:color="auto" w:sz="0" w:space="0"/>
              </w:pBdr>
              <w:tabs>
                <w:tab w:val="clear" w:pos="4153"/>
                <w:tab w:val="clear" w:pos="8306"/>
              </w:tabs>
              <w:adjustRightInd/>
              <w:spacing w:line="520" w:lineRule="exact"/>
              <w:textAlignment w:val="auto"/>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14.1</w:t>
            </w:r>
          </w:p>
        </w:tc>
        <w:tc>
          <w:tcPr>
            <w:tcW w:w="909" w:type="pct"/>
            <w:vAlign w:val="center"/>
          </w:tcPr>
          <w:p w14:paraId="5AC7E537">
            <w:pPr>
              <w:pStyle w:val="53"/>
              <w:widowControl w:val="0"/>
              <w:spacing w:before="0" w:beforeAutospacing="0" w:after="0" w:afterAutospacing="0" w:line="520" w:lineRule="exact"/>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资格审查</w:t>
            </w:r>
          </w:p>
        </w:tc>
        <w:tc>
          <w:tcPr>
            <w:tcW w:w="3592" w:type="pct"/>
            <w:vAlign w:val="center"/>
          </w:tcPr>
          <w:p w14:paraId="44308AA7">
            <w:pPr>
              <w:pStyle w:val="53"/>
              <w:widowControl w:val="0"/>
              <w:spacing w:before="0" w:beforeAutospacing="0" w:after="0" w:afterAutospacing="0" w:line="520" w:lineRule="exact"/>
              <w:jc w:val="both"/>
              <w:rPr>
                <w:rFonts w:ascii="宋体" w:hAnsi="宋体" w:eastAsia="宋体" w:cs="宋体"/>
                <w:b w:val="0"/>
                <w:bCs w:val="0"/>
                <w:color w:val="auto"/>
                <w:sz w:val="24"/>
                <w:szCs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s="宋体"/>
                <w:b w:val="0"/>
                <w:bCs w:val="0"/>
                <w:color w:val="auto"/>
                <w:sz w:val="24"/>
                <w:szCs w:val="24"/>
                <w:highlight w:val="none"/>
              </w:rPr>
              <w:t>采购人审查</w:t>
            </w:r>
          </w:p>
          <w:p w14:paraId="2FFF8DF1">
            <w:pPr>
              <w:pStyle w:val="53"/>
              <w:widowControl w:val="0"/>
              <w:spacing w:before="0" w:beforeAutospacing="0" w:after="0" w:afterAutospacing="0" w:line="520" w:lineRule="exact"/>
              <w:jc w:val="both"/>
              <w:rPr>
                <w:rFonts w:ascii="宋体" w:hAnsi="宋体" w:eastAsia="宋体" w:cs="宋体"/>
                <w:b w:val="0"/>
                <w:color w:val="auto"/>
                <w:sz w:val="24"/>
                <w:szCs w:val="24"/>
                <w:highlight w:val="none"/>
                <w:u w:val="single"/>
              </w:rPr>
            </w:pPr>
            <w:r>
              <w:rPr>
                <w:rFonts w:hint="eastAsia" w:ascii="宋体" w:hAnsi="宋体" w:eastAsia="宋体" w:cs="宋体"/>
                <w:b w:val="0"/>
                <w:bCs w:val="0"/>
                <w:color w:val="auto"/>
                <w:sz w:val="24"/>
                <w:szCs w:val="24"/>
                <w:highlight w:val="none"/>
              </w:rPr>
              <w:t>□采购人出具委托函委托采购代理机构进行审查</w:t>
            </w:r>
          </w:p>
        </w:tc>
      </w:tr>
      <w:tr w14:paraId="3487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8" w:type="pct"/>
            <w:vAlign w:val="center"/>
          </w:tcPr>
          <w:p w14:paraId="7980AD6E">
            <w:pPr>
              <w:pStyle w:val="54"/>
              <w:pBdr>
                <w:bottom w:val="none" w:color="auto" w:sz="0" w:space="0"/>
              </w:pBdr>
              <w:tabs>
                <w:tab w:val="clear" w:pos="4153"/>
                <w:tab w:val="clear" w:pos="8306"/>
              </w:tabs>
              <w:adjustRightInd/>
              <w:spacing w:line="520" w:lineRule="exact"/>
              <w:textAlignment w:val="auto"/>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17.2</w:t>
            </w:r>
          </w:p>
        </w:tc>
        <w:tc>
          <w:tcPr>
            <w:tcW w:w="909" w:type="pct"/>
            <w:vAlign w:val="center"/>
          </w:tcPr>
          <w:p w14:paraId="674D9E75">
            <w:pPr>
              <w:pStyle w:val="53"/>
              <w:widowControl w:val="0"/>
              <w:spacing w:before="0" w:beforeAutospacing="0" w:after="0" w:afterAutospacing="0" w:line="520" w:lineRule="exact"/>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评标方法</w:t>
            </w:r>
          </w:p>
        </w:tc>
        <w:tc>
          <w:tcPr>
            <w:tcW w:w="3592" w:type="pct"/>
            <w:vAlign w:val="center"/>
          </w:tcPr>
          <w:p w14:paraId="66ECFE1C">
            <w:pPr>
              <w:pStyle w:val="53"/>
              <w:widowControl w:val="0"/>
              <w:spacing w:before="0" w:beforeAutospacing="0" w:after="0" w:afterAutospacing="0" w:line="520" w:lineRule="exact"/>
              <w:jc w:val="both"/>
              <w:rPr>
                <w:rFonts w:ascii="宋体" w:hAnsi="宋体" w:eastAsia="宋体" w:cs="宋体"/>
                <w:b w:val="0"/>
                <w:color w:val="auto"/>
                <w:sz w:val="24"/>
                <w:szCs w:val="24"/>
                <w:highlight w:val="none"/>
                <w:u w:val="single"/>
              </w:rPr>
            </w:pPr>
            <w:r>
              <w:rPr>
                <w:rFonts w:hint="eastAsia" w:ascii="宋体" w:hAnsi="宋体" w:eastAsia="宋体" w:cs="宋体"/>
                <w:b w:val="0"/>
                <w:bCs w:val="0"/>
                <w:color w:val="auto"/>
                <w:sz w:val="24"/>
                <w:szCs w:val="24"/>
                <w:highlight w:val="none"/>
              </w:rPr>
              <w:t>□</w:t>
            </w:r>
            <w:r>
              <w:rPr>
                <w:rFonts w:hint="eastAsia" w:ascii="宋体" w:hAnsi="宋体" w:eastAsia="宋体" w:cs="宋体"/>
                <w:b w:val="0"/>
                <w:color w:val="auto"/>
                <w:sz w:val="24"/>
                <w:szCs w:val="24"/>
                <w:highlight w:val="none"/>
              </w:rPr>
              <w:t>最低评标价法</w:t>
            </w:r>
          </w:p>
          <w:p w14:paraId="3555BF7F">
            <w:pPr>
              <w:pStyle w:val="53"/>
              <w:widowControl w:val="0"/>
              <w:spacing w:before="0" w:beforeAutospacing="0" w:after="0" w:afterAutospacing="0" w:line="520" w:lineRule="exact"/>
              <w:jc w:val="both"/>
              <w:rPr>
                <w:rFonts w:ascii="宋体" w:hAnsi="宋体" w:eastAsia="宋体" w:cs="宋体"/>
                <w:b w:val="0"/>
                <w:color w:val="auto"/>
                <w:sz w:val="24"/>
                <w:szCs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s="宋体"/>
                <w:b w:val="0"/>
                <w:color w:val="auto"/>
                <w:sz w:val="24"/>
                <w:szCs w:val="24"/>
                <w:highlight w:val="none"/>
              </w:rPr>
              <w:t>综合评分法</w:t>
            </w:r>
          </w:p>
        </w:tc>
      </w:tr>
      <w:tr w14:paraId="7C62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8" w:type="pct"/>
            <w:vAlign w:val="center"/>
          </w:tcPr>
          <w:p w14:paraId="2A1D2CD5">
            <w:pPr>
              <w:pStyle w:val="54"/>
              <w:pBdr>
                <w:bottom w:val="none" w:color="auto" w:sz="0" w:space="0"/>
              </w:pBdr>
              <w:tabs>
                <w:tab w:val="clear" w:pos="4153"/>
                <w:tab w:val="clear" w:pos="8306"/>
              </w:tabs>
              <w:adjustRightInd/>
              <w:spacing w:line="520" w:lineRule="exact"/>
              <w:textAlignment w:val="auto"/>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17.3</w:t>
            </w:r>
          </w:p>
        </w:tc>
        <w:tc>
          <w:tcPr>
            <w:tcW w:w="909" w:type="pct"/>
            <w:vAlign w:val="center"/>
          </w:tcPr>
          <w:p w14:paraId="6A825539">
            <w:pPr>
              <w:pStyle w:val="53"/>
              <w:widowControl w:val="0"/>
              <w:spacing w:before="0" w:beforeAutospacing="0" w:after="0" w:afterAutospacing="0" w:line="520" w:lineRule="exact"/>
              <w:jc w:val="both"/>
              <w:rPr>
                <w:rFonts w:ascii="宋体" w:hAnsi="宋体" w:eastAsia="宋体" w:cs="宋体"/>
                <w:b w:val="0"/>
                <w:i/>
                <w:color w:val="auto"/>
                <w:sz w:val="24"/>
                <w:szCs w:val="24"/>
                <w:highlight w:val="none"/>
              </w:rPr>
            </w:pPr>
            <w:r>
              <w:rPr>
                <w:rFonts w:hint="eastAsia" w:ascii="宋体" w:hAnsi="宋体" w:eastAsia="宋体" w:cs="宋体"/>
                <w:b w:val="0"/>
                <w:color w:val="auto"/>
                <w:sz w:val="24"/>
                <w:szCs w:val="24"/>
                <w:highlight w:val="none"/>
              </w:rPr>
              <w:t>报价扣除</w:t>
            </w:r>
            <w:r>
              <w:rPr>
                <w:rFonts w:hint="eastAsia" w:ascii="宋体" w:hAnsi="宋体" w:eastAsia="宋体" w:cs="宋体"/>
                <w:b w:val="0"/>
                <w:i/>
                <w:color w:val="auto"/>
                <w:sz w:val="24"/>
                <w:szCs w:val="24"/>
                <w:highlight w:val="none"/>
              </w:rPr>
              <w:t>（非专门面向中小企业采购项目适用）</w:t>
            </w:r>
          </w:p>
        </w:tc>
        <w:tc>
          <w:tcPr>
            <w:tcW w:w="3592" w:type="pct"/>
            <w:vAlign w:val="center"/>
          </w:tcPr>
          <w:p w14:paraId="1A268474">
            <w:pPr>
              <w:pStyle w:val="53"/>
              <w:widowControl w:val="0"/>
              <w:spacing w:before="0" w:beforeAutospacing="0" w:after="0" w:afterAutospacing="0" w:line="520" w:lineRule="exact"/>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（1）小型和微型企业价格扣除：</w:t>
            </w:r>
            <w:r>
              <w:rPr>
                <w:rFonts w:hint="eastAsia" w:ascii="宋体" w:hAnsi="宋体" w:eastAsia="宋体" w:cs="宋体"/>
                <w:b w:val="0"/>
                <w:color w:val="auto"/>
                <w:sz w:val="24"/>
                <w:szCs w:val="24"/>
                <w:highlight w:val="none"/>
                <w:u w:val="single"/>
              </w:rPr>
              <w:t>对小型和微型企业的价格给予10%的扣除后参与评审；其评审价=投标报价*90%</w:t>
            </w:r>
            <w:r>
              <w:rPr>
                <w:rFonts w:hint="eastAsia" w:ascii="宋体" w:hAnsi="宋体" w:eastAsia="宋体" w:cs="宋体"/>
                <w:b w:val="0"/>
                <w:color w:val="auto"/>
                <w:sz w:val="24"/>
                <w:szCs w:val="24"/>
                <w:highlight w:val="none"/>
              </w:rPr>
              <w:t>。</w:t>
            </w:r>
          </w:p>
          <w:p w14:paraId="7E417185">
            <w:pPr>
              <w:pStyle w:val="53"/>
              <w:widowControl w:val="0"/>
              <w:spacing w:before="0" w:beforeAutospacing="0" w:after="0" w:afterAutospacing="0" w:line="520" w:lineRule="exact"/>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（2）监狱企业价格扣除：</w:t>
            </w:r>
            <w:r>
              <w:rPr>
                <w:rFonts w:hint="eastAsia" w:ascii="宋体" w:hAnsi="宋体" w:eastAsia="宋体" w:cs="宋体"/>
                <w:b w:val="0"/>
                <w:color w:val="auto"/>
                <w:sz w:val="24"/>
                <w:szCs w:val="24"/>
                <w:highlight w:val="none"/>
                <w:u w:val="single"/>
              </w:rPr>
              <w:t>同小型和微型企业</w:t>
            </w:r>
            <w:r>
              <w:rPr>
                <w:rFonts w:hint="eastAsia" w:ascii="宋体" w:hAnsi="宋体" w:eastAsia="宋体" w:cs="宋体"/>
                <w:b w:val="0"/>
                <w:color w:val="auto"/>
                <w:sz w:val="24"/>
                <w:szCs w:val="24"/>
                <w:highlight w:val="none"/>
              </w:rPr>
              <w:t>。</w:t>
            </w:r>
          </w:p>
          <w:p w14:paraId="65E638AB">
            <w:pPr>
              <w:pStyle w:val="53"/>
              <w:widowControl w:val="0"/>
              <w:spacing w:before="0" w:beforeAutospacing="0" w:after="0" w:afterAutospacing="0" w:line="520" w:lineRule="exact"/>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（3）残疾人福利性单位价格扣除：</w:t>
            </w:r>
            <w:r>
              <w:rPr>
                <w:rFonts w:hint="eastAsia" w:ascii="宋体" w:hAnsi="宋体" w:eastAsia="宋体" w:cs="宋体"/>
                <w:b w:val="0"/>
                <w:color w:val="auto"/>
                <w:sz w:val="24"/>
                <w:szCs w:val="24"/>
                <w:highlight w:val="none"/>
                <w:u w:val="single"/>
              </w:rPr>
              <w:t>同小型和微型企业</w:t>
            </w:r>
            <w:r>
              <w:rPr>
                <w:rFonts w:hint="eastAsia" w:ascii="宋体" w:hAnsi="宋体" w:eastAsia="宋体" w:cs="宋体"/>
                <w:b w:val="0"/>
                <w:color w:val="auto"/>
                <w:sz w:val="24"/>
                <w:szCs w:val="24"/>
                <w:highlight w:val="none"/>
              </w:rPr>
              <w:t>。</w:t>
            </w:r>
          </w:p>
          <w:p w14:paraId="73475306">
            <w:pPr>
              <w:pStyle w:val="53"/>
              <w:widowControl w:val="0"/>
              <w:spacing w:before="0" w:beforeAutospacing="0" w:after="0" w:afterAutospacing="0" w:line="520" w:lineRule="exact"/>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（4）符合条件的联合体价格扣除：</w:t>
            </w:r>
            <w:r>
              <w:rPr>
                <w:rFonts w:hint="eastAsia" w:ascii="宋体" w:hAnsi="宋体" w:eastAsia="宋体" w:cs="宋体"/>
                <w:b w:val="0"/>
                <w:color w:val="auto"/>
                <w:sz w:val="24"/>
                <w:szCs w:val="24"/>
                <w:highlight w:val="none"/>
                <w:u w:val="single"/>
              </w:rPr>
              <w:t>/</w:t>
            </w:r>
            <w:r>
              <w:rPr>
                <w:rFonts w:hint="eastAsia" w:ascii="宋体" w:hAnsi="宋体" w:eastAsia="宋体" w:cs="宋体"/>
                <w:b w:val="0"/>
                <w:color w:val="auto"/>
                <w:sz w:val="24"/>
                <w:szCs w:val="24"/>
                <w:highlight w:val="none"/>
              </w:rPr>
              <w:t>。</w:t>
            </w:r>
          </w:p>
          <w:p w14:paraId="0FC7E218">
            <w:pPr>
              <w:pStyle w:val="53"/>
              <w:widowControl w:val="0"/>
              <w:spacing w:before="0" w:beforeAutospacing="0" w:after="0" w:afterAutospacing="0" w:line="520" w:lineRule="exact"/>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（5）符合条件的向小微企业分包的大中型企业价格扣除：</w:t>
            </w:r>
            <w:r>
              <w:rPr>
                <w:rFonts w:hint="eastAsia" w:ascii="宋体" w:hAnsi="宋体" w:eastAsia="宋体" w:cs="宋体"/>
                <w:b w:val="0"/>
                <w:color w:val="auto"/>
                <w:sz w:val="24"/>
                <w:szCs w:val="24"/>
                <w:highlight w:val="none"/>
                <w:u w:val="single"/>
              </w:rPr>
              <w:t>/。</w:t>
            </w:r>
          </w:p>
        </w:tc>
      </w:tr>
      <w:tr w14:paraId="6726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8" w:type="pct"/>
            <w:vAlign w:val="center"/>
          </w:tcPr>
          <w:p w14:paraId="66E4C5EC">
            <w:pPr>
              <w:pStyle w:val="54"/>
              <w:pBdr>
                <w:bottom w:val="none" w:color="auto" w:sz="0" w:space="0"/>
              </w:pBdr>
              <w:tabs>
                <w:tab w:val="clear" w:pos="4153"/>
                <w:tab w:val="clear" w:pos="8306"/>
              </w:tabs>
              <w:adjustRightInd/>
              <w:spacing w:line="520" w:lineRule="exact"/>
              <w:textAlignment w:val="auto"/>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21.1</w:t>
            </w:r>
          </w:p>
        </w:tc>
        <w:tc>
          <w:tcPr>
            <w:tcW w:w="909" w:type="pct"/>
            <w:vAlign w:val="center"/>
          </w:tcPr>
          <w:p w14:paraId="6E04DCB3">
            <w:pPr>
              <w:pStyle w:val="53"/>
              <w:widowControl w:val="0"/>
              <w:spacing w:before="0" w:beforeAutospacing="0" w:after="0" w:afterAutospacing="0" w:line="520" w:lineRule="exact"/>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评标委员会推荐中标候选人的数量</w:t>
            </w:r>
          </w:p>
        </w:tc>
        <w:tc>
          <w:tcPr>
            <w:tcW w:w="3592" w:type="pct"/>
            <w:vAlign w:val="center"/>
          </w:tcPr>
          <w:p w14:paraId="70E1973C">
            <w:pPr>
              <w:pStyle w:val="53"/>
              <w:widowControl w:val="0"/>
              <w:spacing w:before="0" w:beforeAutospacing="0" w:after="0" w:afterAutospacing="0" w:line="520" w:lineRule="exact"/>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评标委员会推荐3名中标候选人。</w:t>
            </w:r>
          </w:p>
        </w:tc>
      </w:tr>
      <w:tr w14:paraId="1BF74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8" w:type="pct"/>
            <w:vAlign w:val="center"/>
          </w:tcPr>
          <w:p w14:paraId="72EFF23D">
            <w:pPr>
              <w:pStyle w:val="54"/>
              <w:pBdr>
                <w:bottom w:val="none" w:color="auto" w:sz="0" w:space="0"/>
              </w:pBdr>
              <w:tabs>
                <w:tab w:val="clear" w:pos="4153"/>
                <w:tab w:val="clear" w:pos="8306"/>
              </w:tabs>
              <w:adjustRightInd/>
              <w:spacing w:line="520" w:lineRule="exact"/>
              <w:textAlignment w:val="auto"/>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21.2</w:t>
            </w:r>
          </w:p>
        </w:tc>
        <w:tc>
          <w:tcPr>
            <w:tcW w:w="909" w:type="pct"/>
            <w:vAlign w:val="center"/>
          </w:tcPr>
          <w:p w14:paraId="7E3F14BA">
            <w:pPr>
              <w:pStyle w:val="53"/>
              <w:widowControl w:val="0"/>
              <w:spacing w:before="0" w:beforeAutospacing="0" w:after="0" w:afterAutospacing="0" w:line="520" w:lineRule="exact"/>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确定中标人</w:t>
            </w:r>
          </w:p>
        </w:tc>
        <w:tc>
          <w:tcPr>
            <w:tcW w:w="3592" w:type="pct"/>
            <w:vAlign w:val="center"/>
          </w:tcPr>
          <w:p w14:paraId="112C26FD">
            <w:pPr>
              <w:spacing w:line="52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采购人委托评标委员会确定</w:t>
            </w:r>
          </w:p>
          <w:p w14:paraId="6A7B573E">
            <w:pPr>
              <w:pStyle w:val="53"/>
              <w:widowControl w:val="0"/>
              <w:spacing w:before="0" w:beforeAutospacing="0" w:after="0" w:afterAutospacing="0" w:line="520" w:lineRule="exact"/>
              <w:jc w:val="both"/>
              <w:rPr>
                <w:rFonts w:ascii="宋体" w:hAnsi="宋体" w:eastAsia="宋体" w:cs="宋体"/>
                <w:b w:val="0"/>
                <w:color w:val="auto"/>
                <w:sz w:val="24"/>
                <w:szCs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s="宋体"/>
                <w:b w:val="0"/>
                <w:bCs w:val="0"/>
                <w:color w:val="auto"/>
                <w:kern w:val="2"/>
                <w:sz w:val="24"/>
                <w:szCs w:val="24"/>
                <w:highlight w:val="none"/>
              </w:rPr>
              <w:t>采购人确定</w:t>
            </w:r>
          </w:p>
        </w:tc>
      </w:tr>
      <w:tr w14:paraId="23A9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498" w:type="pct"/>
            <w:vAlign w:val="center"/>
          </w:tcPr>
          <w:p w14:paraId="11AFAF7F">
            <w:pPr>
              <w:pStyle w:val="54"/>
              <w:pBdr>
                <w:bottom w:val="none" w:color="auto" w:sz="0" w:space="0"/>
              </w:pBdr>
              <w:tabs>
                <w:tab w:val="clear" w:pos="4153"/>
                <w:tab w:val="clear" w:pos="8306"/>
              </w:tabs>
              <w:adjustRightInd/>
              <w:spacing w:line="520" w:lineRule="exact"/>
              <w:textAlignment w:val="auto"/>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23.3</w:t>
            </w:r>
          </w:p>
        </w:tc>
        <w:tc>
          <w:tcPr>
            <w:tcW w:w="909" w:type="pct"/>
            <w:vAlign w:val="center"/>
          </w:tcPr>
          <w:p w14:paraId="1DEDA310">
            <w:pPr>
              <w:pStyle w:val="53"/>
              <w:widowControl w:val="0"/>
              <w:spacing w:before="0" w:beforeAutospacing="0" w:after="0" w:afterAutospacing="0" w:line="520" w:lineRule="exact"/>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随中标结果公告同时公告的内容</w:t>
            </w:r>
          </w:p>
        </w:tc>
        <w:tc>
          <w:tcPr>
            <w:tcW w:w="3592" w:type="pct"/>
            <w:vAlign w:val="center"/>
          </w:tcPr>
          <w:p w14:paraId="3EEDE502">
            <w:pPr>
              <w:pStyle w:val="53"/>
              <w:widowControl w:val="0"/>
              <w:spacing w:before="0" w:beforeAutospacing="0" w:after="0" w:afterAutospacing="0" w:line="520" w:lineRule="exact"/>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（1）中小企业声明函</w:t>
            </w:r>
            <w:r>
              <w:rPr>
                <w:rFonts w:hint="eastAsia" w:ascii="宋体" w:hAnsi="宋体" w:eastAsia="宋体" w:cs="宋体"/>
                <w:b w:val="0"/>
                <w:i/>
                <w:iCs/>
                <w:color w:val="auto"/>
                <w:sz w:val="24"/>
                <w:szCs w:val="24"/>
                <w:highlight w:val="none"/>
              </w:rPr>
              <w:t>（如有）</w:t>
            </w:r>
            <w:r>
              <w:rPr>
                <w:rFonts w:hint="eastAsia" w:ascii="宋体" w:hAnsi="宋体" w:eastAsia="宋体" w:cs="宋体"/>
                <w:b w:val="0"/>
                <w:color w:val="auto"/>
                <w:sz w:val="24"/>
                <w:szCs w:val="24"/>
                <w:highlight w:val="none"/>
              </w:rPr>
              <w:t>；</w:t>
            </w:r>
          </w:p>
          <w:p w14:paraId="33AAB31F">
            <w:pPr>
              <w:pStyle w:val="53"/>
              <w:widowControl w:val="0"/>
              <w:spacing w:before="0" w:beforeAutospacing="0" w:after="0" w:afterAutospacing="0" w:line="520" w:lineRule="exact"/>
              <w:jc w:val="both"/>
              <w:rPr>
                <w:rFonts w:ascii="宋体" w:hAnsi="宋体" w:eastAsia="宋体" w:cs="宋体"/>
                <w:b w:val="0"/>
                <w:i/>
                <w:color w:val="auto"/>
                <w:sz w:val="24"/>
                <w:szCs w:val="24"/>
                <w:highlight w:val="none"/>
              </w:rPr>
            </w:pPr>
            <w:r>
              <w:rPr>
                <w:rFonts w:hint="eastAsia" w:ascii="宋体" w:hAnsi="宋体" w:eastAsia="宋体" w:cs="宋体"/>
                <w:b w:val="0"/>
                <w:color w:val="auto"/>
                <w:sz w:val="24"/>
                <w:szCs w:val="24"/>
                <w:highlight w:val="none"/>
              </w:rPr>
              <w:t>（2）残疾人福利性单位声明函</w:t>
            </w:r>
            <w:r>
              <w:rPr>
                <w:rFonts w:hint="eastAsia" w:ascii="宋体" w:hAnsi="宋体" w:eastAsia="宋体" w:cs="宋体"/>
                <w:b w:val="0"/>
                <w:i/>
                <w:iCs/>
                <w:color w:val="auto"/>
                <w:sz w:val="24"/>
                <w:szCs w:val="24"/>
                <w:highlight w:val="none"/>
              </w:rPr>
              <w:t>（如有）</w:t>
            </w:r>
            <w:r>
              <w:rPr>
                <w:rFonts w:hint="eastAsia" w:ascii="宋体" w:hAnsi="宋体" w:eastAsia="宋体" w:cs="宋体"/>
                <w:b w:val="0"/>
                <w:color w:val="auto"/>
                <w:sz w:val="24"/>
                <w:szCs w:val="24"/>
                <w:highlight w:val="none"/>
              </w:rPr>
              <w:t>；</w:t>
            </w:r>
          </w:p>
          <w:p w14:paraId="0D78E9A7">
            <w:pPr>
              <w:pStyle w:val="53"/>
              <w:widowControl w:val="0"/>
              <w:spacing w:before="0" w:beforeAutospacing="0" w:after="0" w:afterAutospacing="0" w:line="520" w:lineRule="exact"/>
              <w:jc w:val="both"/>
              <w:rPr>
                <w:rFonts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rPr>
              <w:t>（3）中标（成交）供应商的评审总得分</w:t>
            </w:r>
            <w:r>
              <w:rPr>
                <w:rFonts w:hint="eastAsia" w:ascii="宋体" w:hAnsi="宋体" w:eastAsia="宋体" w:cs="宋体"/>
                <w:b w:val="0"/>
                <w:i/>
                <w:iCs/>
                <w:color w:val="auto"/>
                <w:sz w:val="24"/>
                <w:szCs w:val="24"/>
                <w:highlight w:val="none"/>
              </w:rPr>
              <w:t>。</w:t>
            </w:r>
          </w:p>
        </w:tc>
      </w:tr>
      <w:tr w14:paraId="5586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8" w:type="pct"/>
            <w:vAlign w:val="center"/>
          </w:tcPr>
          <w:p w14:paraId="2D5B2E28">
            <w:pPr>
              <w:pStyle w:val="54"/>
              <w:pBdr>
                <w:bottom w:val="none" w:color="auto" w:sz="0" w:space="0"/>
              </w:pBdr>
              <w:tabs>
                <w:tab w:val="clear" w:pos="4153"/>
                <w:tab w:val="clear" w:pos="8306"/>
              </w:tabs>
              <w:adjustRightInd/>
              <w:spacing w:line="520" w:lineRule="exact"/>
              <w:textAlignment w:val="auto"/>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24.1</w:t>
            </w:r>
          </w:p>
        </w:tc>
        <w:tc>
          <w:tcPr>
            <w:tcW w:w="909" w:type="pct"/>
            <w:vAlign w:val="center"/>
          </w:tcPr>
          <w:p w14:paraId="094E24CF">
            <w:pPr>
              <w:pStyle w:val="53"/>
              <w:widowControl w:val="0"/>
              <w:spacing w:before="0" w:beforeAutospacing="0" w:after="0" w:afterAutospacing="0" w:line="520" w:lineRule="exact"/>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中标通知书发出的形式</w:t>
            </w:r>
          </w:p>
        </w:tc>
        <w:tc>
          <w:tcPr>
            <w:tcW w:w="3592" w:type="pct"/>
            <w:vAlign w:val="center"/>
          </w:tcPr>
          <w:p w14:paraId="2F8E1046">
            <w:pPr>
              <w:pStyle w:val="53"/>
              <w:widowControl w:val="0"/>
              <w:spacing w:before="0" w:beforeAutospacing="0" w:after="0" w:afterAutospacing="0" w:line="520" w:lineRule="exact"/>
              <w:jc w:val="both"/>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□书面    </w:t>
            </w:r>
            <w:r>
              <w:rPr>
                <w:rFonts w:hint="eastAsia" w:ascii="宋体" w:hAnsi="宋体" w:eastAsia="宋体"/>
                <w:bCs/>
                <w:color w:val="auto"/>
                <w:sz w:val="24"/>
                <w:szCs w:val="24"/>
                <w:highlight w:val="none"/>
                <w:lang w:eastAsia="zh-CN"/>
              </w:rPr>
              <w:t>√</w:t>
            </w:r>
            <w:r>
              <w:rPr>
                <w:rFonts w:hint="eastAsia" w:ascii="宋体" w:hAnsi="宋体" w:eastAsia="宋体" w:cs="宋体"/>
                <w:b w:val="0"/>
                <w:bCs w:val="0"/>
                <w:color w:val="auto"/>
                <w:sz w:val="24"/>
                <w:szCs w:val="24"/>
                <w:highlight w:val="none"/>
              </w:rPr>
              <w:t>数据电文</w:t>
            </w:r>
          </w:p>
        </w:tc>
      </w:tr>
      <w:tr w14:paraId="4C54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8" w:type="pct"/>
            <w:vAlign w:val="center"/>
          </w:tcPr>
          <w:p w14:paraId="10A2421F">
            <w:pPr>
              <w:pStyle w:val="54"/>
              <w:pBdr>
                <w:bottom w:val="none" w:color="auto" w:sz="0" w:space="0"/>
              </w:pBdr>
              <w:tabs>
                <w:tab w:val="clear" w:pos="4153"/>
                <w:tab w:val="clear" w:pos="8306"/>
              </w:tabs>
              <w:adjustRightInd/>
              <w:spacing w:line="520" w:lineRule="exact"/>
              <w:textAlignment w:val="auto"/>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25.1</w:t>
            </w:r>
          </w:p>
        </w:tc>
        <w:tc>
          <w:tcPr>
            <w:tcW w:w="909" w:type="pct"/>
            <w:vAlign w:val="center"/>
          </w:tcPr>
          <w:p w14:paraId="5872B4CD">
            <w:pPr>
              <w:pStyle w:val="53"/>
              <w:widowControl w:val="0"/>
              <w:spacing w:before="0" w:beforeAutospacing="0" w:after="0" w:afterAutospacing="0" w:line="520" w:lineRule="exact"/>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告知招标结果的形式</w:t>
            </w:r>
          </w:p>
        </w:tc>
        <w:tc>
          <w:tcPr>
            <w:tcW w:w="3592" w:type="pct"/>
            <w:vAlign w:val="center"/>
          </w:tcPr>
          <w:p w14:paraId="236100C3">
            <w:pPr>
              <w:spacing w:line="520" w:lineRule="exact"/>
              <w:rPr>
                <w:rFonts w:ascii="宋体" w:hAnsi="宋体" w:eastAsia="宋体" w:cs="宋体"/>
                <w:color w:val="auto"/>
                <w:kern w:val="0"/>
                <w:sz w:val="24"/>
                <w:szCs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s="宋体"/>
                <w:color w:val="auto"/>
                <w:kern w:val="0"/>
                <w:sz w:val="24"/>
                <w:szCs w:val="24"/>
                <w:highlight w:val="none"/>
              </w:rPr>
              <w:t>投标人自行登录电子</w:t>
            </w:r>
            <w:r>
              <w:rPr>
                <w:rFonts w:hint="eastAsia" w:ascii="宋体" w:hAnsi="宋体" w:eastAsia="宋体" w:cs="宋体"/>
                <w:color w:val="auto"/>
                <w:sz w:val="24"/>
                <w:szCs w:val="24"/>
                <w:highlight w:val="none"/>
              </w:rPr>
              <w:t>交易</w:t>
            </w:r>
            <w:r>
              <w:rPr>
                <w:rFonts w:hint="eastAsia" w:ascii="宋体" w:hAnsi="宋体" w:eastAsia="宋体" w:cs="宋体"/>
                <w:color w:val="auto"/>
                <w:kern w:val="0"/>
                <w:sz w:val="24"/>
                <w:szCs w:val="24"/>
                <w:highlight w:val="none"/>
              </w:rPr>
              <w:t>系统查看</w:t>
            </w:r>
          </w:p>
          <w:p w14:paraId="1917D72A">
            <w:pPr>
              <w:pStyle w:val="53"/>
              <w:widowControl w:val="0"/>
              <w:spacing w:before="0" w:beforeAutospacing="0" w:after="0" w:afterAutospacing="0" w:line="520" w:lineRule="exact"/>
              <w:jc w:val="both"/>
              <w:rPr>
                <w:rFonts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□评标现场告知</w:t>
            </w:r>
          </w:p>
        </w:tc>
      </w:tr>
      <w:tr w14:paraId="335E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8" w:type="pct"/>
            <w:shd w:val="clear" w:color="auto" w:fill="auto"/>
            <w:vAlign w:val="center"/>
          </w:tcPr>
          <w:p w14:paraId="36935EF5">
            <w:pPr>
              <w:pStyle w:val="54"/>
              <w:pBdr>
                <w:bottom w:val="none" w:color="auto" w:sz="0" w:space="0"/>
              </w:pBdr>
              <w:tabs>
                <w:tab w:val="clear" w:pos="4153"/>
                <w:tab w:val="clear" w:pos="8306"/>
              </w:tabs>
              <w:adjustRightInd/>
              <w:spacing w:line="520" w:lineRule="exact"/>
              <w:textAlignment w:val="auto"/>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26.1</w:t>
            </w:r>
          </w:p>
        </w:tc>
        <w:tc>
          <w:tcPr>
            <w:tcW w:w="909" w:type="pct"/>
            <w:shd w:val="clear" w:color="auto" w:fill="auto"/>
            <w:vAlign w:val="center"/>
          </w:tcPr>
          <w:p w14:paraId="1F2870EF">
            <w:pPr>
              <w:pStyle w:val="53"/>
              <w:widowControl w:val="0"/>
              <w:spacing w:before="0" w:beforeAutospacing="0" w:after="0" w:afterAutospacing="0" w:line="520" w:lineRule="exact"/>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履约保证金</w:t>
            </w:r>
          </w:p>
        </w:tc>
        <w:tc>
          <w:tcPr>
            <w:tcW w:w="3592" w:type="pct"/>
            <w:shd w:val="clear" w:color="auto" w:fill="auto"/>
          </w:tcPr>
          <w:p w14:paraId="03415774">
            <w:pPr>
              <w:spacing w:line="520" w:lineRule="exac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（1）金额：</w:t>
            </w:r>
          </w:p>
          <w:p w14:paraId="1C7A12AC">
            <w:pPr>
              <w:spacing w:line="520" w:lineRule="exact"/>
              <w:rPr>
                <w:rFonts w:ascii="宋体" w:hAnsi="宋体" w:eastAsia="宋体" w:cs="宋体"/>
                <w:bCs/>
                <w:color w:val="auto"/>
                <w:kern w:val="0"/>
                <w:sz w:val="24"/>
                <w:szCs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s="宋体"/>
                <w:bCs/>
                <w:color w:val="auto"/>
                <w:kern w:val="0"/>
                <w:sz w:val="24"/>
                <w:szCs w:val="24"/>
                <w:highlight w:val="none"/>
              </w:rPr>
              <w:t>免收</w:t>
            </w:r>
          </w:p>
          <w:p w14:paraId="0888B2B3">
            <w:pPr>
              <w:spacing w:line="520" w:lineRule="exac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□合同价的</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kern w:val="0"/>
                <w:sz w:val="24"/>
                <w:szCs w:val="24"/>
                <w:highlight w:val="none"/>
              </w:rPr>
              <w:t>%</w:t>
            </w:r>
          </w:p>
          <w:p w14:paraId="63FAE501">
            <w:pPr>
              <w:spacing w:line="520" w:lineRule="exac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□定额收取：人民币</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kern w:val="0"/>
                <w:sz w:val="24"/>
                <w:szCs w:val="24"/>
                <w:highlight w:val="none"/>
              </w:rPr>
              <w:t>元</w:t>
            </w:r>
          </w:p>
          <w:p w14:paraId="4F2D90C1">
            <w:pPr>
              <w:spacing w:line="520" w:lineRule="exac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（2）支付方式：</w:t>
            </w:r>
          </w:p>
          <w:p w14:paraId="0113469E">
            <w:pPr>
              <w:spacing w:line="520" w:lineRule="exac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sym w:font="Wingdings" w:char="00A8"/>
            </w:r>
            <w:r>
              <w:rPr>
                <w:rFonts w:hint="eastAsia" w:ascii="宋体" w:hAnsi="宋体" w:eastAsia="宋体" w:cs="宋体"/>
                <w:bCs/>
                <w:color w:val="auto"/>
                <w:kern w:val="0"/>
                <w:sz w:val="24"/>
                <w:szCs w:val="24"/>
                <w:highlight w:val="none"/>
              </w:rPr>
              <w:t xml:space="preserve">转账/电汇 </w:t>
            </w:r>
            <w:r>
              <w:rPr>
                <w:rFonts w:hint="eastAsia" w:ascii="宋体" w:hAnsi="宋体" w:eastAsia="宋体" w:cs="宋体"/>
                <w:bCs/>
                <w:color w:val="auto"/>
                <w:kern w:val="0"/>
                <w:sz w:val="24"/>
                <w:szCs w:val="24"/>
                <w:highlight w:val="none"/>
              </w:rPr>
              <w:sym w:font="Wingdings" w:char="00A8"/>
            </w:r>
            <w:r>
              <w:rPr>
                <w:rFonts w:hint="eastAsia" w:ascii="宋体" w:hAnsi="宋体" w:eastAsia="宋体" w:cs="宋体"/>
                <w:bCs/>
                <w:color w:val="auto"/>
                <w:kern w:val="0"/>
                <w:sz w:val="24"/>
                <w:szCs w:val="24"/>
                <w:highlight w:val="none"/>
              </w:rPr>
              <w:t xml:space="preserve">支票 </w:t>
            </w:r>
            <w:r>
              <w:rPr>
                <w:rFonts w:hint="eastAsia" w:ascii="宋体" w:hAnsi="宋体" w:eastAsia="宋体" w:cs="宋体"/>
                <w:bCs/>
                <w:color w:val="auto"/>
                <w:kern w:val="0"/>
                <w:sz w:val="24"/>
                <w:szCs w:val="24"/>
                <w:highlight w:val="none"/>
              </w:rPr>
              <w:sym w:font="Wingdings" w:char="00A8"/>
            </w:r>
            <w:r>
              <w:rPr>
                <w:rFonts w:hint="eastAsia" w:ascii="宋体" w:hAnsi="宋体" w:eastAsia="宋体" w:cs="宋体"/>
                <w:bCs/>
                <w:color w:val="auto"/>
                <w:kern w:val="0"/>
                <w:sz w:val="24"/>
                <w:szCs w:val="24"/>
                <w:highlight w:val="none"/>
              </w:rPr>
              <w:t xml:space="preserve">汇票 </w:t>
            </w:r>
            <w:r>
              <w:rPr>
                <w:rFonts w:hint="eastAsia" w:ascii="宋体" w:hAnsi="宋体" w:eastAsia="宋体" w:cs="宋体"/>
                <w:bCs/>
                <w:color w:val="auto"/>
                <w:kern w:val="0"/>
                <w:sz w:val="24"/>
                <w:szCs w:val="24"/>
                <w:highlight w:val="none"/>
              </w:rPr>
              <w:sym w:font="Wingdings" w:char="00A8"/>
            </w:r>
            <w:r>
              <w:rPr>
                <w:rFonts w:hint="eastAsia" w:ascii="宋体" w:hAnsi="宋体" w:eastAsia="宋体" w:cs="宋体"/>
                <w:bCs/>
                <w:color w:val="auto"/>
                <w:kern w:val="0"/>
                <w:sz w:val="24"/>
                <w:szCs w:val="24"/>
                <w:highlight w:val="none"/>
              </w:rPr>
              <w:t xml:space="preserve">本票 </w:t>
            </w:r>
            <w:r>
              <w:rPr>
                <w:rFonts w:hint="eastAsia" w:ascii="宋体" w:hAnsi="宋体" w:eastAsia="宋体" w:cs="宋体"/>
                <w:bCs/>
                <w:color w:val="auto"/>
                <w:kern w:val="0"/>
                <w:sz w:val="24"/>
                <w:szCs w:val="24"/>
                <w:highlight w:val="none"/>
              </w:rPr>
              <w:sym w:font="Wingdings" w:char="00A8"/>
            </w:r>
            <w:r>
              <w:rPr>
                <w:rFonts w:hint="eastAsia" w:ascii="宋体" w:hAnsi="宋体" w:eastAsia="宋体" w:cs="宋体"/>
                <w:bCs/>
                <w:color w:val="auto"/>
                <w:kern w:val="0"/>
                <w:sz w:val="24"/>
                <w:szCs w:val="24"/>
                <w:highlight w:val="none"/>
              </w:rPr>
              <w:t xml:space="preserve">保险 </w:t>
            </w:r>
            <w:r>
              <w:rPr>
                <w:rFonts w:hint="eastAsia" w:ascii="宋体" w:hAnsi="宋体" w:eastAsia="宋体" w:cs="宋体"/>
                <w:bCs/>
                <w:color w:val="auto"/>
                <w:kern w:val="0"/>
                <w:sz w:val="24"/>
                <w:szCs w:val="24"/>
                <w:highlight w:val="none"/>
              </w:rPr>
              <w:sym w:font="Wingdings" w:char="00A8"/>
            </w:r>
            <w:r>
              <w:rPr>
                <w:rFonts w:hint="eastAsia" w:ascii="宋体" w:hAnsi="宋体" w:eastAsia="宋体" w:cs="宋体"/>
                <w:bCs/>
                <w:color w:val="auto"/>
                <w:kern w:val="0"/>
                <w:sz w:val="24"/>
                <w:szCs w:val="24"/>
                <w:highlight w:val="none"/>
              </w:rPr>
              <w:t>保函</w:t>
            </w:r>
          </w:p>
          <w:p w14:paraId="4361E6A9">
            <w:pPr>
              <w:spacing w:line="520" w:lineRule="exac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（3）收取单位：</w:t>
            </w:r>
            <w:r>
              <w:rPr>
                <w:rFonts w:hint="eastAsia" w:ascii="宋体" w:hAnsi="宋体" w:eastAsia="宋体" w:cs="宋体"/>
                <w:bCs/>
                <w:color w:val="auto"/>
                <w:sz w:val="24"/>
                <w:szCs w:val="24"/>
                <w:highlight w:val="none"/>
                <w:u w:val="single"/>
              </w:rPr>
              <w:t>/</w:t>
            </w:r>
          </w:p>
          <w:p w14:paraId="066E988E">
            <w:pPr>
              <w:spacing w:line="520" w:lineRule="exac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（4）收取账号：</w:t>
            </w:r>
            <w:r>
              <w:rPr>
                <w:rFonts w:hint="eastAsia" w:ascii="宋体" w:hAnsi="宋体" w:eastAsia="宋体" w:cs="宋体"/>
                <w:bCs/>
                <w:color w:val="auto"/>
                <w:sz w:val="24"/>
                <w:szCs w:val="24"/>
                <w:highlight w:val="none"/>
                <w:u w:val="single"/>
              </w:rPr>
              <w:t>/</w:t>
            </w:r>
          </w:p>
          <w:p w14:paraId="3A9CE1DC">
            <w:pPr>
              <w:spacing w:line="520" w:lineRule="exact"/>
              <w:rPr>
                <w:rFonts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（5）</w:t>
            </w:r>
            <w:r>
              <w:rPr>
                <w:rFonts w:hint="eastAsia" w:ascii="宋体" w:hAnsi="宋体" w:eastAsia="宋体" w:cs="宋体"/>
                <w:color w:val="auto"/>
                <w:sz w:val="24"/>
                <w:szCs w:val="24"/>
                <w:highlight w:val="none"/>
              </w:rPr>
              <w:t>退还时间：</w:t>
            </w:r>
            <w:r>
              <w:rPr>
                <w:rFonts w:hint="eastAsia" w:ascii="宋体" w:hAnsi="宋体" w:eastAsia="宋体" w:cs="宋体"/>
                <w:bCs/>
                <w:color w:val="auto"/>
                <w:sz w:val="24"/>
                <w:szCs w:val="24"/>
                <w:highlight w:val="none"/>
                <w:u w:val="single"/>
              </w:rPr>
              <w:t>/</w:t>
            </w:r>
          </w:p>
          <w:p w14:paraId="409441C0">
            <w:pPr>
              <w:spacing w:line="520" w:lineRule="exac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注意事项：</w:t>
            </w:r>
          </w:p>
          <w:p w14:paraId="5632DCB1">
            <w:pPr>
              <w:spacing w:line="520" w:lineRule="exac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（1）以上各类机构出具的以担保函、保证保险承担责任的方式均须满足无条件见索即付条件。</w:t>
            </w:r>
          </w:p>
          <w:p w14:paraId="5A5AD727">
            <w:pPr>
              <w:spacing w:line="520" w:lineRule="exac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（2）以担保函、保证保险形式缴纳履约保证金的，受益人和收取单位须为采购人。</w:t>
            </w:r>
          </w:p>
        </w:tc>
      </w:tr>
      <w:tr w14:paraId="2D29F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98" w:type="pct"/>
            <w:vAlign w:val="center"/>
          </w:tcPr>
          <w:p w14:paraId="6F7CEC5C">
            <w:pPr>
              <w:pStyle w:val="54"/>
              <w:pBdr>
                <w:bottom w:val="none" w:color="auto" w:sz="0" w:space="0"/>
              </w:pBdr>
              <w:tabs>
                <w:tab w:val="clear" w:pos="4153"/>
                <w:tab w:val="clear" w:pos="8306"/>
              </w:tabs>
              <w:adjustRightInd/>
              <w:spacing w:line="520" w:lineRule="exact"/>
              <w:textAlignment w:val="auto"/>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27.1</w:t>
            </w:r>
          </w:p>
        </w:tc>
        <w:tc>
          <w:tcPr>
            <w:tcW w:w="909" w:type="pct"/>
            <w:vAlign w:val="center"/>
          </w:tcPr>
          <w:p w14:paraId="08E36C51">
            <w:pPr>
              <w:pStyle w:val="53"/>
              <w:widowControl w:val="0"/>
              <w:spacing w:before="0" w:beforeAutospacing="0" w:after="0" w:afterAutospacing="0" w:line="520" w:lineRule="exact"/>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签订合同和合同公告时间</w:t>
            </w:r>
          </w:p>
        </w:tc>
        <w:tc>
          <w:tcPr>
            <w:tcW w:w="3592" w:type="pct"/>
          </w:tcPr>
          <w:p w14:paraId="0F4122BB">
            <w:pPr>
              <w:adjustRightInd w:val="0"/>
              <w:snapToGrid w:val="0"/>
              <w:spacing w:line="52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（1）采购人与中标人应当自发出中标通知书之日起7个工作日内签订合同，采购合同签订之日起2个工作日内完成政府采购合同公开。</w:t>
            </w:r>
          </w:p>
          <w:p w14:paraId="68B4B2D9">
            <w:pPr>
              <w:adjustRightInd w:val="0"/>
              <w:snapToGrid w:val="0"/>
              <w:spacing w:line="520" w:lineRule="exact"/>
              <w:rPr>
                <w:rFonts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2）采购人与中标人不得擅自变更合同，依照政府采购法确需变更政府采购合同内容的，采购人应当自合同变更之日起2个工作日内在安徽省政府采购网和滁州市公共资源交易中心网发布政府采购合同变更公告，但涉及国家秘密、商业秘密的信息和其他依法不得公开的信息除外。</w:t>
            </w:r>
          </w:p>
        </w:tc>
      </w:tr>
      <w:tr w14:paraId="5585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8" w:type="pct"/>
            <w:vAlign w:val="center"/>
          </w:tcPr>
          <w:p w14:paraId="25B49203">
            <w:pPr>
              <w:pStyle w:val="54"/>
              <w:pBdr>
                <w:bottom w:val="none" w:color="auto" w:sz="0" w:space="0"/>
              </w:pBdr>
              <w:tabs>
                <w:tab w:val="clear" w:pos="4153"/>
                <w:tab w:val="clear" w:pos="8306"/>
              </w:tabs>
              <w:adjustRightInd/>
              <w:spacing w:line="520" w:lineRule="exact"/>
              <w:textAlignment w:val="auto"/>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28.1</w:t>
            </w:r>
          </w:p>
        </w:tc>
        <w:tc>
          <w:tcPr>
            <w:tcW w:w="909" w:type="pct"/>
            <w:vAlign w:val="center"/>
          </w:tcPr>
          <w:p w14:paraId="5E9E9F84">
            <w:pPr>
              <w:pStyle w:val="53"/>
              <w:widowControl w:val="0"/>
              <w:spacing w:before="0" w:beforeAutospacing="0" w:after="0" w:afterAutospacing="0" w:line="520" w:lineRule="exact"/>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代理费用</w:t>
            </w:r>
          </w:p>
        </w:tc>
        <w:tc>
          <w:tcPr>
            <w:tcW w:w="3592" w:type="pct"/>
            <w:vAlign w:val="center"/>
          </w:tcPr>
          <w:p w14:paraId="3CADE7A3">
            <w:pPr>
              <w:spacing w:line="520" w:lineRule="exact"/>
              <w:rPr>
                <w:rFonts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（1）收费对象</w:t>
            </w:r>
            <w:r>
              <w:rPr>
                <w:rFonts w:hint="eastAsia" w:ascii="宋体" w:hAnsi="宋体" w:eastAsia="宋体" w:cs="宋体"/>
                <w:color w:val="auto"/>
                <w:spacing w:val="-12"/>
                <w:sz w:val="24"/>
                <w:szCs w:val="24"/>
                <w:highlight w:val="none"/>
              </w:rPr>
              <w:t>：</w:t>
            </w:r>
            <w:r>
              <w:rPr>
                <w:rFonts w:hint="eastAsia" w:ascii="宋体" w:hAnsi="宋体" w:eastAsia="宋体" w:cs="宋体"/>
                <w:bCs/>
                <w:color w:val="auto"/>
                <w:kern w:val="0"/>
                <w:sz w:val="24"/>
                <w:szCs w:val="24"/>
                <w:highlight w:val="none"/>
              </w:rPr>
              <w:sym w:font="Wingdings" w:char="00A8"/>
            </w:r>
            <w:r>
              <w:rPr>
                <w:rFonts w:hint="eastAsia" w:ascii="宋体" w:hAnsi="宋体" w:eastAsia="宋体" w:cs="宋体"/>
                <w:color w:val="auto"/>
                <w:spacing w:val="14"/>
                <w:sz w:val="24"/>
                <w:szCs w:val="24"/>
                <w:highlight w:val="none"/>
              </w:rPr>
              <w:t xml:space="preserve">采购人   </w:t>
            </w:r>
            <w:r>
              <w:rPr>
                <w:rFonts w:hint="eastAsia" w:ascii="宋体" w:hAnsi="宋体" w:eastAsia="宋体"/>
                <w:bCs/>
                <w:color w:val="auto"/>
                <w:sz w:val="24"/>
                <w:szCs w:val="24"/>
                <w:highlight w:val="none"/>
                <w:lang w:eastAsia="zh-CN"/>
              </w:rPr>
              <w:t>√</w:t>
            </w:r>
            <w:r>
              <w:rPr>
                <w:rFonts w:hint="eastAsia" w:ascii="宋体" w:hAnsi="宋体" w:eastAsia="宋体" w:cs="宋体"/>
                <w:color w:val="auto"/>
                <w:spacing w:val="14"/>
                <w:sz w:val="24"/>
                <w:szCs w:val="24"/>
                <w:highlight w:val="none"/>
              </w:rPr>
              <w:t>中标人</w:t>
            </w:r>
          </w:p>
          <w:p w14:paraId="19091EC1">
            <w:pPr>
              <w:spacing w:line="520" w:lineRule="exact"/>
              <w:rPr>
                <w:rFonts w:ascii="宋体" w:hAnsi="宋体" w:eastAsia="宋体" w:cs="宋体"/>
                <w:color w:val="auto"/>
                <w:sz w:val="24"/>
                <w:szCs w:val="24"/>
                <w:highlight w:val="none"/>
                <w:u w:val="single"/>
              </w:rPr>
            </w:pPr>
            <w:r>
              <w:rPr>
                <w:rFonts w:hint="eastAsia" w:ascii="宋体" w:hAnsi="宋体" w:eastAsia="宋体" w:cs="宋体"/>
                <w:bCs/>
                <w:color w:val="auto"/>
                <w:kern w:val="0"/>
                <w:sz w:val="24"/>
                <w:szCs w:val="24"/>
                <w:highlight w:val="none"/>
              </w:rPr>
              <w:t>（2）收取方式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转账</w:t>
            </w:r>
          </w:p>
          <w:p w14:paraId="76897FCD">
            <w:pPr>
              <w:pStyle w:val="53"/>
              <w:widowControl w:val="0"/>
              <w:spacing w:before="0" w:beforeAutospacing="0" w:after="0" w:afterAutospacing="0" w:line="520" w:lineRule="exact"/>
              <w:jc w:val="both"/>
              <w:rPr>
                <w:rFonts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color w:val="auto"/>
                <w:sz w:val="24"/>
                <w:szCs w:val="24"/>
                <w:highlight w:val="none"/>
              </w:rPr>
              <w:t>收费标准：</w:t>
            </w:r>
            <w:r>
              <w:rPr>
                <w:rFonts w:hint="eastAsia" w:ascii="宋体" w:hAnsi="宋体" w:eastAsia="宋体" w:cs="宋体"/>
                <w:b w:val="0"/>
                <w:bCs w:val="0"/>
                <w:color w:val="auto"/>
                <w:kern w:val="2"/>
                <w:sz w:val="24"/>
                <w:szCs w:val="24"/>
                <w:highlight w:val="none"/>
                <w:u w:val="single"/>
              </w:rPr>
              <w:t>按照《滁州市公共资源交易代理机构及从业人员管理暂行办法》滁公管〔2022〕5号，以及补充文件滁公管综〔2023〕19号《关于进一步明确代理费计取标准的通知》标准，以最高限价计算。本项目代理费服务为</w:t>
            </w:r>
            <w:r>
              <w:rPr>
                <w:rFonts w:hint="eastAsia" w:ascii="宋体" w:hAnsi="宋体" w:eastAsia="宋体" w:cs="宋体"/>
                <w:b w:val="0"/>
                <w:bCs w:val="0"/>
                <w:color w:val="auto"/>
                <w:kern w:val="2"/>
                <w:sz w:val="24"/>
                <w:szCs w:val="24"/>
                <w:highlight w:val="none"/>
                <w:u w:val="single"/>
                <w:lang w:val="en-US" w:eastAsia="zh-CN"/>
              </w:rPr>
              <w:t>3000</w:t>
            </w:r>
            <w:r>
              <w:rPr>
                <w:rFonts w:hint="eastAsia" w:ascii="宋体" w:hAnsi="宋体" w:eastAsia="宋体" w:cs="宋体"/>
                <w:b w:val="0"/>
                <w:bCs w:val="0"/>
                <w:color w:val="auto"/>
                <w:kern w:val="2"/>
                <w:sz w:val="24"/>
                <w:szCs w:val="24"/>
                <w:highlight w:val="none"/>
                <w:u w:val="single"/>
              </w:rPr>
              <w:t>.00元。</w:t>
            </w:r>
          </w:p>
        </w:tc>
      </w:tr>
      <w:tr w14:paraId="6820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8" w:type="pct"/>
            <w:vAlign w:val="center"/>
          </w:tcPr>
          <w:p w14:paraId="2A4729EB">
            <w:pPr>
              <w:pStyle w:val="54"/>
              <w:pBdr>
                <w:bottom w:val="none" w:color="auto" w:sz="0" w:space="0"/>
              </w:pBdr>
              <w:tabs>
                <w:tab w:val="clear" w:pos="4153"/>
                <w:tab w:val="clear" w:pos="8306"/>
              </w:tabs>
              <w:adjustRightInd/>
              <w:spacing w:line="520" w:lineRule="exact"/>
              <w:textAlignment w:val="auto"/>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31.3</w:t>
            </w:r>
          </w:p>
        </w:tc>
        <w:tc>
          <w:tcPr>
            <w:tcW w:w="909" w:type="pct"/>
            <w:vAlign w:val="center"/>
          </w:tcPr>
          <w:p w14:paraId="063F301F">
            <w:pPr>
              <w:pStyle w:val="53"/>
              <w:widowControl w:val="0"/>
              <w:spacing w:before="0" w:beforeAutospacing="0" w:after="0" w:afterAutospacing="0" w:line="520" w:lineRule="exact"/>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质疑函递交方式、接收部门、联系电话和通讯地址</w:t>
            </w:r>
          </w:p>
        </w:tc>
        <w:tc>
          <w:tcPr>
            <w:tcW w:w="3592" w:type="pct"/>
            <w:vAlign w:val="center"/>
          </w:tcPr>
          <w:p w14:paraId="276B8B99">
            <w:pPr>
              <w:widowControl/>
              <w:spacing w:line="520" w:lineRule="exact"/>
              <w:jc w:val="left"/>
              <w:rPr>
                <w:rFonts w:ascii="宋体" w:hAnsi="宋体" w:eastAsia="宋体" w:cs="宋体"/>
                <w:bCs/>
                <w:color w:val="auto"/>
                <w:kern w:val="0"/>
                <w:sz w:val="24"/>
                <w:szCs w:val="24"/>
                <w:highlight w:val="none"/>
                <w:u w:val="single"/>
              </w:rPr>
            </w:pPr>
            <w:r>
              <w:rPr>
                <w:rFonts w:hint="eastAsia" w:ascii="宋体" w:hAnsi="宋体" w:eastAsia="宋体" w:cs="宋体"/>
                <w:color w:val="auto"/>
                <w:sz w:val="24"/>
                <w:szCs w:val="24"/>
                <w:highlight w:val="none"/>
              </w:rPr>
              <w:t>递交</w:t>
            </w:r>
            <w:r>
              <w:rPr>
                <w:rFonts w:hint="eastAsia" w:ascii="宋体" w:hAnsi="宋体" w:eastAsia="宋体" w:cs="宋体"/>
                <w:bCs/>
                <w:color w:val="auto"/>
                <w:sz w:val="24"/>
                <w:szCs w:val="24"/>
                <w:highlight w:val="none"/>
              </w:rPr>
              <w:t>方式：</w:t>
            </w:r>
            <w:r>
              <w:rPr>
                <w:rFonts w:hint="eastAsia" w:ascii="宋体" w:hAnsi="宋体" w:eastAsia="宋体" w:cs="宋体"/>
                <w:bCs/>
                <w:color w:val="auto"/>
                <w:kern w:val="0"/>
                <w:sz w:val="24"/>
                <w:szCs w:val="24"/>
                <w:highlight w:val="none"/>
                <w:u w:val="single"/>
              </w:rPr>
              <w:t>如投标人对招标文件有质疑，依据中华人民共和国财政部令第94号《政府采购质疑和投诉办法》规定提出质疑；供应商可以通过书面形式提出，也可以通过线上提出质疑【通过线上向滁州市公共资源交易中心网电子交易系统提出质疑(具体操作步骤和程序请参见服务指南&gt;交易须知&gt;在线异议、质疑和投诉操作手册)】。一份质疑函只能针对一个项目提出质疑，且针对同一采购程序环节的质疑应当一次性提出。</w:t>
            </w:r>
          </w:p>
          <w:p w14:paraId="639B3C49">
            <w:pPr>
              <w:pStyle w:val="53"/>
              <w:widowControl w:val="0"/>
              <w:spacing w:before="0" w:beforeAutospacing="0" w:after="0" w:afterAutospacing="0" w:line="520" w:lineRule="exact"/>
              <w:jc w:val="both"/>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接收部门：</w:t>
            </w:r>
            <w:r>
              <w:rPr>
                <w:rFonts w:hint="eastAsia" w:ascii="宋体" w:hAnsi="宋体" w:eastAsia="宋体" w:cs="宋体"/>
                <w:b w:val="0"/>
                <w:color w:val="auto"/>
                <w:sz w:val="24"/>
                <w:szCs w:val="24"/>
                <w:highlight w:val="none"/>
                <w:u w:val="single"/>
                <w:lang w:eastAsia="zh-CN"/>
              </w:rPr>
              <w:t>定远县公路运输管理服务中心</w:t>
            </w:r>
            <w:r>
              <w:rPr>
                <w:rFonts w:hint="eastAsia" w:ascii="宋体" w:hAnsi="宋体" w:eastAsia="宋体" w:cs="宋体"/>
                <w:b w:val="0"/>
                <w:color w:val="auto"/>
                <w:sz w:val="24"/>
                <w:szCs w:val="24"/>
                <w:highlight w:val="none"/>
                <w:u w:val="single"/>
              </w:rPr>
              <w:t>、</w:t>
            </w:r>
            <w:r>
              <w:rPr>
                <w:rFonts w:hint="eastAsia" w:ascii="宋体" w:hAnsi="宋体" w:eastAsia="宋体" w:cs="宋体"/>
                <w:b w:val="0"/>
                <w:color w:val="auto"/>
                <w:sz w:val="24"/>
                <w:szCs w:val="24"/>
                <w:highlight w:val="none"/>
                <w:u w:val="single"/>
                <w:lang w:eastAsia="zh-CN"/>
              </w:rPr>
              <w:t>安徽云算工程造价咨询有限公司</w:t>
            </w:r>
          </w:p>
          <w:p w14:paraId="12D7AEFA">
            <w:pPr>
              <w:pStyle w:val="53"/>
              <w:widowControl w:val="0"/>
              <w:spacing w:before="0" w:beforeAutospacing="0" w:after="0" w:afterAutospacing="0" w:line="520" w:lineRule="exact"/>
              <w:jc w:val="both"/>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联系电话：</w:t>
            </w:r>
            <w:r>
              <w:rPr>
                <w:rFonts w:hint="eastAsia" w:ascii="宋体" w:hAnsi="宋体" w:eastAsia="宋体" w:cs="宋体"/>
                <w:b w:val="0"/>
                <w:color w:val="auto"/>
                <w:sz w:val="24"/>
                <w:szCs w:val="24"/>
                <w:highlight w:val="none"/>
                <w:u w:val="single"/>
                <w:lang w:eastAsia="zh-CN"/>
              </w:rPr>
              <w:t>0550-4020106</w:t>
            </w:r>
            <w:r>
              <w:rPr>
                <w:rFonts w:hint="eastAsia" w:ascii="宋体" w:hAnsi="宋体" w:eastAsia="宋体" w:cs="宋体"/>
                <w:b w:val="0"/>
                <w:color w:val="auto"/>
                <w:sz w:val="24"/>
                <w:szCs w:val="24"/>
                <w:highlight w:val="none"/>
                <w:u w:val="single"/>
              </w:rPr>
              <w:t>、</w:t>
            </w:r>
            <w:r>
              <w:rPr>
                <w:rFonts w:hint="eastAsia" w:ascii="宋体" w:hAnsi="宋体" w:eastAsia="宋体" w:cs="宋体"/>
                <w:b w:val="0"/>
                <w:color w:val="auto"/>
                <w:sz w:val="24"/>
                <w:szCs w:val="24"/>
                <w:highlight w:val="none"/>
                <w:u w:val="single"/>
                <w:lang w:val="en-US" w:eastAsia="zh-CN"/>
              </w:rPr>
              <w:t xml:space="preserve">13485769006、13155088000 </w:t>
            </w:r>
          </w:p>
          <w:p w14:paraId="00485F87">
            <w:pPr>
              <w:pStyle w:val="53"/>
              <w:widowControl w:val="0"/>
              <w:spacing w:before="0" w:beforeAutospacing="0" w:after="0" w:afterAutospacing="0" w:line="520" w:lineRule="exact"/>
              <w:jc w:val="both"/>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通讯地址：</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u w:val="single"/>
                <w:lang w:eastAsia="zh-CN"/>
              </w:rPr>
              <w:t>定远县公路运输管理服务中心</w:t>
            </w:r>
            <w:r>
              <w:rPr>
                <w:rFonts w:hint="eastAsia" w:ascii="宋体" w:hAnsi="宋体" w:eastAsia="宋体"/>
                <w:color w:val="auto"/>
                <w:sz w:val="24"/>
                <w:highlight w:val="none"/>
                <w:u w:val="single"/>
              </w:rPr>
              <w:t>、</w:t>
            </w:r>
            <w:r>
              <w:rPr>
                <w:rFonts w:hint="eastAsia" w:ascii="宋体" w:hAnsi="宋体" w:eastAsia="宋体"/>
                <w:color w:val="auto"/>
                <w:sz w:val="24"/>
                <w:highlight w:val="none"/>
                <w:u w:val="single"/>
                <w:lang w:eastAsia="zh-CN"/>
              </w:rPr>
              <w:t>滁州市紫薇中路加油加气站东侧三楼</w:t>
            </w:r>
          </w:p>
        </w:tc>
      </w:tr>
      <w:tr w14:paraId="1E41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8" w:type="pct"/>
            <w:vAlign w:val="center"/>
          </w:tcPr>
          <w:p w14:paraId="586AD86B">
            <w:pPr>
              <w:pStyle w:val="54"/>
              <w:pBdr>
                <w:bottom w:val="none" w:color="auto" w:sz="0" w:space="0"/>
              </w:pBdr>
              <w:tabs>
                <w:tab w:val="clear" w:pos="4153"/>
                <w:tab w:val="clear" w:pos="8306"/>
              </w:tabs>
              <w:adjustRightInd/>
              <w:spacing w:line="520" w:lineRule="exact"/>
              <w:textAlignment w:val="auto"/>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32</w:t>
            </w:r>
          </w:p>
        </w:tc>
        <w:tc>
          <w:tcPr>
            <w:tcW w:w="909" w:type="pct"/>
            <w:vAlign w:val="center"/>
          </w:tcPr>
          <w:p w14:paraId="5696EF57">
            <w:pPr>
              <w:pStyle w:val="53"/>
              <w:widowControl w:val="0"/>
              <w:spacing w:before="0" w:beforeAutospacing="0" w:after="0" w:afterAutospacing="0" w:line="520" w:lineRule="exact"/>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其他内容</w:t>
            </w:r>
          </w:p>
        </w:tc>
        <w:tc>
          <w:tcPr>
            <w:tcW w:w="3592" w:type="pct"/>
            <w:vAlign w:val="center"/>
          </w:tcPr>
          <w:p w14:paraId="3EA7DD87">
            <w:pPr>
              <w:pStyle w:val="53"/>
              <w:widowControl w:val="0"/>
              <w:spacing w:before="0" w:beforeAutospacing="0" w:after="0" w:afterAutospacing="0" w:line="520" w:lineRule="exact"/>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1.解释权：</w:t>
            </w:r>
          </w:p>
          <w:p w14:paraId="6EBB524A">
            <w:pPr>
              <w:spacing w:line="52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（1）构成本招标文件的各个组成文件应互为解释，互为说明；</w:t>
            </w:r>
          </w:p>
          <w:p w14:paraId="7975E56C">
            <w:pPr>
              <w:spacing w:line="52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（2）同一组成文件中就同一事项的规定或约定不一致的，以编排顺序在后者为准；</w:t>
            </w:r>
          </w:p>
          <w:p w14:paraId="679228DE">
            <w:pPr>
              <w:spacing w:line="52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（3）如有不明确或不一致，构成合同文件组成内容的，以合同文件约定内容为准，且以专用合同条款约定的合同文件优先顺序解释；</w:t>
            </w:r>
          </w:p>
          <w:p w14:paraId="6012B063">
            <w:pPr>
              <w:spacing w:line="52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（4）除招标文件中有特别规定外，仅适用于招标投标阶段的规定，按招标公告、投标邀请、投标人须知、评标方法和标准、投标文件格式的先后顺序解释；</w:t>
            </w:r>
          </w:p>
          <w:p w14:paraId="3C9CD47E">
            <w:pPr>
              <w:pStyle w:val="53"/>
              <w:widowControl w:val="0"/>
              <w:spacing w:before="0" w:beforeAutospacing="0" w:after="0" w:afterAutospacing="0" w:line="52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（5）按本款前述规定仍不能形成结论的，由采购人负责解释。</w:t>
            </w:r>
          </w:p>
          <w:p w14:paraId="367AD863">
            <w:pPr>
              <w:spacing w:line="52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2.“政采贷”融资指引：有融资需求的</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融资申请信息推送第三方平台、意向金融机构。</w:t>
            </w:r>
          </w:p>
          <w:p w14:paraId="7C740089">
            <w:pPr>
              <w:pStyle w:val="53"/>
              <w:widowControl w:val="0"/>
              <w:spacing w:before="0" w:beforeAutospacing="0" w:after="0" w:afterAutospacing="0" w:line="52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3.电子保函指引：中标人可访问安徽省政府采购网“融资/保函”栏目，申请办理电子保函（包括：履约保函、预付款保函）。</w:t>
            </w:r>
          </w:p>
          <w:p w14:paraId="3E934CDE">
            <w:pPr>
              <w:pStyle w:val="28"/>
              <w:spacing w:before="0" w:beforeAutospacing="0" w:after="0" w:afterAutospacing="0" w:line="520" w:lineRule="exact"/>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4.部分可提供线下政采贷的金融机构：</w:t>
            </w:r>
          </w:p>
          <w:p w14:paraId="638C303B">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①金融机构名称：中国银行股份有限公司定远支行</w:t>
            </w:r>
          </w:p>
          <w:p w14:paraId="0A18B3D4">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地址：定远县定城镇东大街油坊巷西1号</w:t>
            </w:r>
          </w:p>
          <w:p w14:paraId="5B8942F0">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联系人及电话：米阳，15155034298</w:t>
            </w:r>
          </w:p>
          <w:p w14:paraId="1B6DDF64">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②金融机构名称：中国邮政储蓄银行股份有限公司定远县支行</w:t>
            </w:r>
          </w:p>
          <w:p w14:paraId="3DD909B9">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地址：定远县定城镇东大街中段（老供电局）邮储银行定远县支行</w:t>
            </w:r>
          </w:p>
          <w:p w14:paraId="68668F8B">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联系人及电话：蒋宋，18055035230</w:t>
            </w:r>
          </w:p>
          <w:p w14:paraId="3F27F4E8">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③金融机构名称：徽商银行股份有限公司定远支行</w:t>
            </w:r>
          </w:p>
          <w:p w14:paraId="186C7486">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地址：定远县长征路与合蚌路交叉口</w:t>
            </w:r>
          </w:p>
          <w:p w14:paraId="5C0A1764">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联系人及电话：俞旭，13721071985</w:t>
            </w:r>
          </w:p>
          <w:p w14:paraId="480899C9">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④金融机构名称：安徽定远农村商业银行股份有限公司</w:t>
            </w:r>
          </w:p>
          <w:p w14:paraId="276711CA">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地址：定远县戚继光大道197号新城支行</w:t>
            </w:r>
          </w:p>
          <w:p w14:paraId="4F19454B">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联系人及电话：范大伟，13505554639</w:t>
            </w:r>
          </w:p>
          <w:p w14:paraId="18E1E430">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⑤金融机构名称：安徽定远民丰村镇银行股份有限公司</w:t>
            </w:r>
          </w:p>
          <w:p w14:paraId="01F2B031">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地址：定远县定城镇长征中路</w:t>
            </w:r>
          </w:p>
          <w:p w14:paraId="30F8A04A">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联系人及电话：朱冬冬，18155018299</w:t>
            </w:r>
          </w:p>
          <w:p w14:paraId="50A5C5F9">
            <w:pPr>
              <w:pStyle w:val="28"/>
              <w:spacing w:before="0" w:beforeAutospacing="0" w:after="0" w:afterAutospacing="0" w:line="520" w:lineRule="exact"/>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5.特别提示：</w:t>
            </w:r>
          </w:p>
          <w:p w14:paraId="4EB2CC9B">
            <w:pPr>
              <w:pStyle w:val="28"/>
              <w:spacing w:before="0" w:beforeAutospacing="0" w:after="0" w:afterAutospacing="0" w:line="520" w:lineRule="exact"/>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（1）投标人应填写投标信息并下载招标文件，否则无法上传投标文件。</w:t>
            </w:r>
          </w:p>
          <w:p w14:paraId="587997EA">
            <w:pPr>
              <w:pStyle w:val="28"/>
              <w:spacing w:before="0" w:beforeAutospacing="0" w:after="0" w:afterAutospacing="0" w:line="520" w:lineRule="exact"/>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2）本项目采用电子招标投标，请投标人在滁州市公共资源交易中心网&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14:paraId="0EC7023E">
            <w:pPr>
              <w:pStyle w:val="28"/>
              <w:spacing w:before="0" w:beforeAutospacing="0" w:after="0" w:afterAutospacing="0" w:line="520" w:lineRule="exact"/>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（3）如果过程中出现招标文件更改，应以最后发布的招标答疑澄清文件中的模板制作本项目最新投标文件。</w:t>
            </w:r>
          </w:p>
          <w:p w14:paraId="095269E7">
            <w:pPr>
              <w:pStyle w:val="28"/>
              <w:spacing w:before="0" w:beforeAutospacing="0" w:after="0" w:afterAutospacing="0" w:line="520" w:lineRule="exact"/>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 xml:space="preserve">（4）投标人应当用本单位CA数字证书制作投标文件，制作成功后进行投标文件上传。 </w:t>
            </w:r>
          </w:p>
          <w:p w14:paraId="622A4101">
            <w:pPr>
              <w:pStyle w:val="28"/>
              <w:spacing w:before="0" w:beforeAutospacing="0" w:after="0" w:afterAutospacing="0" w:line="520" w:lineRule="exact"/>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5）投标人须用CA数字证书盖章和加密投标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0012F4AF">
            <w:pPr>
              <w:pStyle w:val="28"/>
              <w:spacing w:before="0" w:beforeAutospacing="0" w:after="0" w:afterAutospacing="0" w:line="520" w:lineRule="exact"/>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（6）请投标人注意加密投标文件CA数字证书的有效期，不在有效期的CA数字证书无法解密投标文件。</w:t>
            </w:r>
          </w:p>
          <w:p w14:paraId="0FBA6C46">
            <w:pPr>
              <w:pStyle w:val="28"/>
              <w:spacing w:before="0" w:beforeAutospacing="0" w:after="0" w:afterAutospacing="0" w:line="500" w:lineRule="exact"/>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（7）投标人投标MAC地址或投标人联系人或联系电话相同的，由评标委员会否决其投标，并报告监管部门作不良行为处理和进一步调查。</w:t>
            </w:r>
          </w:p>
          <w:p w14:paraId="72BCA0D5">
            <w:pPr>
              <w:pStyle w:val="28"/>
              <w:spacing w:before="0" w:beforeAutospacing="0" w:after="0" w:afterAutospacing="0" w:line="500" w:lineRule="exact"/>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（8）投标人单方面出现其他投标人材料的，由评标委员会否决其投标。</w:t>
            </w:r>
          </w:p>
          <w:p w14:paraId="6975A053">
            <w:pPr>
              <w:pStyle w:val="28"/>
              <w:spacing w:before="0" w:beforeAutospacing="0" w:after="0" w:afterAutospacing="0" w:line="500" w:lineRule="exact"/>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9）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5F81442D">
            <w:pPr>
              <w:pStyle w:val="28"/>
              <w:spacing w:before="0" w:beforeAutospacing="0" w:after="0" w:afterAutospacing="0" w:line="500" w:lineRule="exact"/>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10）电子加密投标文件上传到系统后，需要投标企业和招标代理公司到开标截止时间后共同解锁，不存在商务报价等投标信息通过系统泄密的风险；投标截止时间前，已上传的投标文件也可以撤回修改。集中到开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p w14:paraId="5C7C986A">
            <w:pPr>
              <w:pStyle w:val="28"/>
              <w:spacing w:before="0" w:beforeAutospacing="0" w:after="0" w:afterAutospacing="0" w:line="500" w:lineRule="exact"/>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6.评标过程中的澄清、说明或补正：</w:t>
            </w:r>
          </w:p>
          <w:p w14:paraId="0EBE152A">
            <w:pPr>
              <w:pStyle w:val="28"/>
              <w:spacing w:before="0" w:beforeAutospacing="0" w:after="0" w:afterAutospacing="0" w:line="500" w:lineRule="exact"/>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（1）评标委员会通过网上招投标系统将需要澄清、说明或补正的内容以询标函的形式发送给投标人，投标人应安排专人登录网上招投标系统并保持在线状态，以便及时接收评标委员会可能发出的询标函。</w:t>
            </w:r>
          </w:p>
          <w:p w14:paraId="63637664">
            <w:pPr>
              <w:pStyle w:val="28"/>
              <w:spacing w:before="0" w:beforeAutospacing="0" w:after="0" w:afterAutospacing="0" w:line="500" w:lineRule="exact"/>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p w14:paraId="641E851B">
            <w:pPr>
              <w:pStyle w:val="28"/>
              <w:spacing w:before="0" w:beforeAutospacing="0" w:after="0" w:afterAutospacing="0" w:line="500" w:lineRule="exact"/>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7.同义词语：</w:t>
            </w:r>
          </w:p>
          <w:p w14:paraId="2A79B2FD">
            <w:pPr>
              <w:pStyle w:val="28"/>
              <w:spacing w:before="0" w:beforeAutospacing="0" w:after="0" w:afterAutospacing="0" w:line="500" w:lineRule="exact"/>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招标文件第六章投标文件格式、附件1“关于联合惩戒失信行为 加强信用查询管理的通知”等章节中 “招标人”、“供应商”，等同于“采购人”、“投标人”。</w:t>
            </w:r>
          </w:p>
          <w:p w14:paraId="49904894">
            <w:pPr>
              <w:pStyle w:val="53"/>
              <w:widowControl w:val="0"/>
              <w:numPr>
                <w:ilvl w:val="0"/>
                <w:numId w:val="1"/>
              </w:numPr>
              <w:spacing w:before="0" w:beforeAutospacing="0" w:after="0" w:afterAutospacing="0" w:line="50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落实政府采购支持节能产品、环境标志产品政策。</w:t>
            </w:r>
          </w:p>
          <w:p w14:paraId="60999DB8">
            <w:pPr>
              <w:pStyle w:val="53"/>
              <w:widowControl w:val="0"/>
              <w:numPr>
                <w:ilvl w:val="0"/>
                <w:numId w:val="1"/>
              </w:numPr>
              <w:spacing w:before="0" w:beforeAutospacing="0" w:after="0" w:afterAutospacing="0" w:line="50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系统中提供的表格与招标文件中不一致时，以招标文件中提供的表格格式为准。</w:t>
            </w:r>
          </w:p>
        </w:tc>
      </w:tr>
    </w:tbl>
    <w:p w14:paraId="01DF9C28">
      <w:pPr>
        <w:spacing w:beforeLines="30" w:afterLines="30" w:line="520" w:lineRule="exact"/>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28" w:name="_Toc9427"/>
      <w:bookmarkStart w:id="29" w:name="_Toc24882"/>
      <w:r>
        <w:rPr>
          <w:rFonts w:hint="eastAsia" w:asciiTheme="minorEastAsia" w:hAnsiTheme="minorEastAsia" w:eastAsiaTheme="minorEastAsia"/>
          <w:b/>
          <w:color w:val="auto"/>
          <w:sz w:val="24"/>
          <w:highlight w:val="none"/>
        </w:rPr>
        <w:t>二、投标人须知正文</w:t>
      </w:r>
      <w:bookmarkEnd w:id="28"/>
      <w:bookmarkEnd w:id="29"/>
    </w:p>
    <w:p w14:paraId="58B3A06C">
      <w:pPr>
        <w:spacing w:line="520" w:lineRule="exact"/>
        <w:ind w:firstLine="437"/>
        <w:jc w:val="left"/>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1.采购人、采购代理机构及投标人</w:t>
      </w:r>
    </w:p>
    <w:p w14:paraId="6CEA03A8">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1.1采购人：是指依法开展政府采购活动的国家机关、事业单位、团体组织。</w:t>
      </w:r>
    </w:p>
    <w:p w14:paraId="3AA9064F">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1.2采购代理机构：是指集中采购机构或从事采购代理业务的社会中介机构。</w:t>
      </w:r>
    </w:p>
    <w:p w14:paraId="22592F76">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1.3政府采购监督管理部门：各级人民政府指定的有关部门依法履行与政府采购活动有关的监督管理职责。</w:t>
      </w:r>
    </w:p>
    <w:p w14:paraId="03BD680E">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1.4投标人：是指向采购人提供货物、工程或者服务的法人、其他组织或者自然人。分支机构不得参加政府采购活动，但银行、保险、石油石化、电力、电信等特殊行业除外。本项目的投标人须满足以下条件：</w:t>
      </w:r>
    </w:p>
    <w:p w14:paraId="51115B27">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1.4.1具备《中华人民共和国政府采购法》第二十二条关于供应商条件的规定，遵守本项目采购人本级和上级财政部门政府采购的有关规定。</w:t>
      </w:r>
    </w:p>
    <w:p w14:paraId="28FF4AE4">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1.4.2以采购代理机构认可的方式获得了本项目的招标文件。</w:t>
      </w:r>
    </w:p>
    <w:p w14:paraId="14F3F29E">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1.4.3若采购需求中写明允许采购进口产品，投标人应保证所投产品可履行合法报通关手续进入中国关境内。</w:t>
      </w:r>
    </w:p>
    <w:p w14:paraId="4AC22359">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若采购需求中未写明允许采购进口产品，如投标人所投产品为进口产品，其投标将被认定为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61156F5C">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1.5若招标公告中允许联合体投标，对联合体规定如下：</w:t>
      </w:r>
    </w:p>
    <w:p w14:paraId="3ACB7805">
      <w:pPr>
        <w:spacing w:line="52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1.5.1两个以上供应商可以组成一个投标联合体，以一个投标人的身份投标。联合体投标的，招标文件获取手续由联合体中任一成员单位办理均可。</w:t>
      </w:r>
    </w:p>
    <w:p w14:paraId="4C6B15C5">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1.5.2联合体各方均应符合《中华人民共和国政府采购法》第二十二条规定的条件。</w:t>
      </w:r>
    </w:p>
    <w:p w14:paraId="40179E95">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1.5.3采购人根据采购项目对投标人的特殊要求，联合体中至少应当有一方符合相关规定。</w:t>
      </w:r>
    </w:p>
    <w:p w14:paraId="5D9D9CD4">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1.5.4联合体各方应签订联合协议，明确约定联合体各方承担的工作和相应的责任，并将联合协议作为投标文件的一部分提交。</w:t>
      </w:r>
    </w:p>
    <w:p w14:paraId="4DC19B29">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1.5.5大中型企业、其他自然人、法人或者非法人组织与小型、微型企业组成联合体共同参加投标，联合协议中应写明小型、微型企业的协议合同金额占到联合协议投标总金额的比例。</w:t>
      </w:r>
    </w:p>
    <w:p w14:paraId="222561B5">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1.5.6联合体中有同类资质的供应商按照联合体分工承担相同工作的，应当按照资质等级较低的供应商确定资质等级。</w:t>
      </w:r>
    </w:p>
    <w:p w14:paraId="1C5D9EA2">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1.5.7以联合体形式参加政府采购活动的，联合体各方不得再单独参加或者与其他供应商另外组成联合体参加本项目投标，否则相关投标将被认定为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0A7241D9">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1.5.8对联合体投标的其他资格要求见申请人的资格要求。</w:t>
      </w:r>
    </w:p>
    <w:p w14:paraId="671035D2">
      <w:pPr>
        <w:spacing w:line="520" w:lineRule="exact"/>
        <w:ind w:firstLine="437"/>
        <w:jc w:val="left"/>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2.资金落实情况</w:t>
      </w:r>
    </w:p>
    <w:p w14:paraId="62E5B4E7">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2.1本项目的采购人已获得足以支付本次招标后所签订的合同项下的资金。</w:t>
      </w:r>
    </w:p>
    <w:p w14:paraId="229BB711">
      <w:pPr>
        <w:spacing w:line="520" w:lineRule="exact"/>
        <w:ind w:firstLine="437"/>
        <w:jc w:val="left"/>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3.投标费用</w:t>
      </w:r>
    </w:p>
    <w:p w14:paraId="40BEA5DF">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不论投标的结果如何，投标人应承担所有与准备和参加投标有关的费用。</w:t>
      </w:r>
    </w:p>
    <w:p w14:paraId="3C23F516">
      <w:pPr>
        <w:spacing w:line="520" w:lineRule="exact"/>
        <w:ind w:firstLine="437"/>
        <w:jc w:val="left"/>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4.适用法律</w:t>
      </w:r>
    </w:p>
    <w:p w14:paraId="0045AB94">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本项目采购人、采购代理机构、投标人、评标委员会的相关行为均受《中华人民共和国政府采购法》、《中</w:t>
      </w:r>
      <w:r>
        <w:rPr>
          <w:rFonts w:hint="eastAsia" w:ascii="宋体" w:hAnsi="宋体" w:eastAsia="宋体" w:cs="宋体"/>
          <w:color w:val="auto"/>
          <w:sz w:val="24"/>
          <w:szCs w:val="22"/>
          <w:highlight w:val="none"/>
        </w:rPr>
        <w:t>华人民共和国政府采购法实施条例》及本项目本级和上级财政部门、政府采购监督管理部门的政府采购有关规定的约束，其权利受到上述法律法规的保护。</w:t>
      </w:r>
    </w:p>
    <w:p w14:paraId="249130D0">
      <w:pPr>
        <w:spacing w:line="520" w:lineRule="exact"/>
        <w:ind w:firstLine="437"/>
        <w:jc w:val="left"/>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5.招标文件构成</w:t>
      </w:r>
    </w:p>
    <w:p w14:paraId="105C5B41">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5.1招标文件包括下列内容：</w:t>
      </w:r>
    </w:p>
    <w:p w14:paraId="72DE0A4F">
      <w:pPr>
        <w:spacing w:line="520" w:lineRule="exact"/>
        <w:ind w:firstLine="840" w:firstLineChars="350"/>
        <w:jc w:val="left"/>
        <w:rPr>
          <w:rFonts w:ascii="宋体" w:hAnsi="宋体" w:eastAsia="宋体" w:cs="宋体"/>
          <w:color w:val="auto"/>
          <w:sz w:val="24"/>
          <w:highlight w:val="none"/>
        </w:rPr>
      </w:pPr>
      <w:r>
        <w:rPr>
          <w:rFonts w:hint="eastAsia" w:ascii="宋体" w:hAnsi="宋体" w:eastAsia="宋体" w:cs="宋体"/>
          <w:color w:val="auto"/>
          <w:sz w:val="24"/>
          <w:highlight w:val="none"/>
        </w:rPr>
        <w:t>第一章  投标邀请</w:t>
      </w:r>
    </w:p>
    <w:p w14:paraId="3F3BF7E0">
      <w:pPr>
        <w:spacing w:line="520" w:lineRule="exact"/>
        <w:ind w:firstLine="840" w:firstLineChars="350"/>
        <w:jc w:val="left"/>
        <w:rPr>
          <w:rFonts w:ascii="宋体" w:hAnsi="宋体" w:eastAsia="宋体" w:cs="宋体"/>
          <w:color w:val="auto"/>
          <w:sz w:val="24"/>
          <w:highlight w:val="none"/>
        </w:rPr>
      </w:pPr>
      <w:r>
        <w:rPr>
          <w:rFonts w:hint="eastAsia" w:ascii="宋体" w:hAnsi="宋体" w:eastAsia="宋体" w:cs="宋体"/>
          <w:color w:val="auto"/>
          <w:sz w:val="24"/>
          <w:highlight w:val="none"/>
        </w:rPr>
        <w:t>第二章  投标人须知</w:t>
      </w:r>
    </w:p>
    <w:p w14:paraId="0D89D188">
      <w:pPr>
        <w:spacing w:line="520" w:lineRule="exact"/>
        <w:ind w:firstLine="840" w:firstLineChars="350"/>
        <w:jc w:val="left"/>
        <w:rPr>
          <w:rFonts w:ascii="宋体" w:hAnsi="宋体" w:eastAsia="宋体" w:cs="宋体"/>
          <w:color w:val="auto"/>
          <w:sz w:val="24"/>
          <w:highlight w:val="none"/>
        </w:rPr>
      </w:pPr>
      <w:r>
        <w:rPr>
          <w:rFonts w:hint="eastAsia" w:ascii="宋体" w:hAnsi="宋体" w:eastAsia="宋体" w:cs="宋体"/>
          <w:color w:val="auto"/>
          <w:sz w:val="24"/>
          <w:highlight w:val="none"/>
        </w:rPr>
        <w:t>第三章  采购需求</w:t>
      </w:r>
    </w:p>
    <w:p w14:paraId="47D0DA9F">
      <w:pPr>
        <w:spacing w:line="520" w:lineRule="exact"/>
        <w:ind w:firstLine="840" w:firstLineChars="350"/>
        <w:jc w:val="left"/>
        <w:rPr>
          <w:rFonts w:ascii="宋体" w:hAnsi="宋体" w:eastAsia="宋体" w:cs="宋体"/>
          <w:color w:val="auto"/>
          <w:sz w:val="24"/>
          <w:highlight w:val="none"/>
        </w:rPr>
      </w:pPr>
      <w:r>
        <w:rPr>
          <w:rFonts w:hint="eastAsia" w:ascii="宋体" w:hAnsi="宋体" w:eastAsia="宋体" w:cs="宋体"/>
          <w:color w:val="auto"/>
          <w:sz w:val="24"/>
          <w:highlight w:val="none"/>
        </w:rPr>
        <w:t>第四章  评标方法和标准</w:t>
      </w:r>
    </w:p>
    <w:p w14:paraId="304D9BAD">
      <w:pPr>
        <w:spacing w:line="520" w:lineRule="exact"/>
        <w:ind w:firstLine="840" w:firstLineChars="350"/>
        <w:jc w:val="left"/>
        <w:rPr>
          <w:rFonts w:ascii="宋体" w:hAnsi="宋体" w:eastAsia="宋体" w:cs="宋体"/>
          <w:color w:val="auto"/>
          <w:sz w:val="24"/>
          <w:highlight w:val="none"/>
        </w:rPr>
      </w:pPr>
      <w:r>
        <w:rPr>
          <w:rFonts w:hint="eastAsia" w:ascii="宋体" w:hAnsi="宋体" w:eastAsia="宋体" w:cs="宋体"/>
          <w:color w:val="auto"/>
          <w:sz w:val="24"/>
          <w:highlight w:val="none"/>
        </w:rPr>
        <w:t>第五章  政府采购合同</w:t>
      </w:r>
    </w:p>
    <w:p w14:paraId="3BC136A9">
      <w:pPr>
        <w:spacing w:line="520" w:lineRule="exact"/>
        <w:ind w:firstLine="840" w:firstLineChars="350"/>
        <w:jc w:val="left"/>
        <w:rPr>
          <w:rFonts w:ascii="宋体" w:hAnsi="宋体" w:eastAsia="宋体" w:cs="宋体"/>
          <w:color w:val="auto"/>
          <w:sz w:val="24"/>
          <w:highlight w:val="none"/>
        </w:rPr>
      </w:pPr>
      <w:r>
        <w:rPr>
          <w:rFonts w:hint="eastAsia" w:ascii="宋体" w:hAnsi="宋体" w:eastAsia="宋体" w:cs="宋体"/>
          <w:color w:val="auto"/>
          <w:sz w:val="24"/>
          <w:highlight w:val="none"/>
        </w:rPr>
        <w:t>第六章  投标文件格式</w:t>
      </w:r>
    </w:p>
    <w:p w14:paraId="774CC308">
      <w:pPr>
        <w:spacing w:line="520" w:lineRule="exact"/>
        <w:ind w:firstLine="840" w:firstLineChars="350"/>
        <w:jc w:val="left"/>
        <w:rPr>
          <w:rFonts w:ascii="宋体" w:hAnsi="宋体" w:eastAsia="宋体" w:cs="宋体"/>
          <w:color w:val="auto"/>
          <w:sz w:val="24"/>
          <w:highlight w:val="none"/>
        </w:rPr>
      </w:pPr>
      <w:r>
        <w:rPr>
          <w:rFonts w:hint="eastAsia" w:ascii="宋体" w:hAnsi="宋体" w:eastAsia="宋体" w:cs="宋体"/>
          <w:color w:val="auto"/>
          <w:sz w:val="24"/>
          <w:highlight w:val="none"/>
        </w:rPr>
        <w:t>第七章  政府采购询问函和质疑函范本</w:t>
      </w:r>
    </w:p>
    <w:p w14:paraId="5B4BCB85">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5.2现场考察（</w:t>
      </w:r>
      <w:r>
        <w:rPr>
          <w:rFonts w:hint="eastAsia" w:ascii="宋体" w:hAnsi="宋体" w:eastAsia="宋体" w:cs="宋体"/>
          <w:bCs/>
          <w:color w:val="auto"/>
          <w:sz w:val="24"/>
          <w:szCs w:val="22"/>
          <w:highlight w:val="none"/>
        </w:rPr>
        <w:t>标前答疑会</w:t>
      </w:r>
      <w:r>
        <w:rPr>
          <w:rFonts w:hint="eastAsia" w:ascii="宋体" w:hAnsi="宋体" w:eastAsia="宋体" w:cs="宋体"/>
          <w:color w:val="auto"/>
          <w:sz w:val="24"/>
          <w:highlight w:val="none"/>
        </w:rPr>
        <w:t>）及相关事项见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3694DA6F">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5.3投标人应认真阅读招标文件所有的事项、格式、条款和技术规范等。</w:t>
      </w:r>
    </w:p>
    <w:p w14:paraId="751A7D10">
      <w:pPr>
        <w:spacing w:line="520" w:lineRule="exact"/>
        <w:ind w:firstLine="437"/>
        <w:jc w:val="left"/>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6.招标文件的澄清与修改</w:t>
      </w:r>
    </w:p>
    <w:p w14:paraId="3CA73301">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6.1投标人如对招标文件内容有疑问，可在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规定的网上询问截止时间前提交给采购代理机构。</w:t>
      </w:r>
    </w:p>
    <w:p w14:paraId="48D052D3">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6.2采购人可主动地或在答复投标人提出的询问时对招标文件进行澄清与修改。采购代理机构将在安徽省政府采购网和滁州市公共资源交易中心网以发布更正公告的方式，澄清或修改招标文件，更正公告的内容作为招标文件的组成部分，对投标人起约束作用。投标人应主动上网查询。采购代理机构不承担投标人未及时关注相关信息引发的相关责任。</w:t>
      </w:r>
    </w:p>
    <w:p w14:paraId="1037A47F">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04EF92C7">
      <w:pPr>
        <w:spacing w:line="520" w:lineRule="exact"/>
        <w:ind w:firstLine="435"/>
        <w:jc w:val="left"/>
        <w:rPr>
          <w:rFonts w:ascii="宋体" w:hAnsi="宋体" w:eastAsia="宋体" w:cs="宋体"/>
          <w:i/>
          <w:iCs/>
          <w:color w:val="auto"/>
          <w:sz w:val="24"/>
          <w:highlight w:val="none"/>
        </w:rPr>
      </w:pPr>
      <w:r>
        <w:rPr>
          <w:rFonts w:hint="eastAsia" w:ascii="宋体" w:hAnsi="宋体" w:eastAsia="宋体" w:cs="宋体"/>
          <w:color w:val="auto"/>
          <w:sz w:val="24"/>
          <w:highlight w:val="none"/>
        </w:rPr>
        <w:t>6.4对于没有提出疑问又参与了本项目投标的投标人将被视为完全认同本招标文件（含更正公告的内容）</w:t>
      </w:r>
      <w:r>
        <w:rPr>
          <w:rFonts w:hint="eastAsia" w:ascii="宋体" w:hAnsi="宋体" w:eastAsia="宋体" w:cs="宋体"/>
          <w:i/>
          <w:color w:val="auto"/>
          <w:sz w:val="24"/>
          <w:highlight w:val="none"/>
        </w:rPr>
        <w:t>。</w:t>
      </w:r>
    </w:p>
    <w:p w14:paraId="71B23FEE">
      <w:pPr>
        <w:spacing w:line="520" w:lineRule="exact"/>
        <w:ind w:firstLine="437"/>
        <w:jc w:val="left"/>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7.投标范围及投标文件中标准和计量单位的使用</w:t>
      </w:r>
    </w:p>
    <w:p w14:paraId="69B8B240">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7.1项目有分包的，投标人可对招标文件其中某一个或几个分包进行投标，除非在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中另有规定。</w:t>
      </w:r>
    </w:p>
    <w:p w14:paraId="29B8891A">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7.2投标人应当对所投分包招标文件中“采购需求”所列的所有内容进行投标，如仅响应所投包别中的部分内容，其所投包别的投标将被认定为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396F946F">
      <w:pPr>
        <w:spacing w:line="520" w:lineRule="exact"/>
        <w:ind w:firstLine="435"/>
        <w:jc w:val="left"/>
        <w:rPr>
          <w:rFonts w:ascii="宋体" w:hAnsi="宋体" w:eastAsia="宋体" w:cs="宋体"/>
          <w:color w:val="auto"/>
          <w:sz w:val="24"/>
          <w:highlight w:val="none"/>
        </w:rPr>
      </w:pPr>
      <w:bookmarkStart w:id="30" w:name="_Hlk16458980"/>
      <w:r>
        <w:rPr>
          <w:rFonts w:hint="eastAsia" w:ascii="宋体" w:hAnsi="宋体" w:eastAsia="宋体" w:cs="宋体"/>
          <w:color w:val="auto"/>
          <w:sz w:val="24"/>
          <w:highlight w:val="none"/>
        </w:rPr>
        <w:t>7.3无论招标文件中是否要求，投标人所投货物、服务及工程（如有）均应符合国家强制性标准。</w:t>
      </w:r>
    </w:p>
    <w:bookmarkEnd w:id="30"/>
    <w:p w14:paraId="088879DD">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7.4投标人与采购代理机构之间与投标有关的所有往来通知、函件和投标文件均用中文表述。投标人随投标文件提供的证明文件和资料可以为其它语言，但必须附中文译文。翻译的中文资料与外文资料出现差异时，以中文为准。</w:t>
      </w:r>
    </w:p>
    <w:p w14:paraId="1F355A68">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7.5除招标文件中有特殊要求外，投标文件中所使用的计量单位，应采用中华人民共和国法定计量单位。</w:t>
      </w:r>
    </w:p>
    <w:p w14:paraId="7EB37DC7">
      <w:pPr>
        <w:spacing w:line="520" w:lineRule="exact"/>
        <w:ind w:firstLine="437"/>
        <w:jc w:val="left"/>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8.投标文件构成</w:t>
      </w:r>
    </w:p>
    <w:p w14:paraId="5BB66D45">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8.1投标人应完整地按招标文件提供的投标文件格式及要求编写投标文件，具体内容详见本项目投标文件格式的相关内容。</w:t>
      </w:r>
    </w:p>
    <w:p w14:paraId="0BD9512F">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8.2投标人应提交招标文件要求的证明文件，证明其投标内容符合招标文件规定，该证明文件是投标文件的一部分。证明文件形式可以是文字资料、图纸和数据</w:t>
      </w:r>
      <w:bookmarkStart w:id="31" w:name="_Hlk11703583"/>
      <w:r>
        <w:rPr>
          <w:rFonts w:hint="eastAsia" w:ascii="宋体" w:hAnsi="宋体" w:eastAsia="宋体" w:cs="宋体"/>
          <w:color w:val="auto"/>
          <w:sz w:val="24"/>
          <w:highlight w:val="none"/>
        </w:rPr>
        <w:t>等。</w:t>
      </w:r>
    </w:p>
    <w:bookmarkEnd w:id="31"/>
    <w:p w14:paraId="6EB2E91D">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8.3为保证公平公正，除非另有规定或说明，投标人对同一项目投标时，不得同时提供备选投标方案。</w:t>
      </w:r>
    </w:p>
    <w:p w14:paraId="0B9E9748">
      <w:pPr>
        <w:spacing w:line="520" w:lineRule="exact"/>
        <w:ind w:firstLine="437"/>
        <w:jc w:val="left"/>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9.投标报价</w:t>
      </w:r>
    </w:p>
    <w:p w14:paraId="580C81F1">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9.1投标人的报价应当包括满足本次招标全部采购需求。除招标文件另有规定外，所有投标均应以人民币报价。投标人的投标报价应遵守《中华人民共和国价格法》。</w:t>
      </w:r>
    </w:p>
    <w:p w14:paraId="760AAB1C">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9.2投标人报价超过招标文件规定的预算金额或者分项、分包最高限价，其投标将被认定为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0406BA70">
      <w:pPr>
        <w:spacing w:line="520" w:lineRule="exact"/>
        <w:ind w:firstLine="435"/>
        <w:jc w:val="left"/>
        <w:rPr>
          <w:rFonts w:ascii="宋体" w:hAnsi="宋体" w:eastAsia="宋体" w:cs="宋体"/>
          <w:b/>
          <w:bCs/>
          <w:color w:val="auto"/>
          <w:sz w:val="24"/>
          <w:highlight w:val="none"/>
        </w:rPr>
      </w:pPr>
      <w:r>
        <w:rPr>
          <w:rFonts w:hint="eastAsia" w:ascii="宋体" w:hAnsi="宋体" w:eastAsia="宋体" w:cs="宋体"/>
          <w:color w:val="auto"/>
          <w:sz w:val="24"/>
          <w:highlight w:val="none"/>
        </w:rPr>
        <w:t>9.3投标报价在合同履行过程中是固定不变的，不得以任何理由予以变更。任何包含价格调整要求的投标，其投标将被认定为</w:t>
      </w:r>
      <w:r>
        <w:rPr>
          <w:rFonts w:hint="eastAsia" w:ascii="宋体" w:hAnsi="宋体" w:eastAsia="宋体" w:cs="宋体"/>
          <w:b/>
          <w:bCs/>
          <w:color w:val="auto"/>
          <w:sz w:val="24"/>
          <w:highlight w:val="none"/>
        </w:rPr>
        <w:t>投标无效。</w:t>
      </w:r>
    </w:p>
    <w:p w14:paraId="7C282705">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9.4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3C6C99E8">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9.5采购人不接受具有附加条件的报价。</w:t>
      </w:r>
    </w:p>
    <w:p w14:paraId="6E79377B">
      <w:pPr>
        <w:spacing w:line="520" w:lineRule="exact"/>
        <w:ind w:firstLine="437"/>
        <w:jc w:val="left"/>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10.投标保证金</w:t>
      </w:r>
    </w:p>
    <w:p w14:paraId="5F71CAEE">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10.1本项目不收取投标保证金。</w:t>
      </w:r>
    </w:p>
    <w:p w14:paraId="7E86B19A">
      <w:pPr>
        <w:spacing w:line="520" w:lineRule="exact"/>
        <w:ind w:firstLine="437"/>
        <w:jc w:val="left"/>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11.投标有效期</w:t>
      </w:r>
    </w:p>
    <w:p w14:paraId="6F3EFA93">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11.1投标有效期为从投标截止之日算起的日历天数，投标有效期详见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6AAEB5AA">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11.2在投标有效期内，投标人的投标保持有效，投标人不得要求撤销或修改其投标文件。投标有效期不满足要求的投标，其投标将被认定为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382183CE">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11.3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7009FCF5">
      <w:pPr>
        <w:spacing w:line="520" w:lineRule="exact"/>
        <w:ind w:firstLine="437"/>
        <w:jc w:val="left"/>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12.投标文件的递交、修改与撤回</w:t>
      </w:r>
    </w:p>
    <w:p w14:paraId="57376A13">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12.1投标人应当在招标公告规定的投标截止时间前，将加密的投标文件在电子交易系统上传。</w:t>
      </w:r>
    </w:p>
    <w:p w14:paraId="64653A1C">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0F516FCB">
      <w:pPr>
        <w:spacing w:line="520" w:lineRule="exact"/>
        <w:ind w:firstLine="437"/>
        <w:jc w:val="left"/>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13.开标</w:t>
      </w:r>
    </w:p>
    <w:p w14:paraId="5A01BC49">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13.1开标时，</w:t>
      </w:r>
      <w:r>
        <w:rPr>
          <w:rFonts w:hint="eastAsia" w:ascii="宋体" w:hAnsi="宋体" w:eastAsia="宋体" w:cs="宋体"/>
          <w:color w:val="auto"/>
          <w:sz w:val="24"/>
          <w:szCs w:val="24"/>
          <w:highlight w:val="none"/>
        </w:rPr>
        <w:t>各投标人应在</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规定的解密时间前</w:t>
      </w:r>
      <w:r>
        <w:rPr>
          <w:rFonts w:hint="eastAsia" w:ascii="宋体" w:hAnsi="宋体" w:eastAsia="宋体" w:cs="宋体"/>
          <w:color w:val="auto"/>
          <w:sz w:val="24"/>
          <w:highlight w:val="none"/>
        </w:rPr>
        <w:t>对</w:t>
      </w:r>
      <w:r>
        <w:rPr>
          <w:rFonts w:hint="eastAsia" w:ascii="宋体" w:hAnsi="宋体" w:eastAsia="宋体" w:cs="宋体"/>
          <w:color w:val="auto"/>
          <w:sz w:val="24"/>
          <w:szCs w:val="24"/>
          <w:highlight w:val="none"/>
        </w:rPr>
        <w:t>其</w:t>
      </w:r>
      <w:r>
        <w:rPr>
          <w:rFonts w:hint="eastAsia" w:ascii="宋体" w:hAnsi="宋体" w:eastAsia="宋体" w:cs="宋体"/>
          <w:color w:val="auto"/>
          <w:sz w:val="24"/>
          <w:highlight w:val="none"/>
        </w:rPr>
        <w:t>投标文件进行解密。</w:t>
      </w:r>
    </w:p>
    <w:p w14:paraId="55B528C3">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13.2开标时，采购代理机构将通过网上开标系统公布开标结果，公布内容包括投标人名称、投标价格及招标文件规定的内容。</w:t>
      </w:r>
    </w:p>
    <w:p w14:paraId="0DA4C7EA">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13.3采购人或采购代理机构将对开标过程进行记录，并存档备查。</w:t>
      </w:r>
    </w:p>
    <w:p w14:paraId="54CD93AB">
      <w:pPr>
        <w:spacing w:line="520" w:lineRule="exact"/>
        <w:ind w:firstLine="435"/>
        <w:jc w:val="left"/>
        <w:rPr>
          <w:rFonts w:ascii="宋体" w:hAnsi="宋体" w:eastAsia="宋体" w:cs="宋体"/>
          <w:color w:val="auto"/>
          <w:sz w:val="28"/>
          <w:highlight w:val="none"/>
        </w:rPr>
      </w:pPr>
      <w:r>
        <w:rPr>
          <w:rFonts w:hint="eastAsia" w:ascii="宋体" w:hAnsi="宋体" w:eastAsia="宋体" w:cs="宋体"/>
          <w:color w:val="auto"/>
          <w:sz w:val="24"/>
          <w:highlight w:val="none"/>
        </w:rPr>
        <w:t>13.4投标人代表对开标过程和开标记录有疑义，以及认为采购人、采购代理机构相关工作人员有需要回避的情形的，应当场提出询问或者回避申请。</w:t>
      </w:r>
    </w:p>
    <w:p w14:paraId="1934841F">
      <w:pPr>
        <w:spacing w:line="520" w:lineRule="exact"/>
        <w:ind w:firstLine="437"/>
        <w:jc w:val="left"/>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14.资格审查及组建评标委员会</w:t>
      </w:r>
    </w:p>
    <w:p w14:paraId="44B4E80E">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14.1采购人或采购代理机构依据法律法规和招标文件中规定的内容，对投标人资格进行审查，未通过资格审查的投标人不进入评标。</w:t>
      </w:r>
    </w:p>
    <w:p w14:paraId="7C8D6C9E">
      <w:pPr>
        <w:spacing w:line="520" w:lineRule="exact"/>
        <w:ind w:firstLine="435"/>
        <w:jc w:val="left"/>
        <w:rPr>
          <w:rFonts w:ascii="宋体" w:hAnsi="宋体" w:eastAsia="宋体" w:cs="宋体"/>
          <w:color w:val="auto"/>
          <w:sz w:val="24"/>
          <w:szCs w:val="24"/>
          <w:highlight w:val="none"/>
        </w:rPr>
      </w:pPr>
      <w:bookmarkStart w:id="32" w:name="_Hlk24663244"/>
      <w:r>
        <w:rPr>
          <w:rFonts w:hint="eastAsia" w:ascii="宋体" w:hAnsi="宋体" w:eastAsia="宋体" w:cs="宋体"/>
          <w:color w:val="auto"/>
          <w:sz w:val="24"/>
          <w:szCs w:val="24"/>
          <w:highlight w:val="none"/>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4408F44E">
      <w:pPr>
        <w:spacing w:line="520" w:lineRule="exact"/>
        <w:ind w:firstLine="435"/>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25CB30AA">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32"/>
    <w:p w14:paraId="08292D84">
      <w:pPr>
        <w:spacing w:line="520" w:lineRule="exact"/>
        <w:ind w:firstLine="435"/>
        <w:jc w:val="left"/>
        <w:rPr>
          <w:rFonts w:ascii="宋体" w:hAnsi="宋体" w:eastAsia="宋体" w:cs="宋体"/>
          <w:b/>
          <w:color w:val="auto"/>
          <w:sz w:val="24"/>
          <w:highlight w:val="none"/>
        </w:rPr>
      </w:pPr>
      <w:r>
        <w:rPr>
          <w:rFonts w:hint="eastAsia" w:ascii="宋体" w:hAnsi="宋体" w:eastAsia="宋体" w:cs="宋体"/>
          <w:color w:val="auto"/>
          <w:sz w:val="24"/>
          <w:highlight w:val="none"/>
        </w:rPr>
        <w:t>14.3按照《中华人民共和国政府采购法》、《中华人民共和国政府采购法实施条例》及本项目本级和上级财政部门、政府采购监督管理部门的有关规定依法组建的评标委员会，负责本项目评标工作。</w:t>
      </w:r>
    </w:p>
    <w:p w14:paraId="3DD5F48C">
      <w:pPr>
        <w:spacing w:line="520" w:lineRule="exact"/>
        <w:ind w:firstLine="437"/>
        <w:jc w:val="left"/>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15.投标文件符合性审查与澄清</w:t>
      </w:r>
    </w:p>
    <w:p w14:paraId="525A8D86">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15.1符合性审查是指依据招标文件的规定，从投标文件的有效性和完整性对招标文件的响应程度进行审查，以确定是否对招标文件的实质性要求做出响应。</w:t>
      </w:r>
    </w:p>
    <w:p w14:paraId="5AB8A3C8">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15.2投标文件的澄清</w:t>
      </w:r>
    </w:p>
    <w:p w14:paraId="66AD2034">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15.2.1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3D9FCF99">
      <w:pPr>
        <w:spacing w:line="520" w:lineRule="exact"/>
        <w:ind w:firstLine="435"/>
        <w:jc w:val="left"/>
        <w:rPr>
          <w:rFonts w:ascii="宋体" w:hAnsi="宋体" w:eastAsia="宋体" w:cs="宋体"/>
          <w:b/>
          <w:bCs/>
          <w:color w:val="auto"/>
          <w:sz w:val="24"/>
          <w:highlight w:val="none"/>
        </w:rPr>
      </w:pPr>
      <w:r>
        <w:rPr>
          <w:rFonts w:hint="eastAsia" w:ascii="宋体" w:hAnsi="宋体" w:eastAsia="宋体" w:cs="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r>
        <w:rPr>
          <w:rFonts w:hint="eastAsia" w:ascii="宋体" w:hAnsi="宋体" w:eastAsia="宋体" w:cs="宋体"/>
          <w:b/>
          <w:bCs/>
          <w:color w:val="auto"/>
          <w:sz w:val="24"/>
          <w:highlight w:val="none"/>
        </w:rPr>
        <w:t>本项目采用远程开标，具体操作方法详见服务指南&gt;交易须知&gt;开标大厅远程解密、质疑(异议)及回复以及评标过程中询标流程操作手册。</w:t>
      </w:r>
    </w:p>
    <w:p w14:paraId="11C1D9F0">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15.2.2投标人的澄清、说明或补正将作为投标文件的一部分。</w:t>
      </w:r>
    </w:p>
    <w:p w14:paraId="253355D8">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15.2.3评标委员会对投标人提交的澄清、说明或补正有疑问的，可以要求投标人进一步澄清、说明或补正，直至满足评标委员会的要求。</w:t>
      </w:r>
    </w:p>
    <w:p w14:paraId="1FBFED35">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15.3投标文件报价出现前后不一致的，按照下列规定修正：</w:t>
      </w:r>
    </w:p>
    <w:p w14:paraId="579E1FF4">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（1）投标文件中开标一览表内容与投标文件中相应内容不一致的，以开标一览表为准；</w:t>
      </w:r>
    </w:p>
    <w:p w14:paraId="3A084460">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6C4FCE19">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14:paraId="11BF6EA5">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09BF4EC0">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第15.3条的规定经投标人确认后产生约束力，无论投标人是接受或是拒绝调整后的价格，都应当由投标人在系统中确认。投标人拒绝对投标文件出现的错漏按上述原则进行修正、澄清、说明，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359B658">
      <w:pPr>
        <w:spacing w:line="520" w:lineRule="exact"/>
        <w:ind w:firstLine="435"/>
        <w:jc w:val="left"/>
        <w:rPr>
          <w:rFonts w:ascii="宋体" w:hAnsi="宋体" w:eastAsia="宋体" w:cs="宋体"/>
          <w:b/>
          <w:color w:val="auto"/>
          <w:sz w:val="24"/>
          <w:highlight w:val="none"/>
        </w:rPr>
      </w:pPr>
      <w:r>
        <w:rPr>
          <w:rFonts w:hint="eastAsia" w:ascii="宋体" w:hAnsi="宋体" w:eastAsia="宋体" w:cs="宋体"/>
          <w:color w:val="auto"/>
          <w:sz w:val="24"/>
          <w:highlight w:val="none"/>
        </w:rPr>
        <w:t>对不同文字文本投标文件的解释发生异议的，以中文文本为准。</w:t>
      </w:r>
    </w:p>
    <w:p w14:paraId="1DCFF12F">
      <w:pPr>
        <w:spacing w:line="520" w:lineRule="exact"/>
        <w:ind w:firstLine="437"/>
        <w:jc w:val="left"/>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16.投标无效</w:t>
      </w:r>
    </w:p>
    <w:p w14:paraId="51AB5AD6">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16.1根据本招标文件的规定，评标委员会要审查每份投标文件是否实质上响应了招标文件的要求。投标人不得通过修正或撤销不符合要求的偏离，从而使其投标成为实质上响应的投标。</w:t>
      </w:r>
    </w:p>
    <w:p w14:paraId="203989B1">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评标委员会决定投标的响应性只根据招标文件要求和投标文件内容。</w:t>
      </w:r>
    </w:p>
    <w:p w14:paraId="309940D1">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无论何种原因，即使投标人投标时携带了证书材料的原件，但投标文件中未提供与之内容完全一致的扫描件的，评标委员会视同其未提供。</w:t>
      </w:r>
    </w:p>
    <w:p w14:paraId="11AC8293">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16.2如发现下列情况之一的，其投标将被认定为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24EC21EB">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（1）投标文件未按照招标文件规定要求签署、盖章的；</w:t>
      </w:r>
    </w:p>
    <w:p w14:paraId="3AF17E4E">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（2）不具备招标文件中规定的资格要求的；</w:t>
      </w:r>
    </w:p>
    <w:p w14:paraId="79E9A1C7">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（3）报价超过招标文件中规定的预算金额或者最高限价的；</w:t>
      </w:r>
    </w:p>
    <w:p w14:paraId="1F156A85">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（4）投标文件含有采购人不能接受的附加条件的；</w:t>
      </w:r>
    </w:p>
    <w:p w14:paraId="49351CBB">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（5）法律、法规和招标文件规定的其他无效情形。</w:t>
      </w:r>
    </w:p>
    <w:p w14:paraId="541B7387">
      <w:pPr>
        <w:spacing w:line="520" w:lineRule="exact"/>
        <w:ind w:firstLine="437"/>
        <w:jc w:val="left"/>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17.比较与评价</w:t>
      </w:r>
    </w:p>
    <w:p w14:paraId="6EFF8428">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17.1经符合性审查合格的投标文件，评标委员会将根据招标文件确定的评标方法和标准，对其投标文件作进一步的比较与评价。</w:t>
      </w:r>
    </w:p>
    <w:p w14:paraId="3487E130">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17.2评标严格按照招标文件的要求和条件进行。根据实际情况，在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中规定采用下列一种评标方法，详细评标方法和标准见招标文件第四章：</w:t>
      </w:r>
    </w:p>
    <w:p w14:paraId="5D9FE66B">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（1）最低评标价法，是指投标文件满足招标文件全部实质性要求，且投标报价最低的投标人为中标候选人的评标方法。</w:t>
      </w:r>
    </w:p>
    <w:p w14:paraId="5120DFE5">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（2）综合评分法，是指投标文件满足招标文件全部实质性要求，且按照评审因素的量化指标评审得分最高的投标人为中标候选人的评标方法。</w:t>
      </w:r>
    </w:p>
    <w:p w14:paraId="0EF0E2F1">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17.3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中规定的标准扣除后的价格参与评审。对于同时属于小微企业、监狱企业或残疾人福利性单位的，不重复进行投标报价扣除。</w:t>
      </w:r>
    </w:p>
    <w:p w14:paraId="50623BB0">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接受大中型企业与小微企业组成联合体或者允许大中型企业向一家或者多家小微企业分包的，对于联合协议或者分包意向协议约定小微企业的合同份额占到合同总金额30%以上的，可给予联合体或者大中型企业的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6E5F26E0">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4D7FB39D">
      <w:pPr>
        <w:spacing w:line="520" w:lineRule="exact"/>
        <w:ind w:firstLine="437"/>
        <w:jc w:val="left"/>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18.废标、重新招标与变更采购方式</w:t>
      </w:r>
    </w:p>
    <w:p w14:paraId="19BFB64B">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18.1出现下列情形之一，将导致项目废标：</w:t>
      </w:r>
    </w:p>
    <w:p w14:paraId="2953D8A1">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（1）符合专业条件的供应商或者对招标文件做实质性响应的供应商不足规定数量的；</w:t>
      </w:r>
    </w:p>
    <w:p w14:paraId="384F2DB6">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14:paraId="0114A439">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（3）投标人的报价均超过了采购预算，采购人不能支付的；</w:t>
      </w:r>
    </w:p>
    <w:p w14:paraId="7D948A89">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（4）因重大变故，采购任务取消的。</w:t>
      </w:r>
    </w:p>
    <w:p w14:paraId="53B846B2">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18.2公开招标数额标准以上的采购项目，投标截止后投标人不足3家或者通过资格审查或符合性审查的投标人不足3家的，除采购任务取消情形外，按照以下方式处理：</w:t>
      </w:r>
    </w:p>
    <w:p w14:paraId="726379E5">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（1）招标文件存在不合理条款或者招标程序不符合规定的，采购人、采购代理机构改正后依法重新招标；</w:t>
      </w:r>
    </w:p>
    <w:p w14:paraId="5374BEBD">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（2）招标文件没有不合理条款、招标程序符合规定，需要采用其他采购方式采购的，采购人应当依法报</w:t>
      </w:r>
      <w:r>
        <w:rPr>
          <w:rFonts w:hint="eastAsia" w:ascii="宋体" w:hAnsi="宋体" w:eastAsia="宋体" w:cs="宋体"/>
          <w:color w:val="auto"/>
          <w:sz w:val="24"/>
          <w:szCs w:val="24"/>
          <w:highlight w:val="none"/>
        </w:rPr>
        <w:t>政府采购监督管理部门</w:t>
      </w:r>
      <w:r>
        <w:rPr>
          <w:rFonts w:hint="eastAsia" w:ascii="宋体" w:hAnsi="宋体" w:eastAsia="宋体" w:cs="宋体"/>
          <w:color w:val="auto"/>
          <w:sz w:val="24"/>
          <w:highlight w:val="none"/>
        </w:rPr>
        <w:t>批准。</w:t>
      </w:r>
    </w:p>
    <w:p w14:paraId="4353D2BC">
      <w:pPr>
        <w:spacing w:line="520" w:lineRule="exact"/>
        <w:ind w:firstLine="437"/>
        <w:jc w:val="left"/>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19.保密要求</w:t>
      </w:r>
    </w:p>
    <w:p w14:paraId="07E4BA9A">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19.1评标将在严格保密的情况下进行。</w:t>
      </w:r>
    </w:p>
    <w:p w14:paraId="3CA1938E">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19.2有关人员应当遵守评标工作纪律，不得泄露评标文件、评标情况和评标中获悉的国家秘密、商业秘密。</w:t>
      </w:r>
    </w:p>
    <w:p w14:paraId="615A187F">
      <w:pPr>
        <w:spacing w:line="520" w:lineRule="exact"/>
        <w:ind w:firstLine="437"/>
        <w:jc w:val="left"/>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20.中标候选人的确定原则及标准</w:t>
      </w:r>
    </w:p>
    <w:p w14:paraId="7C6F9726">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20.1评标委员会依据本项目招标文件所约定的评标方法，对实质上响应招标文件的投标人按下列方法进行排序，确定中标候选人：</w:t>
      </w:r>
    </w:p>
    <w:p w14:paraId="20FBEDC1">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出现两家或两家以上相同者，采取评标委员会随机抽取的方式确定中标候选顺序。</w:t>
      </w:r>
    </w:p>
    <w:p w14:paraId="5CF0250E">
      <w:pPr>
        <w:spacing w:line="520" w:lineRule="exact"/>
        <w:ind w:firstLine="435"/>
        <w:jc w:val="left"/>
        <w:rPr>
          <w:rFonts w:ascii="宋体" w:hAnsi="宋体" w:eastAsia="宋体" w:cs="宋体"/>
          <w:color w:val="auto"/>
          <w:highlight w:val="none"/>
        </w:rPr>
      </w:pPr>
      <w:r>
        <w:rPr>
          <w:rFonts w:hint="eastAsia" w:ascii="宋体" w:hAnsi="宋体" w:eastAsia="宋体" w:cs="宋体"/>
          <w:color w:val="auto"/>
          <w:sz w:val="24"/>
          <w:highlight w:val="none"/>
        </w:rPr>
        <w:t>（2）采用综合评分法的，评标结果按评审后得分由高到低顺序排列。得分相同的，按投标报价由低到高顺序排列。得分与投标报价均相同的，则采取评标委员会随机抽取的方式确定中标候选顺序。</w:t>
      </w:r>
    </w:p>
    <w:p w14:paraId="68FA927B">
      <w:pPr>
        <w:spacing w:line="520" w:lineRule="exact"/>
        <w:ind w:firstLine="437"/>
        <w:jc w:val="left"/>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21.确定中标候选人和中标人</w:t>
      </w:r>
    </w:p>
    <w:p w14:paraId="0B7E2C2D">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21.1评标委员会将根据评标标准，按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中规定数量推荐中标候选人。</w:t>
      </w:r>
    </w:p>
    <w:p w14:paraId="3F0E19F4">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21.2按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中规定，由评标委员会或采购人确定中标人。</w:t>
      </w:r>
    </w:p>
    <w:p w14:paraId="61168692">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21.3因重大变故采购任务取消时，采购人有权拒绝任何投标人中标，且对受影响的投标人不承担任何责任。</w:t>
      </w:r>
    </w:p>
    <w:p w14:paraId="6CA90F84">
      <w:pPr>
        <w:spacing w:line="520" w:lineRule="exact"/>
        <w:ind w:firstLine="437"/>
        <w:jc w:val="left"/>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22.编写评标报告</w:t>
      </w:r>
    </w:p>
    <w:p w14:paraId="6CC72FF9">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615B6381">
      <w:pPr>
        <w:spacing w:line="520" w:lineRule="exact"/>
        <w:ind w:firstLine="437"/>
        <w:jc w:val="left"/>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23.中标结果公告</w:t>
      </w:r>
    </w:p>
    <w:p w14:paraId="1455F02E">
      <w:pPr>
        <w:spacing w:line="520" w:lineRule="exact"/>
        <w:ind w:firstLine="435"/>
        <w:jc w:val="left"/>
        <w:rPr>
          <w:rFonts w:ascii="宋体" w:hAnsi="宋体" w:eastAsia="宋体" w:cs="宋体"/>
          <w:color w:val="auto"/>
          <w:sz w:val="24"/>
          <w:szCs w:val="18"/>
          <w:highlight w:val="none"/>
        </w:rPr>
      </w:pPr>
      <w:r>
        <w:rPr>
          <w:rFonts w:hint="eastAsia" w:ascii="宋体" w:hAnsi="宋体" w:eastAsia="宋体" w:cs="宋体"/>
          <w:color w:val="auto"/>
          <w:sz w:val="24"/>
          <w:highlight w:val="none"/>
        </w:rPr>
        <w:t>23.1除</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由评标委员会直接确定中标人外，在评标结束后2个工作日内，采购代理机构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504C4F64">
      <w:pPr>
        <w:wordWrap w:val="0"/>
        <w:spacing w:line="520" w:lineRule="exact"/>
        <w:ind w:firstLine="437"/>
        <w:jc w:val="left"/>
        <w:rPr>
          <w:rFonts w:ascii="宋体" w:hAnsi="宋体" w:eastAsia="宋体" w:cs="宋体"/>
          <w:color w:val="auto"/>
          <w:sz w:val="24"/>
          <w:szCs w:val="18"/>
          <w:highlight w:val="none"/>
        </w:rPr>
      </w:pPr>
      <w:r>
        <w:rPr>
          <w:rFonts w:hint="eastAsia" w:ascii="宋体" w:hAnsi="宋体" w:eastAsia="宋体" w:cs="宋体"/>
          <w:color w:val="auto"/>
          <w:sz w:val="24"/>
          <w:szCs w:val="18"/>
          <w:highlight w:val="none"/>
        </w:rPr>
        <w:t>23.2自中标人确定之日起2个工作日内，采购代理机构将在安徽省政府采购网（www.ccgp-anhui.gov.cn）、滁州市公共资源交易中心网（http://ggzy.chuzhou.gov.cn /）上发布中标结果公告。</w:t>
      </w:r>
    </w:p>
    <w:p w14:paraId="2A1CB07A">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23.3中标结果公告内容应当包括采购人及其委托的采购代理机构的名称、地址、联系方式，项目名称和项目编号，中标人名称、地址和中标金额，主要中标标的的名称、服务范围、服务要求、服务时间、服务标准，中标公告期限、评审专家名单以及投标人须知前附表中约定进行公告的内容。中标公告期限为1个工作日。</w:t>
      </w:r>
    </w:p>
    <w:p w14:paraId="53DD8DAA">
      <w:pPr>
        <w:spacing w:line="520" w:lineRule="exact"/>
        <w:ind w:firstLine="437"/>
        <w:jc w:val="left"/>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24.中标通知书</w:t>
      </w:r>
    </w:p>
    <w:p w14:paraId="7599FE77">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24.1采购代理机构发布中标结果公告</w:t>
      </w:r>
      <w:r>
        <w:rPr>
          <w:rFonts w:hint="eastAsia" w:ascii="宋体" w:hAnsi="宋体" w:eastAsia="宋体" w:cs="宋体"/>
          <w:iCs/>
          <w:color w:val="auto"/>
          <w:sz w:val="24"/>
          <w:highlight w:val="none"/>
        </w:rPr>
        <w:t>的</w:t>
      </w:r>
      <w:r>
        <w:rPr>
          <w:rFonts w:hint="eastAsia" w:ascii="宋体" w:hAnsi="宋体" w:eastAsia="宋体" w:cs="宋体"/>
          <w:color w:val="auto"/>
          <w:sz w:val="24"/>
          <w:highlight w:val="none"/>
        </w:rPr>
        <w:t>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规定的形式向中标人发出中标通知书。中标通知书须加盖采购人、采购代理机构公章并经公共资源交易中心加盖见证章后，方可发出。</w:t>
      </w:r>
    </w:p>
    <w:p w14:paraId="123E5B68">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24.2中标通知书对采购人和中标人具有同等法律效力。中标通知书发出以后，采购人改变中标结果或者中标人放弃中标，应当承担相应的法律责任。</w:t>
      </w:r>
    </w:p>
    <w:p w14:paraId="45E3C643">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24.3中标通知书是合同的组成部分。</w:t>
      </w:r>
    </w:p>
    <w:p w14:paraId="5C2B2441">
      <w:pPr>
        <w:spacing w:line="520" w:lineRule="exact"/>
        <w:ind w:firstLine="437"/>
        <w:jc w:val="left"/>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25.告知招标结果</w:t>
      </w:r>
    </w:p>
    <w:p w14:paraId="0B99D71F">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25.1在公告中标结果的同时，采购代理机构同时以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规定的形式告知未通过资格审查的投标人未通过的原因；采用综合评分法评审的，还将告知未中标人本人的评审得分和排序。</w:t>
      </w:r>
    </w:p>
    <w:p w14:paraId="775E41DB">
      <w:pPr>
        <w:spacing w:line="520" w:lineRule="exact"/>
        <w:ind w:firstLine="437"/>
        <w:jc w:val="left"/>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26.履约保证金</w:t>
      </w:r>
    </w:p>
    <w:p w14:paraId="749925DD">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26.1中标人应按照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规定缴纳履约保证金。</w:t>
      </w:r>
    </w:p>
    <w:p w14:paraId="658F6EC7">
      <w:pPr>
        <w:spacing w:line="520" w:lineRule="exact"/>
        <w:ind w:firstLine="435"/>
        <w:jc w:val="left"/>
        <w:rPr>
          <w:rFonts w:ascii="宋体" w:hAnsi="宋体" w:eastAsia="宋体" w:cs="宋体"/>
          <w:b/>
          <w:color w:val="auto"/>
          <w:sz w:val="24"/>
          <w:highlight w:val="none"/>
        </w:rPr>
      </w:pPr>
      <w:r>
        <w:rPr>
          <w:rFonts w:hint="eastAsia" w:ascii="宋体" w:hAnsi="宋体" w:eastAsia="宋体" w:cs="宋体"/>
          <w:color w:val="auto"/>
          <w:sz w:val="24"/>
          <w:highlight w:val="none"/>
        </w:rPr>
        <w:t>26.2如果中标人没有按照上述履约保证金的规定执行，将视为放弃中标资格。在此情况下，采购人可确定下一中标候选人为中标人，也可以重新开展采购活动。</w:t>
      </w:r>
    </w:p>
    <w:p w14:paraId="7D02190A">
      <w:pPr>
        <w:spacing w:line="520" w:lineRule="exact"/>
        <w:ind w:firstLine="437"/>
        <w:jc w:val="left"/>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27.签订合同</w:t>
      </w:r>
    </w:p>
    <w:p w14:paraId="7A72D003">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27.1</w:t>
      </w:r>
      <w:r>
        <w:rPr>
          <w:rFonts w:hint="eastAsia" w:ascii="宋体" w:hAnsi="宋体" w:eastAsia="宋体" w:cs="宋体"/>
          <w:color w:val="auto"/>
          <w:sz w:val="24"/>
          <w:szCs w:val="24"/>
          <w:highlight w:val="none"/>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规定的时间内完成政府采购合同签订及合同公告。</w:t>
      </w:r>
    </w:p>
    <w:p w14:paraId="6BE9B77B">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27.2招标文件、中标人的投标文件及其澄清文件等，均为签订合同的依据。</w:t>
      </w:r>
    </w:p>
    <w:p w14:paraId="7C4DA246">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27.3中标人拒绝与采购人签订合同的，采购人可以按照评审报告推荐的中标候选人名单排序，确定下一中标候选人为中标人，也可以重新开展政府采购活动。</w:t>
      </w:r>
    </w:p>
    <w:p w14:paraId="2CC4C082">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27.4依据《政府采购促进中小企业发展管理办法》（财库〔2020〕46号）规定享受扶持政策获得政府采购合同的，小微企业不得将合同分包给大中型企业，中型企业不得将合同分包给大型企业。</w:t>
      </w:r>
    </w:p>
    <w:p w14:paraId="43452037">
      <w:pPr>
        <w:spacing w:line="520" w:lineRule="exact"/>
        <w:ind w:firstLine="437"/>
        <w:jc w:val="left"/>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28.代理费用</w:t>
      </w:r>
    </w:p>
    <w:p w14:paraId="444FF200">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28.1本项目代理费用的收取按</w:t>
      </w:r>
      <w:r>
        <w:rPr>
          <w:rFonts w:hint="eastAsia" w:ascii="宋体" w:hAnsi="宋体" w:eastAsia="宋体" w:cs="宋体"/>
          <w:color w:val="auto"/>
          <w:sz w:val="24"/>
          <w:highlight w:val="none"/>
          <w:u w:val="single"/>
        </w:rPr>
        <w:t>投标人须知前附表的</w:t>
      </w:r>
      <w:r>
        <w:rPr>
          <w:rFonts w:hint="eastAsia" w:ascii="宋体" w:hAnsi="宋体" w:eastAsia="宋体" w:cs="宋体"/>
          <w:color w:val="auto"/>
          <w:sz w:val="24"/>
          <w:highlight w:val="none"/>
        </w:rPr>
        <w:t>规定执行。</w:t>
      </w:r>
    </w:p>
    <w:p w14:paraId="03F96B04">
      <w:pPr>
        <w:spacing w:line="520" w:lineRule="exact"/>
        <w:ind w:firstLine="437"/>
        <w:jc w:val="left"/>
        <w:outlineLvl w:val="2"/>
        <w:rPr>
          <w:rFonts w:ascii="宋体" w:hAnsi="宋体" w:eastAsia="宋体" w:cs="宋体"/>
          <w:b/>
          <w:color w:val="auto"/>
          <w:sz w:val="24"/>
          <w:highlight w:val="none"/>
        </w:rPr>
      </w:pPr>
      <w:bookmarkStart w:id="33" w:name="_Toc2583661"/>
      <w:bookmarkStart w:id="34" w:name="_Toc518923100"/>
      <w:r>
        <w:rPr>
          <w:rFonts w:hint="eastAsia" w:ascii="宋体" w:hAnsi="宋体" w:eastAsia="宋体" w:cs="宋体"/>
          <w:b/>
          <w:color w:val="auto"/>
          <w:sz w:val="24"/>
          <w:highlight w:val="none"/>
        </w:rPr>
        <w:t>29.廉洁自律规定</w:t>
      </w:r>
      <w:bookmarkEnd w:id="33"/>
      <w:bookmarkEnd w:id="34"/>
    </w:p>
    <w:p w14:paraId="63A4A3F5">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29.1采购代理机构工作人员不得以不正当手段获取政府采购代理业务，不得与采购人、供应商恶意串通。</w:t>
      </w:r>
    </w:p>
    <w:p w14:paraId="4B84DAA5">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29.2采购代理机构工作人员不得接受采购人或者供应商组织的宴请、旅游、娱乐，不得收受礼品、现金、有价证券等，不得向采购人或者供应商报销应当由个人承担的费用。</w:t>
      </w:r>
    </w:p>
    <w:p w14:paraId="36B84C59">
      <w:pPr>
        <w:spacing w:line="520" w:lineRule="exact"/>
        <w:ind w:firstLine="437"/>
        <w:jc w:val="left"/>
        <w:outlineLvl w:val="2"/>
        <w:rPr>
          <w:rFonts w:ascii="宋体" w:hAnsi="宋体" w:eastAsia="宋体" w:cs="宋体"/>
          <w:b/>
          <w:color w:val="auto"/>
          <w:sz w:val="24"/>
          <w:highlight w:val="none"/>
        </w:rPr>
      </w:pPr>
      <w:bookmarkStart w:id="35" w:name="_Toc2583662"/>
      <w:bookmarkStart w:id="36" w:name="_Toc518923101"/>
      <w:r>
        <w:rPr>
          <w:rFonts w:hint="eastAsia" w:ascii="宋体" w:hAnsi="宋体" w:eastAsia="宋体" w:cs="宋体"/>
          <w:b/>
          <w:color w:val="auto"/>
          <w:sz w:val="24"/>
          <w:highlight w:val="none"/>
        </w:rPr>
        <w:t>30.人员回避</w:t>
      </w:r>
      <w:bookmarkEnd w:id="35"/>
      <w:bookmarkEnd w:id="36"/>
    </w:p>
    <w:p w14:paraId="4AD57C77">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投标人认为采购人员及其相关人员有法律法规所列与其他供应商有利害关系的，可以向采购人或采购代理机构书面提出回避申请，并说明理由。</w:t>
      </w:r>
    </w:p>
    <w:p w14:paraId="644CC3F1">
      <w:pPr>
        <w:spacing w:line="520" w:lineRule="exact"/>
        <w:ind w:firstLine="437"/>
        <w:jc w:val="left"/>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31.质疑的提出与接收</w:t>
      </w:r>
    </w:p>
    <w:p w14:paraId="34A977E8">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1B667B35">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25F3EAD2">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31.3采购代理机构质疑函接收部门、联系电话和通讯地址，见投标人须知前附表。</w:t>
      </w:r>
    </w:p>
    <w:p w14:paraId="40BE8740">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注：上述条款中所要求的书面形式包含通过电子交易系统递交方式。</w:t>
      </w:r>
    </w:p>
    <w:p w14:paraId="3494DA36">
      <w:pPr>
        <w:spacing w:line="520" w:lineRule="exact"/>
        <w:ind w:firstLine="437"/>
        <w:jc w:val="left"/>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32.投诉</w:t>
      </w:r>
    </w:p>
    <w:p w14:paraId="54408E7A">
      <w:pPr>
        <w:wordWrap w:val="0"/>
        <w:spacing w:line="520" w:lineRule="exact"/>
        <w:ind w:firstLine="437"/>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32.1 质疑投标人对采购人、采购代理机构的答复不满意，或者采购人、采购代理机构未在规定的时间内答复的，可以在答复期满后十五个工作日内按有关规定，以书面形式向同级政府采购监督管理部门提出投诉。</w:t>
      </w:r>
    </w:p>
    <w:p w14:paraId="290AABFC">
      <w:pPr>
        <w:wordWrap w:val="0"/>
        <w:spacing w:line="520" w:lineRule="exact"/>
        <w:ind w:firstLine="437"/>
        <w:jc w:val="left"/>
        <w:rPr>
          <w:rFonts w:ascii="宋体" w:hAnsi="宋体" w:eastAsia="宋体" w:cs="宋体"/>
          <w:color w:val="auto"/>
          <w:sz w:val="24"/>
          <w:highlight w:val="none"/>
        </w:rPr>
      </w:pPr>
      <w:r>
        <w:rPr>
          <w:rFonts w:hint="eastAsia" w:ascii="宋体" w:hAnsi="宋体" w:eastAsia="宋体" w:cs="宋体"/>
          <w:color w:val="auto"/>
          <w:sz w:val="24"/>
          <w:highlight w:val="none"/>
        </w:rPr>
        <w:t>32.2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42CB818C">
      <w:pPr>
        <w:wordWrap w:val="0"/>
        <w:spacing w:line="520" w:lineRule="exact"/>
        <w:ind w:firstLine="437"/>
        <w:jc w:val="left"/>
        <w:rPr>
          <w:rFonts w:ascii="宋体" w:hAnsi="宋体" w:eastAsia="宋体" w:cs="宋体"/>
          <w:color w:val="auto"/>
          <w:sz w:val="24"/>
          <w:highlight w:val="none"/>
        </w:rPr>
      </w:pPr>
      <w:r>
        <w:rPr>
          <w:rFonts w:hint="eastAsia" w:ascii="宋体" w:hAnsi="宋体" w:eastAsia="宋体" w:cs="宋体"/>
          <w:color w:val="auto"/>
          <w:sz w:val="24"/>
          <w:highlight w:val="none"/>
        </w:rPr>
        <w:t>32.3政府采购监督管理部门在处理投诉事项期间，可以视具体情况书面通知采购人暂停采购活动，但暂停时间最长不得超过30日。</w:t>
      </w:r>
    </w:p>
    <w:p w14:paraId="5BEEAA0C">
      <w:pPr>
        <w:spacing w:line="520" w:lineRule="exact"/>
        <w:ind w:firstLine="437"/>
        <w:jc w:val="left"/>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33.需要补充的其他内容</w:t>
      </w:r>
    </w:p>
    <w:p w14:paraId="7D766995">
      <w:pPr>
        <w:spacing w:line="520" w:lineRule="exact"/>
        <w:ind w:firstLine="435"/>
        <w:jc w:val="left"/>
        <w:rPr>
          <w:rFonts w:ascii="宋体" w:hAnsi="宋体" w:eastAsia="宋体" w:cs="宋体"/>
          <w:color w:val="auto"/>
          <w:sz w:val="24"/>
          <w:highlight w:val="none"/>
        </w:rPr>
      </w:pPr>
      <w:r>
        <w:rPr>
          <w:rFonts w:hint="eastAsia" w:ascii="宋体" w:hAnsi="宋体" w:eastAsia="宋体" w:cs="宋体"/>
          <w:color w:val="auto"/>
          <w:sz w:val="24"/>
          <w:highlight w:val="none"/>
        </w:rPr>
        <w:t>需要补充的其他内容，见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3A2FCE32">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44283733">
      <w:pPr>
        <w:numPr>
          <w:ilvl w:val="0"/>
          <w:numId w:val="2"/>
        </w:numPr>
        <w:spacing w:line="360" w:lineRule="auto"/>
        <w:jc w:val="center"/>
        <w:outlineLvl w:val="0"/>
        <w:rPr>
          <w:rFonts w:asciiTheme="minorEastAsia" w:hAnsiTheme="minorEastAsia" w:eastAsiaTheme="minorEastAsia"/>
          <w:b/>
          <w:color w:val="auto"/>
          <w:sz w:val="28"/>
          <w:highlight w:val="none"/>
        </w:rPr>
      </w:pPr>
      <w:bookmarkStart w:id="37" w:name="_Toc22605"/>
      <w:r>
        <w:rPr>
          <w:rFonts w:hint="eastAsia" w:asciiTheme="minorEastAsia" w:hAnsiTheme="minorEastAsia" w:eastAsiaTheme="minorEastAsia"/>
          <w:b/>
          <w:color w:val="auto"/>
          <w:sz w:val="28"/>
          <w:highlight w:val="none"/>
        </w:rPr>
        <w:t>采购需求</w:t>
      </w:r>
      <w:bookmarkEnd w:id="37"/>
    </w:p>
    <w:p w14:paraId="0D4B57BE">
      <w:pPr>
        <w:spacing w:line="52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前注：</w:t>
      </w:r>
    </w:p>
    <w:p w14:paraId="6E631024">
      <w:pPr>
        <w:spacing w:line="520" w:lineRule="exact"/>
        <w:ind w:firstLine="4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1.本采购需求中提出的服务方案仅为参考，如无明确限制，投标人可以进行优化，提供满足采购人实际需要的更优（或者性能实质上不低于的）服务方案，且此方案须经评标委员会评审认可。</w:t>
      </w:r>
    </w:p>
    <w:p w14:paraId="4BFF9ADA">
      <w:pPr>
        <w:spacing w:line="5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2.政府采购政策（包括但不限于下列具体政策要求）：</w:t>
      </w:r>
    </w:p>
    <w:p w14:paraId="6BE97609">
      <w:pPr>
        <w:spacing w:line="5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提供所投产品须具有市场监管总局公布的《参与实施政府采购节能产品认证机构目录》中的认证机构出具的、处于有效期内的节能产品认证证书。</w:t>
      </w:r>
    </w:p>
    <w:p w14:paraId="5FBB501E">
      <w:pPr>
        <w:spacing w:line="5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1C597AE8">
      <w:pPr>
        <w:spacing w:line="520" w:lineRule="exact"/>
        <w:ind w:firstLine="480" w:firstLineChars="200"/>
        <w:rPr>
          <w:rFonts w:ascii="宋体" w:hAnsi="宋体" w:eastAsia="宋体" w:cs="宋体"/>
          <w:bCs/>
          <w:color w:val="auto"/>
          <w:sz w:val="24"/>
          <w:szCs w:val="18"/>
          <w:highlight w:val="none"/>
        </w:rPr>
      </w:pPr>
      <w:r>
        <w:rPr>
          <w:rFonts w:hint="eastAsia" w:ascii="宋体" w:hAnsi="宋体" w:eastAsia="宋体" w:cs="宋体"/>
          <w:color w:val="auto"/>
          <w:sz w:val="24"/>
          <w:szCs w:val="24"/>
          <w:highlight w:val="none"/>
        </w:rPr>
        <w:t>3.如采购人允许采用分包方式履行合同的，应当明确可以分包履行的相关内容。</w:t>
      </w:r>
    </w:p>
    <w:p w14:paraId="1B13D406">
      <w:pPr>
        <w:spacing w:beforeLines="30" w:afterLines="30" w:line="520" w:lineRule="exact"/>
        <w:ind w:firstLine="437"/>
        <w:jc w:val="left"/>
        <w:outlineLvl w:val="1"/>
        <w:rPr>
          <w:rFonts w:ascii="宋体" w:hAnsi="宋体" w:eastAsia="宋体" w:cs="宋体"/>
          <w:b/>
          <w:color w:val="auto"/>
          <w:sz w:val="24"/>
          <w:szCs w:val="18"/>
          <w:highlight w:val="none"/>
        </w:rPr>
      </w:pPr>
      <w:bookmarkStart w:id="38" w:name="_Toc4148"/>
      <w:bookmarkStart w:id="39" w:name="_Toc21798"/>
      <w:bookmarkStart w:id="40" w:name="_Hlk23621890"/>
      <w:bookmarkStart w:id="41" w:name="_Toc30824"/>
      <w:r>
        <w:rPr>
          <w:rFonts w:hint="eastAsia" w:ascii="宋体" w:hAnsi="宋体" w:eastAsia="宋体" w:cs="宋体"/>
          <w:b/>
          <w:color w:val="auto"/>
          <w:sz w:val="24"/>
          <w:szCs w:val="18"/>
          <w:highlight w:val="none"/>
        </w:rPr>
        <w:t>一、采购需求前附表</w:t>
      </w:r>
      <w:bookmarkEnd w:id="38"/>
      <w:bookmarkEnd w:id="39"/>
    </w:p>
    <w:bookmarkEnd w:id="40"/>
    <w:tbl>
      <w:tblPr>
        <w:tblStyle w:val="33"/>
        <w:tblW w:w="54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977"/>
        <w:gridCol w:w="6819"/>
      </w:tblGrid>
      <w:tr w14:paraId="071C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4" w:type="pct"/>
            <w:vAlign w:val="center"/>
          </w:tcPr>
          <w:p w14:paraId="4FC49187">
            <w:pPr>
              <w:pStyle w:val="54"/>
              <w:pBdr>
                <w:bottom w:val="none" w:color="auto" w:sz="0" w:space="0"/>
              </w:pBdr>
              <w:tabs>
                <w:tab w:val="clear" w:pos="4153"/>
                <w:tab w:val="clear" w:pos="8306"/>
              </w:tabs>
              <w:adjustRightInd/>
              <w:spacing w:line="520" w:lineRule="exact"/>
              <w:textAlignment w:val="auto"/>
              <w:rPr>
                <w:rFonts w:ascii="宋体" w:hAnsi="宋体" w:eastAsia="宋体" w:cs="宋体"/>
                <w:b/>
                <w:color w:val="auto"/>
                <w:kern w:val="2"/>
                <w:highlight w:val="none"/>
              </w:rPr>
            </w:pPr>
            <w:bookmarkStart w:id="42" w:name="_Hlk16461016"/>
            <w:r>
              <w:rPr>
                <w:rFonts w:hint="eastAsia" w:ascii="宋体" w:hAnsi="宋体" w:eastAsia="宋体" w:cs="宋体"/>
                <w:b/>
                <w:color w:val="auto"/>
                <w:kern w:val="2"/>
                <w:highlight w:val="none"/>
              </w:rPr>
              <w:t>序号</w:t>
            </w:r>
          </w:p>
        </w:tc>
        <w:tc>
          <w:tcPr>
            <w:tcW w:w="1028" w:type="pct"/>
            <w:vAlign w:val="center"/>
          </w:tcPr>
          <w:p w14:paraId="2A48F7AD">
            <w:pPr>
              <w:pStyle w:val="53"/>
              <w:widowControl w:val="0"/>
              <w:spacing w:before="0" w:beforeAutospacing="0" w:after="0" w:afterAutospacing="0" w:line="520" w:lineRule="exact"/>
              <w:rPr>
                <w:rFonts w:ascii="宋体" w:hAnsi="宋体" w:eastAsia="宋体" w:cs="宋体"/>
                <w:bCs w:val="0"/>
                <w:color w:val="auto"/>
                <w:sz w:val="24"/>
                <w:highlight w:val="none"/>
              </w:rPr>
            </w:pPr>
            <w:r>
              <w:rPr>
                <w:rFonts w:hint="eastAsia" w:ascii="宋体" w:hAnsi="宋体" w:eastAsia="宋体" w:cs="宋体"/>
                <w:bCs w:val="0"/>
                <w:color w:val="auto"/>
                <w:sz w:val="24"/>
                <w:highlight w:val="none"/>
              </w:rPr>
              <w:t>条款名称</w:t>
            </w:r>
          </w:p>
        </w:tc>
        <w:tc>
          <w:tcPr>
            <w:tcW w:w="3546" w:type="pct"/>
            <w:vAlign w:val="center"/>
          </w:tcPr>
          <w:p w14:paraId="6041B8AD">
            <w:pPr>
              <w:pStyle w:val="53"/>
              <w:widowControl w:val="0"/>
              <w:spacing w:before="0" w:beforeAutospacing="0" w:after="0" w:afterAutospacing="0" w:line="520" w:lineRule="exact"/>
              <w:rPr>
                <w:rFonts w:ascii="宋体" w:hAnsi="宋体" w:eastAsia="宋体" w:cs="宋体"/>
                <w:bCs w:val="0"/>
                <w:color w:val="auto"/>
                <w:sz w:val="24"/>
                <w:highlight w:val="none"/>
              </w:rPr>
            </w:pPr>
            <w:r>
              <w:rPr>
                <w:rFonts w:hint="eastAsia" w:ascii="宋体" w:hAnsi="宋体" w:eastAsia="宋体" w:cs="宋体"/>
                <w:bCs w:val="0"/>
                <w:color w:val="auto"/>
                <w:sz w:val="24"/>
                <w:highlight w:val="none"/>
              </w:rPr>
              <w:t>内容、说明与要求</w:t>
            </w:r>
          </w:p>
        </w:tc>
      </w:tr>
      <w:tr w14:paraId="2131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424" w:type="pct"/>
            <w:vAlign w:val="center"/>
          </w:tcPr>
          <w:p w14:paraId="69260951">
            <w:pPr>
              <w:pStyle w:val="54"/>
              <w:pBdr>
                <w:bottom w:val="none" w:color="auto" w:sz="0" w:space="0"/>
              </w:pBdr>
              <w:tabs>
                <w:tab w:val="clear" w:pos="4153"/>
                <w:tab w:val="clear" w:pos="8306"/>
              </w:tabs>
              <w:adjustRightInd/>
              <w:spacing w:line="52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1</w:t>
            </w:r>
          </w:p>
        </w:tc>
        <w:tc>
          <w:tcPr>
            <w:tcW w:w="1028" w:type="pct"/>
            <w:vAlign w:val="center"/>
          </w:tcPr>
          <w:p w14:paraId="101DD87A">
            <w:pPr>
              <w:spacing w:line="52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3546" w:type="pct"/>
            <w:vAlign w:val="center"/>
          </w:tcPr>
          <w:p w14:paraId="07A4D115">
            <w:pPr>
              <w:pStyle w:val="53"/>
              <w:widowControl w:val="0"/>
              <w:spacing w:before="0" w:beforeAutospacing="0" w:after="0" w:afterAutospacing="0" w:line="520" w:lineRule="exact"/>
              <w:jc w:val="both"/>
              <w:rPr>
                <w:rFonts w:ascii="宋体" w:hAnsi="宋体" w:eastAsia="宋体" w:cs="宋体"/>
                <w:b w:val="0"/>
                <w:color w:val="auto"/>
                <w:sz w:val="24"/>
                <w:highlight w:val="none"/>
                <w:u w:val="single"/>
              </w:rPr>
            </w:pPr>
            <w:r>
              <w:rPr>
                <w:rFonts w:hint="eastAsia" w:ascii="宋体" w:hAnsi="宋体" w:eastAsia="宋体" w:cs="宋体"/>
                <w:b w:val="0"/>
                <w:color w:val="auto"/>
                <w:sz w:val="24"/>
                <w:szCs w:val="24"/>
                <w:highlight w:val="none"/>
                <w:lang w:val="en-US" w:eastAsia="zh-CN"/>
              </w:rPr>
              <w:t>在具备检测条件的前提下，发包人在合同签订后一个月内或不迟于约定的开工日期前 7 天内预付检测款为合同总价（扣除暂列金额）的40</w:t>
            </w:r>
            <w:r>
              <w:rPr>
                <w:rFonts w:hint="eastAsia" w:ascii="宋体" w:hAnsi="宋体" w:eastAsia="宋体" w:cs="宋体"/>
                <w:b w:val="0"/>
                <w:color w:val="auto"/>
                <w:sz w:val="24"/>
                <w:szCs w:val="24"/>
                <w:highlight w:val="none"/>
              </w:rPr>
              <w:t>%作为预付款（预付款支付前，中标人须提供同等金额且生效的见索即付预付款保函）；</w:t>
            </w:r>
            <w:r>
              <w:rPr>
                <w:rFonts w:hint="eastAsia" w:ascii="宋体" w:hAnsi="宋体" w:eastAsia="宋体" w:cs="宋体"/>
                <w:b w:val="0"/>
                <w:color w:val="auto"/>
                <w:sz w:val="24"/>
                <w:szCs w:val="24"/>
                <w:highlight w:val="none"/>
                <w:lang w:eastAsia="zh-CN"/>
              </w:rPr>
              <w:t>交（竣）工</w:t>
            </w:r>
            <w:r>
              <w:rPr>
                <w:rFonts w:hint="eastAsia" w:ascii="宋体" w:hAnsi="宋体" w:eastAsia="宋体" w:cs="宋体"/>
                <w:b w:val="0"/>
                <w:color w:val="auto"/>
                <w:sz w:val="24"/>
                <w:szCs w:val="24"/>
                <w:highlight w:val="none"/>
              </w:rPr>
              <w:t>验收合格并审计备案后付至</w:t>
            </w:r>
            <w:r>
              <w:rPr>
                <w:rFonts w:hint="eastAsia" w:ascii="宋体" w:hAnsi="宋体" w:eastAsia="宋体" w:cs="宋体"/>
                <w:b w:val="0"/>
                <w:color w:val="auto"/>
                <w:sz w:val="24"/>
                <w:szCs w:val="24"/>
                <w:highlight w:val="none"/>
                <w:lang w:val="en-US" w:eastAsia="zh-CN"/>
              </w:rPr>
              <w:t>检测费用</w:t>
            </w:r>
            <w:r>
              <w:rPr>
                <w:rFonts w:hint="eastAsia" w:ascii="宋体" w:hAnsi="宋体" w:eastAsia="宋体" w:cs="宋体"/>
                <w:b w:val="0"/>
                <w:color w:val="auto"/>
                <w:sz w:val="24"/>
                <w:szCs w:val="24"/>
                <w:highlight w:val="none"/>
              </w:rPr>
              <w:t>的100%。</w:t>
            </w:r>
          </w:p>
        </w:tc>
      </w:tr>
      <w:tr w14:paraId="2C8D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4" w:type="pct"/>
            <w:vAlign w:val="center"/>
          </w:tcPr>
          <w:p w14:paraId="01C623AB">
            <w:pPr>
              <w:pStyle w:val="54"/>
              <w:pBdr>
                <w:bottom w:val="none" w:color="auto" w:sz="0" w:space="0"/>
              </w:pBdr>
              <w:tabs>
                <w:tab w:val="clear" w:pos="4153"/>
                <w:tab w:val="clear" w:pos="8306"/>
              </w:tabs>
              <w:adjustRightInd/>
              <w:spacing w:line="52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2</w:t>
            </w:r>
          </w:p>
        </w:tc>
        <w:tc>
          <w:tcPr>
            <w:tcW w:w="1028" w:type="pct"/>
            <w:vAlign w:val="center"/>
          </w:tcPr>
          <w:p w14:paraId="4BBDF0A7">
            <w:pPr>
              <w:pStyle w:val="53"/>
              <w:widowControl w:val="0"/>
              <w:spacing w:before="0" w:beforeAutospacing="0" w:after="0" w:afterAutospacing="0" w:line="520" w:lineRule="exact"/>
              <w:rPr>
                <w:rFonts w:ascii="宋体" w:hAnsi="宋体" w:eastAsia="宋体" w:cs="宋体"/>
                <w:b w:val="0"/>
                <w:color w:val="auto"/>
                <w:sz w:val="24"/>
                <w:highlight w:val="none"/>
              </w:rPr>
            </w:pPr>
            <w:r>
              <w:rPr>
                <w:rFonts w:hint="eastAsia" w:ascii="宋体" w:hAnsi="宋体" w:eastAsia="宋体" w:cs="宋体"/>
                <w:b w:val="0"/>
                <w:color w:val="auto"/>
                <w:sz w:val="24"/>
                <w:highlight w:val="none"/>
              </w:rPr>
              <w:t>服务地点</w:t>
            </w:r>
          </w:p>
        </w:tc>
        <w:tc>
          <w:tcPr>
            <w:tcW w:w="3546" w:type="pct"/>
            <w:vAlign w:val="center"/>
          </w:tcPr>
          <w:p w14:paraId="5DA93EE5">
            <w:pPr>
              <w:pStyle w:val="53"/>
              <w:widowControl w:val="0"/>
              <w:spacing w:before="0" w:beforeAutospacing="0" w:after="0" w:afterAutospacing="0" w:line="520" w:lineRule="exact"/>
              <w:jc w:val="both"/>
              <w:rPr>
                <w:rFonts w:hint="eastAsia" w:ascii="宋体" w:hAnsi="宋体" w:eastAsia="宋体" w:cs="宋体"/>
                <w:b w:val="0"/>
                <w:bCs w:val="0"/>
                <w:color w:val="auto"/>
                <w:sz w:val="24"/>
                <w:szCs w:val="20"/>
                <w:highlight w:val="none"/>
                <w:lang w:eastAsia="zh-CN"/>
              </w:rPr>
            </w:pPr>
            <w:r>
              <w:rPr>
                <w:rFonts w:hint="eastAsia" w:ascii="宋体" w:hAnsi="宋体" w:eastAsia="宋体"/>
                <w:b w:val="0"/>
                <w:color w:val="auto"/>
                <w:sz w:val="24"/>
                <w:highlight w:val="none"/>
                <w:lang w:eastAsia="zh-CN"/>
              </w:rPr>
              <w:t>定远县公路运输管理服务中心</w:t>
            </w:r>
          </w:p>
        </w:tc>
      </w:tr>
      <w:tr w14:paraId="1496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4" w:type="pct"/>
            <w:vAlign w:val="center"/>
          </w:tcPr>
          <w:p w14:paraId="1C37A431">
            <w:pPr>
              <w:pStyle w:val="54"/>
              <w:pBdr>
                <w:bottom w:val="none" w:color="auto" w:sz="0" w:space="0"/>
              </w:pBdr>
              <w:tabs>
                <w:tab w:val="clear" w:pos="4153"/>
                <w:tab w:val="clear" w:pos="8306"/>
              </w:tabs>
              <w:adjustRightInd/>
              <w:spacing w:line="52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3</w:t>
            </w:r>
          </w:p>
        </w:tc>
        <w:tc>
          <w:tcPr>
            <w:tcW w:w="1028" w:type="pct"/>
            <w:vAlign w:val="center"/>
          </w:tcPr>
          <w:p w14:paraId="3B5F9D21">
            <w:pPr>
              <w:pStyle w:val="53"/>
              <w:widowControl w:val="0"/>
              <w:spacing w:before="0" w:beforeAutospacing="0" w:after="0" w:afterAutospacing="0" w:line="520" w:lineRule="exact"/>
              <w:rPr>
                <w:rFonts w:ascii="宋体" w:hAnsi="宋体" w:eastAsia="宋体" w:cs="宋体"/>
                <w:b w:val="0"/>
                <w:color w:val="auto"/>
                <w:sz w:val="24"/>
                <w:highlight w:val="none"/>
              </w:rPr>
            </w:pPr>
            <w:r>
              <w:rPr>
                <w:rFonts w:hint="eastAsia" w:ascii="宋体" w:hAnsi="宋体" w:eastAsia="宋体" w:cs="宋体"/>
                <w:b w:val="0"/>
                <w:color w:val="auto"/>
                <w:sz w:val="24"/>
                <w:highlight w:val="none"/>
              </w:rPr>
              <w:t>服务期限</w:t>
            </w:r>
          </w:p>
        </w:tc>
        <w:tc>
          <w:tcPr>
            <w:tcW w:w="3546" w:type="pct"/>
            <w:vAlign w:val="center"/>
          </w:tcPr>
          <w:p w14:paraId="326632CE">
            <w:pPr>
              <w:spacing w:line="520" w:lineRule="exact"/>
              <w:rPr>
                <w:rFonts w:hint="default" w:ascii="宋体" w:hAnsi="宋体" w:eastAsia="宋体" w:cs="宋体"/>
                <w:color w:val="auto"/>
                <w:kern w:val="0"/>
                <w:sz w:val="24"/>
                <w:highlight w:val="none"/>
                <w:lang w:val="en-US"/>
              </w:rPr>
            </w:pPr>
            <w:r>
              <w:rPr>
                <w:rFonts w:hint="eastAsia" w:ascii="宋体" w:hAnsi="宋体" w:eastAsia="宋体" w:cs="宋体"/>
                <w:color w:val="auto"/>
                <w:sz w:val="24"/>
                <w:szCs w:val="24"/>
                <w:highlight w:val="none"/>
              </w:rPr>
              <w:t>计划工期 365 日历天（本项目试验检测服务期涵盖施工阶段和缺陷责任期阶段）</w:t>
            </w:r>
            <w:r>
              <w:rPr>
                <w:rFonts w:hint="default"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en-US" w:eastAsia="zh-CN"/>
              </w:rPr>
              <w:t>。</w:t>
            </w:r>
          </w:p>
        </w:tc>
      </w:tr>
      <w:tr w14:paraId="02E0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4" w:type="pct"/>
            <w:vAlign w:val="center"/>
          </w:tcPr>
          <w:p w14:paraId="6C83A534">
            <w:pPr>
              <w:pStyle w:val="54"/>
              <w:pBdr>
                <w:bottom w:val="none" w:color="auto" w:sz="0" w:space="0"/>
              </w:pBdr>
              <w:tabs>
                <w:tab w:val="clear" w:pos="4153"/>
                <w:tab w:val="clear" w:pos="8306"/>
              </w:tabs>
              <w:adjustRightInd/>
              <w:spacing w:line="52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4</w:t>
            </w:r>
          </w:p>
        </w:tc>
        <w:tc>
          <w:tcPr>
            <w:tcW w:w="1028" w:type="pct"/>
            <w:vAlign w:val="center"/>
          </w:tcPr>
          <w:p w14:paraId="3067435C">
            <w:pPr>
              <w:pStyle w:val="53"/>
              <w:widowControl w:val="0"/>
              <w:spacing w:before="0" w:beforeAutospacing="0" w:after="0" w:afterAutospacing="0" w:line="520" w:lineRule="exact"/>
              <w:rPr>
                <w:rFonts w:ascii="宋体" w:hAnsi="宋体" w:eastAsia="宋体" w:cs="宋体"/>
                <w:b w:val="0"/>
                <w:color w:val="auto"/>
                <w:sz w:val="24"/>
                <w:highlight w:val="none"/>
              </w:rPr>
            </w:pPr>
            <w:r>
              <w:rPr>
                <w:rFonts w:hint="eastAsia" w:ascii="宋体" w:hAnsi="宋体" w:eastAsia="宋体" w:cs="宋体"/>
                <w:b w:val="0"/>
                <w:color w:val="auto"/>
                <w:sz w:val="24"/>
                <w:highlight w:val="none"/>
              </w:rPr>
              <w:t>本项目采购标的名称及所属行业</w:t>
            </w:r>
          </w:p>
        </w:tc>
        <w:tc>
          <w:tcPr>
            <w:tcW w:w="3546" w:type="pct"/>
            <w:vAlign w:val="center"/>
          </w:tcPr>
          <w:p w14:paraId="303CE1EF">
            <w:pPr>
              <w:pStyle w:val="53"/>
              <w:widowControl w:val="0"/>
              <w:spacing w:before="0" w:beforeAutospacing="0" w:after="0" w:afterAutospacing="0" w:line="520" w:lineRule="exact"/>
              <w:jc w:val="both"/>
              <w:rPr>
                <w:rFonts w:hint="eastAsia" w:ascii="宋体" w:hAnsi="宋体" w:eastAsia="宋体" w:cs="宋体"/>
                <w:b w:val="0"/>
                <w:bCs w:val="0"/>
                <w:color w:val="auto"/>
                <w:sz w:val="24"/>
                <w:szCs w:val="20"/>
                <w:highlight w:val="none"/>
              </w:rPr>
            </w:pPr>
            <w:r>
              <w:rPr>
                <w:rFonts w:hint="eastAsia" w:ascii="宋体" w:hAnsi="宋体" w:eastAsia="宋体" w:cs="宋体"/>
                <w:b w:val="0"/>
                <w:bCs w:val="0"/>
                <w:color w:val="auto"/>
                <w:sz w:val="24"/>
                <w:szCs w:val="20"/>
                <w:highlight w:val="none"/>
              </w:rPr>
              <w:t>标的名称：</w:t>
            </w:r>
            <w:r>
              <w:rPr>
                <w:rFonts w:hint="eastAsia" w:ascii="宋体" w:hAnsi="宋体" w:eastAsia="宋体" w:cs="宋体"/>
                <w:b w:val="0"/>
                <w:bCs w:val="0"/>
                <w:color w:val="auto"/>
                <w:sz w:val="24"/>
                <w:szCs w:val="20"/>
                <w:highlight w:val="none"/>
                <w:lang w:eastAsia="zh-CN"/>
              </w:rPr>
              <w:t>定远县2025年农村公路第三方检测项目</w:t>
            </w:r>
            <w:r>
              <w:rPr>
                <w:rFonts w:hint="eastAsia" w:ascii="宋体" w:hAnsi="宋体" w:eastAsia="宋体" w:cs="宋体"/>
                <w:b w:val="0"/>
                <w:bCs w:val="0"/>
                <w:color w:val="auto"/>
                <w:sz w:val="24"/>
                <w:szCs w:val="20"/>
                <w:highlight w:val="none"/>
              </w:rPr>
              <w:t xml:space="preserve">  </w:t>
            </w:r>
          </w:p>
          <w:p w14:paraId="5BA2FDDB">
            <w:pPr>
              <w:pStyle w:val="53"/>
              <w:widowControl w:val="0"/>
              <w:spacing w:before="0" w:beforeAutospacing="0" w:after="0" w:afterAutospacing="0" w:line="520" w:lineRule="exact"/>
              <w:jc w:val="both"/>
              <w:rPr>
                <w:rFonts w:ascii="宋体" w:hAnsi="宋体" w:eastAsia="宋体" w:cs="宋体"/>
                <w:color w:val="auto"/>
                <w:sz w:val="24"/>
                <w:highlight w:val="none"/>
              </w:rPr>
            </w:pPr>
            <w:r>
              <w:rPr>
                <w:rFonts w:hint="eastAsia" w:ascii="宋体" w:hAnsi="宋体" w:eastAsia="宋体" w:cs="宋体"/>
                <w:b w:val="0"/>
                <w:bCs w:val="0"/>
                <w:color w:val="auto"/>
                <w:sz w:val="24"/>
                <w:szCs w:val="20"/>
                <w:highlight w:val="none"/>
              </w:rPr>
              <w:t>所属行业：</w:t>
            </w:r>
            <w:r>
              <w:rPr>
                <w:rFonts w:hint="eastAsia" w:ascii="宋体" w:hAnsi="宋体" w:eastAsia="宋体" w:cs="宋体"/>
                <w:b w:val="0"/>
                <w:bCs w:val="0"/>
                <w:color w:val="auto"/>
                <w:sz w:val="24"/>
                <w:szCs w:val="20"/>
                <w:highlight w:val="none"/>
                <w:lang w:val="en-US" w:eastAsia="zh-CN"/>
              </w:rPr>
              <w:t>其他未列明行业</w:t>
            </w:r>
            <w:r>
              <w:rPr>
                <w:rFonts w:hint="eastAsia" w:ascii="宋体" w:hAnsi="宋体" w:eastAsia="宋体" w:cs="宋体"/>
                <w:b w:val="0"/>
                <w:bCs w:val="0"/>
                <w:color w:val="auto"/>
                <w:sz w:val="24"/>
                <w:szCs w:val="20"/>
                <w:highlight w:val="none"/>
              </w:rPr>
              <w:t>。</w:t>
            </w:r>
          </w:p>
        </w:tc>
      </w:tr>
      <w:bookmarkEnd w:id="42"/>
    </w:tbl>
    <w:p w14:paraId="0761293E">
      <w:pPr>
        <w:spacing w:beforeLines="30" w:afterLines="30" w:line="520" w:lineRule="exact"/>
        <w:ind w:firstLine="437"/>
        <w:jc w:val="left"/>
        <w:outlineLvl w:val="1"/>
        <w:rPr>
          <w:rFonts w:ascii="宋体" w:hAnsi="宋体" w:eastAsia="宋体" w:cs="宋体"/>
          <w:b/>
          <w:color w:val="auto"/>
          <w:sz w:val="24"/>
          <w:szCs w:val="18"/>
          <w:highlight w:val="none"/>
        </w:rPr>
      </w:pPr>
      <w:r>
        <w:rPr>
          <w:rFonts w:hint="eastAsia" w:ascii="宋体" w:hAnsi="宋体" w:eastAsia="宋体" w:cs="宋体"/>
          <w:b/>
          <w:color w:val="auto"/>
          <w:sz w:val="24"/>
          <w:szCs w:val="18"/>
          <w:highlight w:val="none"/>
        </w:rPr>
        <w:t>二、项目概况</w:t>
      </w:r>
    </w:p>
    <w:p w14:paraId="4B5B9C1F">
      <w:pPr>
        <w:spacing w:line="52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本项目工程投资：定远县 2025 年农村公路养护工程项目，一标段包括三蒋路、练藕路、桑朱路；二标段包括观蒋路、朱严路、朱界路、二三路及预防性养护工程，项目投资概算约2300万元；定远县2025年县乡公路升级改造工程方光路（连环至光明），项目投资概算约1800万元。本项目第三方检测费约35万元。</w:t>
      </w:r>
      <w:r>
        <w:rPr>
          <w:rFonts w:hint="eastAsia" w:ascii="宋体" w:hAnsi="宋体" w:eastAsia="宋体" w:cs="宋体"/>
          <w:color w:val="auto"/>
          <w:sz w:val="24"/>
          <w:szCs w:val="24"/>
          <w:highlight w:val="none"/>
        </w:rPr>
        <w:t>依据图纸及规划，对路基、路面、桥梁涵洞、预制构件、交通安全设施工程等检测。具体项目包含本年度其他农村公路项目</w:t>
      </w:r>
      <w:r>
        <w:rPr>
          <w:rFonts w:hint="eastAsia" w:asciiTheme="minorEastAsia" w:hAnsiTheme="minorEastAsia" w:eastAsiaTheme="minorEastAsia" w:cstheme="minorEastAsia"/>
          <w:color w:val="auto"/>
          <w:sz w:val="24"/>
          <w:highlight w:val="none"/>
          <w:lang w:val="en-US" w:eastAsia="zh-CN"/>
        </w:rPr>
        <w:t>。</w:t>
      </w:r>
    </w:p>
    <w:p w14:paraId="47C22A82">
      <w:pPr>
        <w:numPr>
          <w:ilvl w:val="0"/>
          <w:numId w:val="3"/>
        </w:numPr>
        <w:spacing w:beforeLines="30" w:afterLines="30" w:line="520" w:lineRule="exact"/>
        <w:ind w:firstLine="437"/>
        <w:jc w:val="left"/>
        <w:outlineLvl w:val="1"/>
        <w:rPr>
          <w:rFonts w:ascii="宋体" w:hAnsi="宋体" w:eastAsia="宋体" w:cs="宋体"/>
          <w:b/>
          <w:color w:val="auto"/>
          <w:sz w:val="24"/>
          <w:szCs w:val="18"/>
          <w:highlight w:val="none"/>
        </w:rPr>
      </w:pPr>
      <w:r>
        <w:rPr>
          <w:rFonts w:hint="eastAsia" w:ascii="宋体" w:hAnsi="宋体" w:eastAsia="宋体" w:cs="宋体"/>
          <w:b/>
          <w:color w:val="auto"/>
          <w:sz w:val="24"/>
          <w:szCs w:val="18"/>
          <w:highlight w:val="none"/>
        </w:rPr>
        <w:t>试验检测范围和工作内容：</w:t>
      </w:r>
    </w:p>
    <w:p w14:paraId="18DA1F3A">
      <w:pPr>
        <w:numPr>
          <w:ilvl w:val="0"/>
          <w:numId w:val="0"/>
        </w:numPr>
        <w:spacing w:line="52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（一）检测要求：检测工作应根据施工进度及检测规范要求及时进行，不能影响施工进度，并保证检测报告的及时反馈。</w:t>
      </w:r>
    </w:p>
    <w:p w14:paraId="6E345B08">
      <w:pPr>
        <w:numPr>
          <w:ilvl w:val="0"/>
          <w:numId w:val="0"/>
        </w:numPr>
        <w:spacing w:line="52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（二）检测报告要求 </w:t>
      </w:r>
    </w:p>
    <w:p w14:paraId="72EEC01A">
      <w:pPr>
        <w:numPr>
          <w:ilvl w:val="0"/>
          <w:numId w:val="0"/>
        </w:numPr>
        <w:spacing w:line="52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（1）、出具正式的经采购人审核的检测报告； </w:t>
      </w:r>
    </w:p>
    <w:p w14:paraId="397D70C9">
      <w:pPr>
        <w:numPr>
          <w:ilvl w:val="0"/>
          <w:numId w:val="0"/>
        </w:numPr>
        <w:spacing w:line="52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（2）、接到任务后，必须上报检测计划，经采购人审核同意后方可实施。</w:t>
      </w:r>
    </w:p>
    <w:p w14:paraId="5FF6ED22">
      <w:pPr>
        <w:numPr>
          <w:ilvl w:val="0"/>
          <w:numId w:val="0"/>
        </w:numPr>
        <w:spacing w:line="52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（二）检测试验范围： </w:t>
      </w:r>
    </w:p>
    <w:p w14:paraId="288DA8FA">
      <w:pPr>
        <w:numPr>
          <w:ilvl w:val="0"/>
          <w:numId w:val="0"/>
        </w:numPr>
        <w:spacing w:line="52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检测试验工作内容：主要负责项目的试验检测工作，制定第三方检测的工作计划，具体抽检频率和办法。</w:t>
      </w:r>
    </w:p>
    <w:p w14:paraId="370B03CD">
      <w:pPr>
        <w:numPr>
          <w:ilvl w:val="0"/>
          <w:numId w:val="0"/>
        </w:numPr>
        <w:spacing w:line="52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（1）按规范频率抽检工程原材料、复核监理、承包人的重要标准试验。包括：砼配合比、无机结合料配合比、沥青混合料配合比等相关前期检测验证工作。</w:t>
      </w:r>
    </w:p>
    <w:p w14:paraId="1BCFAD74">
      <w:pPr>
        <w:numPr>
          <w:ilvl w:val="0"/>
          <w:numId w:val="0"/>
        </w:numPr>
        <w:spacing w:line="52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按规范频率抽检重要成品、半成品以及工程实体质量的全中间过程检测，主要抽检项目包括：路基、路面、桥梁、涵洞、排水、交通工程、交（竣）工验收检测等本项目所有需要提供第三方检测报告的工作内容。</w:t>
      </w:r>
    </w:p>
    <w:p w14:paraId="799561C0">
      <w:pPr>
        <w:numPr>
          <w:ilvl w:val="0"/>
          <w:numId w:val="0"/>
        </w:numPr>
        <w:spacing w:line="52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（3）参与和监管对外委托的试验检测项目：材料见证取样、送检、桩基检测、交通工程检测。</w:t>
      </w:r>
    </w:p>
    <w:p w14:paraId="14D38CCD">
      <w:pPr>
        <w:numPr>
          <w:ilvl w:val="0"/>
          <w:numId w:val="0"/>
        </w:numPr>
        <w:spacing w:line="52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（4）定期巡视工地、掌握质量动态、对质量数据和资料进行收集汇总、对不合格工程提出处理建议。 </w:t>
      </w:r>
    </w:p>
    <w:p w14:paraId="0FC73F06">
      <w:pPr>
        <w:spacing w:line="520" w:lineRule="exact"/>
        <w:ind w:firstLine="437"/>
        <w:jc w:val="left"/>
        <w:outlineLvl w:val="1"/>
        <w:rPr>
          <w:rFonts w:ascii="宋体" w:hAnsi="宋体" w:eastAsia="宋体" w:cs="宋体"/>
          <w:b/>
          <w:color w:val="auto"/>
          <w:sz w:val="24"/>
          <w:szCs w:val="18"/>
          <w:highlight w:val="none"/>
        </w:rPr>
      </w:pPr>
      <w:r>
        <w:rPr>
          <w:rFonts w:hint="eastAsia" w:ascii="宋体" w:hAnsi="宋体" w:eastAsia="宋体" w:cs="宋体"/>
          <w:b/>
          <w:color w:val="auto"/>
          <w:sz w:val="24"/>
          <w:szCs w:val="18"/>
          <w:highlight w:val="none"/>
        </w:rPr>
        <w:t>四、</w:t>
      </w:r>
      <w:r>
        <w:rPr>
          <w:rFonts w:hint="eastAsia" w:ascii="宋体" w:hAnsi="宋体" w:eastAsia="宋体" w:cs="宋体"/>
          <w:b/>
          <w:color w:val="auto"/>
          <w:sz w:val="24"/>
          <w:szCs w:val="18"/>
          <w:highlight w:val="none"/>
          <w:lang w:val="en-US" w:eastAsia="zh-CN"/>
        </w:rPr>
        <w:t>价格说明</w:t>
      </w:r>
    </w:p>
    <w:p w14:paraId="352D234F">
      <w:pPr>
        <w:numPr>
          <w:ilvl w:val="0"/>
          <w:numId w:val="0"/>
        </w:numPr>
        <w:spacing w:line="520" w:lineRule="exact"/>
        <w:ind w:firstLine="480" w:firstLineChars="200"/>
        <w:jc w:val="left"/>
        <w:rPr>
          <w:rFonts w:hint="eastAsia" w:ascii="宋体" w:hAnsi="宋体" w:eastAsia="宋体" w:cs="宋体"/>
          <w:color w:val="auto"/>
          <w:sz w:val="24"/>
          <w:szCs w:val="24"/>
          <w:highlight w:val="none"/>
          <w:lang w:val="en-US" w:eastAsia="zh-CN"/>
        </w:rPr>
      </w:pPr>
      <w:bookmarkStart w:id="43" w:name="_Toc18794"/>
      <w:bookmarkStart w:id="44" w:name="_Toc8283"/>
      <w:r>
        <w:rPr>
          <w:rFonts w:hint="eastAsia" w:ascii="宋体" w:hAnsi="宋体" w:eastAsia="宋体" w:cs="宋体"/>
          <w:color w:val="auto"/>
          <w:sz w:val="24"/>
          <w:szCs w:val="24"/>
          <w:highlight w:val="none"/>
          <w:lang w:val="en-US" w:eastAsia="zh-CN"/>
        </w:rPr>
        <w:t>检测合同不考虑物价及服务时间的变动，本项目检测费=施工项目工程审计结算价款*中标费率。检测费用包括人员、设备、车辆等及不可预见的一切费用。</w:t>
      </w:r>
    </w:p>
    <w:p w14:paraId="6519EA8B">
      <w:pPr>
        <w:spacing w:beforeLines="30" w:afterLines="30" w:line="520" w:lineRule="exact"/>
        <w:ind w:firstLine="437"/>
        <w:jc w:val="left"/>
        <w:outlineLvl w:val="1"/>
        <w:rPr>
          <w:rFonts w:hint="eastAsia" w:ascii="宋体" w:hAnsi="宋体" w:eastAsia="宋体" w:cs="宋体"/>
          <w:b/>
          <w:color w:val="auto"/>
          <w:sz w:val="24"/>
          <w:szCs w:val="18"/>
          <w:highlight w:val="none"/>
        </w:rPr>
      </w:pPr>
      <w:r>
        <w:rPr>
          <w:rFonts w:hint="eastAsia" w:ascii="宋体" w:hAnsi="宋体" w:eastAsia="宋体" w:cs="宋体"/>
          <w:b/>
          <w:color w:val="auto"/>
          <w:sz w:val="24"/>
          <w:szCs w:val="18"/>
          <w:highlight w:val="none"/>
        </w:rPr>
        <w:t>五、</w:t>
      </w:r>
      <w:bookmarkEnd w:id="43"/>
      <w:bookmarkEnd w:id="44"/>
      <w:r>
        <w:rPr>
          <w:rFonts w:hint="eastAsia" w:ascii="宋体" w:hAnsi="宋体" w:eastAsia="宋体" w:cs="宋体"/>
          <w:b/>
          <w:color w:val="auto"/>
          <w:sz w:val="24"/>
          <w:szCs w:val="18"/>
          <w:highlight w:val="none"/>
          <w:lang w:val="en-US" w:eastAsia="zh-CN"/>
        </w:rPr>
        <w:t>人员要求（中标后须为本项目配备最低人员）</w:t>
      </w:r>
    </w:p>
    <w:tbl>
      <w:tblPr>
        <w:tblStyle w:val="33"/>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48"/>
        <w:gridCol w:w="4362"/>
        <w:gridCol w:w="909"/>
        <w:gridCol w:w="2202"/>
      </w:tblGrid>
      <w:tr w14:paraId="4091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04" w:type="dxa"/>
            <w:noWrap w:val="0"/>
            <w:vAlign w:val="center"/>
          </w:tcPr>
          <w:p w14:paraId="2B827FFE">
            <w:pPr>
              <w:spacing w:line="360" w:lineRule="exact"/>
              <w:rPr>
                <w:rFonts w:hint="eastAsia" w:ascii="宋体" w:hAnsi="宋体"/>
                <w:b/>
                <w:bCs/>
                <w:color w:val="auto"/>
                <w:szCs w:val="21"/>
                <w:highlight w:val="none"/>
              </w:rPr>
            </w:pPr>
            <w:r>
              <w:rPr>
                <w:rFonts w:hint="eastAsia" w:ascii="宋体" w:hAnsi="宋体"/>
                <w:b/>
                <w:bCs/>
                <w:color w:val="auto"/>
                <w:szCs w:val="21"/>
                <w:highlight w:val="none"/>
              </w:rPr>
              <w:t>序号</w:t>
            </w:r>
          </w:p>
        </w:tc>
        <w:tc>
          <w:tcPr>
            <w:tcW w:w="1548" w:type="dxa"/>
            <w:noWrap w:val="0"/>
            <w:vAlign w:val="center"/>
          </w:tcPr>
          <w:p w14:paraId="142C2134">
            <w:pPr>
              <w:spacing w:line="360" w:lineRule="exact"/>
              <w:jc w:val="center"/>
              <w:rPr>
                <w:rFonts w:hint="eastAsia" w:ascii="宋体" w:hAnsi="宋体"/>
                <w:b/>
                <w:bCs/>
                <w:color w:val="auto"/>
                <w:szCs w:val="21"/>
                <w:highlight w:val="none"/>
              </w:rPr>
            </w:pPr>
            <w:r>
              <w:rPr>
                <w:rFonts w:hint="eastAsia" w:ascii="宋体"/>
                <w:b/>
                <w:bCs/>
                <w:color w:val="auto"/>
                <w:szCs w:val="21"/>
                <w:highlight w:val="none"/>
              </w:rPr>
              <w:t>第三方检测试验检测岗位</w:t>
            </w:r>
          </w:p>
        </w:tc>
        <w:tc>
          <w:tcPr>
            <w:tcW w:w="4362" w:type="dxa"/>
            <w:noWrap w:val="0"/>
            <w:vAlign w:val="center"/>
          </w:tcPr>
          <w:p w14:paraId="308A0FD6">
            <w:pPr>
              <w:spacing w:line="360" w:lineRule="exact"/>
              <w:jc w:val="center"/>
              <w:rPr>
                <w:rFonts w:hint="eastAsia" w:ascii="宋体" w:hAnsi="宋体"/>
                <w:b/>
                <w:bCs/>
                <w:color w:val="auto"/>
                <w:szCs w:val="21"/>
                <w:highlight w:val="none"/>
              </w:rPr>
            </w:pPr>
            <w:r>
              <w:rPr>
                <w:rFonts w:hint="eastAsia" w:ascii="宋体"/>
                <w:b/>
                <w:bCs/>
                <w:color w:val="auto"/>
                <w:szCs w:val="21"/>
                <w:highlight w:val="none"/>
              </w:rPr>
              <w:t>资格要求</w:t>
            </w:r>
          </w:p>
        </w:tc>
        <w:tc>
          <w:tcPr>
            <w:tcW w:w="909" w:type="dxa"/>
            <w:noWrap w:val="0"/>
            <w:vAlign w:val="center"/>
          </w:tcPr>
          <w:p w14:paraId="5CBA1915">
            <w:pPr>
              <w:spacing w:line="360" w:lineRule="exact"/>
              <w:jc w:val="center"/>
              <w:rPr>
                <w:rFonts w:hint="eastAsia" w:ascii="宋体" w:hAnsi="宋体"/>
                <w:b/>
                <w:bCs/>
                <w:color w:val="auto"/>
                <w:szCs w:val="21"/>
                <w:highlight w:val="none"/>
              </w:rPr>
            </w:pPr>
            <w:r>
              <w:rPr>
                <w:rFonts w:hint="eastAsia" w:ascii="宋体" w:hAnsi="宋体"/>
                <w:b/>
                <w:bCs/>
                <w:color w:val="auto"/>
                <w:szCs w:val="21"/>
                <w:highlight w:val="none"/>
              </w:rPr>
              <w:t>数量（人）</w:t>
            </w:r>
          </w:p>
        </w:tc>
        <w:tc>
          <w:tcPr>
            <w:tcW w:w="2202" w:type="dxa"/>
            <w:noWrap w:val="0"/>
            <w:vAlign w:val="center"/>
          </w:tcPr>
          <w:p w14:paraId="6CA04226">
            <w:pPr>
              <w:spacing w:line="360" w:lineRule="exact"/>
              <w:jc w:val="center"/>
              <w:rPr>
                <w:rFonts w:hint="eastAsia" w:ascii="宋体" w:hAnsi="宋体"/>
                <w:b/>
                <w:bCs/>
                <w:color w:val="auto"/>
                <w:szCs w:val="21"/>
                <w:highlight w:val="none"/>
              </w:rPr>
            </w:pPr>
            <w:r>
              <w:rPr>
                <w:rFonts w:hint="eastAsia" w:ascii="宋体" w:hAnsi="宋体"/>
                <w:b/>
                <w:bCs/>
                <w:color w:val="auto"/>
                <w:szCs w:val="21"/>
                <w:highlight w:val="none"/>
              </w:rPr>
              <w:t>备注</w:t>
            </w:r>
          </w:p>
        </w:tc>
      </w:tr>
      <w:tr w14:paraId="10A4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704" w:type="dxa"/>
            <w:noWrap w:val="0"/>
            <w:vAlign w:val="center"/>
          </w:tcPr>
          <w:p w14:paraId="268605E0">
            <w:pPr>
              <w:widowControl/>
              <w:tabs>
                <w:tab w:val="left" w:pos="-540"/>
              </w:tabs>
              <w:spacing w:line="44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p>
        </w:tc>
        <w:tc>
          <w:tcPr>
            <w:tcW w:w="1548" w:type="dxa"/>
            <w:noWrap w:val="0"/>
            <w:vAlign w:val="center"/>
          </w:tcPr>
          <w:p w14:paraId="0DBEE4BF">
            <w:pPr>
              <w:widowControl/>
              <w:tabs>
                <w:tab w:val="left" w:pos="-540"/>
              </w:tabs>
              <w:spacing w:line="36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项目负责人</w:t>
            </w:r>
          </w:p>
        </w:tc>
        <w:tc>
          <w:tcPr>
            <w:tcW w:w="4362" w:type="dxa"/>
            <w:noWrap w:val="0"/>
            <w:vAlign w:val="center"/>
          </w:tcPr>
          <w:p w14:paraId="46CEBFB3">
            <w:pPr>
              <w:widowControl/>
              <w:tabs>
                <w:tab w:val="left" w:pos="-540"/>
              </w:tabs>
              <w:spacing w:line="36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（1）中级或以上职称；</w:t>
            </w:r>
          </w:p>
          <w:p w14:paraId="60446832">
            <w:pPr>
              <w:widowControl/>
              <w:tabs>
                <w:tab w:val="left" w:pos="-540"/>
              </w:tabs>
              <w:spacing w:line="360" w:lineRule="exact"/>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（2）持有交通运输部颁发的公路工程试验</w:t>
            </w:r>
            <w:r>
              <w:rPr>
                <w:rFonts w:hint="eastAsia" w:ascii="宋体" w:hAnsi="宋体" w:eastAsia="宋体" w:cs="宋体"/>
                <w:bCs/>
                <w:color w:val="auto"/>
                <w:szCs w:val="21"/>
                <w:highlight w:val="none"/>
                <w:lang w:eastAsia="zh-CN"/>
              </w:rPr>
              <w:t>检测</w:t>
            </w:r>
            <w:r>
              <w:rPr>
                <w:rFonts w:hint="eastAsia" w:ascii="宋体" w:hAnsi="宋体" w:eastAsia="宋体" w:cs="宋体"/>
                <w:bCs/>
                <w:color w:val="auto"/>
                <w:szCs w:val="21"/>
                <w:highlight w:val="none"/>
              </w:rPr>
              <w:t>工程师资格证；</w:t>
            </w:r>
          </w:p>
        </w:tc>
        <w:tc>
          <w:tcPr>
            <w:tcW w:w="909" w:type="dxa"/>
            <w:noWrap w:val="0"/>
            <w:vAlign w:val="center"/>
          </w:tcPr>
          <w:p w14:paraId="2CA0FC4D">
            <w:pPr>
              <w:widowControl/>
              <w:tabs>
                <w:tab w:val="left" w:pos="-540"/>
              </w:tabs>
              <w:spacing w:line="36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1人</w:t>
            </w:r>
          </w:p>
        </w:tc>
        <w:tc>
          <w:tcPr>
            <w:tcW w:w="2202" w:type="dxa"/>
            <w:noWrap w:val="0"/>
            <w:vAlign w:val="center"/>
          </w:tcPr>
          <w:p w14:paraId="4247402B">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提供证书原件扫描件</w:t>
            </w:r>
          </w:p>
        </w:tc>
      </w:tr>
      <w:tr w14:paraId="0EE6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04" w:type="dxa"/>
            <w:noWrap w:val="0"/>
            <w:vAlign w:val="center"/>
          </w:tcPr>
          <w:p w14:paraId="4F77796B">
            <w:pPr>
              <w:widowControl/>
              <w:tabs>
                <w:tab w:val="left" w:pos="-540"/>
              </w:tabs>
              <w:spacing w:line="44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w:t>
            </w:r>
          </w:p>
        </w:tc>
        <w:tc>
          <w:tcPr>
            <w:tcW w:w="1548" w:type="dxa"/>
            <w:noWrap w:val="0"/>
            <w:vAlign w:val="center"/>
          </w:tcPr>
          <w:p w14:paraId="0F5A2C70">
            <w:pPr>
              <w:widowControl/>
              <w:tabs>
                <w:tab w:val="left" w:pos="-540"/>
              </w:tabs>
              <w:spacing w:line="36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检测工程师</w:t>
            </w:r>
          </w:p>
        </w:tc>
        <w:tc>
          <w:tcPr>
            <w:tcW w:w="4362" w:type="dxa"/>
            <w:noWrap w:val="0"/>
            <w:vAlign w:val="center"/>
          </w:tcPr>
          <w:p w14:paraId="6731231C">
            <w:pPr>
              <w:widowControl/>
              <w:numPr>
                <w:ilvl w:val="0"/>
                <w:numId w:val="0"/>
              </w:numPr>
              <w:tabs>
                <w:tab w:val="left" w:pos="-540"/>
              </w:tabs>
              <w:spacing w:line="360" w:lineRule="exact"/>
              <w:jc w:val="left"/>
              <w:rPr>
                <w:rFonts w:hint="eastAsia" w:ascii="宋体" w:hAnsi="宋体" w:eastAsia="宋体" w:cs="宋体"/>
                <w:bCs/>
                <w:color w:val="auto"/>
                <w:szCs w:val="21"/>
                <w:highlight w:val="none"/>
              </w:rPr>
            </w:pPr>
            <w:r>
              <w:rPr>
                <w:rFonts w:hint="eastAsia" w:ascii="宋体" w:hAnsi="宋体" w:eastAsia="宋体" w:cs="宋体"/>
                <w:bCs/>
                <w:color w:val="auto"/>
                <w:kern w:val="2"/>
                <w:sz w:val="21"/>
                <w:szCs w:val="21"/>
                <w:highlight w:val="none"/>
                <w:lang w:val="en-US" w:eastAsia="zh-CN" w:bidi="ar-SA"/>
              </w:rPr>
              <w:t>（1）</w:t>
            </w:r>
            <w:r>
              <w:rPr>
                <w:rFonts w:hint="eastAsia" w:ascii="宋体" w:hAnsi="宋体" w:eastAsia="宋体" w:cs="宋体"/>
                <w:bCs/>
                <w:color w:val="auto"/>
                <w:szCs w:val="21"/>
                <w:highlight w:val="none"/>
              </w:rPr>
              <w:t>中级或以上职称；</w:t>
            </w:r>
          </w:p>
          <w:p w14:paraId="387FCE61">
            <w:pPr>
              <w:widowControl/>
              <w:numPr>
                <w:ilvl w:val="0"/>
                <w:numId w:val="0"/>
              </w:numPr>
              <w:tabs>
                <w:tab w:val="left" w:pos="-540"/>
              </w:tabs>
              <w:spacing w:line="360" w:lineRule="exact"/>
              <w:jc w:val="left"/>
              <w:rPr>
                <w:rFonts w:hint="eastAsia" w:ascii="宋体" w:hAnsi="宋体" w:eastAsia="宋体" w:cs="宋体"/>
                <w:color w:val="auto"/>
                <w:szCs w:val="21"/>
                <w:highlight w:val="none"/>
              </w:rPr>
            </w:pPr>
            <w:r>
              <w:rPr>
                <w:rFonts w:hint="eastAsia" w:ascii="宋体" w:hAnsi="宋体" w:eastAsia="宋体" w:cs="宋体"/>
                <w:bCs/>
                <w:color w:val="auto"/>
                <w:kern w:val="2"/>
                <w:sz w:val="21"/>
                <w:szCs w:val="21"/>
                <w:highlight w:val="none"/>
                <w:lang w:val="en-US" w:eastAsia="zh-CN" w:bidi="ar-SA"/>
              </w:rPr>
              <w:t>（2）</w:t>
            </w:r>
            <w:r>
              <w:rPr>
                <w:rFonts w:hint="eastAsia" w:ascii="宋体" w:hAnsi="宋体" w:eastAsia="宋体" w:cs="宋体"/>
                <w:bCs/>
                <w:color w:val="auto"/>
                <w:szCs w:val="21"/>
                <w:highlight w:val="none"/>
              </w:rPr>
              <w:t>持有交通运输部颁发的</w:t>
            </w:r>
            <w:r>
              <w:rPr>
                <w:rFonts w:hint="eastAsia" w:ascii="宋体" w:hAnsi="宋体" w:eastAsia="宋体" w:cs="宋体"/>
                <w:bCs/>
                <w:color w:val="auto"/>
                <w:szCs w:val="21"/>
                <w:highlight w:val="none"/>
                <w:lang w:eastAsia="zh-CN"/>
              </w:rPr>
              <w:t>公路工程</w:t>
            </w:r>
            <w:r>
              <w:rPr>
                <w:rFonts w:hint="eastAsia" w:ascii="宋体" w:hAnsi="宋体" w:eastAsia="宋体" w:cs="宋体"/>
                <w:bCs/>
                <w:color w:val="auto"/>
                <w:szCs w:val="21"/>
                <w:highlight w:val="none"/>
              </w:rPr>
              <w:t>试验</w:t>
            </w:r>
            <w:r>
              <w:rPr>
                <w:rFonts w:hint="eastAsia" w:ascii="宋体" w:hAnsi="宋体" w:eastAsia="宋体" w:cs="宋体"/>
                <w:bCs/>
                <w:color w:val="auto"/>
                <w:szCs w:val="21"/>
                <w:highlight w:val="none"/>
                <w:lang w:eastAsia="zh-CN"/>
              </w:rPr>
              <w:t>检测</w:t>
            </w:r>
            <w:r>
              <w:rPr>
                <w:rFonts w:hint="eastAsia" w:ascii="宋体" w:hAnsi="宋体" w:eastAsia="宋体" w:cs="宋体"/>
                <w:bCs/>
                <w:color w:val="auto"/>
                <w:szCs w:val="21"/>
                <w:highlight w:val="none"/>
              </w:rPr>
              <w:t>工程师资格证；</w:t>
            </w:r>
          </w:p>
        </w:tc>
        <w:tc>
          <w:tcPr>
            <w:tcW w:w="909" w:type="dxa"/>
            <w:noWrap w:val="0"/>
            <w:vAlign w:val="center"/>
          </w:tcPr>
          <w:p w14:paraId="0BB41C07">
            <w:pPr>
              <w:widowControl/>
              <w:tabs>
                <w:tab w:val="left" w:pos="-540"/>
              </w:tabs>
              <w:spacing w:line="36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人</w:t>
            </w:r>
          </w:p>
        </w:tc>
        <w:tc>
          <w:tcPr>
            <w:tcW w:w="2202" w:type="dxa"/>
            <w:noWrap w:val="0"/>
            <w:vAlign w:val="center"/>
          </w:tcPr>
          <w:p w14:paraId="38D57285">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提供证书原件扫描件</w:t>
            </w:r>
          </w:p>
        </w:tc>
      </w:tr>
      <w:tr w14:paraId="3D85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704" w:type="dxa"/>
            <w:noWrap w:val="0"/>
            <w:vAlign w:val="center"/>
          </w:tcPr>
          <w:p w14:paraId="4D057675">
            <w:pPr>
              <w:widowControl/>
              <w:tabs>
                <w:tab w:val="left" w:pos="-540"/>
              </w:tabs>
              <w:spacing w:line="44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3</w:t>
            </w:r>
          </w:p>
        </w:tc>
        <w:tc>
          <w:tcPr>
            <w:tcW w:w="1548" w:type="dxa"/>
            <w:noWrap w:val="0"/>
            <w:vAlign w:val="center"/>
          </w:tcPr>
          <w:p w14:paraId="33EC4421">
            <w:pPr>
              <w:widowControl/>
              <w:tabs>
                <w:tab w:val="left" w:pos="-540"/>
              </w:tabs>
              <w:spacing w:line="36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检测员</w:t>
            </w:r>
          </w:p>
        </w:tc>
        <w:tc>
          <w:tcPr>
            <w:tcW w:w="4362" w:type="dxa"/>
            <w:noWrap w:val="0"/>
            <w:vAlign w:val="center"/>
          </w:tcPr>
          <w:p w14:paraId="226328F8">
            <w:pPr>
              <w:widowControl/>
              <w:tabs>
                <w:tab w:val="left" w:pos="-540"/>
              </w:tabs>
              <w:spacing w:line="360" w:lineRule="exact"/>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（1）持有交通运输部门颁发的检测员资格证；</w:t>
            </w:r>
          </w:p>
        </w:tc>
        <w:tc>
          <w:tcPr>
            <w:tcW w:w="909" w:type="dxa"/>
            <w:noWrap w:val="0"/>
            <w:vAlign w:val="center"/>
          </w:tcPr>
          <w:p w14:paraId="279ED64A">
            <w:pPr>
              <w:widowControl/>
              <w:tabs>
                <w:tab w:val="left" w:pos="-540"/>
              </w:tabs>
              <w:spacing w:line="36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人</w:t>
            </w:r>
          </w:p>
        </w:tc>
        <w:tc>
          <w:tcPr>
            <w:tcW w:w="2202" w:type="dxa"/>
            <w:noWrap w:val="0"/>
            <w:vAlign w:val="center"/>
          </w:tcPr>
          <w:p w14:paraId="46EFFEE4">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提供证书原件扫描件</w:t>
            </w:r>
          </w:p>
        </w:tc>
      </w:tr>
      <w:tr w14:paraId="4C7D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9725" w:type="dxa"/>
            <w:gridSpan w:val="5"/>
            <w:noWrap w:val="0"/>
            <w:vAlign w:val="center"/>
          </w:tcPr>
          <w:p w14:paraId="2E967949">
            <w:pPr>
              <w:widowControl/>
              <w:tabs>
                <w:tab w:val="left" w:pos="-540"/>
              </w:tabs>
              <w:spacing w:line="36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备注：（1）上述人员必须为本单位人员，需提供《公路水运工程试验检测管理信息系统》注册信息截图，并上传至资信证明文件中，其它资格及相关证书的原件扫描件上传至资信证明文件中。</w:t>
            </w:r>
          </w:p>
          <w:p w14:paraId="308318F2">
            <w:pPr>
              <w:widowControl/>
              <w:tabs>
                <w:tab w:val="left" w:pos="-540"/>
              </w:tabs>
              <w:spacing w:line="360" w:lineRule="exact"/>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表中所列受托人员配额为最低限度，以上人员须是本单位正式职工。</w:t>
            </w:r>
          </w:p>
        </w:tc>
      </w:tr>
    </w:tbl>
    <w:p w14:paraId="4D85BC84">
      <w:pPr>
        <w:spacing w:beforeLines="30" w:afterLines="30" w:line="520" w:lineRule="exact"/>
        <w:ind w:firstLine="437"/>
        <w:jc w:val="left"/>
        <w:outlineLvl w:val="1"/>
        <w:rPr>
          <w:rFonts w:ascii="宋体" w:hAnsi="宋体" w:eastAsia="宋体" w:cs="宋体"/>
          <w:b/>
          <w:color w:val="auto"/>
          <w:sz w:val="24"/>
          <w:szCs w:val="18"/>
          <w:highlight w:val="none"/>
        </w:rPr>
      </w:pPr>
    </w:p>
    <w:p w14:paraId="44FAB27F">
      <w:pPr>
        <w:spacing w:line="360" w:lineRule="auto"/>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br w:type="page"/>
      </w:r>
    </w:p>
    <w:p w14:paraId="40BB3144">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第四章  评标方法和标准（综合评分法）</w:t>
      </w:r>
      <w:bookmarkEnd w:id="41"/>
    </w:p>
    <w:p w14:paraId="5C206F14">
      <w:pPr>
        <w:spacing w:line="500" w:lineRule="exact"/>
        <w:ind w:firstLine="437"/>
        <w:outlineLvl w:val="1"/>
        <w:rPr>
          <w:rFonts w:asciiTheme="minorEastAsia" w:hAnsiTheme="minorEastAsia" w:eastAsiaTheme="minorEastAsia"/>
          <w:b/>
          <w:color w:val="auto"/>
          <w:sz w:val="24"/>
          <w:highlight w:val="none"/>
        </w:rPr>
      </w:pPr>
      <w:bookmarkStart w:id="45" w:name="_Toc4705"/>
      <w:bookmarkStart w:id="46" w:name="_Toc11823"/>
      <w:r>
        <w:rPr>
          <w:rFonts w:hint="eastAsia" w:asciiTheme="minorEastAsia" w:hAnsiTheme="minorEastAsia" w:eastAsiaTheme="minorEastAsia"/>
          <w:b/>
          <w:color w:val="auto"/>
          <w:sz w:val="24"/>
          <w:highlight w:val="none"/>
        </w:rPr>
        <w:t>一、总则</w:t>
      </w:r>
      <w:bookmarkEnd w:id="45"/>
      <w:bookmarkEnd w:id="46"/>
    </w:p>
    <w:p w14:paraId="000F1CFF">
      <w:pPr>
        <w:spacing w:line="50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本项目将按照招标文件第二章投标人须知的相关要求</w:t>
      </w:r>
      <w:r>
        <w:rPr>
          <w:rFonts w:asciiTheme="minorEastAsia" w:hAnsiTheme="minorEastAsia" w:eastAsiaTheme="minorEastAsia"/>
          <w:color w:val="auto"/>
          <w:sz w:val="24"/>
          <w:highlight w:val="none"/>
        </w:rPr>
        <w:t>及本章的规定评标。</w:t>
      </w:r>
    </w:p>
    <w:p w14:paraId="2B94FC21">
      <w:pPr>
        <w:spacing w:line="500" w:lineRule="exact"/>
        <w:ind w:firstLine="437"/>
        <w:outlineLvl w:val="1"/>
        <w:rPr>
          <w:rFonts w:asciiTheme="minorEastAsia" w:hAnsiTheme="minorEastAsia" w:eastAsiaTheme="minorEastAsia"/>
          <w:b/>
          <w:color w:val="auto"/>
          <w:sz w:val="24"/>
          <w:highlight w:val="none"/>
        </w:rPr>
      </w:pPr>
      <w:bookmarkStart w:id="47" w:name="_Toc32410"/>
      <w:bookmarkStart w:id="48" w:name="_Toc31871"/>
      <w:r>
        <w:rPr>
          <w:rFonts w:hint="eastAsia" w:asciiTheme="minorEastAsia" w:hAnsiTheme="minorEastAsia" w:eastAsiaTheme="minorEastAsia"/>
          <w:b/>
          <w:color w:val="auto"/>
          <w:sz w:val="24"/>
          <w:highlight w:val="none"/>
        </w:rPr>
        <w:t>二、评标方法</w:t>
      </w:r>
      <w:bookmarkEnd w:id="47"/>
      <w:bookmarkEnd w:id="48"/>
    </w:p>
    <w:p w14:paraId="084119D0">
      <w:pPr>
        <w:spacing w:line="500" w:lineRule="exact"/>
        <w:ind w:firstLine="437"/>
        <w:outlineLvl w:val="2"/>
        <w:rPr>
          <w:rFonts w:ascii="宋体" w:hAnsi="宋体" w:eastAsia="宋体"/>
          <w:b/>
          <w:bCs/>
          <w:color w:val="auto"/>
          <w:sz w:val="24"/>
          <w:highlight w:val="none"/>
        </w:rPr>
      </w:pPr>
      <w:r>
        <w:rPr>
          <w:rFonts w:hint="eastAsia" w:asciiTheme="minorEastAsia" w:hAnsiTheme="minorEastAsia" w:eastAsiaTheme="minorEastAsia"/>
          <w:color w:val="auto"/>
          <w:sz w:val="24"/>
          <w:highlight w:val="none"/>
        </w:rPr>
        <w:t>2.1资格审查</w:t>
      </w:r>
    </w:p>
    <w:tbl>
      <w:tblPr>
        <w:tblStyle w:val="33"/>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715"/>
        <w:gridCol w:w="4740"/>
        <w:gridCol w:w="1957"/>
      </w:tblGrid>
      <w:tr w14:paraId="4A83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23FC111E">
            <w:pPr>
              <w:adjustRightInd w:val="0"/>
              <w:snapToGrid w:val="0"/>
              <w:spacing w:line="360" w:lineRule="auto"/>
              <w:ind w:right="-10"/>
              <w:jc w:val="center"/>
              <w:rPr>
                <w:rFonts w:ascii="宋体" w:hAnsi="宋体" w:eastAsia="宋体" w:cs="宋体"/>
                <w:color w:val="auto"/>
                <w:sz w:val="24"/>
                <w:highlight w:val="none"/>
              </w:rPr>
            </w:pPr>
            <w:r>
              <w:rPr>
                <w:rFonts w:hint="eastAsia" w:ascii="宋体" w:hAnsi="宋体" w:eastAsia="宋体" w:cs="宋体"/>
                <w:b/>
                <w:color w:val="auto"/>
                <w:sz w:val="24"/>
                <w:szCs w:val="22"/>
                <w:highlight w:val="none"/>
              </w:rPr>
              <w:t>资格审查表</w:t>
            </w:r>
          </w:p>
        </w:tc>
      </w:tr>
      <w:tr w14:paraId="04B9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Borders>
              <w:bottom w:val="single" w:color="auto" w:sz="4" w:space="0"/>
            </w:tcBorders>
            <w:vAlign w:val="center"/>
          </w:tcPr>
          <w:p w14:paraId="06F63516">
            <w:pPr>
              <w:adjustRightInd w:val="0"/>
              <w:snapToGrid w:val="0"/>
              <w:spacing w:line="360" w:lineRule="auto"/>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942" w:type="pct"/>
            <w:tcBorders>
              <w:bottom w:val="single" w:color="auto" w:sz="4" w:space="0"/>
            </w:tcBorders>
            <w:vAlign w:val="center"/>
          </w:tcPr>
          <w:p w14:paraId="2ABA69CC">
            <w:pPr>
              <w:pStyle w:val="54"/>
              <w:pBdr>
                <w:bottom w:val="none" w:color="auto" w:sz="0" w:space="0"/>
              </w:pBdr>
              <w:tabs>
                <w:tab w:val="clear" w:pos="4153"/>
                <w:tab w:val="clear" w:pos="8306"/>
              </w:tabs>
              <w:snapToGrid w:val="0"/>
              <w:spacing w:line="360" w:lineRule="auto"/>
              <w:ind w:right="-10"/>
              <w:textAlignment w:val="auto"/>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审查因素</w:t>
            </w:r>
          </w:p>
        </w:tc>
        <w:tc>
          <w:tcPr>
            <w:tcW w:w="2603" w:type="pct"/>
            <w:tcBorders>
              <w:bottom w:val="single" w:color="auto" w:sz="4" w:space="0"/>
            </w:tcBorders>
            <w:vAlign w:val="center"/>
          </w:tcPr>
          <w:p w14:paraId="200B9C76">
            <w:pPr>
              <w:adjustRightInd w:val="0"/>
              <w:snapToGrid w:val="0"/>
              <w:spacing w:line="360" w:lineRule="auto"/>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审查内容</w:t>
            </w:r>
          </w:p>
        </w:tc>
        <w:tc>
          <w:tcPr>
            <w:tcW w:w="1074" w:type="pct"/>
            <w:tcBorders>
              <w:bottom w:val="single" w:color="auto" w:sz="4" w:space="0"/>
            </w:tcBorders>
            <w:vAlign w:val="center"/>
          </w:tcPr>
          <w:p w14:paraId="1DB6E6AA">
            <w:pPr>
              <w:adjustRightInd w:val="0"/>
              <w:snapToGrid w:val="0"/>
              <w:spacing w:line="360" w:lineRule="auto"/>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0194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80" w:type="pct"/>
            <w:tcBorders>
              <w:bottom w:val="single" w:color="auto" w:sz="4" w:space="0"/>
            </w:tcBorders>
            <w:vAlign w:val="center"/>
          </w:tcPr>
          <w:p w14:paraId="2CA8F037">
            <w:pPr>
              <w:adjustRightInd w:val="0"/>
              <w:snapToGrid w:val="0"/>
              <w:spacing w:line="360" w:lineRule="auto"/>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942" w:type="pct"/>
            <w:tcBorders>
              <w:bottom w:val="single" w:color="auto" w:sz="4" w:space="0"/>
            </w:tcBorders>
            <w:vAlign w:val="center"/>
          </w:tcPr>
          <w:p w14:paraId="2FA44385">
            <w:pPr>
              <w:spacing w:after="50" w:line="360" w:lineRule="auto"/>
              <w:ind w:right="-10"/>
              <w:jc w:val="center"/>
              <w:rPr>
                <w:rFonts w:ascii="宋体" w:hAnsi="宋体" w:eastAsia="宋体" w:cs="宋体"/>
                <w:color w:val="auto"/>
                <w:sz w:val="24"/>
                <w:szCs w:val="28"/>
                <w:highlight w:val="none"/>
              </w:rPr>
            </w:pPr>
            <w:r>
              <w:rPr>
                <w:rFonts w:hint="eastAsia" w:ascii="宋体" w:hAnsi="宋体" w:eastAsia="宋体" w:cs="宋体"/>
                <w:color w:val="auto"/>
                <w:spacing w:val="9"/>
                <w:sz w:val="24"/>
                <w:szCs w:val="24"/>
                <w:highlight w:val="none"/>
              </w:rPr>
              <w:t>营业执照等证明</w:t>
            </w:r>
            <w:r>
              <w:rPr>
                <w:rFonts w:hint="eastAsia" w:ascii="宋体" w:hAnsi="宋体" w:eastAsia="宋体" w:cs="宋体"/>
                <w:color w:val="auto"/>
                <w:spacing w:val="-3"/>
                <w:sz w:val="24"/>
                <w:szCs w:val="24"/>
                <w:highlight w:val="none"/>
              </w:rPr>
              <w:t>文件</w:t>
            </w:r>
          </w:p>
        </w:tc>
        <w:tc>
          <w:tcPr>
            <w:tcW w:w="2603" w:type="pct"/>
            <w:tcBorders>
              <w:bottom w:val="single" w:color="auto" w:sz="4" w:space="0"/>
            </w:tcBorders>
            <w:vAlign w:val="center"/>
          </w:tcPr>
          <w:p w14:paraId="3F380CB2">
            <w:pPr>
              <w:spacing w:after="50" w:line="360" w:lineRule="auto"/>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（1）投标人为企业（包括合伙企业）的，应提供有效的营业执照；</w:t>
            </w:r>
          </w:p>
          <w:p w14:paraId="242CBCBC">
            <w:pPr>
              <w:spacing w:after="50" w:line="360" w:lineRule="auto"/>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（2）投标人为事业单位的，应提供有效的事业单位法人证书；</w:t>
            </w:r>
          </w:p>
          <w:p w14:paraId="1320735B">
            <w:pPr>
              <w:spacing w:after="50" w:line="360" w:lineRule="auto"/>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（3）投标人是非企业机构的，应提供有效的执业许可证或登记证书等证明文件；</w:t>
            </w:r>
          </w:p>
          <w:p w14:paraId="45FD6DCC">
            <w:pPr>
              <w:spacing w:after="50" w:line="360" w:lineRule="auto"/>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（4）投标人是个体工商户的，应提供有效的个体工商户营业执照；</w:t>
            </w:r>
          </w:p>
          <w:p w14:paraId="45698F59">
            <w:pPr>
              <w:spacing w:after="50" w:line="360" w:lineRule="auto"/>
              <w:ind w:right="-10"/>
              <w:jc w:val="left"/>
              <w:rPr>
                <w:rFonts w:ascii="宋体" w:hAnsi="宋体" w:eastAsia="宋体" w:cs="宋体"/>
                <w:color w:val="auto"/>
                <w:sz w:val="24"/>
                <w:szCs w:val="28"/>
                <w:highlight w:val="none"/>
              </w:rPr>
            </w:pPr>
            <w:r>
              <w:rPr>
                <w:rFonts w:hint="eastAsia" w:ascii="宋体" w:hAnsi="宋体" w:eastAsia="宋体" w:cs="宋体"/>
                <w:color w:val="auto"/>
                <w:sz w:val="24"/>
                <w:szCs w:val="24"/>
                <w:highlight w:val="none"/>
              </w:rPr>
              <w:t>（5）投标人是自然人的，应提供有效的自然人身份证明。</w:t>
            </w:r>
          </w:p>
        </w:tc>
        <w:tc>
          <w:tcPr>
            <w:tcW w:w="1074" w:type="pct"/>
            <w:vAlign w:val="center"/>
          </w:tcPr>
          <w:p w14:paraId="55CC35BB">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szCs w:val="24"/>
                <w:highlight w:val="none"/>
              </w:rPr>
              <w:t>提供材料扫描件或电子证照，应完整的体现出材料或电子证照全部内容。联合体投标的联合体各方均须提供。</w:t>
            </w:r>
          </w:p>
        </w:tc>
      </w:tr>
      <w:tr w14:paraId="095E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80" w:type="pct"/>
            <w:tcBorders>
              <w:bottom w:val="single" w:color="auto" w:sz="4" w:space="0"/>
            </w:tcBorders>
            <w:vAlign w:val="center"/>
          </w:tcPr>
          <w:p w14:paraId="71D2322A">
            <w:pPr>
              <w:adjustRightInd w:val="0"/>
              <w:snapToGrid w:val="0"/>
              <w:spacing w:line="360" w:lineRule="auto"/>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942" w:type="pct"/>
            <w:tcBorders>
              <w:bottom w:val="single" w:color="auto" w:sz="4" w:space="0"/>
            </w:tcBorders>
            <w:vAlign w:val="center"/>
          </w:tcPr>
          <w:p w14:paraId="5F7D00E4">
            <w:pPr>
              <w:spacing w:after="50" w:line="360" w:lineRule="auto"/>
              <w:ind w:right="-10"/>
              <w:jc w:val="center"/>
              <w:rPr>
                <w:rFonts w:ascii="宋体" w:hAnsi="宋体" w:eastAsia="宋体" w:cs="宋体"/>
                <w:color w:val="auto"/>
                <w:sz w:val="24"/>
                <w:szCs w:val="28"/>
                <w:highlight w:val="none"/>
              </w:rPr>
            </w:pPr>
            <w:r>
              <w:rPr>
                <w:rFonts w:hint="eastAsia" w:ascii="宋体" w:hAnsi="宋体" w:eastAsia="宋体" w:cs="宋体"/>
                <w:color w:val="auto"/>
                <w:sz w:val="24"/>
                <w:szCs w:val="18"/>
                <w:highlight w:val="none"/>
              </w:rPr>
              <w:t>投标人资格声明书</w:t>
            </w:r>
          </w:p>
        </w:tc>
        <w:tc>
          <w:tcPr>
            <w:tcW w:w="2603" w:type="pct"/>
            <w:tcBorders>
              <w:bottom w:val="single" w:color="auto" w:sz="4" w:space="0"/>
            </w:tcBorders>
            <w:vAlign w:val="center"/>
          </w:tcPr>
          <w:p w14:paraId="58B0590D">
            <w:pPr>
              <w:spacing w:after="50" w:line="360" w:lineRule="auto"/>
              <w:ind w:right="-10"/>
              <w:jc w:val="left"/>
              <w:rPr>
                <w:rFonts w:ascii="宋体" w:hAnsi="宋体" w:eastAsia="宋体" w:cs="宋体"/>
                <w:color w:val="auto"/>
                <w:sz w:val="24"/>
                <w:szCs w:val="28"/>
                <w:highlight w:val="none"/>
              </w:rPr>
            </w:pPr>
            <w:r>
              <w:rPr>
                <w:rFonts w:hint="eastAsia" w:ascii="宋体" w:hAnsi="宋体" w:eastAsia="宋体" w:cs="宋体"/>
                <w:color w:val="auto"/>
                <w:sz w:val="24"/>
                <w:szCs w:val="24"/>
                <w:highlight w:val="none"/>
              </w:rPr>
              <w:t>提供符合招标文件要求的《投标人资格声明书》。</w:t>
            </w:r>
          </w:p>
        </w:tc>
        <w:tc>
          <w:tcPr>
            <w:tcW w:w="1074" w:type="pct"/>
            <w:vAlign w:val="center"/>
          </w:tcPr>
          <w:p w14:paraId="50F34576">
            <w:p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highlight w:val="none"/>
              </w:rPr>
              <w:t>详见第六章投标文件格式。</w:t>
            </w:r>
          </w:p>
        </w:tc>
      </w:tr>
      <w:tr w14:paraId="152E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Borders>
              <w:bottom w:val="single" w:color="auto" w:sz="4" w:space="0"/>
            </w:tcBorders>
            <w:vAlign w:val="center"/>
          </w:tcPr>
          <w:p w14:paraId="6C565905">
            <w:pPr>
              <w:adjustRightInd w:val="0"/>
              <w:snapToGrid w:val="0"/>
              <w:spacing w:line="360" w:lineRule="auto"/>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942" w:type="pct"/>
            <w:tcBorders>
              <w:bottom w:val="single" w:color="auto" w:sz="4" w:space="0"/>
            </w:tcBorders>
            <w:vAlign w:val="center"/>
          </w:tcPr>
          <w:p w14:paraId="2F805B73">
            <w:pPr>
              <w:spacing w:after="50" w:line="360" w:lineRule="auto"/>
              <w:ind w:right="-10"/>
              <w:jc w:val="center"/>
              <w:rPr>
                <w:rFonts w:ascii="宋体" w:hAnsi="宋体" w:eastAsia="宋体" w:cs="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3" w:type="pct"/>
            <w:tcBorders>
              <w:bottom w:val="single" w:color="auto" w:sz="4" w:space="0"/>
            </w:tcBorders>
            <w:vAlign w:val="center"/>
          </w:tcPr>
          <w:p w14:paraId="2ADAB966">
            <w:pPr>
              <w:spacing w:after="50" w:line="360" w:lineRule="auto"/>
              <w:ind w:right="-10"/>
              <w:jc w:val="left"/>
              <w:rPr>
                <w:rFonts w:ascii="宋体" w:hAnsi="宋体" w:eastAsia="宋体" w:cs="宋体"/>
                <w:color w:val="auto"/>
                <w:highlight w:val="none"/>
              </w:rPr>
            </w:pPr>
            <w:r>
              <w:rPr>
                <w:rFonts w:hint="eastAsia" w:ascii="宋体" w:hAnsi="宋体" w:eastAsia="宋体" w:cs="宋体"/>
                <w:color w:val="auto"/>
                <w:sz w:val="24"/>
                <w:szCs w:val="24"/>
                <w:highlight w:val="none"/>
                <w:lang w:val="zh-CN"/>
              </w:rPr>
              <w:t>投标人不得存在投标邀请第4条信誉要求和投标人须知正文第1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条中</w:t>
            </w:r>
            <w:r>
              <w:rPr>
                <w:rFonts w:hint="eastAsia" w:ascii="宋体" w:hAnsi="宋体" w:eastAsia="宋体" w:cs="宋体"/>
                <w:color w:val="auto"/>
                <w:sz w:val="24"/>
                <w:szCs w:val="28"/>
                <w:highlight w:val="none"/>
              </w:rPr>
              <w:t>的</w:t>
            </w:r>
            <w:r>
              <w:rPr>
                <w:rFonts w:hint="eastAsia" w:ascii="宋体" w:hAnsi="宋体" w:eastAsia="宋体" w:cs="宋体"/>
                <w:color w:val="auto"/>
                <w:sz w:val="24"/>
                <w:szCs w:val="18"/>
                <w:highlight w:val="none"/>
              </w:rPr>
              <w:t>不良信用记录情形</w:t>
            </w:r>
          </w:p>
        </w:tc>
        <w:tc>
          <w:tcPr>
            <w:tcW w:w="1074" w:type="pct"/>
            <w:tcBorders>
              <w:bottom w:val="single" w:color="auto" w:sz="4" w:space="0"/>
            </w:tcBorders>
            <w:vAlign w:val="center"/>
          </w:tcPr>
          <w:p w14:paraId="1D245260">
            <w:pPr>
              <w:spacing w:line="360" w:lineRule="auto"/>
              <w:jc w:val="left"/>
              <w:rPr>
                <w:rFonts w:ascii="宋体" w:hAnsi="宋体" w:eastAsia="宋体" w:cs="宋体"/>
                <w:color w:val="auto"/>
                <w:highlight w:val="none"/>
              </w:rPr>
            </w:pPr>
            <w:r>
              <w:rPr>
                <w:rFonts w:hint="eastAsia" w:ascii="宋体" w:hAnsi="宋体" w:eastAsia="宋体" w:cs="宋体"/>
                <w:color w:val="auto"/>
                <w:sz w:val="24"/>
                <w:szCs w:val="24"/>
                <w:highlight w:val="none"/>
              </w:rPr>
              <w:t>无须投标人提供，由采购人或采购代理机构查询。</w:t>
            </w:r>
          </w:p>
        </w:tc>
      </w:tr>
      <w:tr w14:paraId="33FB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Borders>
              <w:bottom w:val="single" w:color="auto" w:sz="4" w:space="0"/>
            </w:tcBorders>
            <w:vAlign w:val="center"/>
          </w:tcPr>
          <w:p w14:paraId="04492536">
            <w:pPr>
              <w:adjustRightInd w:val="0"/>
              <w:snapToGrid w:val="0"/>
              <w:spacing w:line="360" w:lineRule="auto"/>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942" w:type="pct"/>
            <w:tcBorders>
              <w:bottom w:val="single" w:color="auto" w:sz="4" w:space="0"/>
            </w:tcBorders>
            <w:vAlign w:val="center"/>
          </w:tcPr>
          <w:p w14:paraId="68765BD9">
            <w:pPr>
              <w:spacing w:after="50" w:line="360" w:lineRule="auto"/>
              <w:ind w:right="-1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中小企业证明文件（</w:t>
            </w:r>
            <w:r>
              <w:rPr>
                <w:rFonts w:hint="eastAsia" w:ascii="宋体" w:hAnsi="宋体" w:eastAsia="宋体" w:cs="宋体"/>
                <w:i/>
                <w:iCs/>
                <w:color w:val="auto"/>
                <w:sz w:val="24"/>
                <w:szCs w:val="24"/>
                <w:highlight w:val="none"/>
              </w:rPr>
              <w:t>适用于专门面向中小企业采购项目或预留中小企业采购份额项目</w:t>
            </w:r>
            <w:r>
              <w:rPr>
                <w:rFonts w:hint="eastAsia" w:ascii="宋体" w:hAnsi="宋体" w:eastAsia="宋体" w:cs="宋体"/>
                <w:color w:val="auto"/>
                <w:sz w:val="24"/>
                <w:szCs w:val="24"/>
                <w:highlight w:val="none"/>
              </w:rPr>
              <w:t>）</w:t>
            </w:r>
          </w:p>
        </w:tc>
        <w:tc>
          <w:tcPr>
            <w:tcW w:w="2603" w:type="pct"/>
            <w:tcBorders>
              <w:bottom w:val="single" w:color="auto" w:sz="4" w:space="0"/>
            </w:tcBorders>
          </w:tcPr>
          <w:p w14:paraId="2C744D41">
            <w:pPr>
              <w:spacing w:after="50" w:line="360" w:lineRule="auto"/>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8"/>
                <w:highlight w:val="none"/>
              </w:rPr>
              <w:t>符合申请人的资格要求中落实政府采购政策需满足的资格要求：</w:t>
            </w:r>
          </w:p>
          <w:p w14:paraId="05A7823F">
            <w:pPr>
              <w:spacing w:after="50" w:line="360" w:lineRule="auto"/>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（1）专门面向中小企业采购的，</w:t>
            </w:r>
            <w:r>
              <w:rPr>
                <w:rFonts w:hint="eastAsia" w:ascii="宋体" w:hAnsi="宋体" w:eastAsia="宋体" w:cs="宋体"/>
                <w:color w:val="auto"/>
                <w:sz w:val="24"/>
                <w:szCs w:val="24"/>
                <w:highlight w:val="none"/>
                <w:lang w:val="zh-CN"/>
              </w:rPr>
              <w:t>投标人</w:t>
            </w:r>
            <w:r>
              <w:rPr>
                <w:rFonts w:hint="eastAsia" w:ascii="宋体" w:hAnsi="宋体" w:eastAsia="宋体" w:cs="宋体"/>
                <w:color w:val="auto"/>
                <w:sz w:val="24"/>
                <w:szCs w:val="24"/>
                <w:highlight w:val="none"/>
              </w:rPr>
              <w:t>应提供《中小企业声明函》或《残疾人福利性单位声明函》或由省级以上监狱管理局、戒毒管理局（含新疆生产建设兵团）出具的属于监狱企业的证明文件。</w:t>
            </w:r>
          </w:p>
          <w:p w14:paraId="17A3E17B">
            <w:pPr>
              <w:spacing w:after="50" w:line="360" w:lineRule="auto"/>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074" w:type="pct"/>
            <w:tcBorders>
              <w:bottom w:val="single" w:color="auto" w:sz="4" w:space="0"/>
            </w:tcBorders>
            <w:vAlign w:val="center"/>
          </w:tcPr>
          <w:p w14:paraId="1D254C58">
            <w:pPr>
              <w:spacing w:after="50" w:line="360" w:lineRule="auto"/>
              <w:ind w:right="-10"/>
              <w:jc w:val="center"/>
              <w:rPr>
                <w:rFonts w:ascii="宋体" w:hAnsi="宋体" w:eastAsia="宋体" w:cs="宋体"/>
                <w:color w:val="auto"/>
                <w:sz w:val="24"/>
                <w:szCs w:val="24"/>
                <w:highlight w:val="none"/>
              </w:rPr>
            </w:pPr>
            <w:r>
              <w:rPr>
                <w:rFonts w:hint="eastAsia" w:ascii="宋体" w:hAnsi="宋体" w:eastAsia="宋体" w:cs="宋体"/>
                <w:color w:val="auto"/>
                <w:sz w:val="24"/>
                <w:highlight w:val="none"/>
              </w:rPr>
              <w:t>详见第六章投标文件格式。</w:t>
            </w:r>
          </w:p>
        </w:tc>
      </w:tr>
      <w:tr w14:paraId="7FD0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Borders>
              <w:bottom w:val="single" w:color="auto" w:sz="4" w:space="0"/>
            </w:tcBorders>
            <w:vAlign w:val="center"/>
          </w:tcPr>
          <w:p w14:paraId="6DE57DCC">
            <w:pPr>
              <w:adjustRightInd w:val="0"/>
              <w:snapToGrid w:val="0"/>
              <w:spacing w:line="360" w:lineRule="auto"/>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942" w:type="pct"/>
            <w:tcBorders>
              <w:bottom w:val="single" w:color="auto" w:sz="4" w:space="0"/>
            </w:tcBorders>
          </w:tcPr>
          <w:p w14:paraId="631DB9C7">
            <w:pPr>
              <w:spacing w:after="50" w:line="360" w:lineRule="auto"/>
              <w:ind w:right="-1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拟分包情况说明及分包意向协议（</w:t>
            </w:r>
            <w:r>
              <w:rPr>
                <w:rFonts w:hint="eastAsia" w:ascii="宋体" w:hAnsi="宋体" w:eastAsia="宋体" w:cs="宋体"/>
                <w:i/>
                <w:iCs/>
                <w:color w:val="auto"/>
                <w:sz w:val="24"/>
                <w:szCs w:val="24"/>
                <w:highlight w:val="none"/>
              </w:rPr>
              <w:t>适用于合同分包预留中小企业采购份额项目</w:t>
            </w:r>
            <w:r>
              <w:rPr>
                <w:rFonts w:hint="eastAsia" w:ascii="宋体" w:hAnsi="宋体" w:eastAsia="宋体" w:cs="宋体"/>
                <w:color w:val="auto"/>
                <w:sz w:val="24"/>
                <w:szCs w:val="24"/>
                <w:highlight w:val="none"/>
              </w:rPr>
              <w:t>）</w:t>
            </w:r>
          </w:p>
        </w:tc>
        <w:tc>
          <w:tcPr>
            <w:tcW w:w="2603" w:type="pct"/>
            <w:tcBorders>
              <w:bottom w:val="single" w:color="auto" w:sz="4" w:space="0"/>
            </w:tcBorders>
            <w:vAlign w:val="center"/>
          </w:tcPr>
          <w:p w14:paraId="03091E50">
            <w:pPr>
              <w:spacing w:after="50" w:line="360" w:lineRule="auto"/>
              <w:ind w:right="-1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通过分包措施预留部分采购份额面向中小企业采购、且投标人因落实政府采购政策拟进行分包的。</w:t>
            </w:r>
          </w:p>
        </w:tc>
        <w:tc>
          <w:tcPr>
            <w:tcW w:w="1074" w:type="pct"/>
            <w:tcBorders>
              <w:bottom w:val="single" w:color="auto" w:sz="4" w:space="0"/>
            </w:tcBorders>
            <w:vAlign w:val="center"/>
          </w:tcPr>
          <w:p w14:paraId="72998B47">
            <w:pPr>
              <w:spacing w:after="50" w:line="360" w:lineRule="auto"/>
              <w:ind w:right="-10"/>
              <w:rPr>
                <w:rFonts w:ascii="宋体" w:hAnsi="宋体" w:eastAsia="宋体" w:cs="宋体"/>
                <w:color w:val="auto"/>
                <w:sz w:val="24"/>
                <w:szCs w:val="24"/>
                <w:highlight w:val="none"/>
              </w:rPr>
            </w:pPr>
            <w:r>
              <w:rPr>
                <w:rFonts w:hint="eastAsia" w:ascii="宋体" w:hAnsi="宋体" w:eastAsia="宋体" w:cs="宋体"/>
                <w:color w:val="auto"/>
                <w:sz w:val="24"/>
                <w:highlight w:val="none"/>
              </w:rPr>
              <w:t>详见第六章投标文件格式。</w:t>
            </w:r>
          </w:p>
        </w:tc>
      </w:tr>
      <w:tr w14:paraId="00E6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Borders>
              <w:bottom w:val="single" w:color="auto" w:sz="4" w:space="0"/>
            </w:tcBorders>
            <w:vAlign w:val="center"/>
          </w:tcPr>
          <w:p w14:paraId="41848E46">
            <w:pPr>
              <w:adjustRightInd w:val="0"/>
              <w:snapToGrid w:val="0"/>
              <w:spacing w:line="360" w:lineRule="auto"/>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6</w:t>
            </w:r>
          </w:p>
        </w:tc>
        <w:tc>
          <w:tcPr>
            <w:tcW w:w="942" w:type="pct"/>
            <w:tcBorders>
              <w:bottom w:val="single" w:color="auto" w:sz="4" w:space="0"/>
            </w:tcBorders>
            <w:vAlign w:val="center"/>
          </w:tcPr>
          <w:p w14:paraId="11CE2CED">
            <w:pPr>
              <w:spacing w:after="50" w:line="360" w:lineRule="auto"/>
              <w:ind w:right="-10"/>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其它落实政府采</w:t>
            </w:r>
            <w:r>
              <w:rPr>
                <w:rFonts w:hint="eastAsia" w:ascii="宋体" w:hAnsi="宋体" w:eastAsia="宋体" w:cs="宋体"/>
                <w:color w:val="auto"/>
                <w:spacing w:val="11"/>
                <w:sz w:val="24"/>
                <w:szCs w:val="24"/>
                <w:highlight w:val="none"/>
              </w:rPr>
              <w:t>购政策的资格要</w:t>
            </w:r>
            <w:r>
              <w:rPr>
                <w:rFonts w:hint="eastAsia" w:ascii="宋体" w:hAnsi="宋体" w:eastAsia="宋体" w:cs="宋体"/>
                <w:color w:val="auto"/>
                <w:sz w:val="24"/>
                <w:szCs w:val="24"/>
                <w:highlight w:val="none"/>
              </w:rPr>
              <w:t>求</w:t>
            </w:r>
          </w:p>
        </w:tc>
        <w:tc>
          <w:tcPr>
            <w:tcW w:w="2603" w:type="pct"/>
            <w:tcBorders>
              <w:bottom w:val="single" w:color="auto" w:sz="4" w:space="0"/>
            </w:tcBorders>
            <w:vAlign w:val="center"/>
          </w:tcPr>
          <w:p w14:paraId="502A750E">
            <w:pPr>
              <w:spacing w:after="50" w:line="360" w:lineRule="auto"/>
              <w:ind w:right="-10"/>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如有，见第一章《投标邀请》</w:t>
            </w:r>
          </w:p>
        </w:tc>
        <w:tc>
          <w:tcPr>
            <w:tcW w:w="1074" w:type="pct"/>
            <w:tcBorders>
              <w:bottom w:val="single" w:color="auto" w:sz="4" w:space="0"/>
            </w:tcBorders>
            <w:vAlign w:val="center"/>
          </w:tcPr>
          <w:p w14:paraId="3FEE7AFF">
            <w:pPr>
              <w:spacing w:after="50" w:line="360" w:lineRule="auto"/>
              <w:ind w:right="-10"/>
              <w:rPr>
                <w:rFonts w:ascii="宋体" w:hAnsi="宋体" w:eastAsia="宋体" w:cs="宋体"/>
                <w:color w:val="auto"/>
                <w:sz w:val="24"/>
                <w:highlight w:val="none"/>
              </w:rPr>
            </w:pPr>
            <w:r>
              <w:rPr>
                <w:rFonts w:hint="eastAsia" w:ascii="宋体" w:hAnsi="宋体" w:eastAsia="宋体" w:cs="宋体"/>
                <w:color w:val="auto"/>
                <w:sz w:val="24"/>
                <w:szCs w:val="24"/>
                <w:highlight w:val="none"/>
              </w:rPr>
              <w:t>提供材料扫描件或电子证照，应完整的体现出材料或电子证照全部内容。</w:t>
            </w:r>
          </w:p>
        </w:tc>
      </w:tr>
      <w:tr w14:paraId="5C39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Borders>
              <w:bottom w:val="single" w:color="auto" w:sz="4" w:space="0"/>
            </w:tcBorders>
            <w:vAlign w:val="center"/>
          </w:tcPr>
          <w:p w14:paraId="6DFE3A80">
            <w:pPr>
              <w:adjustRightInd w:val="0"/>
              <w:snapToGrid w:val="0"/>
              <w:spacing w:line="360" w:lineRule="auto"/>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7</w:t>
            </w:r>
          </w:p>
        </w:tc>
        <w:tc>
          <w:tcPr>
            <w:tcW w:w="942" w:type="pct"/>
            <w:tcBorders>
              <w:bottom w:val="single" w:color="auto" w:sz="4" w:space="0"/>
            </w:tcBorders>
            <w:vAlign w:val="center"/>
          </w:tcPr>
          <w:p w14:paraId="1DCE31BF">
            <w:pPr>
              <w:spacing w:after="50" w:line="360" w:lineRule="auto"/>
              <w:ind w:right="-10"/>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本项目对于联合</w:t>
            </w:r>
            <w:r>
              <w:rPr>
                <w:rFonts w:hint="eastAsia" w:ascii="宋体" w:hAnsi="宋体" w:eastAsia="宋体" w:cs="宋体"/>
                <w:color w:val="auto"/>
                <w:spacing w:val="-2"/>
                <w:sz w:val="24"/>
                <w:szCs w:val="24"/>
                <w:highlight w:val="none"/>
              </w:rPr>
              <w:t>体的要求（</w:t>
            </w:r>
            <w:r>
              <w:rPr>
                <w:rFonts w:hint="eastAsia" w:ascii="宋体" w:hAnsi="宋体" w:eastAsia="宋体" w:cs="宋体"/>
                <w:i/>
                <w:iCs/>
                <w:color w:val="auto"/>
                <w:spacing w:val="-2"/>
                <w:sz w:val="24"/>
                <w:szCs w:val="24"/>
                <w:highlight w:val="none"/>
              </w:rPr>
              <w:t>适用于接受联合体投标项目</w:t>
            </w:r>
            <w:r>
              <w:rPr>
                <w:rFonts w:hint="eastAsia" w:ascii="宋体" w:hAnsi="宋体" w:eastAsia="宋体" w:cs="宋体"/>
                <w:color w:val="auto"/>
                <w:spacing w:val="-2"/>
                <w:sz w:val="24"/>
                <w:szCs w:val="24"/>
                <w:highlight w:val="none"/>
              </w:rPr>
              <w:t>）</w:t>
            </w:r>
          </w:p>
        </w:tc>
        <w:tc>
          <w:tcPr>
            <w:tcW w:w="2603" w:type="pct"/>
            <w:tcBorders>
              <w:bottom w:val="single" w:color="auto" w:sz="4" w:space="0"/>
            </w:tcBorders>
            <w:vAlign w:val="center"/>
          </w:tcPr>
          <w:p w14:paraId="3DDC846F">
            <w:pPr>
              <w:spacing w:after="50" w:line="360" w:lineRule="auto"/>
              <w:ind w:right="-10"/>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联合体投标的</w:t>
            </w:r>
            <w:r>
              <w:rPr>
                <w:rFonts w:hint="eastAsia" w:ascii="宋体" w:hAnsi="宋体" w:eastAsia="宋体" w:cs="宋体"/>
                <w:color w:val="auto"/>
                <w:spacing w:val="10"/>
                <w:sz w:val="24"/>
                <w:szCs w:val="24"/>
                <w:highlight w:val="none"/>
              </w:rPr>
              <w:t>详见</w:t>
            </w:r>
            <w:r>
              <w:rPr>
                <w:rFonts w:hint="eastAsia" w:ascii="宋体" w:hAnsi="宋体" w:eastAsia="宋体" w:cs="宋体"/>
                <w:color w:val="auto"/>
                <w:sz w:val="24"/>
                <w:szCs w:val="24"/>
                <w:highlight w:val="none"/>
                <w:lang w:val="zh-CN"/>
              </w:rPr>
              <w:t>投标人须知正文第</w:t>
            </w:r>
            <w:r>
              <w:rPr>
                <w:rFonts w:hint="eastAsia" w:ascii="宋体" w:hAnsi="宋体" w:eastAsia="宋体" w:cs="宋体"/>
                <w:color w:val="auto"/>
                <w:sz w:val="24"/>
                <w:szCs w:val="24"/>
                <w:highlight w:val="none"/>
              </w:rPr>
              <w:t>1.5，且</w:t>
            </w:r>
            <w:r>
              <w:rPr>
                <w:rFonts w:hint="eastAsia" w:ascii="宋体" w:hAnsi="宋体" w:eastAsia="宋体" w:cs="宋体"/>
                <w:color w:val="auto"/>
                <w:spacing w:val="10"/>
                <w:sz w:val="24"/>
                <w:szCs w:val="24"/>
                <w:highlight w:val="none"/>
              </w:rPr>
              <w:t>提供《联合协议》。</w:t>
            </w:r>
          </w:p>
        </w:tc>
        <w:tc>
          <w:tcPr>
            <w:tcW w:w="1074" w:type="pct"/>
            <w:tcBorders>
              <w:bottom w:val="single" w:color="auto" w:sz="4" w:space="0"/>
            </w:tcBorders>
            <w:vAlign w:val="center"/>
          </w:tcPr>
          <w:p w14:paraId="30F02BAC">
            <w:pPr>
              <w:spacing w:after="50" w:line="360" w:lineRule="auto"/>
              <w:ind w:right="-10"/>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《联合协议》</w:t>
            </w:r>
            <w:r>
              <w:rPr>
                <w:rFonts w:hint="eastAsia" w:ascii="宋体" w:hAnsi="宋体" w:eastAsia="宋体" w:cs="宋体"/>
                <w:color w:val="auto"/>
                <w:sz w:val="24"/>
                <w:highlight w:val="none"/>
              </w:rPr>
              <w:t>详见第六章投标文件格式。</w:t>
            </w:r>
          </w:p>
        </w:tc>
      </w:tr>
      <w:tr w14:paraId="1CFC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14:paraId="0781BC24">
            <w:pPr>
              <w:adjustRightInd w:val="0"/>
              <w:snapToGrid w:val="0"/>
              <w:spacing w:line="360" w:lineRule="auto"/>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8</w:t>
            </w:r>
          </w:p>
        </w:tc>
        <w:tc>
          <w:tcPr>
            <w:tcW w:w="942" w:type="pct"/>
            <w:vAlign w:val="center"/>
          </w:tcPr>
          <w:p w14:paraId="0CF080F2">
            <w:pPr>
              <w:spacing w:after="50" w:line="360" w:lineRule="auto"/>
              <w:ind w:right="-10"/>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其他特定资格要求</w:t>
            </w:r>
          </w:p>
        </w:tc>
        <w:tc>
          <w:tcPr>
            <w:tcW w:w="2603" w:type="pct"/>
            <w:vAlign w:val="center"/>
          </w:tcPr>
          <w:p w14:paraId="22606904">
            <w:pPr>
              <w:spacing w:after="50" w:line="360" w:lineRule="auto"/>
              <w:ind w:right="-10"/>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如有，见第一章《投标邀请》</w:t>
            </w:r>
          </w:p>
        </w:tc>
        <w:tc>
          <w:tcPr>
            <w:tcW w:w="1074" w:type="pct"/>
            <w:vAlign w:val="center"/>
          </w:tcPr>
          <w:p w14:paraId="529663E8">
            <w:pPr>
              <w:spacing w:after="50" w:line="360" w:lineRule="auto"/>
              <w:ind w:right="-10"/>
              <w:rPr>
                <w:rFonts w:ascii="宋体" w:hAnsi="宋体" w:eastAsia="宋体" w:cs="宋体"/>
                <w:color w:val="auto"/>
                <w:spacing w:val="10"/>
                <w:sz w:val="24"/>
                <w:szCs w:val="24"/>
                <w:highlight w:val="none"/>
              </w:rPr>
            </w:pPr>
            <w:r>
              <w:rPr>
                <w:rFonts w:hint="eastAsia" w:ascii="宋体" w:hAnsi="宋体" w:eastAsia="宋体" w:cs="宋体"/>
                <w:color w:val="auto"/>
                <w:sz w:val="24"/>
                <w:szCs w:val="24"/>
                <w:highlight w:val="none"/>
              </w:rPr>
              <w:t>提供材料扫描件或电子证照，应完整的体现出材料或电子证照全部内容。</w:t>
            </w:r>
          </w:p>
        </w:tc>
      </w:tr>
    </w:tbl>
    <w:p w14:paraId="0C9821BB">
      <w:pPr>
        <w:spacing w:line="520" w:lineRule="exact"/>
        <w:rPr>
          <w:rFonts w:asciiTheme="minorEastAsia" w:hAnsiTheme="minorEastAsia" w:eastAsiaTheme="minorEastAsia"/>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37B33756">
      <w:pPr>
        <w:spacing w:line="520" w:lineRule="exact"/>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14:paraId="555B7973">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33"/>
        <w:tblW w:w="55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785"/>
        <w:gridCol w:w="3929"/>
        <w:gridCol w:w="3165"/>
      </w:tblGrid>
      <w:tr w14:paraId="56F8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72500329">
            <w:pPr>
              <w:adjustRightInd w:val="0"/>
              <w:snapToGrid w:val="0"/>
              <w:spacing w:line="520" w:lineRule="exact"/>
              <w:ind w:right="-10"/>
              <w:jc w:val="center"/>
              <w:rPr>
                <w:rFonts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14:paraId="10B8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3" w:type="pct"/>
            <w:tcBorders>
              <w:bottom w:val="single" w:color="auto" w:sz="4" w:space="0"/>
            </w:tcBorders>
            <w:vAlign w:val="center"/>
          </w:tcPr>
          <w:p w14:paraId="2C0AC6A6">
            <w:pPr>
              <w:adjustRightInd w:val="0"/>
              <w:snapToGrid w:val="0"/>
              <w:spacing w:line="520" w:lineRule="exact"/>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14" w:type="pct"/>
            <w:tcBorders>
              <w:bottom w:val="single" w:color="auto" w:sz="4" w:space="0"/>
            </w:tcBorders>
            <w:vAlign w:val="center"/>
          </w:tcPr>
          <w:p w14:paraId="1173F5B9">
            <w:pPr>
              <w:pStyle w:val="54"/>
              <w:pBdr>
                <w:bottom w:val="none" w:color="auto" w:sz="0" w:space="0"/>
              </w:pBdr>
              <w:tabs>
                <w:tab w:val="clear" w:pos="4153"/>
                <w:tab w:val="clear" w:pos="8306"/>
              </w:tabs>
              <w:snapToGrid w:val="0"/>
              <w:spacing w:line="520" w:lineRule="exact"/>
              <w:ind w:right="-10"/>
              <w:textAlignment w:val="auto"/>
              <w:rPr>
                <w:rFonts w:ascii="宋体" w:hAnsi="宋体" w:eastAsia="宋体"/>
                <w:color w:val="auto"/>
                <w:kern w:val="2"/>
                <w:highlight w:val="none"/>
              </w:rPr>
            </w:pPr>
            <w:r>
              <w:rPr>
                <w:rFonts w:hint="eastAsia" w:ascii="宋体" w:hAnsi="宋体" w:eastAsia="宋体"/>
                <w:color w:val="auto"/>
                <w:kern w:val="2"/>
                <w:highlight w:val="none"/>
              </w:rPr>
              <w:t>审查指标</w:t>
            </w:r>
          </w:p>
        </w:tc>
        <w:tc>
          <w:tcPr>
            <w:tcW w:w="2012" w:type="pct"/>
            <w:tcBorders>
              <w:bottom w:val="single" w:color="auto" w:sz="4" w:space="0"/>
            </w:tcBorders>
            <w:vAlign w:val="center"/>
          </w:tcPr>
          <w:p w14:paraId="65AE9AF1">
            <w:pPr>
              <w:adjustRightInd w:val="0"/>
              <w:snapToGrid w:val="0"/>
              <w:spacing w:line="520" w:lineRule="exact"/>
              <w:ind w:right="-10"/>
              <w:jc w:val="center"/>
              <w:rPr>
                <w:rFonts w:ascii="宋体" w:hAnsi="宋体" w:eastAsia="宋体"/>
                <w:color w:val="auto"/>
                <w:sz w:val="24"/>
                <w:highlight w:val="none"/>
              </w:rPr>
            </w:pPr>
            <w:r>
              <w:rPr>
                <w:rFonts w:hint="eastAsia" w:ascii="宋体" w:hAnsi="宋体" w:eastAsia="宋体"/>
                <w:color w:val="auto"/>
                <w:sz w:val="24"/>
                <w:highlight w:val="none"/>
              </w:rPr>
              <w:t>审查标准</w:t>
            </w:r>
          </w:p>
        </w:tc>
        <w:tc>
          <w:tcPr>
            <w:tcW w:w="1619" w:type="pct"/>
            <w:tcBorders>
              <w:bottom w:val="single" w:color="auto" w:sz="4" w:space="0"/>
            </w:tcBorders>
            <w:vAlign w:val="center"/>
          </w:tcPr>
          <w:p w14:paraId="301A9C11">
            <w:pPr>
              <w:adjustRightInd w:val="0"/>
              <w:snapToGrid w:val="0"/>
              <w:spacing w:line="520" w:lineRule="exact"/>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1BAA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05DF0610">
            <w:pPr>
              <w:adjustRightInd w:val="0"/>
              <w:snapToGrid w:val="0"/>
              <w:spacing w:line="520" w:lineRule="exact"/>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914" w:type="pct"/>
            <w:vAlign w:val="center"/>
          </w:tcPr>
          <w:p w14:paraId="1979CDC2">
            <w:pPr>
              <w:spacing w:line="520" w:lineRule="exact"/>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开标一览表</w:t>
            </w:r>
          </w:p>
        </w:tc>
        <w:tc>
          <w:tcPr>
            <w:tcW w:w="2012" w:type="pct"/>
            <w:vAlign w:val="center"/>
          </w:tcPr>
          <w:p w14:paraId="2D8AC3A7">
            <w:pPr>
              <w:spacing w:line="520" w:lineRule="exact"/>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619" w:type="pct"/>
            <w:vAlign w:val="center"/>
          </w:tcPr>
          <w:p w14:paraId="73267212">
            <w:pPr>
              <w:adjustRightInd w:val="0"/>
              <w:snapToGrid w:val="0"/>
              <w:spacing w:line="520" w:lineRule="exact"/>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w:t>
            </w:r>
          </w:p>
        </w:tc>
      </w:tr>
      <w:tr w14:paraId="5E4E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3DF479CB">
            <w:pPr>
              <w:adjustRightInd w:val="0"/>
              <w:snapToGrid w:val="0"/>
              <w:spacing w:line="520" w:lineRule="exact"/>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914" w:type="pct"/>
            <w:vAlign w:val="center"/>
          </w:tcPr>
          <w:p w14:paraId="794DCA31">
            <w:pPr>
              <w:spacing w:line="520" w:lineRule="exact"/>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2012" w:type="pct"/>
            <w:vAlign w:val="center"/>
          </w:tcPr>
          <w:p w14:paraId="2154328A">
            <w:pPr>
              <w:spacing w:line="520" w:lineRule="exact"/>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619" w:type="pct"/>
            <w:vAlign w:val="center"/>
          </w:tcPr>
          <w:p w14:paraId="03356B57">
            <w:pPr>
              <w:adjustRightInd w:val="0"/>
              <w:snapToGrid w:val="0"/>
              <w:spacing w:line="520" w:lineRule="exact"/>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w:t>
            </w:r>
          </w:p>
        </w:tc>
      </w:tr>
      <w:tr w14:paraId="1DD4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29C697F2">
            <w:pPr>
              <w:adjustRightInd w:val="0"/>
              <w:snapToGrid w:val="0"/>
              <w:spacing w:line="520" w:lineRule="exact"/>
              <w:ind w:right="-10"/>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p>
        </w:tc>
        <w:tc>
          <w:tcPr>
            <w:tcW w:w="914" w:type="pct"/>
            <w:vAlign w:val="center"/>
          </w:tcPr>
          <w:p w14:paraId="72771EA1">
            <w:pPr>
              <w:spacing w:line="520" w:lineRule="exact"/>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2012" w:type="pct"/>
            <w:vAlign w:val="center"/>
          </w:tcPr>
          <w:p w14:paraId="4F28C0C9">
            <w:pPr>
              <w:spacing w:line="520" w:lineRule="exact"/>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619" w:type="pct"/>
            <w:vAlign w:val="center"/>
          </w:tcPr>
          <w:p w14:paraId="0CA6C39E">
            <w:pPr>
              <w:adjustRightInd w:val="0"/>
              <w:snapToGrid w:val="0"/>
              <w:spacing w:line="520" w:lineRule="exact"/>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法定代表人参加投标的无需此件，提供身份证明即可。详见第六章投标文件格式。</w:t>
            </w:r>
          </w:p>
        </w:tc>
      </w:tr>
      <w:tr w14:paraId="3BC8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56F5B62E">
            <w:pPr>
              <w:adjustRightInd w:val="0"/>
              <w:snapToGrid w:val="0"/>
              <w:spacing w:line="520" w:lineRule="exact"/>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914" w:type="pct"/>
            <w:vAlign w:val="center"/>
          </w:tcPr>
          <w:p w14:paraId="5E79D5A8">
            <w:pPr>
              <w:spacing w:line="520" w:lineRule="exact"/>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2012" w:type="pct"/>
            <w:vAlign w:val="center"/>
          </w:tcPr>
          <w:p w14:paraId="1D000923">
            <w:pPr>
              <w:spacing w:line="520" w:lineRule="exact"/>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rPr>
              <w:t>招标文件投标人须知正文第9条要求</w:t>
            </w:r>
          </w:p>
        </w:tc>
        <w:tc>
          <w:tcPr>
            <w:tcW w:w="1619" w:type="pct"/>
            <w:vAlign w:val="center"/>
          </w:tcPr>
          <w:p w14:paraId="3BD22523">
            <w:pPr>
              <w:adjustRightInd w:val="0"/>
              <w:snapToGrid w:val="0"/>
              <w:spacing w:line="520" w:lineRule="exact"/>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w:t>
            </w:r>
          </w:p>
        </w:tc>
      </w:tr>
      <w:tr w14:paraId="6E5D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56FC2C4C">
            <w:pPr>
              <w:adjustRightInd w:val="0"/>
              <w:snapToGrid w:val="0"/>
              <w:spacing w:line="520" w:lineRule="exact"/>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c>
          <w:tcPr>
            <w:tcW w:w="914" w:type="pct"/>
            <w:vAlign w:val="center"/>
          </w:tcPr>
          <w:p w14:paraId="4703C0BF">
            <w:pPr>
              <w:spacing w:line="520" w:lineRule="exact"/>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2012" w:type="pct"/>
            <w:vAlign w:val="center"/>
          </w:tcPr>
          <w:p w14:paraId="2820FBEC">
            <w:pPr>
              <w:spacing w:line="520" w:lineRule="exact"/>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符合招标文件采购需求中对付款方式、服务地点、服务期限等实质性要求</w:t>
            </w:r>
          </w:p>
        </w:tc>
        <w:tc>
          <w:tcPr>
            <w:tcW w:w="1619" w:type="pct"/>
            <w:vAlign w:val="center"/>
          </w:tcPr>
          <w:p w14:paraId="2DF0C9FE">
            <w:pPr>
              <w:spacing w:line="520" w:lineRule="exact"/>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详见第六章投标文件格式。</w:t>
            </w:r>
          </w:p>
        </w:tc>
      </w:tr>
      <w:tr w14:paraId="2BD1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367E7FD5">
            <w:pPr>
              <w:adjustRightInd w:val="0"/>
              <w:snapToGrid w:val="0"/>
              <w:spacing w:line="520" w:lineRule="exact"/>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p>
        </w:tc>
        <w:tc>
          <w:tcPr>
            <w:tcW w:w="914" w:type="pct"/>
            <w:shd w:val="clear" w:color="auto" w:fill="auto"/>
            <w:vAlign w:val="center"/>
          </w:tcPr>
          <w:p w14:paraId="6FCC9258">
            <w:pPr>
              <w:spacing w:line="520" w:lineRule="exact"/>
              <w:ind w:right="-10"/>
              <w:jc w:val="center"/>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技术响应情况</w:t>
            </w:r>
          </w:p>
        </w:tc>
        <w:tc>
          <w:tcPr>
            <w:tcW w:w="2012" w:type="pct"/>
            <w:shd w:val="clear" w:color="auto" w:fill="auto"/>
            <w:vAlign w:val="center"/>
          </w:tcPr>
          <w:p w14:paraId="17144AFC">
            <w:pPr>
              <w:spacing w:line="520" w:lineRule="exact"/>
              <w:ind w:right="-10"/>
              <w:jc w:val="center"/>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符合招标文件采购需求中货物技术参数等实质性要求;具体详见评分办法</w:t>
            </w:r>
          </w:p>
        </w:tc>
        <w:tc>
          <w:tcPr>
            <w:tcW w:w="1619" w:type="pct"/>
            <w:shd w:val="clear" w:color="auto" w:fill="auto"/>
            <w:vAlign w:val="center"/>
          </w:tcPr>
          <w:p w14:paraId="19E2D192">
            <w:pPr>
              <w:adjustRightInd w:val="0"/>
              <w:snapToGrid w:val="0"/>
              <w:spacing w:line="520" w:lineRule="exact"/>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p>
        </w:tc>
      </w:tr>
      <w:tr w14:paraId="5A03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13365E87">
            <w:pPr>
              <w:adjustRightInd w:val="0"/>
              <w:snapToGrid w:val="0"/>
              <w:spacing w:line="520" w:lineRule="exact"/>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p>
        </w:tc>
        <w:tc>
          <w:tcPr>
            <w:tcW w:w="914" w:type="pct"/>
            <w:vAlign w:val="center"/>
          </w:tcPr>
          <w:p w14:paraId="2355D370">
            <w:pPr>
              <w:spacing w:line="520" w:lineRule="exact"/>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2012" w:type="pct"/>
            <w:vAlign w:val="center"/>
          </w:tcPr>
          <w:p w14:paraId="3F35F3B8">
            <w:pPr>
              <w:spacing w:line="520" w:lineRule="exact"/>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符合法律、行政法规规定的其他条件或招标文件列明的其他实质性要求</w:t>
            </w:r>
          </w:p>
        </w:tc>
        <w:tc>
          <w:tcPr>
            <w:tcW w:w="1619" w:type="pct"/>
            <w:vAlign w:val="center"/>
          </w:tcPr>
          <w:p w14:paraId="35239729">
            <w:pPr>
              <w:spacing w:line="520" w:lineRule="exact"/>
              <w:ind w:right="-10"/>
              <w:jc w:val="center"/>
              <w:rPr>
                <w:rFonts w:asciiTheme="minorEastAsia" w:hAnsiTheme="minorEastAsia" w:eastAsiaTheme="minorEastAsia"/>
                <w:color w:val="auto"/>
                <w:sz w:val="24"/>
                <w:szCs w:val="28"/>
                <w:highlight w:val="none"/>
              </w:rPr>
            </w:pPr>
          </w:p>
        </w:tc>
      </w:tr>
    </w:tbl>
    <w:p w14:paraId="7BE7C63D">
      <w:pPr>
        <w:spacing w:line="520" w:lineRule="exact"/>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14:paraId="53246053">
      <w:pPr>
        <w:spacing w:line="520" w:lineRule="exact"/>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2.3详细审查</w:t>
      </w:r>
    </w:p>
    <w:p w14:paraId="65385B8B">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rPr>
        <w:t>评标委员会按照下表对投标文件进行详细审查和评分。</w:t>
      </w:r>
    </w:p>
    <w:p w14:paraId="47EAF3B3">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分，其中：资信分值占总分值的权重为</w:t>
      </w:r>
      <w:r>
        <w:rPr>
          <w:rFonts w:hint="eastAsia" w:asciiTheme="minorEastAsia" w:hAnsiTheme="minorEastAsia" w:eastAsiaTheme="minorEastAsia"/>
          <w:color w:val="auto"/>
          <w:sz w:val="24"/>
          <w:highlight w:val="none"/>
          <w:u w:val="single"/>
          <w:lang w:val="en-US" w:eastAsia="zh-CN"/>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技术分值占总分值的权重为</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color w:val="auto"/>
          <w:sz w:val="24"/>
          <w:highlight w:val="none"/>
          <w:u w:val="single"/>
        </w:rPr>
        <w:t>0</w:t>
      </w:r>
      <w:r>
        <w:rPr>
          <w:rFonts w:asciiTheme="minorEastAsia" w:hAnsiTheme="minorEastAsia" w:eastAsiaTheme="minorEastAsia"/>
          <w:color w:val="auto"/>
          <w:sz w:val="24"/>
          <w:highlight w:val="none"/>
        </w:rPr>
        <w:t>%，价格分值占总分值的权重为</w:t>
      </w:r>
      <w:r>
        <w:rPr>
          <w:rFonts w:hint="eastAsia" w:asciiTheme="minorEastAsia" w:hAnsiTheme="minorEastAsia" w:eastAsiaTheme="minorEastAsia"/>
          <w:color w:val="auto"/>
          <w:sz w:val="24"/>
          <w:highlight w:val="none"/>
          <w:u w:val="single"/>
          <w:lang w:val="en-US" w:eastAsia="zh-CN"/>
        </w:rPr>
        <w:t>52</w:t>
      </w:r>
      <w:r>
        <w:rPr>
          <w:rFonts w:asciiTheme="minorEastAsia" w:hAnsiTheme="minorEastAsia" w:eastAsiaTheme="minorEastAsia"/>
          <w:color w:val="auto"/>
          <w:sz w:val="24"/>
          <w:highlight w:val="none"/>
        </w:rPr>
        <w:t>%。具体评分细则如下：</w:t>
      </w:r>
    </w:p>
    <w:tbl>
      <w:tblPr>
        <w:tblStyle w:val="33"/>
        <w:tblW w:w="5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1443"/>
        <w:gridCol w:w="6143"/>
        <w:gridCol w:w="1202"/>
      </w:tblGrid>
      <w:tr w14:paraId="4273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77" w:type="pct"/>
            <w:tcBorders>
              <w:top w:val="single" w:color="auto" w:sz="4" w:space="0"/>
              <w:left w:val="single" w:color="auto" w:sz="4" w:space="0"/>
              <w:bottom w:val="single" w:color="auto" w:sz="4" w:space="0"/>
              <w:right w:val="single" w:color="auto" w:sz="4" w:space="0"/>
            </w:tcBorders>
            <w:vAlign w:val="center"/>
          </w:tcPr>
          <w:p w14:paraId="76DE5750">
            <w:pPr>
              <w:spacing w:line="520" w:lineRule="exact"/>
              <w:jc w:val="center"/>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类别</w:t>
            </w:r>
          </w:p>
        </w:tc>
        <w:tc>
          <w:tcPr>
            <w:tcW w:w="726" w:type="pct"/>
            <w:tcBorders>
              <w:top w:val="single" w:color="auto" w:sz="4" w:space="0"/>
              <w:left w:val="single" w:color="auto" w:sz="4" w:space="0"/>
              <w:bottom w:val="single" w:color="auto" w:sz="4" w:space="0"/>
              <w:right w:val="single" w:color="auto" w:sz="4" w:space="0"/>
            </w:tcBorders>
            <w:vAlign w:val="center"/>
          </w:tcPr>
          <w:p w14:paraId="5472D17B">
            <w:pPr>
              <w:spacing w:line="520" w:lineRule="exact"/>
              <w:jc w:val="center"/>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评分内容</w:t>
            </w:r>
          </w:p>
        </w:tc>
        <w:tc>
          <w:tcPr>
            <w:tcW w:w="3091" w:type="pct"/>
            <w:tcBorders>
              <w:top w:val="single" w:color="auto" w:sz="4" w:space="0"/>
              <w:left w:val="single" w:color="auto" w:sz="4" w:space="0"/>
              <w:bottom w:val="single" w:color="auto" w:sz="4" w:space="0"/>
              <w:right w:val="single" w:color="auto" w:sz="4" w:space="0"/>
            </w:tcBorders>
            <w:vAlign w:val="center"/>
          </w:tcPr>
          <w:p w14:paraId="35C86406">
            <w:pPr>
              <w:spacing w:line="520" w:lineRule="exact"/>
              <w:jc w:val="center"/>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评分标准</w:t>
            </w:r>
          </w:p>
        </w:tc>
        <w:tc>
          <w:tcPr>
            <w:tcW w:w="604" w:type="pct"/>
            <w:tcBorders>
              <w:top w:val="single" w:color="auto" w:sz="4" w:space="0"/>
              <w:left w:val="single" w:color="auto" w:sz="4" w:space="0"/>
              <w:bottom w:val="single" w:color="auto" w:sz="4" w:space="0"/>
              <w:right w:val="single" w:color="auto" w:sz="4" w:space="0"/>
            </w:tcBorders>
            <w:vAlign w:val="center"/>
          </w:tcPr>
          <w:p w14:paraId="4732CA5A">
            <w:pPr>
              <w:spacing w:line="520" w:lineRule="exact"/>
              <w:jc w:val="center"/>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分值范围</w:t>
            </w:r>
          </w:p>
        </w:tc>
      </w:tr>
      <w:tr w14:paraId="5E45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pct"/>
            <w:vMerge w:val="restart"/>
            <w:tcBorders>
              <w:left w:val="single" w:color="auto" w:sz="4" w:space="0"/>
              <w:right w:val="single" w:color="auto" w:sz="4" w:space="0"/>
            </w:tcBorders>
            <w:vAlign w:val="center"/>
          </w:tcPr>
          <w:p w14:paraId="1481604C">
            <w:pPr>
              <w:spacing w:line="52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资信分</w:t>
            </w:r>
          </w:p>
          <w:p w14:paraId="277215FA">
            <w:pPr>
              <w:spacing w:line="52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8</w:t>
            </w:r>
            <w:r>
              <w:rPr>
                <w:rFonts w:hint="eastAsia" w:asciiTheme="minorEastAsia" w:hAnsiTheme="minorEastAsia" w:eastAsiaTheme="minorEastAsia"/>
                <w:color w:val="auto"/>
                <w:sz w:val="24"/>
                <w:szCs w:val="24"/>
                <w:highlight w:val="none"/>
              </w:rPr>
              <w:t>分）</w:t>
            </w:r>
          </w:p>
        </w:tc>
        <w:tc>
          <w:tcPr>
            <w:tcW w:w="726" w:type="pct"/>
            <w:tcBorders>
              <w:top w:val="single" w:color="auto" w:sz="4" w:space="0"/>
              <w:left w:val="single" w:color="auto" w:sz="4" w:space="0"/>
              <w:bottom w:val="single" w:color="auto" w:sz="4" w:space="0"/>
              <w:right w:val="single" w:color="auto" w:sz="4" w:space="0"/>
            </w:tcBorders>
            <w:vAlign w:val="center"/>
          </w:tcPr>
          <w:p w14:paraId="3A30B87A">
            <w:pPr>
              <w:spacing w:line="360" w:lineRule="auto"/>
              <w:jc w:val="center"/>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类似工程检测业绩</w:t>
            </w:r>
          </w:p>
          <w:p w14:paraId="568FF50A">
            <w:pPr>
              <w:spacing w:line="360" w:lineRule="auto"/>
              <w:jc w:val="center"/>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lang w:val="en-US" w:eastAsia="zh-CN"/>
              </w:rPr>
              <w:t>4</w:t>
            </w:r>
            <w:r>
              <w:rPr>
                <w:rFonts w:hint="eastAsia" w:asciiTheme="minorEastAsia" w:hAnsiTheme="minorEastAsia" w:eastAsiaTheme="minorEastAsia"/>
                <w:bCs/>
                <w:color w:val="auto"/>
                <w:sz w:val="24"/>
                <w:szCs w:val="24"/>
                <w:highlight w:val="none"/>
              </w:rPr>
              <w:t>分）</w:t>
            </w:r>
          </w:p>
        </w:tc>
        <w:tc>
          <w:tcPr>
            <w:tcW w:w="3091" w:type="pct"/>
            <w:tcBorders>
              <w:top w:val="single" w:color="auto" w:sz="4" w:space="0"/>
              <w:left w:val="single" w:color="auto" w:sz="4" w:space="0"/>
              <w:bottom w:val="single" w:color="auto" w:sz="4" w:space="0"/>
              <w:right w:val="single" w:color="auto" w:sz="4" w:space="0"/>
            </w:tcBorders>
            <w:vAlign w:val="center"/>
          </w:tcPr>
          <w:p w14:paraId="07C230F5">
            <w:pPr>
              <w:widowControl/>
              <w:spacing w:line="520" w:lineRule="exact"/>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近</w:t>
            </w:r>
            <w:r>
              <w:rPr>
                <w:rFonts w:hint="eastAsia" w:ascii="宋体" w:hAnsi="宋体" w:eastAsia="宋体" w:cs="宋体"/>
                <w:color w:val="auto"/>
                <w:sz w:val="24"/>
                <w:szCs w:val="28"/>
                <w:highlight w:val="none"/>
                <w:lang w:val="en-US" w:eastAsia="zh-CN"/>
              </w:rPr>
              <w:t>几</w:t>
            </w:r>
            <w:r>
              <w:rPr>
                <w:rFonts w:hint="eastAsia" w:ascii="宋体" w:hAnsi="宋体" w:eastAsia="宋体" w:cs="宋体"/>
                <w:color w:val="auto"/>
                <w:sz w:val="24"/>
                <w:szCs w:val="28"/>
                <w:highlight w:val="none"/>
              </w:rPr>
              <w:t>年</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2020年1月至今</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(以合同签订时间为准）提供一个公路工程第三方检测业绩的</w:t>
            </w:r>
            <w:r>
              <w:rPr>
                <w:rFonts w:hint="eastAsia" w:ascii="宋体" w:hAnsi="宋体" w:eastAsia="宋体" w:cs="宋体"/>
                <w:color w:val="auto"/>
                <w:sz w:val="24"/>
                <w:szCs w:val="28"/>
                <w:highlight w:val="none"/>
                <w:lang w:eastAsia="zh-CN"/>
              </w:rPr>
              <w:t>得</w:t>
            </w:r>
            <w:r>
              <w:rPr>
                <w:rFonts w:hint="eastAsia" w:ascii="宋体" w:hAnsi="宋体" w:eastAsia="宋体" w:cs="宋体"/>
                <w:color w:val="auto"/>
                <w:sz w:val="24"/>
                <w:szCs w:val="28"/>
                <w:highlight w:val="none"/>
                <w:lang w:val="en-US" w:eastAsia="zh-CN"/>
              </w:rPr>
              <w:t>2</w:t>
            </w:r>
            <w:r>
              <w:rPr>
                <w:rFonts w:hint="eastAsia" w:ascii="宋体" w:hAnsi="宋体" w:eastAsia="宋体" w:cs="宋体"/>
                <w:color w:val="auto"/>
                <w:sz w:val="24"/>
                <w:szCs w:val="28"/>
                <w:highlight w:val="none"/>
              </w:rPr>
              <w:t>分，本项最高</w:t>
            </w:r>
            <w:r>
              <w:rPr>
                <w:rFonts w:hint="eastAsia" w:ascii="宋体" w:hAnsi="宋体" w:eastAsia="宋体" w:cs="宋体"/>
                <w:color w:val="auto"/>
                <w:sz w:val="24"/>
                <w:szCs w:val="28"/>
                <w:highlight w:val="none"/>
                <w:lang w:val="en-US" w:eastAsia="zh-CN"/>
              </w:rPr>
              <w:t>4</w:t>
            </w:r>
            <w:r>
              <w:rPr>
                <w:rFonts w:hint="eastAsia" w:ascii="宋体" w:hAnsi="宋体" w:eastAsia="宋体" w:cs="宋体"/>
                <w:color w:val="auto"/>
                <w:sz w:val="24"/>
                <w:szCs w:val="28"/>
                <w:highlight w:val="none"/>
              </w:rPr>
              <w:t>分。</w:t>
            </w:r>
          </w:p>
          <w:p w14:paraId="20757858">
            <w:pPr>
              <w:widowControl/>
              <w:spacing w:line="520" w:lineRule="exact"/>
              <w:jc w:val="left"/>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须提供检测合同原件</w:t>
            </w:r>
            <w:r>
              <w:rPr>
                <w:rFonts w:hint="eastAsia" w:ascii="宋体" w:hAnsi="宋体" w:eastAsia="宋体" w:cs="宋体"/>
                <w:color w:val="auto"/>
                <w:sz w:val="24"/>
                <w:szCs w:val="28"/>
                <w:highlight w:val="none"/>
                <w:lang w:eastAsia="zh-CN"/>
              </w:rPr>
              <w:t>扫描件</w:t>
            </w:r>
            <w:r>
              <w:rPr>
                <w:rFonts w:hint="eastAsia" w:ascii="宋体" w:hAnsi="宋体" w:eastAsia="宋体" w:cs="宋体"/>
                <w:color w:val="auto"/>
                <w:sz w:val="24"/>
                <w:szCs w:val="28"/>
                <w:highlight w:val="none"/>
              </w:rPr>
              <w:t>，否则不得分。</w:t>
            </w:r>
          </w:p>
        </w:tc>
        <w:tc>
          <w:tcPr>
            <w:tcW w:w="604" w:type="pct"/>
            <w:tcBorders>
              <w:top w:val="single" w:color="auto" w:sz="4" w:space="0"/>
              <w:left w:val="single" w:color="auto" w:sz="4" w:space="0"/>
              <w:bottom w:val="single" w:color="auto" w:sz="4" w:space="0"/>
              <w:right w:val="single" w:color="auto" w:sz="4" w:space="0"/>
            </w:tcBorders>
            <w:vAlign w:val="center"/>
          </w:tcPr>
          <w:p w14:paraId="5608A6B7">
            <w:pPr>
              <w:spacing w:line="52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0-</w:t>
            </w:r>
            <w:r>
              <w:rPr>
                <w:rFonts w:hint="eastAsia" w:asciiTheme="minorEastAsia" w:hAnsiTheme="minorEastAsia" w:eastAsiaTheme="minorEastAsia"/>
                <w:color w:val="auto"/>
                <w:sz w:val="24"/>
                <w:szCs w:val="24"/>
                <w:highlight w:val="none"/>
                <w:lang w:val="en-US" w:eastAsia="zh-CN"/>
              </w:rPr>
              <w:t>4</w:t>
            </w:r>
            <w:r>
              <w:rPr>
                <w:rFonts w:hint="eastAsia" w:asciiTheme="minorEastAsia" w:hAnsiTheme="minorEastAsia" w:eastAsiaTheme="minorEastAsia"/>
                <w:color w:val="auto"/>
                <w:sz w:val="24"/>
                <w:szCs w:val="24"/>
                <w:highlight w:val="none"/>
              </w:rPr>
              <w:t>分</w:t>
            </w:r>
          </w:p>
        </w:tc>
      </w:tr>
      <w:tr w14:paraId="3A31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pct"/>
            <w:vMerge w:val="continue"/>
            <w:tcBorders>
              <w:left w:val="single" w:color="auto" w:sz="4" w:space="0"/>
              <w:right w:val="single" w:color="auto" w:sz="4" w:space="0"/>
            </w:tcBorders>
            <w:vAlign w:val="center"/>
          </w:tcPr>
          <w:p w14:paraId="566F396E">
            <w:pPr>
              <w:spacing w:line="520" w:lineRule="exact"/>
              <w:jc w:val="center"/>
              <w:rPr>
                <w:rFonts w:hint="eastAsia" w:asciiTheme="minorEastAsia" w:hAnsiTheme="minorEastAsia" w:eastAsiaTheme="minorEastAsia"/>
                <w:color w:val="auto"/>
                <w:sz w:val="24"/>
                <w:szCs w:val="24"/>
                <w:highlight w:val="none"/>
              </w:rPr>
            </w:pPr>
          </w:p>
        </w:tc>
        <w:tc>
          <w:tcPr>
            <w:tcW w:w="726" w:type="pct"/>
            <w:vMerge w:val="restart"/>
            <w:tcBorders>
              <w:top w:val="single" w:color="auto" w:sz="4" w:space="0"/>
              <w:left w:val="single" w:color="auto" w:sz="4" w:space="0"/>
              <w:right w:val="single" w:color="auto" w:sz="4" w:space="0"/>
            </w:tcBorders>
            <w:vAlign w:val="center"/>
          </w:tcPr>
          <w:p w14:paraId="0D02A630">
            <w:pPr>
              <w:pStyle w:val="80"/>
              <w:spacing w:before="123" w:line="225" w:lineRule="auto"/>
              <w:jc w:val="center"/>
              <w:rPr>
                <w:rFonts w:hint="eastAsia" w:cs="@仿宋_GB2312" w:asciiTheme="minorEastAsia" w:hAnsiTheme="minorEastAsia" w:eastAsiaTheme="minorEastAsia"/>
                <w:bCs/>
                <w:color w:val="auto"/>
                <w:kern w:val="2"/>
                <w:sz w:val="24"/>
                <w:szCs w:val="24"/>
                <w:highlight w:val="none"/>
                <w:lang w:val="en-US" w:eastAsia="zh-CN" w:bidi="ar-SA"/>
              </w:rPr>
            </w:pPr>
            <w:r>
              <w:rPr>
                <w:rFonts w:hint="eastAsia" w:cs="@仿宋_GB2312" w:asciiTheme="minorEastAsia" w:hAnsiTheme="minorEastAsia" w:eastAsiaTheme="minorEastAsia"/>
                <w:bCs/>
                <w:color w:val="auto"/>
                <w:kern w:val="2"/>
                <w:sz w:val="24"/>
                <w:szCs w:val="24"/>
                <w:highlight w:val="none"/>
                <w:lang w:val="en-US" w:eastAsia="zh-CN" w:bidi="ar-SA"/>
              </w:rPr>
              <w:t>人员配置</w:t>
            </w:r>
          </w:p>
          <w:p w14:paraId="4E4E3A57">
            <w:pPr>
              <w:pStyle w:val="80"/>
              <w:spacing w:before="123" w:line="225" w:lineRule="auto"/>
              <w:jc w:val="center"/>
              <w:rPr>
                <w:rFonts w:hint="eastAsia" w:cs="@仿宋_GB2312" w:asciiTheme="minorEastAsia" w:hAnsiTheme="minorEastAsia" w:eastAsiaTheme="minorEastAsia"/>
                <w:bCs/>
                <w:color w:val="auto"/>
                <w:kern w:val="2"/>
                <w:sz w:val="24"/>
                <w:szCs w:val="24"/>
                <w:highlight w:val="none"/>
                <w:lang w:val="en-US" w:eastAsia="zh-CN" w:bidi="ar-SA"/>
              </w:rPr>
            </w:pPr>
            <w:r>
              <w:rPr>
                <w:rFonts w:hint="eastAsia" w:cs="@仿宋_GB2312" w:asciiTheme="minorEastAsia" w:hAnsiTheme="minorEastAsia" w:eastAsiaTheme="minorEastAsia"/>
                <w:bCs/>
                <w:color w:val="auto"/>
                <w:kern w:val="2"/>
                <w:sz w:val="24"/>
                <w:szCs w:val="24"/>
                <w:highlight w:val="none"/>
                <w:lang w:val="en-US" w:eastAsia="zh-CN" w:bidi="ar-SA"/>
              </w:rPr>
              <w:t>（4分）</w:t>
            </w:r>
          </w:p>
          <w:p w14:paraId="5CA3BD09">
            <w:pPr>
              <w:spacing w:line="360" w:lineRule="auto"/>
              <w:jc w:val="center"/>
              <w:rPr>
                <w:rFonts w:hint="eastAsia" w:asciiTheme="minorEastAsia" w:hAnsiTheme="minorEastAsia" w:eastAsiaTheme="minorEastAsia"/>
                <w:bCs/>
                <w:color w:val="auto"/>
                <w:sz w:val="24"/>
                <w:szCs w:val="24"/>
                <w:highlight w:val="none"/>
              </w:rPr>
            </w:pPr>
          </w:p>
        </w:tc>
        <w:tc>
          <w:tcPr>
            <w:tcW w:w="3091" w:type="pct"/>
            <w:tcBorders>
              <w:top w:val="single" w:color="auto" w:sz="4" w:space="0"/>
              <w:left w:val="single" w:color="auto" w:sz="4" w:space="0"/>
              <w:bottom w:val="single" w:color="auto" w:sz="4" w:space="0"/>
              <w:right w:val="single" w:color="auto" w:sz="4" w:space="0"/>
            </w:tcBorders>
            <w:shd w:val="clear" w:color="auto" w:fill="auto"/>
            <w:vAlign w:val="top"/>
          </w:tcPr>
          <w:p w14:paraId="53916E1B">
            <w:pPr>
              <w:pStyle w:val="80"/>
              <w:spacing w:before="109" w:line="240" w:lineRule="auto"/>
              <w:ind w:left="125"/>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kern w:val="2"/>
                <w:sz w:val="24"/>
                <w:szCs w:val="28"/>
                <w:highlight w:val="none"/>
                <w:lang w:val="en-US" w:eastAsia="zh-CN" w:bidi="ar-SA"/>
              </w:rPr>
              <w:t>拟为本项目配备的项目负责人（1 人）：</w:t>
            </w:r>
          </w:p>
          <w:p w14:paraId="19365924">
            <w:pPr>
              <w:pStyle w:val="80"/>
              <w:spacing w:line="240" w:lineRule="auto"/>
              <w:ind w:left="143"/>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kern w:val="2"/>
                <w:sz w:val="24"/>
                <w:szCs w:val="28"/>
                <w:highlight w:val="none"/>
                <w:lang w:val="en-US" w:eastAsia="zh-CN" w:bidi="ar-SA"/>
              </w:rPr>
              <w:t>1）具有工程师职称，得 1 分；</w:t>
            </w:r>
          </w:p>
          <w:p w14:paraId="7463A001">
            <w:pPr>
              <w:pStyle w:val="80"/>
              <w:spacing w:before="171" w:line="240" w:lineRule="auto"/>
              <w:ind w:left="128"/>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kern w:val="2"/>
                <w:sz w:val="24"/>
                <w:szCs w:val="28"/>
                <w:highlight w:val="none"/>
                <w:lang w:val="en-US" w:eastAsia="zh-CN" w:bidi="ar-SA"/>
              </w:rPr>
              <w:t>2）具有高级工程师及以上职称，得 2分。</w:t>
            </w:r>
          </w:p>
          <w:p w14:paraId="0966A6D3">
            <w:pPr>
              <w:pStyle w:val="80"/>
              <w:spacing w:line="240" w:lineRule="auto"/>
              <w:ind w:left="126" w:leftChars="0"/>
              <w:rPr>
                <w:rFonts w:hint="eastAsia" w:ascii="Arial" w:hAnsi="Arial" w:eastAsia="Arial" w:cs="Arial"/>
                <w:color w:val="auto"/>
                <w:kern w:val="2"/>
                <w:sz w:val="21"/>
                <w:szCs w:val="21"/>
                <w:highlight w:val="none"/>
                <w:lang w:val="en-US" w:eastAsia="en-US" w:bidi="ar-SA"/>
              </w:rPr>
            </w:pPr>
            <w:r>
              <w:rPr>
                <w:rFonts w:hint="eastAsia" w:ascii="宋体" w:hAnsi="宋体" w:eastAsia="宋体" w:cs="宋体"/>
                <w:color w:val="auto"/>
                <w:kern w:val="2"/>
                <w:sz w:val="24"/>
                <w:szCs w:val="28"/>
                <w:highlight w:val="none"/>
                <w:lang w:val="en-US" w:eastAsia="zh-CN" w:bidi="ar-SA"/>
              </w:rPr>
              <w:t>本小项最多得 2 分。</w:t>
            </w:r>
          </w:p>
        </w:tc>
        <w:tc>
          <w:tcPr>
            <w:tcW w:w="604" w:type="pct"/>
            <w:tcBorders>
              <w:top w:val="single" w:color="auto" w:sz="4" w:space="0"/>
              <w:left w:val="single" w:color="auto" w:sz="4" w:space="0"/>
              <w:bottom w:val="single" w:color="auto" w:sz="4" w:space="0"/>
              <w:right w:val="single" w:color="auto" w:sz="4" w:space="0"/>
            </w:tcBorders>
            <w:shd w:val="clear" w:color="auto" w:fill="auto"/>
            <w:vAlign w:val="top"/>
          </w:tcPr>
          <w:p w14:paraId="446E80CD">
            <w:pPr>
              <w:spacing w:line="244" w:lineRule="auto"/>
              <w:rPr>
                <w:rFonts w:ascii="Arial"/>
                <w:color w:val="auto"/>
                <w:sz w:val="21"/>
                <w:highlight w:val="none"/>
              </w:rPr>
            </w:pPr>
          </w:p>
          <w:p w14:paraId="5ECC2012">
            <w:pPr>
              <w:spacing w:line="520" w:lineRule="exact"/>
              <w:jc w:val="center"/>
              <w:rPr>
                <w:rFonts w:hint="eastAsia" w:ascii="Arial" w:hAnsi="Arial" w:eastAsia="Arial" w:cs="Arial"/>
                <w:color w:val="auto"/>
                <w:kern w:val="2"/>
                <w:sz w:val="21"/>
                <w:szCs w:val="21"/>
                <w:highlight w:val="none"/>
                <w:lang w:val="en-US" w:eastAsia="en-US" w:bidi="ar-SA"/>
              </w:rPr>
            </w:pPr>
            <w:r>
              <w:rPr>
                <w:rFonts w:hint="eastAsia" w:asciiTheme="minorEastAsia" w:hAnsiTheme="minorEastAsia" w:eastAsiaTheme="minorEastAsia"/>
                <w:color w:val="auto"/>
                <w:sz w:val="24"/>
                <w:szCs w:val="24"/>
                <w:highlight w:val="none"/>
              </w:rPr>
              <w:t>0-</w:t>
            </w:r>
            <w:r>
              <w:rPr>
                <w:rFonts w:hint="eastAsia" w:asciiTheme="minorEastAsia" w:hAnsiTheme="minorEastAsia" w:eastAsiaTheme="minorEastAsia"/>
                <w:color w:val="auto"/>
                <w:sz w:val="24"/>
                <w:szCs w:val="24"/>
                <w:highlight w:val="none"/>
                <w:lang w:val="en-US" w:eastAsia="zh-CN"/>
              </w:rPr>
              <w:t>2</w:t>
            </w:r>
            <w:r>
              <w:rPr>
                <w:rFonts w:hint="eastAsia" w:asciiTheme="minorEastAsia" w:hAnsiTheme="minorEastAsia" w:eastAsiaTheme="minorEastAsia"/>
                <w:color w:val="auto"/>
                <w:sz w:val="24"/>
                <w:szCs w:val="24"/>
                <w:highlight w:val="none"/>
              </w:rPr>
              <w:t xml:space="preserve"> 分</w:t>
            </w:r>
          </w:p>
        </w:tc>
      </w:tr>
      <w:tr w14:paraId="01F8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pct"/>
            <w:vMerge w:val="continue"/>
            <w:tcBorders>
              <w:left w:val="single" w:color="auto" w:sz="4" w:space="0"/>
              <w:right w:val="single" w:color="auto" w:sz="4" w:space="0"/>
            </w:tcBorders>
            <w:vAlign w:val="center"/>
          </w:tcPr>
          <w:p w14:paraId="41A63CAB">
            <w:pPr>
              <w:spacing w:line="520" w:lineRule="exact"/>
              <w:jc w:val="center"/>
              <w:rPr>
                <w:rFonts w:hint="eastAsia" w:asciiTheme="minorEastAsia" w:hAnsiTheme="minorEastAsia" w:eastAsiaTheme="minorEastAsia"/>
                <w:color w:val="auto"/>
                <w:sz w:val="24"/>
                <w:szCs w:val="24"/>
                <w:highlight w:val="none"/>
              </w:rPr>
            </w:pPr>
          </w:p>
        </w:tc>
        <w:tc>
          <w:tcPr>
            <w:tcW w:w="726" w:type="pct"/>
            <w:vMerge w:val="continue"/>
            <w:tcBorders>
              <w:left w:val="single" w:color="auto" w:sz="4" w:space="0"/>
              <w:bottom w:val="single" w:color="auto" w:sz="4" w:space="0"/>
              <w:right w:val="single" w:color="auto" w:sz="4" w:space="0"/>
            </w:tcBorders>
            <w:vAlign w:val="center"/>
          </w:tcPr>
          <w:p w14:paraId="30799359">
            <w:pPr>
              <w:spacing w:line="360" w:lineRule="auto"/>
              <w:jc w:val="center"/>
              <w:rPr>
                <w:rFonts w:hint="eastAsia" w:asciiTheme="minorEastAsia" w:hAnsiTheme="minorEastAsia" w:eastAsiaTheme="minorEastAsia"/>
                <w:bCs/>
                <w:color w:val="auto"/>
                <w:sz w:val="24"/>
                <w:szCs w:val="24"/>
                <w:highlight w:val="none"/>
              </w:rPr>
            </w:pPr>
          </w:p>
        </w:tc>
        <w:tc>
          <w:tcPr>
            <w:tcW w:w="3091" w:type="pct"/>
            <w:tcBorders>
              <w:top w:val="single" w:color="auto" w:sz="4" w:space="0"/>
              <w:left w:val="single" w:color="auto" w:sz="4" w:space="0"/>
              <w:bottom w:val="single" w:color="auto" w:sz="4" w:space="0"/>
              <w:right w:val="single" w:color="auto" w:sz="4" w:space="0"/>
            </w:tcBorders>
            <w:vAlign w:val="center"/>
          </w:tcPr>
          <w:p w14:paraId="6E2D5531">
            <w:pPr>
              <w:widowControl/>
              <w:spacing w:line="520" w:lineRule="exact"/>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除项目负责人外，其他检测工程师应具有公路工程试验检测师证书</w:t>
            </w:r>
            <w:r>
              <w:rPr>
                <w:rFonts w:hint="eastAsia" w:ascii="宋体" w:hAnsi="宋体" w:eastAsia="宋体" w:cs="宋体"/>
                <w:color w:val="auto"/>
                <w:sz w:val="24"/>
                <w:szCs w:val="28"/>
                <w:highlight w:val="none"/>
                <w:lang w:eastAsia="zh-CN"/>
              </w:rPr>
              <w:t>，每提供 1 名具有道路工程专业试验检测工程师，得 1 分， 最多得 2 分；</w:t>
            </w:r>
          </w:p>
        </w:tc>
        <w:tc>
          <w:tcPr>
            <w:tcW w:w="604" w:type="pct"/>
            <w:tcBorders>
              <w:top w:val="single" w:color="auto" w:sz="4" w:space="0"/>
              <w:left w:val="single" w:color="auto" w:sz="4" w:space="0"/>
              <w:bottom w:val="single" w:color="auto" w:sz="4" w:space="0"/>
              <w:right w:val="single" w:color="auto" w:sz="4" w:space="0"/>
            </w:tcBorders>
            <w:vAlign w:val="center"/>
          </w:tcPr>
          <w:p w14:paraId="09F189D7">
            <w:pPr>
              <w:spacing w:line="520" w:lineRule="exact"/>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0-</w:t>
            </w:r>
            <w:r>
              <w:rPr>
                <w:rFonts w:hint="eastAsia" w:asciiTheme="minorEastAsia" w:hAnsiTheme="minorEastAsia" w:eastAsiaTheme="minorEastAsia"/>
                <w:color w:val="auto"/>
                <w:sz w:val="24"/>
                <w:szCs w:val="24"/>
                <w:highlight w:val="none"/>
                <w:lang w:val="en-US" w:eastAsia="zh-CN"/>
              </w:rPr>
              <w:t>2</w:t>
            </w:r>
            <w:r>
              <w:rPr>
                <w:rFonts w:hint="eastAsia" w:asciiTheme="minorEastAsia" w:hAnsiTheme="minorEastAsia" w:eastAsiaTheme="minorEastAsia"/>
                <w:color w:val="auto"/>
                <w:sz w:val="24"/>
                <w:szCs w:val="24"/>
                <w:highlight w:val="none"/>
              </w:rPr>
              <w:t xml:space="preserve"> 分</w:t>
            </w:r>
          </w:p>
        </w:tc>
      </w:tr>
      <w:tr w14:paraId="1C67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pct"/>
            <w:vMerge w:val="restart"/>
            <w:tcBorders>
              <w:left w:val="single" w:color="auto" w:sz="4" w:space="0"/>
              <w:right w:val="single" w:color="auto" w:sz="4" w:space="0"/>
            </w:tcBorders>
            <w:vAlign w:val="center"/>
          </w:tcPr>
          <w:p w14:paraId="2AC31F32">
            <w:pPr>
              <w:spacing w:line="52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技术分</w:t>
            </w:r>
          </w:p>
          <w:p w14:paraId="1820B39E">
            <w:pPr>
              <w:spacing w:line="520" w:lineRule="exact"/>
              <w:jc w:val="center"/>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0分）</w:t>
            </w:r>
          </w:p>
        </w:tc>
        <w:tc>
          <w:tcPr>
            <w:tcW w:w="726" w:type="pct"/>
            <w:tcBorders>
              <w:top w:val="single" w:color="auto" w:sz="4" w:space="0"/>
              <w:left w:val="single" w:color="auto" w:sz="4" w:space="0"/>
              <w:bottom w:val="single" w:color="auto" w:sz="4" w:space="0"/>
              <w:right w:val="single" w:color="auto" w:sz="4" w:space="0"/>
            </w:tcBorders>
            <w:shd w:val="clear" w:color="auto" w:fill="auto"/>
            <w:vAlign w:val="center"/>
          </w:tcPr>
          <w:p w14:paraId="34CA5D1F">
            <w:pPr>
              <w:widowControl/>
              <w:spacing w:line="520" w:lineRule="exact"/>
              <w:jc w:val="center"/>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整体服务</w:t>
            </w:r>
          </w:p>
          <w:p w14:paraId="1F5DCB54">
            <w:pPr>
              <w:widowControl/>
              <w:spacing w:line="520" w:lineRule="exact"/>
              <w:jc w:val="center"/>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lang w:val="en-US" w:eastAsia="zh-CN"/>
              </w:rPr>
              <w:t>方案</w:t>
            </w:r>
          </w:p>
        </w:tc>
        <w:tc>
          <w:tcPr>
            <w:tcW w:w="3091" w:type="pct"/>
            <w:tcBorders>
              <w:top w:val="single" w:color="auto" w:sz="4" w:space="0"/>
              <w:left w:val="single" w:color="auto" w:sz="4" w:space="0"/>
              <w:bottom w:val="single" w:color="auto" w:sz="4" w:space="0"/>
              <w:right w:val="single" w:color="auto" w:sz="4" w:space="0"/>
            </w:tcBorders>
            <w:shd w:val="clear" w:color="auto" w:fill="auto"/>
            <w:vAlign w:val="center"/>
          </w:tcPr>
          <w:p w14:paraId="4984090F">
            <w:pPr>
              <w:widowControl/>
              <w:spacing w:line="520" w:lineRule="exact"/>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根据本项目服务需求，投标人提供整体服务方案进行评审：</w:t>
            </w:r>
          </w:p>
          <w:p w14:paraId="7902F14D">
            <w:pPr>
              <w:widowControl/>
              <w:spacing w:line="520" w:lineRule="exact"/>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①整体服务方案理解深刻，总体思路清晰，方案具体详实，定位准确，工作目标、内容和要求分析合理、全面的，得5分；</w:t>
            </w:r>
          </w:p>
          <w:p w14:paraId="66139BF2">
            <w:pPr>
              <w:widowControl/>
              <w:spacing w:line="520" w:lineRule="exact"/>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②整体服务方案理解全面，总体思路清晰，定位准确，工作目标、内容和要求分析合理，满足本项目采购需求的，得4分；</w:t>
            </w:r>
          </w:p>
          <w:p w14:paraId="5E420910">
            <w:pPr>
              <w:widowControl/>
              <w:spacing w:line="520" w:lineRule="exact"/>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③整体服务方案理解思路清晰但内容有所欠缺需要进一步完善的得3分；</w:t>
            </w:r>
          </w:p>
          <w:p w14:paraId="301DCB32">
            <w:pPr>
              <w:widowControl/>
              <w:spacing w:line="520" w:lineRule="exact"/>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④未提供的不得分。</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275DEACA">
            <w:pPr>
              <w:widowControl/>
              <w:spacing w:line="520" w:lineRule="exact"/>
              <w:jc w:val="center"/>
              <w:textAlignment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0-5分</w:t>
            </w:r>
          </w:p>
        </w:tc>
      </w:tr>
      <w:tr w14:paraId="29CB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pct"/>
            <w:vMerge w:val="continue"/>
            <w:tcBorders>
              <w:left w:val="single" w:color="auto" w:sz="4" w:space="0"/>
              <w:right w:val="single" w:color="auto" w:sz="4" w:space="0"/>
            </w:tcBorders>
            <w:vAlign w:val="center"/>
          </w:tcPr>
          <w:p w14:paraId="4CF0232C">
            <w:pPr>
              <w:spacing w:line="520" w:lineRule="exact"/>
              <w:jc w:val="center"/>
              <w:rPr>
                <w:rFonts w:ascii="宋体" w:hAnsi="宋体" w:eastAsia="宋体" w:cs="宋体"/>
                <w:color w:val="auto"/>
                <w:sz w:val="24"/>
                <w:szCs w:val="24"/>
                <w:highlight w:val="none"/>
              </w:rPr>
            </w:pPr>
          </w:p>
        </w:tc>
        <w:tc>
          <w:tcPr>
            <w:tcW w:w="726" w:type="pct"/>
            <w:tcBorders>
              <w:top w:val="single" w:color="auto" w:sz="4" w:space="0"/>
              <w:left w:val="single" w:color="auto" w:sz="4" w:space="0"/>
              <w:right w:val="single" w:color="auto" w:sz="4" w:space="0"/>
            </w:tcBorders>
            <w:shd w:val="clear" w:color="auto" w:fill="auto"/>
            <w:vAlign w:val="center"/>
          </w:tcPr>
          <w:p w14:paraId="5AD9A336">
            <w:pPr>
              <w:widowControl/>
              <w:spacing w:line="520" w:lineRule="exact"/>
              <w:jc w:val="center"/>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lang w:val="en-US" w:eastAsia="zh-CN"/>
              </w:rPr>
              <w:t>检测工作服务内容（频率、方法、目标）及保证措施</w:t>
            </w:r>
          </w:p>
        </w:tc>
        <w:tc>
          <w:tcPr>
            <w:tcW w:w="3091" w:type="pct"/>
            <w:tcBorders>
              <w:top w:val="single" w:color="auto" w:sz="4" w:space="0"/>
              <w:left w:val="single" w:color="auto" w:sz="4" w:space="0"/>
              <w:bottom w:val="single" w:color="auto" w:sz="4" w:space="0"/>
              <w:right w:val="single" w:color="auto" w:sz="4" w:space="0"/>
            </w:tcBorders>
            <w:shd w:val="clear" w:color="auto" w:fill="auto"/>
            <w:vAlign w:val="center"/>
          </w:tcPr>
          <w:p w14:paraId="2AA2067A">
            <w:pPr>
              <w:widowControl/>
              <w:spacing w:line="520" w:lineRule="exact"/>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 xml:space="preserve">检测工作服务服务内容（含检测频率、检测方法、检测目标）、专门的质量技术管理班子和制度，质量技术保证措施、自控体系；确保质量验收合格措施等方面进行评审： </w:t>
            </w:r>
          </w:p>
          <w:p w14:paraId="26AD62F6">
            <w:pPr>
              <w:widowControl/>
              <w:spacing w:line="520" w:lineRule="exact"/>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 xml:space="preserve">①目标明确具体、制度合理、内容完善且详细、各项措施全面可行，得5分； </w:t>
            </w:r>
          </w:p>
          <w:p w14:paraId="21E6576A">
            <w:pPr>
              <w:widowControl/>
              <w:spacing w:line="520" w:lineRule="exact"/>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 xml:space="preserve">②目标清晰、制度合理、内容完善、各项措施可行，满足采购需求的得4分； </w:t>
            </w:r>
          </w:p>
          <w:p w14:paraId="2E9AEDC7">
            <w:pPr>
              <w:widowControl/>
              <w:spacing w:line="520" w:lineRule="exact"/>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 xml:space="preserve">③目标清晰、制度合理、但内容需要进一步完善的，得3分； </w:t>
            </w:r>
          </w:p>
          <w:p w14:paraId="47842261">
            <w:pPr>
              <w:widowControl/>
              <w:spacing w:line="520" w:lineRule="exact"/>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④未提供的不得分</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0D25FE2E">
            <w:pPr>
              <w:widowControl/>
              <w:spacing w:line="520" w:lineRule="exact"/>
              <w:jc w:val="center"/>
              <w:textAlignment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0-5分</w:t>
            </w:r>
          </w:p>
        </w:tc>
      </w:tr>
      <w:tr w14:paraId="3E33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pct"/>
            <w:vMerge w:val="continue"/>
            <w:tcBorders>
              <w:left w:val="single" w:color="auto" w:sz="4" w:space="0"/>
              <w:right w:val="single" w:color="auto" w:sz="4" w:space="0"/>
            </w:tcBorders>
            <w:vAlign w:val="center"/>
          </w:tcPr>
          <w:p w14:paraId="7354D6AE">
            <w:pPr>
              <w:spacing w:line="520" w:lineRule="exact"/>
              <w:jc w:val="center"/>
              <w:rPr>
                <w:rFonts w:ascii="宋体" w:hAnsi="宋体" w:eastAsia="宋体" w:cs="宋体"/>
                <w:color w:val="auto"/>
                <w:sz w:val="24"/>
                <w:szCs w:val="24"/>
                <w:highlight w:val="none"/>
              </w:rPr>
            </w:pPr>
          </w:p>
        </w:tc>
        <w:tc>
          <w:tcPr>
            <w:tcW w:w="726" w:type="pct"/>
            <w:tcBorders>
              <w:left w:val="single" w:color="auto" w:sz="4" w:space="0"/>
              <w:right w:val="single" w:color="auto" w:sz="4" w:space="0"/>
            </w:tcBorders>
            <w:shd w:val="clear" w:color="auto" w:fill="auto"/>
            <w:vAlign w:val="center"/>
          </w:tcPr>
          <w:p w14:paraId="7C4E6378">
            <w:pPr>
              <w:widowControl/>
              <w:spacing w:line="520" w:lineRule="exact"/>
              <w:jc w:val="center"/>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检测机构</w:t>
            </w:r>
          </w:p>
          <w:p w14:paraId="4033825D">
            <w:pPr>
              <w:widowControl/>
              <w:spacing w:line="520" w:lineRule="exact"/>
              <w:jc w:val="center"/>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lang w:val="en-US" w:eastAsia="zh-CN"/>
              </w:rPr>
              <w:t>设置</w:t>
            </w:r>
          </w:p>
        </w:tc>
        <w:tc>
          <w:tcPr>
            <w:tcW w:w="3091" w:type="pct"/>
            <w:tcBorders>
              <w:top w:val="single" w:color="auto" w:sz="4" w:space="0"/>
              <w:left w:val="single" w:color="auto" w:sz="4" w:space="0"/>
              <w:bottom w:val="single" w:color="auto" w:sz="4" w:space="0"/>
              <w:right w:val="single" w:color="auto" w:sz="4" w:space="0"/>
            </w:tcBorders>
            <w:shd w:val="clear" w:color="auto" w:fill="auto"/>
            <w:vAlign w:val="center"/>
          </w:tcPr>
          <w:p w14:paraId="2FACDE6E">
            <w:pPr>
              <w:widowControl/>
              <w:spacing w:line="520" w:lineRule="exact"/>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根据本项目服务需求，投标人提供检测机构设置方案进行评审：</w:t>
            </w:r>
          </w:p>
          <w:p w14:paraId="4667832F">
            <w:pPr>
              <w:widowControl/>
              <w:spacing w:line="520" w:lineRule="exact"/>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①检测机构设置齐全，</w:t>
            </w:r>
            <w:r>
              <w:rPr>
                <w:rFonts w:hint="eastAsia" w:ascii="宋体" w:hAnsi="宋体" w:eastAsia="宋体" w:cs="宋体"/>
                <w:color w:val="auto"/>
                <w:sz w:val="24"/>
                <w:szCs w:val="28"/>
                <w:highlight w:val="none"/>
              </w:rPr>
              <w:t>有详细计划且计划周密，设备数量</w:t>
            </w:r>
            <w:r>
              <w:rPr>
                <w:rFonts w:hint="eastAsia" w:ascii="宋体" w:hAnsi="宋体" w:eastAsia="宋体" w:cs="宋体"/>
                <w:color w:val="auto"/>
                <w:sz w:val="24"/>
                <w:szCs w:val="28"/>
                <w:highlight w:val="none"/>
                <w:lang w:val="en-US" w:eastAsia="zh-CN"/>
              </w:rPr>
              <w:t>充足</w:t>
            </w:r>
            <w:r>
              <w:rPr>
                <w:rFonts w:hint="eastAsia" w:ascii="宋体" w:hAnsi="宋体" w:eastAsia="宋体" w:cs="宋体"/>
                <w:color w:val="auto"/>
                <w:sz w:val="24"/>
                <w:szCs w:val="28"/>
                <w:highlight w:val="none"/>
              </w:rPr>
              <w:t>、选型配置、进场数量、时间合理</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 xml:space="preserve">符合本项目采购需求的，得5分； </w:t>
            </w:r>
          </w:p>
          <w:p w14:paraId="2F3DA5C0">
            <w:pPr>
              <w:widowControl/>
              <w:spacing w:line="520" w:lineRule="exact"/>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②检测机构设置完善、齐全，</w:t>
            </w:r>
            <w:r>
              <w:rPr>
                <w:rFonts w:hint="eastAsia" w:ascii="宋体" w:hAnsi="宋体" w:eastAsia="宋体" w:cs="宋体"/>
                <w:color w:val="auto"/>
                <w:sz w:val="24"/>
                <w:szCs w:val="28"/>
                <w:highlight w:val="none"/>
              </w:rPr>
              <w:t>计划</w:t>
            </w:r>
            <w:r>
              <w:rPr>
                <w:rFonts w:hint="eastAsia" w:ascii="宋体" w:hAnsi="宋体" w:eastAsia="宋体" w:cs="宋体"/>
                <w:color w:val="auto"/>
                <w:sz w:val="24"/>
                <w:szCs w:val="28"/>
                <w:highlight w:val="none"/>
                <w:lang w:val="en-US" w:eastAsia="zh-CN"/>
              </w:rPr>
              <w:t>完整</w:t>
            </w:r>
            <w:r>
              <w:rPr>
                <w:rFonts w:hint="eastAsia" w:ascii="宋体" w:hAnsi="宋体" w:eastAsia="宋体" w:cs="宋体"/>
                <w:color w:val="auto"/>
                <w:sz w:val="24"/>
                <w:szCs w:val="28"/>
                <w:highlight w:val="none"/>
              </w:rPr>
              <w:t>，设备数量</w:t>
            </w:r>
            <w:r>
              <w:rPr>
                <w:rFonts w:hint="eastAsia" w:ascii="宋体" w:hAnsi="宋体" w:eastAsia="宋体" w:cs="宋体"/>
                <w:color w:val="auto"/>
                <w:sz w:val="24"/>
                <w:szCs w:val="28"/>
                <w:highlight w:val="none"/>
                <w:lang w:val="en-US" w:eastAsia="zh-CN"/>
              </w:rPr>
              <w:t>适中</w:t>
            </w:r>
            <w:r>
              <w:rPr>
                <w:rFonts w:hint="eastAsia" w:ascii="宋体" w:hAnsi="宋体" w:eastAsia="宋体" w:cs="宋体"/>
                <w:color w:val="auto"/>
                <w:sz w:val="24"/>
                <w:szCs w:val="28"/>
                <w:highlight w:val="none"/>
              </w:rPr>
              <w:t>、选型配置、进场数量、时间</w:t>
            </w:r>
            <w:r>
              <w:rPr>
                <w:rFonts w:hint="eastAsia" w:ascii="宋体" w:hAnsi="宋体" w:eastAsia="宋体" w:cs="宋体"/>
                <w:color w:val="auto"/>
                <w:sz w:val="24"/>
                <w:szCs w:val="28"/>
                <w:highlight w:val="none"/>
                <w:lang w:val="en-US" w:eastAsia="zh-CN"/>
              </w:rPr>
              <w:t>安排合理</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 xml:space="preserve">满足本项目采购需求的，得4分； </w:t>
            </w:r>
          </w:p>
          <w:p w14:paraId="5F8D11A9">
            <w:pPr>
              <w:widowControl/>
              <w:spacing w:line="520" w:lineRule="exact"/>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 xml:space="preserve">③检测机构设置有欠缺，安排、计划需要进一步完善的，得3分； </w:t>
            </w:r>
          </w:p>
          <w:p w14:paraId="428A325F">
            <w:pPr>
              <w:widowControl/>
              <w:spacing w:line="520" w:lineRule="exact"/>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④未提供的不得分</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55F00EDC">
            <w:pPr>
              <w:widowControl/>
              <w:spacing w:line="520" w:lineRule="exact"/>
              <w:jc w:val="center"/>
              <w:textAlignment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0-5分</w:t>
            </w:r>
          </w:p>
        </w:tc>
      </w:tr>
      <w:tr w14:paraId="584C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pct"/>
            <w:vMerge w:val="continue"/>
            <w:tcBorders>
              <w:left w:val="single" w:color="auto" w:sz="4" w:space="0"/>
              <w:right w:val="single" w:color="auto" w:sz="4" w:space="0"/>
            </w:tcBorders>
            <w:vAlign w:val="center"/>
          </w:tcPr>
          <w:p w14:paraId="1FCA0B02">
            <w:pPr>
              <w:spacing w:line="520" w:lineRule="exact"/>
              <w:jc w:val="center"/>
              <w:rPr>
                <w:rFonts w:ascii="宋体" w:hAnsi="宋体" w:eastAsia="宋体" w:cs="宋体"/>
                <w:color w:val="auto"/>
                <w:sz w:val="24"/>
                <w:szCs w:val="24"/>
                <w:highlight w:val="none"/>
              </w:rPr>
            </w:pPr>
          </w:p>
        </w:tc>
        <w:tc>
          <w:tcPr>
            <w:tcW w:w="726" w:type="pct"/>
            <w:tcBorders>
              <w:left w:val="single" w:color="auto" w:sz="4" w:space="0"/>
              <w:right w:val="single" w:color="auto" w:sz="4" w:space="0"/>
            </w:tcBorders>
            <w:shd w:val="clear" w:color="auto" w:fill="auto"/>
            <w:vAlign w:val="center"/>
          </w:tcPr>
          <w:p w14:paraId="5604DEED">
            <w:pPr>
              <w:widowControl/>
              <w:spacing w:line="520" w:lineRule="exact"/>
              <w:jc w:val="left"/>
              <w:rPr>
                <w:rFonts w:hint="eastAsia" w:ascii="宋体" w:hAnsi="宋体" w:eastAsia="宋体" w:cs="宋体"/>
                <w:color w:val="auto"/>
                <w:sz w:val="24"/>
                <w:szCs w:val="28"/>
                <w:highlight w:val="none"/>
                <w:lang w:val="en-US" w:eastAsia="zh-CN"/>
              </w:rPr>
            </w:pPr>
          </w:p>
          <w:p w14:paraId="7EA36921">
            <w:pPr>
              <w:widowControl/>
              <w:spacing w:line="520" w:lineRule="exact"/>
              <w:jc w:val="left"/>
              <w:rPr>
                <w:rFonts w:hint="eastAsia" w:ascii="宋体" w:hAnsi="宋体" w:eastAsia="宋体" w:cs="宋体"/>
                <w:color w:val="auto"/>
                <w:sz w:val="24"/>
                <w:szCs w:val="28"/>
                <w:highlight w:val="none"/>
                <w:lang w:val="en-US" w:eastAsia="zh-CN"/>
              </w:rPr>
            </w:pPr>
          </w:p>
          <w:p w14:paraId="5151EECD">
            <w:pPr>
              <w:widowControl/>
              <w:spacing w:line="520" w:lineRule="exact"/>
              <w:jc w:val="left"/>
              <w:rPr>
                <w:rFonts w:hint="eastAsia" w:ascii="宋体" w:hAnsi="宋体" w:eastAsia="宋体" w:cs="宋体"/>
                <w:color w:val="auto"/>
                <w:sz w:val="24"/>
                <w:szCs w:val="28"/>
                <w:highlight w:val="none"/>
                <w:lang w:val="en-US" w:eastAsia="zh-CN"/>
              </w:rPr>
            </w:pPr>
          </w:p>
          <w:p w14:paraId="3B351A8A">
            <w:pPr>
              <w:widowControl/>
              <w:spacing w:line="520" w:lineRule="exact"/>
              <w:jc w:val="center"/>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lang w:val="en-US" w:eastAsia="zh-CN"/>
              </w:rPr>
              <w:t>检测设施、设备投入方案</w:t>
            </w:r>
          </w:p>
        </w:tc>
        <w:tc>
          <w:tcPr>
            <w:tcW w:w="3091" w:type="pct"/>
            <w:tcBorders>
              <w:top w:val="single" w:color="auto" w:sz="4" w:space="0"/>
              <w:left w:val="single" w:color="auto" w:sz="4" w:space="0"/>
              <w:bottom w:val="single" w:color="auto" w:sz="4" w:space="0"/>
              <w:right w:val="single" w:color="auto" w:sz="4" w:space="0"/>
            </w:tcBorders>
            <w:shd w:val="clear" w:color="auto" w:fill="auto"/>
            <w:vAlign w:val="center"/>
          </w:tcPr>
          <w:p w14:paraId="2A4549DF">
            <w:pPr>
              <w:widowControl/>
              <w:spacing w:line="520" w:lineRule="exact"/>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检测投入的主要机械、设备有详细的组织计划且计划周密；设备数量、选型配置、进场时间安排合理，满足检测要求，根据拟投入的主要机械、设备组织计划进行评审：</w:t>
            </w:r>
          </w:p>
          <w:p w14:paraId="12AD5468">
            <w:pPr>
              <w:widowControl/>
              <w:spacing w:line="520" w:lineRule="exact"/>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 xml:space="preserve">①投标供应商拟投入的主要机械、设备计划分项内容齐全，并承诺拟投入的机械、设备针对本项目具有针对性，且符合项目实际情况的得5分； </w:t>
            </w:r>
          </w:p>
          <w:p w14:paraId="17C8EA32">
            <w:pPr>
              <w:widowControl/>
              <w:spacing w:line="520" w:lineRule="exact"/>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 xml:space="preserve">②投标供应商拟投入的主要机械、设备计划分项内容齐全，针对评审内容逐条分析，并制定措施，且符合项目实际情况，无套用、冒用其他项目的情况的得4分； </w:t>
            </w:r>
          </w:p>
          <w:p w14:paraId="242A5BA3">
            <w:pPr>
              <w:widowControl/>
              <w:spacing w:line="520" w:lineRule="exact"/>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 xml:space="preserve">③投标供应商拟投入的主要机械、设备计划分项内容混乱，管理措施描述不清，前后矛盾，部分内容缺失，存在套用、冒用其他项目的情况的得3分； </w:t>
            </w:r>
          </w:p>
          <w:p w14:paraId="22C4B5D3">
            <w:pPr>
              <w:widowControl/>
              <w:spacing w:line="520" w:lineRule="exact"/>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④未提供不得分。</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757560CE">
            <w:pPr>
              <w:widowControl/>
              <w:spacing w:line="520" w:lineRule="exact"/>
              <w:jc w:val="center"/>
              <w:textAlignment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0-5分</w:t>
            </w:r>
          </w:p>
        </w:tc>
      </w:tr>
      <w:tr w14:paraId="5D61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pct"/>
            <w:vMerge w:val="continue"/>
            <w:tcBorders>
              <w:left w:val="single" w:color="auto" w:sz="4" w:space="0"/>
              <w:right w:val="single" w:color="auto" w:sz="4" w:space="0"/>
            </w:tcBorders>
            <w:vAlign w:val="center"/>
          </w:tcPr>
          <w:p w14:paraId="7CC2B22F">
            <w:pPr>
              <w:spacing w:line="520" w:lineRule="exact"/>
              <w:jc w:val="center"/>
              <w:rPr>
                <w:rFonts w:ascii="宋体" w:hAnsi="宋体" w:eastAsia="宋体" w:cs="宋体"/>
                <w:color w:val="auto"/>
                <w:sz w:val="24"/>
                <w:szCs w:val="24"/>
                <w:highlight w:val="none"/>
              </w:rPr>
            </w:pPr>
          </w:p>
        </w:tc>
        <w:tc>
          <w:tcPr>
            <w:tcW w:w="726" w:type="pct"/>
            <w:tcBorders>
              <w:left w:val="single" w:color="auto" w:sz="4" w:space="0"/>
              <w:bottom w:val="single" w:color="auto" w:sz="4" w:space="0"/>
              <w:right w:val="single" w:color="auto" w:sz="4" w:space="0"/>
            </w:tcBorders>
            <w:shd w:val="clear" w:color="auto" w:fill="auto"/>
            <w:vAlign w:val="center"/>
          </w:tcPr>
          <w:p w14:paraId="1C50D1BB">
            <w:pPr>
              <w:widowControl/>
              <w:spacing w:line="520" w:lineRule="exact"/>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lang w:val="en-US" w:eastAsia="zh-CN"/>
              </w:rPr>
              <w:t>检测工作进度计划及保障措施方案</w:t>
            </w:r>
          </w:p>
        </w:tc>
        <w:tc>
          <w:tcPr>
            <w:tcW w:w="3091" w:type="pct"/>
            <w:tcBorders>
              <w:top w:val="single" w:color="auto" w:sz="4" w:space="0"/>
              <w:left w:val="single" w:color="auto" w:sz="4" w:space="0"/>
              <w:bottom w:val="single" w:color="auto" w:sz="4" w:space="0"/>
              <w:right w:val="single" w:color="auto" w:sz="4" w:space="0"/>
            </w:tcBorders>
            <w:shd w:val="clear" w:color="auto" w:fill="auto"/>
            <w:vAlign w:val="center"/>
          </w:tcPr>
          <w:p w14:paraId="2EAE86DE">
            <w:pPr>
              <w:widowControl/>
              <w:spacing w:line="520" w:lineRule="exact"/>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检测工作进度计划及保障措施的详细性、完善性、针对性进行评审：</w:t>
            </w:r>
          </w:p>
          <w:p w14:paraId="35F6B2E3">
            <w:pPr>
              <w:widowControl/>
              <w:spacing w:line="520" w:lineRule="exact"/>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①进度保障措施方案内容非常完整、进度计划及时间节点安排非常合理、整体标准符合项目需求的得5分；</w:t>
            </w:r>
          </w:p>
          <w:p w14:paraId="348158B5">
            <w:pPr>
              <w:widowControl/>
              <w:spacing w:line="520" w:lineRule="exact"/>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②进度保障措施方案内容完善、进度计划及时间节点安排满足要求、整体标准满足项目需求的得4分；</w:t>
            </w:r>
          </w:p>
          <w:p w14:paraId="282B8C9C">
            <w:pPr>
              <w:widowControl/>
              <w:spacing w:line="520" w:lineRule="exact"/>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③进度保障措施方案内容有待提高、计划及时间节点安排不合理的得3分；</w:t>
            </w:r>
          </w:p>
          <w:p w14:paraId="35708437">
            <w:pPr>
              <w:widowControl/>
              <w:spacing w:line="520" w:lineRule="exact"/>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④未提供的不得分</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1ABF694F">
            <w:pPr>
              <w:widowControl/>
              <w:spacing w:line="520" w:lineRule="exact"/>
              <w:jc w:val="center"/>
              <w:textAlignment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0-5分</w:t>
            </w:r>
          </w:p>
        </w:tc>
      </w:tr>
      <w:tr w14:paraId="77D5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pct"/>
            <w:vMerge w:val="continue"/>
            <w:tcBorders>
              <w:left w:val="single" w:color="auto" w:sz="4" w:space="0"/>
              <w:right w:val="single" w:color="auto" w:sz="4" w:space="0"/>
            </w:tcBorders>
            <w:vAlign w:val="center"/>
          </w:tcPr>
          <w:p w14:paraId="74D82070">
            <w:pPr>
              <w:spacing w:line="520" w:lineRule="exact"/>
              <w:jc w:val="center"/>
              <w:rPr>
                <w:rFonts w:ascii="宋体" w:hAnsi="宋体" w:eastAsia="宋体" w:cs="宋体"/>
                <w:color w:val="auto"/>
                <w:sz w:val="24"/>
                <w:szCs w:val="24"/>
                <w:highlight w:val="none"/>
              </w:rPr>
            </w:pPr>
          </w:p>
        </w:tc>
        <w:tc>
          <w:tcPr>
            <w:tcW w:w="726" w:type="pct"/>
            <w:tcBorders>
              <w:top w:val="single" w:color="auto" w:sz="4" w:space="0"/>
              <w:left w:val="single" w:color="auto" w:sz="4" w:space="0"/>
              <w:bottom w:val="single" w:color="auto" w:sz="4" w:space="0"/>
              <w:right w:val="single" w:color="auto" w:sz="4" w:space="0"/>
            </w:tcBorders>
            <w:shd w:val="clear" w:color="auto" w:fill="auto"/>
            <w:vAlign w:val="center"/>
          </w:tcPr>
          <w:p w14:paraId="2639AA0D">
            <w:pPr>
              <w:widowControl/>
              <w:spacing w:line="520" w:lineRule="exact"/>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质量保证控制方案</w:t>
            </w:r>
          </w:p>
        </w:tc>
        <w:tc>
          <w:tcPr>
            <w:tcW w:w="3091" w:type="pct"/>
            <w:tcBorders>
              <w:top w:val="single" w:color="auto" w:sz="4" w:space="0"/>
              <w:left w:val="single" w:color="auto" w:sz="4" w:space="0"/>
              <w:bottom w:val="single" w:color="auto" w:sz="4" w:space="0"/>
              <w:right w:val="single" w:color="auto" w:sz="4" w:space="0"/>
            </w:tcBorders>
            <w:shd w:val="clear" w:color="auto" w:fill="auto"/>
            <w:vAlign w:val="center"/>
          </w:tcPr>
          <w:p w14:paraId="31CF1295">
            <w:pPr>
              <w:widowControl/>
              <w:spacing w:line="520" w:lineRule="exact"/>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投标人提供内部质量控制方案进行评审，包括但不限于技术档案管理制度、成果文件质量控制制度、项目小组工作职责分工等：</w:t>
            </w:r>
          </w:p>
          <w:p w14:paraId="55179EE0">
            <w:pPr>
              <w:widowControl/>
              <w:spacing w:line="520" w:lineRule="exact"/>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 xml:space="preserve">①方案内容完整详实，表述清晰，利于项目实施的得5分； </w:t>
            </w:r>
          </w:p>
          <w:p w14:paraId="140A2FE2">
            <w:pPr>
              <w:widowControl/>
              <w:spacing w:line="520" w:lineRule="exact"/>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 xml:space="preserve">②方案有针对性，内容完整详实，表述清晰，符合项目实施要求的得4分； </w:t>
            </w:r>
          </w:p>
          <w:p w14:paraId="7EA3D606">
            <w:pPr>
              <w:widowControl/>
              <w:spacing w:line="520" w:lineRule="exact"/>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 xml:space="preserve">③方案要点突出不够明显，针对具体细节有待完善的得3分； </w:t>
            </w:r>
          </w:p>
          <w:p w14:paraId="7799F71F">
            <w:pPr>
              <w:widowControl/>
              <w:spacing w:line="520" w:lineRule="exact"/>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 xml:space="preserve">④未提供的不得分。 </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01CA0F3A">
            <w:pPr>
              <w:widowControl/>
              <w:spacing w:line="520" w:lineRule="exact"/>
              <w:jc w:val="center"/>
              <w:textAlignment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0-5分</w:t>
            </w:r>
          </w:p>
        </w:tc>
      </w:tr>
      <w:tr w14:paraId="2E3F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pct"/>
            <w:vMerge w:val="continue"/>
            <w:tcBorders>
              <w:left w:val="single" w:color="auto" w:sz="4" w:space="0"/>
              <w:right w:val="single" w:color="auto" w:sz="4" w:space="0"/>
            </w:tcBorders>
            <w:vAlign w:val="center"/>
          </w:tcPr>
          <w:p w14:paraId="1FDE83EC">
            <w:pPr>
              <w:spacing w:line="520" w:lineRule="exact"/>
              <w:jc w:val="center"/>
              <w:rPr>
                <w:rFonts w:ascii="宋体" w:hAnsi="宋体" w:eastAsia="宋体" w:cs="宋体"/>
                <w:color w:val="auto"/>
                <w:sz w:val="24"/>
                <w:szCs w:val="24"/>
                <w:highlight w:val="none"/>
              </w:rPr>
            </w:pPr>
          </w:p>
        </w:tc>
        <w:tc>
          <w:tcPr>
            <w:tcW w:w="726" w:type="pct"/>
            <w:tcBorders>
              <w:top w:val="single" w:color="auto" w:sz="4" w:space="0"/>
              <w:left w:val="single" w:color="auto" w:sz="4" w:space="0"/>
              <w:bottom w:val="single" w:color="auto" w:sz="4" w:space="0"/>
              <w:right w:val="single" w:color="auto" w:sz="4" w:space="0"/>
            </w:tcBorders>
            <w:vAlign w:val="center"/>
          </w:tcPr>
          <w:p w14:paraId="59604562">
            <w:pPr>
              <w:widowControl/>
              <w:spacing w:line="520" w:lineRule="exact"/>
              <w:jc w:val="center"/>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廉政保证</w:t>
            </w:r>
          </w:p>
          <w:p w14:paraId="78A66DD3">
            <w:pPr>
              <w:widowControl/>
              <w:spacing w:line="520" w:lineRule="exact"/>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措施</w:t>
            </w:r>
          </w:p>
        </w:tc>
        <w:tc>
          <w:tcPr>
            <w:tcW w:w="3091" w:type="pct"/>
            <w:tcBorders>
              <w:top w:val="single" w:color="auto" w:sz="4" w:space="0"/>
              <w:left w:val="single" w:color="auto" w:sz="4" w:space="0"/>
              <w:bottom w:val="single" w:color="auto" w:sz="4" w:space="0"/>
              <w:right w:val="single" w:color="auto" w:sz="4" w:space="0"/>
            </w:tcBorders>
            <w:vAlign w:val="center"/>
          </w:tcPr>
          <w:p w14:paraId="02E09E78">
            <w:pPr>
              <w:widowControl/>
              <w:spacing w:line="520" w:lineRule="exact"/>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 xml:space="preserve">根据投标人提供的廉政保证措施进行评审： </w:t>
            </w:r>
          </w:p>
          <w:p w14:paraId="01D2D597">
            <w:pPr>
              <w:widowControl/>
              <w:spacing w:line="520" w:lineRule="exact"/>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 xml:space="preserve">①廉政保证措施要点突出、针对性强，内容完整详实，表述清晰，利于项目实施的得5分； </w:t>
            </w:r>
          </w:p>
          <w:p w14:paraId="553C3B25">
            <w:pPr>
              <w:widowControl/>
              <w:spacing w:line="520" w:lineRule="exact"/>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 xml:space="preserve">②有针对性，内容完整详实，表述清晰，符合项目实施要求的得4分； </w:t>
            </w:r>
          </w:p>
          <w:p w14:paraId="78DE6571">
            <w:pPr>
              <w:widowControl/>
              <w:spacing w:line="520" w:lineRule="exact"/>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 xml:space="preserve">③要点突出不够明显，针对具体细节有待完善的得3分； </w:t>
            </w:r>
          </w:p>
          <w:p w14:paraId="5EC094C8">
            <w:pPr>
              <w:widowControl/>
              <w:spacing w:line="520" w:lineRule="exact"/>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 xml:space="preserve">④工作内容偏离项目需求、偏离客观现实或未提供的不得分。 </w:t>
            </w:r>
          </w:p>
        </w:tc>
        <w:tc>
          <w:tcPr>
            <w:tcW w:w="604" w:type="pct"/>
            <w:tcBorders>
              <w:top w:val="single" w:color="auto" w:sz="4" w:space="0"/>
              <w:left w:val="single" w:color="auto" w:sz="4" w:space="0"/>
              <w:bottom w:val="single" w:color="auto" w:sz="4" w:space="0"/>
              <w:right w:val="single" w:color="auto" w:sz="4" w:space="0"/>
            </w:tcBorders>
            <w:vAlign w:val="center"/>
          </w:tcPr>
          <w:p w14:paraId="22E387E8">
            <w:pPr>
              <w:widowControl/>
              <w:spacing w:line="520" w:lineRule="exact"/>
              <w:jc w:val="center"/>
              <w:textAlignment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0-5分</w:t>
            </w:r>
          </w:p>
        </w:tc>
      </w:tr>
      <w:tr w14:paraId="1ACB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pct"/>
            <w:tcBorders>
              <w:left w:val="single" w:color="auto" w:sz="4" w:space="0"/>
              <w:right w:val="single" w:color="auto" w:sz="4" w:space="0"/>
            </w:tcBorders>
            <w:vAlign w:val="center"/>
          </w:tcPr>
          <w:p w14:paraId="2CC9714D">
            <w:pPr>
              <w:spacing w:line="520" w:lineRule="exact"/>
              <w:jc w:val="center"/>
              <w:rPr>
                <w:rFonts w:ascii="宋体" w:hAnsi="宋体" w:eastAsia="宋体" w:cs="宋体"/>
                <w:color w:val="auto"/>
                <w:sz w:val="24"/>
                <w:szCs w:val="24"/>
                <w:highlight w:val="none"/>
              </w:rPr>
            </w:pPr>
          </w:p>
        </w:tc>
        <w:tc>
          <w:tcPr>
            <w:tcW w:w="726" w:type="pct"/>
            <w:tcBorders>
              <w:top w:val="single" w:color="auto" w:sz="4" w:space="0"/>
              <w:left w:val="single" w:color="auto" w:sz="4" w:space="0"/>
              <w:bottom w:val="single" w:color="auto" w:sz="4" w:space="0"/>
              <w:right w:val="single" w:color="auto" w:sz="4" w:space="0"/>
            </w:tcBorders>
            <w:vAlign w:val="center"/>
          </w:tcPr>
          <w:p w14:paraId="41A7F4DD">
            <w:pPr>
              <w:widowControl/>
              <w:spacing w:line="520" w:lineRule="exact"/>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重点及保证措施</w:t>
            </w:r>
          </w:p>
        </w:tc>
        <w:tc>
          <w:tcPr>
            <w:tcW w:w="3091" w:type="pct"/>
            <w:tcBorders>
              <w:top w:val="single" w:color="auto" w:sz="4" w:space="0"/>
              <w:left w:val="single" w:color="auto" w:sz="4" w:space="0"/>
              <w:bottom w:val="single" w:color="auto" w:sz="4" w:space="0"/>
              <w:right w:val="single" w:color="auto" w:sz="4" w:space="0"/>
            </w:tcBorders>
            <w:vAlign w:val="center"/>
          </w:tcPr>
          <w:p w14:paraId="1BA56B9E">
            <w:pPr>
              <w:widowControl/>
              <w:spacing w:line="520" w:lineRule="exact"/>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根据投标人提供的服务过程中的关键内容、重点进行阐述，并提出详细的解决方案及控制措施进行评审：</w:t>
            </w:r>
          </w:p>
          <w:p w14:paraId="353378FC">
            <w:pPr>
              <w:widowControl/>
              <w:spacing w:line="520" w:lineRule="exact"/>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①针对本项目特点，详细列出本项目的重点，并且有具体的保证措施。</w:t>
            </w:r>
            <w:r>
              <w:rPr>
                <w:rFonts w:hint="eastAsia" w:ascii="宋体" w:hAnsi="宋体" w:eastAsia="宋体" w:cs="宋体"/>
                <w:color w:val="auto"/>
                <w:sz w:val="24"/>
                <w:szCs w:val="28"/>
                <w:highlight w:val="none"/>
              </w:rPr>
              <w:t>各项措施周全、具体、有效</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有针对性的得5分；</w:t>
            </w:r>
          </w:p>
          <w:p w14:paraId="72839C5E">
            <w:pPr>
              <w:widowControl/>
              <w:spacing w:line="520" w:lineRule="exact"/>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②针对本项目特点，列出本项目的重点，并且有具体的保证措施。</w:t>
            </w:r>
            <w:r>
              <w:rPr>
                <w:rFonts w:hint="eastAsia" w:ascii="宋体" w:hAnsi="宋体" w:eastAsia="宋体" w:cs="宋体"/>
                <w:color w:val="auto"/>
                <w:sz w:val="24"/>
                <w:szCs w:val="28"/>
                <w:highlight w:val="none"/>
              </w:rPr>
              <w:t>各项措施内容</w:t>
            </w:r>
            <w:r>
              <w:rPr>
                <w:rFonts w:hint="eastAsia" w:ascii="宋体" w:hAnsi="宋体" w:eastAsia="宋体" w:cs="宋体"/>
                <w:color w:val="auto"/>
                <w:sz w:val="24"/>
                <w:szCs w:val="28"/>
                <w:highlight w:val="none"/>
                <w:lang w:val="en-US" w:eastAsia="zh-CN"/>
              </w:rPr>
              <w:t>清晰、完善的得4分；</w:t>
            </w:r>
          </w:p>
          <w:p w14:paraId="2E8A2FB1">
            <w:pPr>
              <w:widowControl/>
              <w:spacing w:line="520" w:lineRule="exact"/>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③针对本项目特点，列出本项目的重点，并且有具体的保证措施。但缺项或关键点缺失或出现非专门针对本项目特性内容的得3分；</w:t>
            </w:r>
          </w:p>
          <w:p w14:paraId="50C179A4">
            <w:pPr>
              <w:widowControl/>
              <w:spacing w:line="520" w:lineRule="exact"/>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④不能满足项目实施要求或未提供的不得分。</w:t>
            </w:r>
          </w:p>
        </w:tc>
        <w:tc>
          <w:tcPr>
            <w:tcW w:w="604" w:type="pct"/>
            <w:tcBorders>
              <w:top w:val="single" w:color="auto" w:sz="4" w:space="0"/>
              <w:left w:val="single" w:color="auto" w:sz="4" w:space="0"/>
              <w:bottom w:val="single" w:color="auto" w:sz="4" w:space="0"/>
              <w:right w:val="single" w:color="auto" w:sz="4" w:space="0"/>
            </w:tcBorders>
            <w:vAlign w:val="center"/>
          </w:tcPr>
          <w:p w14:paraId="4310332D">
            <w:pPr>
              <w:widowControl/>
              <w:spacing w:line="52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0-5分</w:t>
            </w:r>
          </w:p>
        </w:tc>
      </w:tr>
      <w:tr w14:paraId="40E3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pct"/>
            <w:tcBorders>
              <w:left w:val="single" w:color="auto" w:sz="4" w:space="0"/>
              <w:right w:val="single" w:color="auto" w:sz="4" w:space="0"/>
            </w:tcBorders>
            <w:vAlign w:val="center"/>
          </w:tcPr>
          <w:p w14:paraId="284DADFC">
            <w:pPr>
              <w:spacing w:line="52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价格分</w:t>
            </w:r>
          </w:p>
          <w:p w14:paraId="43DEFAC7">
            <w:pPr>
              <w:spacing w:line="520" w:lineRule="exact"/>
              <w:jc w:val="center"/>
              <w:rPr>
                <w:rFonts w:asciiTheme="minorEastAsia" w:hAnsiTheme="minorEastAsia" w:eastAsiaTheme="minorEastAsia"/>
                <w:b/>
                <w:bCs/>
                <w:color w:val="auto"/>
                <w:sz w:val="24"/>
                <w:szCs w:val="24"/>
                <w:highlight w:val="none"/>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52</w:t>
            </w:r>
            <w:r>
              <w:rPr>
                <w:rFonts w:hint="eastAsia" w:asciiTheme="minorEastAsia" w:hAnsiTheme="minorEastAsia" w:eastAsiaTheme="minorEastAsia"/>
                <w:color w:val="auto"/>
                <w:sz w:val="24"/>
                <w:szCs w:val="24"/>
                <w:highlight w:val="none"/>
              </w:rPr>
              <w:t>分）</w:t>
            </w:r>
          </w:p>
        </w:tc>
        <w:tc>
          <w:tcPr>
            <w:tcW w:w="4422" w:type="pct"/>
            <w:gridSpan w:val="3"/>
            <w:tcBorders>
              <w:top w:val="single" w:color="auto" w:sz="4" w:space="0"/>
              <w:left w:val="single" w:color="auto" w:sz="4" w:space="0"/>
              <w:bottom w:val="single" w:color="auto" w:sz="4" w:space="0"/>
              <w:right w:val="single" w:color="auto" w:sz="4" w:space="0"/>
            </w:tcBorders>
            <w:vAlign w:val="center"/>
          </w:tcPr>
          <w:p w14:paraId="294918F6">
            <w:pPr>
              <w:spacing w:line="360" w:lineRule="auto"/>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rPr>
              <w:t>价格分统一采用低价优先法，即满足招标文件要求且投标价格</w:t>
            </w:r>
            <w:r>
              <w:rPr>
                <w:rFonts w:hint="eastAsia" w:ascii="宋体" w:hAnsi="宋体" w:eastAsia="宋体" w:cs="宋体"/>
                <w:color w:val="auto"/>
                <w:spacing w:val="1"/>
                <w:kern w:val="0"/>
                <w:sz w:val="24"/>
                <w:szCs w:val="24"/>
                <w:highlight w:val="none"/>
                <w:lang w:eastAsia="zh-CN"/>
              </w:rPr>
              <w:t>（</w:t>
            </w:r>
            <w:r>
              <w:rPr>
                <w:rFonts w:hint="eastAsia" w:ascii="宋体" w:hAnsi="宋体" w:eastAsia="宋体" w:cs="宋体"/>
                <w:color w:val="auto"/>
                <w:spacing w:val="1"/>
                <w:kern w:val="0"/>
                <w:sz w:val="24"/>
                <w:szCs w:val="24"/>
                <w:highlight w:val="none"/>
                <w:lang w:val="en-US" w:eastAsia="zh-CN"/>
              </w:rPr>
              <w:t>费率</w:t>
            </w:r>
            <w:r>
              <w:rPr>
                <w:rFonts w:hint="eastAsia" w:ascii="宋体" w:hAnsi="宋体" w:eastAsia="宋体" w:cs="宋体"/>
                <w:color w:val="auto"/>
                <w:spacing w:val="1"/>
                <w:kern w:val="0"/>
                <w:sz w:val="24"/>
                <w:szCs w:val="24"/>
                <w:highlight w:val="none"/>
                <w:lang w:eastAsia="zh-CN"/>
              </w:rPr>
              <w:t>）</w:t>
            </w:r>
            <w:r>
              <w:rPr>
                <w:rFonts w:hint="eastAsia" w:ascii="宋体" w:hAnsi="宋体" w:eastAsia="宋体" w:cs="宋体"/>
                <w:color w:val="auto"/>
                <w:spacing w:val="1"/>
                <w:kern w:val="0"/>
                <w:sz w:val="24"/>
                <w:szCs w:val="24"/>
                <w:highlight w:val="none"/>
              </w:rPr>
              <w:t>最低的投标报价（如有扣除为扣除后价格）为评标基准价，其价格分为满分</w:t>
            </w:r>
            <w:r>
              <w:rPr>
                <w:rFonts w:hint="eastAsia" w:ascii="宋体" w:hAnsi="宋体" w:eastAsia="宋体" w:cs="宋体"/>
                <w:color w:val="auto"/>
                <w:spacing w:val="1"/>
                <w:kern w:val="0"/>
                <w:sz w:val="24"/>
                <w:szCs w:val="24"/>
                <w:highlight w:val="none"/>
                <w:lang w:val="en-US" w:eastAsia="zh-CN"/>
              </w:rPr>
              <w:t>52</w:t>
            </w:r>
            <w:r>
              <w:rPr>
                <w:rFonts w:hint="eastAsia" w:ascii="宋体" w:hAnsi="宋体" w:eastAsia="宋体" w:cs="宋体"/>
                <w:color w:val="auto"/>
                <w:spacing w:val="1"/>
                <w:kern w:val="0"/>
                <w:sz w:val="24"/>
                <w:szCs w:val="24"/>
                <w:highlight w:val="none"/>
              </w:rPr>
              <w:t>分。其他投标人的价格分统一按照下列公式计算：</w:t>
            </w:r>
          </w:p>
          <w:p w14:paraId="6DF80549">
            <w:pPr>
              <w:spacing w:line="520" w:lineRule="exact"/>
              <w:rPr>
                <w:rFonts w:asciiTheme="minorEastAsia" w:hAnsiTheme="minorEastAsia" w:eastAsiaTheme="minorEastAsia"/>
                <w:b/>
                <w:bCs/>
                <w:color w:val="auto"/>
                <w:sz w:val="24"/>
                <w:szCs w:val="24"/>
                <w:highlight w:val="none"/>
              </w:rPr>
            </w:pPr>
            <w:r>
              <w:rPr>
                <w:rFonts w:hint="eastAsia" w:ascii="宋体" w:hAnsi="宋体" w:eastAsia="宋体" w:cs="宋体"/>
                <w:color w:val="auto"/>
                <w:spacing w:val="1"/>
                <w:kern w:val="0"/>
                <w:sz w:val="24"/>
                <w:szCs w:val="24"/>
                <w:highlight w:val="none"/>
              </w:rPr>
              <w:t>投标报价得分＝（评标基准价/投标报价）×</w:t>
            </w:r>
            <w:r>
              <w:rPr>
                <w:rFonts w:hint="eastAsia" w:ascii="宋体" w:hAnsi="宋体" w:eastAsia="宋体" w:cs="宋体"/>
                <w:color w:val="auto"/>
                <w:spacing w:val="1"/>
                <w:kern w:val="0"/>
                <w:sz w:val="24"/>
                <w:szCs w:val="24"/>
                <w:highlight w:val="none"/>
                <w:lang w:val="en-US" w:eastAsia="zh-CN"/>
              </w:rPr>
              <w:t>52</w:t>
            </w:r>
            <w:r>
              <w:rPr>
                <w:rFonts w:hint="eastAsia" w:ascii="宋体" w:hAnsi="宋体" w:eastAsia="宋体" w:cs="宋体"/>
                <w:color w:val="auto"/>
                <w:spacing w:val="1"/>
                <w:kern w:val="0"/>
                <w:sz w:val="24"/>
                <w:szCs w:val="24"/>
                <w:highlight w:val="none"/>
              </w:rPr>
              <w:t>％×100</w:t>
            </w:r>
          </w:p>
        </w:tc>
      </w:tr>
    </w:tbl>
    <w:p w14:paraId="7E6E1E32">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.3.3</w:t>
      </w:r>
      <w:r>
        <w:rPr>
          <w:rFonts w:hint="eastAsia" w:asciiTheme="minorEastAsia" w:hAnsiTheme="minorEastAsia" w:eastAsiaTheme="minorEastAsia"/>
          <w:color w:val="auto"/>
          <w:sz w:val="24"/>
          <w:highlight w:val="none"/>
        </w:rPr>
        <w:t>分值汇总</w:t>
      </w:r>
    </w:p>
    <w:p w14:paraId="3C2CDF92">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评标委员会各成员应当独立对每个</w:t>
      </w:r>
      <w:r>
        <w:rPr>
          <w:rFonts w:hint="eastAsia" w:asciiTheme="minorEastAsia" w:hAnsiTheme="minorEastAsia" w:eastAsiaTheme="minorEastAsia"/>
          <w:color w:val="auto"/>
          <w:sz w:val="24"/>
          <w:highlight w:val="none"/>
        </w:rPr>
        <w:t>有效</w:t>
      </w:r>
      <w:r>
        <w:rPr>
          <w:rFonts w:asciiTheme="minorEastAsia" w:hAnsiTheme="minorEastAsia" w:eastAsiaTheme="minorEastAsia"/>
          <w:color w:val="auto"/>
          <w:sz w:val="24"/>
          <w:highlight w:val="none"/>
        </w:rPr>
        <w:t>投标人的投标文件进行评</w:t>
      </w:r>
      <w:r>
        <w:rPr>
          <w:rFonts w:hint="eastAsia" w:asciiTheme="minorEastAsia" w:hAnsiTheme="minorEastAsia" w:eastAsiaTheme="minorEastAsia"/>
          <w:color w:val="auto"/>
          <w:sz w:val="24"/>
          <w:highlight w:val="none"/>
        </w:rPr>
        <w:t>分</w:t>
      </w:r>
      <w:r>
        <w:rPr>
          <w:rFonts w:asciiTheme="minorEastAsia" w:hAnsiTheme="minorEastAsia" w:eastAsiaTheme="minorEastAsia"/>
          <w:color w:val="auto"/>
          <w:sz w:val="24"/>
          <w:highlight w:val="none"/>
        </w:rPr>
        <w:t>，并汇总每个投</w:t>
      </w:r>
      <w:r>
        <w:rPr>
          <w:rFonts w:hint="eastAsia" w:asciiTheme="minorEastAsia" w:hAnsiTheme="minorEastAsia" w:eastAsiaTheme="minorEastAsia"/>
          <w:color w:val="auto"/>
          <w:sz w:val="24"/>
          <w:highlight w:val="none"/>
        </w:rPr>
        <w:t>标人的得分。取各位评委评分之平均值，四舍五入保留至小数点后两位数，</w:t>
      </w:r>
      <w:r>
        <w:rPr>
          <w:rFonts w:asciiTheme="minorEastAsia" w:hAnsiTheme="minorEastAsia" w:eastAsiaTheme="minorEastAsia"/>
          <w:color w:val="auto"/>
          <w:sz w:val="24"/>
          <w:highlight w:val="none"/>
        </w:rPr>
        <w:t>得到该投标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w:t>
      </w:r>
      <w:r>
        <w:rPr>
          <w:rFonts w:hint="eastAsia" w:asciiTheme="minorEastAsia" w:hAnsiTheme="minorEastAsia" w:eastAsiaTheme="minorEastAsia"/>
          <w:color w:val="auto"/>
          <w:sz w:val="24"/>
          <w:highlight w:val="none"/>
        </w:rPr>
        <w:t>。</w:t>
      </w:r>
    </w:p>
    <w:p w14:paraId="3350076F">
      <w:pPr>
        <w:spacing w:line="520" w:lineRule="exact"/>
        <w:ind w:firstLine="435"/>
        <w:rPr>
          <w:rFonts w:eastAsiaTheme="minorEastAsia"/>
          <w:color w:val="auto"/>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将投标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的技术资信分加上根据上述标准计算出的价格分，即为该投标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的综合总得分。</w:t>
      </w:r>
    </w:p>
    <w:p w14:paraId="6982E3CD">
      <w:pPr>
        <w:spacing w:line="520" w:lineRule="exact"/>
        <w:ind w:firstLine="435"/>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三、无效投标条款</w:t>
      </w:r>
    </w:p>
    <w:p w14:paraId="7293F9A5">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3.1投标文件有下列情形之一的,其投标文件拒收:</w:t>
      </w:r>
    </w:p>
    <w:p w14:paraId="0E70EBC5">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 未在开标截止时间前通过网上招标投标系统递交有效电子投标文件的，开标系统不予接收，投标将被拒绝。</w:t>
      </w:r>
    </w:p>
    <w:p w14:paraId="2038108D">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企业接到远程解密指令后，须在规定时间内解密。因投标人自身原因导致投标文件在规定时间内未能解密、解密失败或解密超时，投标文件无效；解密时间：从本项目解密程序开始时计时，至完成投标文件解密时间，不得超过60分钟，否则投标文件将被拒绝。</w:t>
      </w:r>
    </w:p>
    <w:p w14:paraId="3B9FCD32">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3.2投标人有下列情形之一的,资格审查后其投标作无效投标处理：</w:t>
      </w:r>
    </w:p>
    <w:p w14:paraId="172403A2">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(1)投标人为本项目提供招标代理服务的；</w:t>
      </w:r>
    </w:p>
    <w:p w14:paraId="74B301A6">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(2)投标人与在本项目代理机构存在相互任职或工作的；</w:t>
      </w:r>
    </w:p>
    <w:p w14:paraId="7206BB59">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(3)招标公告写明专门面向中小企业采购，投标人提供的货物非中小企业制造的；</w:t>
      </w:r>
    </w:p>
    <w:p w14:paraId="444FE57D">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(4)要求供应商以联合体形式参加采购活动，投标人非联合体或者联合协议中中小企业合同金额未达到应当达到的比例；</w:t>
      </w:r>
    </w:p>
    <w:p w14:paraId="2A5E6448">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(5)要求获得采购合同的供应商向中小企业分包，投标人未提供分包意向协议或者分包意向协议中中小企业合同金额未达到应当达到的比例；</w:t>
      </w:r>
    </w:p>
    <w:p w14:paraId="1B0592CE">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(6)评标专家无法查看并检验电子投标文件中相关资料的；</w:t>
      </w:r>
    </w:p>
    <w:p w14:paraId="7CE4AB86">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(7)联合体投标未提交联合体协议的；</w:t>
      </w:r>
    </w:p>
    <w:p w14:paraId="5B3EF244">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(8)责令停产停业的；</w:t>
      </w:r>
    </w:p>
    <w:p w14:paraId="6DEC1F9B">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(9)暂停或者取消参与政府采购项目资格的；</w:t>
      </w:r>
    </w:p>
    <w:p w14:paraId="0787703F">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(10)投标人单位负责人为同一人或者存在（直接）控股、管理关系的不同单位的；</w:t>
      </w:r>
    </w:p>
    <w:p w14:paraId="6E0A7525">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(11)投标人基本资格条件和特定资格条件中有一项及以上不符合要求的；</w:t>
      </w:r>
    </w:p>
    <w:p w14:paraId="2BBDAE4C">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19BB2CAC">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(13)其它情形，经评标委员会委提出按无效投标处理，并经公共资源交易监督部门核准的；</w:t>
      </w:r>
    </w:p>
    <w:p w14:paraId="24D995DC">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(14)投标人投标MAC地址或投标人联系人或联系电话相同的，由评标委员会否决其投标，并报告监管部门作不良行为处理和进一步调查；</w:t>
      </w:r>
    </w:p>
    <w:p w14:paraId="06876AC1">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(15)投标人单方面出现其他投标人材料的；</w:t>
      </w:r>
    </w:p>
    <w:p w14:paraId="58F75A4D">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(16)招标文件规定的其它无效投标情形。</w:t>
      </w:r>
    </w:p>
    <w:p w14:paraId="027C2D68">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 投标人有下列情形之一的,符合性审查后其投标按无效投标处理：</w:t>
      </w:r>
    </w:p>
    <w:p w14:paraId="3F6D5097">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(1)投标文件签字、盖章不全，经评标委员会一致认定对开评标内容有实质性影响并经公共资源交易监督部门核准的；</w:t>
      </w:r>
    </w:p>
    <w:p w14:paraId="262D2EBA">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(2)未按规定的格式填写导致实质性内容不全以及实质上不响应，或者关键字迹模糊、无法辨认; 经公共资源交易监督部门核准的；</w:t>
      </w:r>
    </w:p>
    <w:p w14:paraId="5CF3BBB9">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(3)同一投标人提交两个以上不同的投标文件或者投标报价，但招标文件规定提交备选方案的除外；</w:t>
      </w:r>
    </w:p>
    <w:p w14:paraId="5C9AF244">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(4)投标文件没有对招标文件的实质性要求和条件作出响应;</w:t>
      </w:r>
    </w:p>
    <w:p w14:paraId="37D5B8B2">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(5)投标报价超出规定的投标限价或公布的采购预算的或投标人的投标报价各项单价高于招标文件给定的单价最高限价；</w:t>
      </w:r>
    </w:p>
    <w:p w14:paraId="4FBE7924">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(6)不按评标委员会要求澄清、说明或补正的，或者评标委员会根据招标文件的规定对投标文件的计算错误进行修正后，投标人不接受修正的投标报价的。</w:t>
      </w:r>
    </w:p>
    <w:p w14:paraId="543643BE">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(7)其它情形，经评标委员会委提出按无效投标处理，并经公共资源交易监督部门核准的；</w:t>
      </w:r>
    </w:p>
    <w:p w14:paraId="4F3C4B5B">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(8)投标文件含有采购人不能接受的附加条件的；</w:t>
      </w:r>
    </w:p>
    <w:p w14:paraId="4F56DC34">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(9)招标文件规定的其它无效投标情形。</w:t>
      </w:r>
    </w:p>
    <w:p w14:paraId="3EB23A70">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 投标人有下列情形之一的, 详细评审后其投标按无效投标处理：</w:t>
      </w:r>
    </w:p>
    <w:p w14:paraId="1965F435">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(1)投标产品不符合必须强制执行的国家标准的；</w:t>
      </w:r>
    </w:p>
    <w:p w14:paraId="554C65D1">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(2)投标人有串通投标、弄虚作假、行贿等违法行为；</w:t>
      </w:r>
    </w:p>
    <w:p w14:paraId="7B3E6F44">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(3)投标文件含有违反国家法律、法规的内容，或附有采购人不能接受的条件的；</w:t>
      </w:r>
    </w:p>
    <w:p w14:paraId="7F9CCCE7">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(4)报价明显低于其他投标人，且不能证明报价合理性的投标无效；</w:t>
      </w:r>
    </w:p>
    <w:p w14:paraId="61FDE30D">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(5)拒不确认评标委员会评审修正的投标无效；</w:t>
      </w:r>
    </w:p>
    <w:p w14:paraId="6D40910A">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(6)其它情形，经评标委员会委提出按无效投标处理，并经公共资源交易监督部门核准的；</w:t>
      </w:r>
    </w:p>
    <w:p w14:paraId="20E69D53">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(7)招标文件规定的其它无效投标情形。</w:t>
      </w:r>
      <w:r>
        <w:rPr>
          <w:rFonts w:asciiTheme="minorEastAsia" w:hAnsiTheme="minorEastAsia" w:eastAsiaTheme="minorEastAsia"/>
          <w:color w:val="auto"/>
          <w:sz w:val="24"/>
          <w:highlight w:val="none"/>
        </w:rPr>
        <w:br w:type="page"/>
      </w:r>
    </w:p>
    <w:p w14:paraId="341E0345">
      <w:pPr>
        <w:spacing w:line="360" w:lineRule="auto"/>
        <w:jc w:val="center"/>
        <w:outlineLvl w:val="0"/>
        <w:rPr>
          <w:rFonts w:asciiTheme="minorEastAsia" w:hAnsiTheme="minorEastAsia" w:eastAsiaTheme="minorEastAsia"/>
          <w:b/>
          <w:color w:val="auto"/>
          <w:sz w:val="28"/>
          <w:highlight w:val="none"/>
        </w:rPr>
      </w:pPr>
      <w:bookmarkStart w:id="49" w:name="_Toc20405"/>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49"/>
    </w:p>
    <w:p w14:paraId="1695251A">
      <w:pPr>
        <w:spacing w:line="480" w:lineRule="auto"/>
        <w:jc w:val="center"/>
        <w:rPr>
          <w:rFonts w:cs="Times New Roman" w:asciiTheme="minorEastAsia" w:hAnsiTheme="minorEastAsia" w:eastAsiaTheme="minorEastAsia"/>
          <w:b/>
          <w:color w:val="auto"/>
          <w:sz w:val="28"/>
          <w:szCs w:val="28"/>
          <w:highlight w:val="none"/>
        </w:rPr>
      </w:pPr>
      <w:bookmarkStart w:id="50" w:name="_Toc331685784"/>
    </w:p>
    <w:p w14:paraId="027701E2">
      <w:pPr>
        <w:spacing w:line="480" w:lineRule="auto"/>
        <w:jc w:val="center"/>
        <w:rPr>
          <w:rFonts w:cs="Times New Roman" w:asciiTheme="minorEastAsia" w:hAnsiTheme="minorEastAsia" w:eastAsiaTheme="minorEastAsia"/>
          <w:b/>
          <w:color w:val="auto"/>
          <w:sz w:val="28"/>
          <w:szCs w:val="28"/>
          <w:highlight w:val="none"/>
        </w:rPr>
      </w:pPr>
    </w:p>
    <w:p w14:paraId="58F4064C">
      <w:pPr>
        <w:pStyle w:val="13"/>
        <w:rPr>
          <w:color w:val="auto"/>
          <w:highlight w:val="none"/>
        </w:rPr>
      </w:pPr>
    </w:p>
    <w:p w14:paraId="6DA42571">
      <w:pPr>
        <w:spacing w:line="480" w:lineRule="auto"/>
        <w:jc w:val="center"/>
        <w:outlineLvl w:val="1"/>
        <w:rPr>
          <w:rFonts w:cs="Times New Roman" w:asciiTheme="minorEastAsia" w:hAnsiTheme="minorEastAsia" w:eastAsiaTheme="minorEastAsia"/>
          <w:b/>
          <w:color w:val="auto"/>
          <w:sz w:val="28"/>
          <w:szCs w:val="28"/>
          <w:highlight w:val="none"/>
        </w:rPr>
      </w:pPr>
      <w:bookmarkStart w:id="51" w:name="_Toc3714"/>
      <w:r>
        <w:rPr>
          <w:rFonts w:cs="Times New Roman" w:asciiTheme="minorEastAsia" w:hAnsiTheme="minorEastAsia" w:eastAsiaTheme="minorEastAsia"/>
          <w:b/>
          <w:color w:val="auto"/>
          <w:sz w:val="28"/>
          <w:szCs w:val="28"/>
          <w:highlight w:val="none"/>
        </w:rPr>
        <w:t>政府采购合同</w:t>
      </w:r>
      <w:r>
        <w:rPr>
          <w:rFonts w:hint="eastAsia" w:cs="Times New Roman" w:asciiTheme="minorEastAsia" w:hAnsiTheme="minorEastAsia" w:eastAsiaTheme="minorEastAsia"/>
          <w:b/>
          <w:color w:val="auto"/>
          <w:sz w:val="28"/>
          <w:szCs w:val="28"/>
          <w:highlight w:val="none"/>
        </w:rPr>
        <w:t>参考范本</w:t>
      </w:r>
      <w:bookmarkEnd w:id="51"/>
    </w:p>
    <w:p w14:paraId="35EF0049">
      <w:pPr>
        <w:spacing w:line="480" w:lineRule="auto"/>
        <w:jc w:val="center"/>
        <w:outlineLvl w:val="1"/>
        <w:rPr>
          <w:rFonts w:cs="Times New Roman" w:asciiTheme="minorEastAsia" w:hAnsiTheme="minorEastAsia" w:eastAsiaTheme="minorEastAsia"/>
          <w:b/>
          <w:color w:val="auto"/>
          <w:sz w:val="28"/>
          <w:szCs w:val="28"/>
          <w:highlight w:val="none"/>
        </w:rPr>
      </w:pPr>
      <w:bookmarkStart w:id="52" w:name="_Toc8560"/>
      <w:r>
        <w:rPr>
          <w:rFonts w:hint="eastAsia" w:cs="Times New Roman" w:asciiTheme="minorEastAsia" w:hAnsiTheme="minorEastAsia" w:eastAsiaTheme="minorEastAsia"/>
          <w:b/>
          <w:color w:val="auto"/>
          <w:sz w:val="28"/>
          <w:szCs w:val="28"/>
          <w:highlight w:val="none"/>
        </w:rPr>
        <w:t>（服务类）</w:t>
      </w:r>
      <w:bookmarkEnd w:id="52"/>
    </w:p>
    <w:p w14:paraId="722C68F3">
      <w:pPr>
        <w:spacing w:line="480" w:lineRule="auto"/>
        <w:jc w:val="center"/>
        <w:rPr>
          <w:rFonts w:cs="Times New Roman" w:asciiTheme="minorEastAsia" w:hAnsiTheme="minorEastAsia" w:eastAsiaTheme="minorEastAsia"/>
          <w:b/>
          <w:color w:val="auto"/>
          <w:sz w:val="24"/>
          <w:szCs w:val="24"/>
          <w:highlight w:val="none"/>
        </w:rPr>
      </w:pPr>
    </w:p>
    <w:p w14:paraId="5BE008AD">
      <w:pPr>
        <w:spacing w:line="480" w:lineRule="auto"/>
        <w:jc w:val="center"/>
        <w:rPr>
          <w:rFonts w:cs="Times New Roman" w:asciiTheme="minorEastAsia" w:hAnsiTheme="minorEastAsia" w:eastAsiaTheme="minorEastAsia"/>
          <w:b/>
          <w:color w:val="auto"/>
          <w:sz w:val="24"/>
          <w:szCs w:val="24"/>
          <w:highlight w:val="none"/>
        </w:rPr>
      </w:pPr>
    </w:p>
    <w:p w14:paraId="379D8AF4">
      <w:pPr>
        <w:spacing w:line="480" w:lineRule="auto"/>
        <w:jc w:val="center"/>
        <w:rPr>
          <w:rFonts w:cs="Times New Roman" w:asciiTheme="minorEastAsia" w:hAnsiTheme="minorEastAsia" w:eastAsiaTheme="minorEastAsia"/>
          <w:b/>
          <w:color w:val="auto"/>
          <w:sz w:val="24"/>
          <w:szCs w:val="24"/>
          <w:highlight w:val="none"/>
        </w:rPr>
      </w:pPr>
    </w:p>
    <w:p w14:paraId="237A3CBB">
      <w:pPr>
        <w:spacing w:line="360" w:lineRule="auto"/>
        <w:jc w:val="center"/>
        <w:outlineLvl w:val="1"/>
        <w:rPr>
          <w:rFonts w:asciiTheme="minorEastAsia" w:hAnsiTheme="minorEastAsia" w:eastAsiaTheme="minorEastAsia"/>
          <w:b/>
          <w:color w:val="auto"/>
          <w:sz w:val="24"/>
          <w:highlight w:val="none"/>
        </w:rPr>
      </w:pPr>
      <w:bookmarkStart w:id="53" w:name="_Toc2449"/>
      <w:r>
        <w:rPr>
          <w:rFonts w:hint="eastAsia" w:asciiTheme="minorEastAsia" w:hAnsiTheme="minorEastAsia" w:eastAsiaTheme="minorEastAsia"/>
          <w:b/>
          <w:color w:val="auto"/>
          <w:sz w:val="24"/>
          <w:highlight w:val="none"/>
        </w:rPr>
        <w:t>第一部分 合同书</w:t>
      </w:r>
      <w:bookmarkEnd w:id="53"/>
    </w:p>
    <w:p w14:paraId="23A08F25">
      <w:pPr>
        <w:spacing w:line="480" w:lineRule="auto"/>
        <w:jc w:val="center"/>
        <w:rPr>
          <w:rFonts w:cs="Times New Roman" w:asciiTheme="minorEastAsia" w:hAnsiTheme="minorEastAsia" w:eastAsiaTheme="minorEastAsia"/>
          <w:b/>
          <w:color w:val="auto"/>
          <w:sz w:val="24"/>
          <w:szCs w:val="24"/>
          <w:highlight w:val="none"/>
        </w:rPr>
      </w:pPr>
    </w:p>
    <w:p w14:paraId="3CF90AC8">
      <w:pPr>
        <w:spacing w:line="480" w:lineRule="auto"/>
        <w:jc w:val="center"/>
        <w:rPr>
          <w:rFonts w:cs="Times New Roman" w:asciiTheme="minorEastAsia" w:hAnsiTheme="minorEastAsia" w:eastAsiaTheme="minorEastAsia"/>
          <w:b/>
          <w:color w:val="auto"/>
          <w:sz w:val="24"/>
          <w:szCs w:val="24"/>
          <w:highlight w:val="none"/>
        </w:rPr>
      </w:pPr>
    </w:p>
    <w:p w14:paraId="3CED4678">
      <w:pPr>
        <w:pStyle w:val="13"/>
        <w:rPr>
          <w:color w:val="auto"/>
          <w:highlight w:val="none"/>
        </w:rPr>
      </w:pPr>
    </w:p>
    <w:p w14:paraId="6D56B435">
      <w:pPr>
        <w:pStyle w:val="13"/>
        <w:rPr>
          <w:color w:val="auto"/>
          <w:highlight w:val="none"/>
        </w:rPr>
      </w:pPr>
    </w:p>
    <w:p w14:paraId="4C03448B">
      <w:pPr>
        <w:spacing w:before="120" w:line="480" w:lineRule="auto"/>
        <w:ind w:left="960"/>
        <w:rPr>
          <w:rFonts w:hint="eastAsia" w:cs="Times New Roman" w:asciiTheme="minorEastAsia" w:hAnsiTheme="minorEastAsia" w:eastAsiaTheme="minorEastAsia"/>
          <w:color w:val="auto"/>
          <w:sz w:val="24"/>
          <w:szCs w:val="24"/>
          <w:highlight w:val="none"/>
          <w:u w:val="single"/>
          <w:lang w:eastAsia="zh-CN"/>
        </w:rPr>
      </w:pPr>
      <w:r>
        <w:rPr>
          <w:rFonts w:hint="eastAsia" w:cs="Times New Roman" w:asciiTheme="minorEastAsia" w:hAnsiTheme="minorEastAsia" w:eastAsiaTheme="minorEastAsia"/>
          <w:color w:val="auto"/>
          <w:sz w:val="24"/>
          <w:szCs w:val="24"/>
          <w:highlight w:val="none"/>
        </w:rPr>
        <w:t>项目名称：</w:t>
      </w:r>
      <w:r>
        <w:rPr>
          <w:rFonts w:hint="eastAsia" w:cs="Times New Roman" w:asciiTheme="minorEastAsia" w:hAnsiTheme="minorEastAsia" w:eastAsiaTheme="minorEastAsia"/>
          <w:color w:val="auto"/>
          <w:sz w:val="24"/>
          <w:szCs w:val="24"/>
          <w:highlight w:val="none"/>
          <w:u w:val="single"/>
          <w:lang w:eastAsia="zh-CN"/>
        </w:rPr>
        <w:t>定远县2025年农村公路第三方检测项目</w:t>
      </w:r>
    </w:p>
    <w:p w14:paraId="4FABC1A9">
      <w:pPr>
        <w:spacing w:before="120" w:line="480" w:lineRule="auto"/>
        <w:ind w:left="960"/>
        <w:rPr>
          <w:rFonts w:cs="Times New Roman" w:asciiTheme="minorEastAsia" w:hAnsiTheme="minorEastAsia" w:eastAsiaTheme="minorEastAsia"/>
          <w:color w:val="auto"/>
          <w:sz w:val="24"/>
          <w:szCs w:val="24"/>
          <w:highlight w:val="none"/>
          <w:u w:val="single"/>
        </w:rPr>
      </w:pPr>
      <w:r>
        <w:rPr>
          <w:rFonts w:hint="eastAsia" w:cs="Times New Roman" w:asciiTheme="minorEastAsia" w:hAnsiTheme="minorEastAsia" w:eastAsiaTheme="minorEastAsia"/>
          <w:color w:val="auto"/>
          <w:sz w:val="24"/>
          <w:szCs w:val="24"/>
          <w:highlight w:val="none"/>
        </w:rPr>
        <w:t>项目编号：</w:t>
      </w:r>
      <w:r>
        <w:rPr>
          <w:rFonts w:hint="eastAsia" w:cs="Times New Roman" w:asciiTheme="minorEastAsia" w:hAnsiTheme="minorEastAsia" w:eastAsiaTheme="minorEastAsia"/>
          <w:color w:val="auto"/>
          <w:sz w:val="24"/>
          <w:szCs w:val="24"/>
          <w:highlight w:val="none"/>
          <w:lang w:val="en-US" w:eastAsia="zh-CN"/>
        </w:rPr>
        <w:t>czdycg202504-010</w:t>
      </w:r>
    </w:p>
    <w:p w14:paraId="5A0C1F32">
      <w:pPr>
        <w:spacing w:before="120" w:line="480" w:lineRule="auto"/>
        <w:ind w:left="960"/>
        <w:rPr>
          <w:rFonts w:hint="eastAsia" w:cs="Times New Roman" w:asciiTheme="minorEastAsia" w:hAnsiTheme="minorEastAsia" w:eastAsiaTheme="minorEastAsia"/>
          <w:color w:val="auto"/>
          <w:sz w:val="24"/>
          <w:szCs w:val="24"/>
          <w:highlight w:val="none"/>
          <w:u w:val="single"/>
          <w:lang w:eastAsia="zh-CN"/>
        </w:rPr>
      </w:pPr>
      <w:r>
        <w:rPr>
          <w:rFonts w:hint="eastAsia" w:cs="Times New Roman" w:asciiTheme="minorEastAsia" w:hAnsiTheme="minorEastAsia" w:eastAsiaTheme="minorEastAsia"/>
          <w:color w:val="auto"/>
          <w:sz w:val="24"/>
          <w:szCs w:val="24"/>
          <w:highlight w:val="none"/>
        </w:rPr>
        <w:t>甲方（采购人）：</w:t>
      </w:r>
      <w:r>
        <w:rPr>
          <w:rFonts w:hint="eastAsia" w:cs="Times New Roman" w:asciiTheme="minorEastAsia" w:hAnsiTheme="minorEastAsia" w:eastAsiaTheme="minorEastAsia"/>
          <w:color w:val="auto"/>
          <w:sz w:val="24"/>
          <w:szCs w:val="24"/>
          <w:highlight w:val="none"/>
          <w:u w:val="single"/>
          <w:lang w:eastAsia="zh-CN"/>
        </w:rPr>
        <w:t>定远县公路运输管理服务中心</w:t>
      </w:r>
    </w:p>
    <w:p w14:paraId="06C62A37">
      <w:pPr>
        <w:spacing w:before="120" w:line="480" w:lineRule="auto"/>
        <w:ind w:left="960"/>
        <w:rPr>
          <w:rFonts w:cs="Times New Roman" w:asciiTheme="minorEastAsia" w:hAnsiTheme="minorEastAsia" w:eastAsiaTheme="minorEastAsia"/>
          <w:color w:val="auto"/>
          <w:sz w:val="24"/>
          <w:szCs w:val="24"/>
          <w:highlight w:val="none"/>
          <w:u w:val="single"/>
        </w:rPr>
      </w:pPr>
      <w:r>
        <w:rPr>
          <w:rFonts w:hint="eastAsia" w:cs="Times New Roman" w:asciiTheme="minorEastAsia" w:hAnsiTheme="minorEastAsia" w:eastAsiaTheme="minorEastAsia"/>
          <w:color w:val="auto"/>
          <w:sz w:val="24"/>
          <w:szCs w:val="24"/>
          <w:highlight w:val="none"/>
        </w:rPr>
        <w:t>乙方（中标人）：</w:t>
      </w:r>
    </w:p>
    <w:p w14:paraId="30225EF9">
      <w:pPr>
        <w:spacing w:before="120" w:line="480" w:lineRule="auto"/>
        <w:ind w:left="960"/>
        <w:rPr>
          <w:rFonts w:hint="eastAsia" w:cs="Times New Roman" w:asciiTheme="minorEastAsia" w:hAnsiTheme="minorEastAsia" w:eastAsiaTheme="minorEastAsia"/>
          <w:color w:val="auto"/>
          <w:sz w:val="24"/>
          <w:szCs w:val="24"/>
          <w:highlight w:val="none"/>
          <w:u w:val="single"/>
          <w:lang w:eastAsia="zh-CN"/>
        </w:rPr>
      </w:pPr>
      <w:r>
        <w:rPr>
          <w:rFonts w:hint="eastAsia" w:cs="Times New Roman" w:asciiTheme="minorEastAsia" w:hAnsiTheme="minorEastAsia" w:eastAsiaTheme="minorEastAsia"/>
          <w:color w:val="auto"/>
          <w:sz w:val="24"/>
          <w:szCs w:val="24"/>
          <w:highlight w:val="none"/>
        </w:rPr>
        <w:t>签订地：</w:t>
      </w:r>
      <w:r>
        <w:rPr>
          <w:rFonts w:hint="eastAsia" w:cs="Times New Roman" w:asciiTheme="minorEastAsia" w:hAnsiTheme="minorEastAsia" w:eastAsiaTheme="minorEastAsia"/>
          <w:color w:val="auto"/>
          <w:sz w:val="24"/>
          <w:szCs w:val="24"/>
          <w:highlight w:val="none"/>
          <w:u w:val="single"/>
          <w:lang w:eastAsia="zh-CN"/>
        </w:rPr>
        <w:t>定远县公路运输管理服务中心</w:t>
      </w:r>
    </w:p>
    <w:p w14:paraId="5359F599">
      <w:pPr>
        <w:spacing w:before="120" w:line="480" w:lineRule="auto"/>
        <w:ind w:firstLine="960" w:firstLineChars="400"/>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签订日期：年月日</w:t>
      </w:r>
    </w:p>
    <w:bookmarkEnd w:id="50"/>
    <w:p w14:paraId="21BE3FF5">
      <w:pPr>
        <w:rPr>
          <w:rFonts w:asciiTheme="minorEastAsia" w:hAnsiTheme="minorEastAsia" w:eastAsiaTheme="minorEastAsia"/>
          <w:color w:val="auto"/>
          <w:sz w:val="24"/>
          <w:highlight w:val="none"/>
          <w:u w:val="single"/>
        </w:rPr>
      </w:pPr>
      <w:bookmarkStart w:id="54" w:name="_Toc13555"/>
      <w:r>
        <w:rPr>
          <w:rFonts w:hint="eastAsia" w:asciiTheme="minorEastAsia" w:hAnsiTheme="minorEastAsia" w:eastAsiaTheme="minorEastAsia"/>
          <w:color w:val="auto"/>
          <w:sz w:val="24"/>
          <w:highlight w:val="none"/>
          <w:u w:val="single"/>
        </w:rPr>
        <w:br w:type="page"/>
      </w:r>
    </w:p>
    <w:p w14:paraId="013B1461">
      <w:pPr>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lang w:eastAsia="zh-CN"/>
        </w:rPr>
        <w:t>定远县公路运输管理服务中心</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zh-CN"/>
        </w:rPr>
        <w:t>以下简称：甲方</w:t>
      </w:r>
      <w:r>
        <w:rPr>
          <w:rFonts w:hint="eastAsia" w:asciiTheme="minorEastAsia" w:hAnsiTheme="minorEastAsia" w:eastAsiaTheme="minorEastAsia"/>
          <w:color w:val="auto"/>
          <w:sz w:val="24"/>
          <w:highlight w:val="none"/>
        </w:rPr>
        <w:t xml:space="preserve">）通过 </w:t>
      </w:r>
      <w:r>
        <w:rPr>
          <w:rFonts w:hint="eastAsia" w:asciiTheme="minorEastAsia" w:hAnsiTheme="minorEastAsia" w:eastAsiaTheme="minorEastAsia"/>
          <w:color w:val="auto"/>
          <w:sz w:val="24"/>
          <w:highlight w:val="none"/>
          <w:u w:val="single"/>
          <w:lang w:eastAsia="zh-CN"/>
        </w:rPr>
        <w:t>安徽云算工程造价咨询有限公司</w:t>
      </w:r>
      <w:r>
        <w:rPr>
          <w:rFonts w:hint="eastAsia" w:asciiTheme="minorEastAsia" w:hAnsiTheme="minorEastAsia" w:eastAsiaTheme="minorEastAsia"/>
          <w:color w:val="auto"/>
          <w:sz w:val="24"/>
          <w:highlight w:val="none"/>
        </w:rPr>
        <w:t>组织的</w:t>
      </w:r>
      <w:r>
        <w:rPr>
          <w:rFonts w:hint="eastAsia" w:asciiTheme="minorEastAsia" w:hAnsiTheme="minorEastAsia" w:eastAsiaTheme="minorEastAsia"/>
          <w:color w:val="auto"/>
          <w:sz w:val="24"/>
          <w:highlight w:val="none"/>
          <w:u w:val="single"/>
        </w:rPr>
        <w:t>公开招标</w:t>
      </w:r>
      <w:r>
        <w:rPr>
          <w:rFonts w:hint="eastAsia" w:asciiTheme="minorEastAsia" w:hAnsiTheme="minorEastAsia" w:eastAsiaTheme="minorEastAsia"/>
          <w:color w:val="auto"/>
          <w:sz w:val="24"/>
          <w:highlight w:val="none"/>
        </w:rPr>
        <w:t>方式采购活动，经</w:t>
      </w:r>
      <w:r>
        <w:rPr>
          <w:rFonts w:hint="eastAsia" w:asciiTheme="minorEastAsia" w:hAnsiTheme="minorEastAsia" w:eastAsiaTheme="minorEastAsia"/>
          <w:color w:val="auto"/>
          <w:sz w:val="24"/>
          <w:highlight w:val="none"/>
          <w:u w:val="single"/>
        </w:rPr>
        <w:t>评标委员会</w:t>
      </w:r>
      <w:r>
        <w:rPr>
          <w:rFonts w:hint="eastAsia" w:asciiTheme="minorEastAsia" w:hAnsiTheme="minorEastAsia" w:eastAsiaTheme="minorEastAsia"/>
          <w:color w:val="auto"/>
          <w:sz w:val="24"/>
          <w:highlight w:val="none"/>
        </w:rPr>
        <w:t>评定，（</w:t>
      </w:r>
      <w:r>
        <w:rPr>
          <w:rFonts w:hint="eastAsia" w:asciiTheme="minorEastAsia" w:hAnsiTheme="minorEastAsia" w:eastAsiaTheme="minorEastAsia"/>
          <w:color w:val="auto"/>
          <w:sz w:val="24"/>
          <w:highlight w:val="none"/>
          <w:lang w:val="zh-CN"/>
        </w:rPr>
        <w:t>以下简称：乙方</w:t>
      </w:r>
      <w:r>
        <w:rPr>
          <w:rFonts w:hint="eastAsia" w:asciiTheme="minorEastAsia" w:hAnsiTheme="minorEastAsia" w:eastAsiaTheme="minorEastAsia"/>
          <w:color w:val="auto"/>
          <w:sz w:val="24"/>
          <w:highlight w:val="none"/>
        </w:rPr>
        <w:t>）为本项目中标人，现按照采购文件确定的事项签订本合同。</w:t>
      </w:r>
    </w:p>
    <w:p w14:paraId="3F817CE2">
      <w:pPr>
        <w:spacing w:line="520" w:lineRule="exact"/>
        <w:ind w:firstLine="435"/>
        <w:rPr>
          <w:rFonts w:cs="Times New Roman" w:asciiTheme="minorEastAsia" w:hAnsiTheme="minorEastAsia" w:eastAsiaTheme="minorEastAsia"/>
          <w:color w:val="auto"/>
          <w:sz w:val="24"/>
          <w:szCs w:val="24"/>
          <w:highlight w:val="none"/>
          <w:lang w:val="zh-CN"/>
        </w:rPr>
      </w:pPr>
      <w:r>
        <w:rPr>
          <w:rFonts w:hint="eastAsia" w:asciiTheme="minorEastAsia" w:hAnsiTheme="minorEastAsia" w:eastAsiaTheme="minorEastAsia"/>
          <w:color w:val="auto"/>
          <w:sz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144C94D4">
      <w:pPr>
        <w:spacing w:line="520" w:lineRule="exact"/>
        <w:ind w:firstLine="437"/>
        <w:outlineLvl w:val="2"/>
        <w:rPr>
          <w:rFonts w:cs="Times New Roman" w:asciiTheme="minorEastAsia" w:hAnsiTheme="minorEastAsia" w:eastAsiaTheme="minorEastAsia"/>
          <w:b/>
          <w:bCs/>
          <w:color w:val="auto"/>
          <w:sz w:val="24"/>
          <w:szCs w:val="24"/>
          <w:highlight w:val="none"/>
          <w:lang w:val="zh-CN"/>
        </w:rPr>
      </w:pPr>
      <w:bookmarkStart w:id="55" w:name="_Toc3029"/>
      <w:bookmarkStart w:id="56" w:name="_Toc2232"/>
      <w:bookmarkStart w:id="57" w:name="_Toc24059"/>
      <w:r>
        <w:rPr>
          <w:rFonts w:hint="eastAsia" w:cs="Times New Roman" w:asciiTheme="minorEastAsia" w:hAnsiTheme="minorEastAsia" w:eastAsiaTheme="minorEastAsia"/>
          <w:b/>
          <w:bCs/>
          <w:color w:val="auto"/>
          <w:sz w:val="24"/>
          <w:szCs w:val="24"/>
          <w:highlight w:val="none"/>
          <w:lang w:val="zh-CN"/>
        </w:rPr>
        <w:t>1.1合同组成部分</w:t>
      </w:r>
      <w:bookmarkEnd w:id="55"/>
      <w:bookmarkEnd w:id="56"/>
      <w:bookmarkEnd w:id="57"/>
    </w:p>
    <w:p w14:paraId="76AE81E3">
      <w:pPr>
        <w:spacing w:line="520" w:lineRule="exact"/>
        <w:ind w:firstLine="435"/>
        <w:rPr>
          <w:rFonts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02332520">
      <w:pPr>
        <w:spacing w:line="520" w:lineRule="exact"/>
        <w:ind w:firstLine="435"/>
        <w:rPr>
          <w:rFonts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1.1.1本合同及其补充合同、变更协议；</w:t>
      </w:r>
    </w:p>
    <w:p w14:paraId="4FFE44E3">
      <w:pPr>
        <w:spacing w:line="520" w:lineRule="exact"/>
        <w:ind w:firstLine="435"/>
        <w:rPr>
          <w:rFonts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1.1.2中标通知书；</w:t>
      </w:r>
    </w:p>
    <w:p w14:paraId="0395F4F2">
      <w:pPr>
        <w:spacing w:line="520" w:lineRule="exact"/>
        <w:ind w:firstLine="435"/>
        <w:rPr>
          <w:rFonts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1.1.3投标文件（含澄清或者说明文件）；</w:t>
      </w:r>
    </w:p>
    <w:p w14:paraId="52AF4E77">
      <w:pPr>
        <w:spacing w:line="520" w:lineRule="exact"/>
        <w:ind w:firstLine="435"/>
        <w:rPr>
          <w:rFonts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1.1.4招标文件（含澄清或者修改文件）；</w:t>
      </w:r>
    </w:p>
    <w:p w14:paraId="5217DAE2">
      <w:pPr>
        <w:spacing w:line="520" w:lineRule="exact"/>
        <w:ind w:firstLine="435"/>
        <w:rPr>
          <w:rFonts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1.1.5其他相关采购文件（</w:t>
      </w:r>
      <w:r>
        <w:rPr>
          <w:rFonts w:hint="eastAsia" w:cs="Times New Roman" w:asciiTheme="minorEastAsia" w:hAnsiTheme="minorEastAsia" w:eastAsiaTheme="minorEastAsia"/>
          <w:color w:val="auto"/>
          <w:sz w:val="24"/>
          <w:szCs w:val="24"/>
          <w:highlight w:val="none"/>
        </w:rPr>
        <w:t>建设方案等）</w:t>
      </w:r>
      <w:r>
        <w:rPr>
          <w:rFonts w:hint="eastAsia" w:cs="Times New Roman" w:asciiTheme="minorEastAsia" w:hAnsiTheme="minorEastAsia" w:eastAsiaTheme="minorEastAsia"/>
          <w:color w:val="auto"/>
          <w:sz w:val="24"/>
          <w:szCs w:val="24"/>
          <w:highlight w:val="none"/>
          <w:lang w:val="zh-CN"/>
        </w:rPr>
        <w:t>。</w:t>
      </w:r>
    </w:p>
    <w:p w14:paraId="0C79C09B">
      <w:pPr>
        <w:spacing w:line="520" w:lineRule="exact"/>
        <w:ind w:firstLine="437"/>
        <w:outlineLvl w:val="2"/>
        <w:rPr>
          <w:rFonts w:cs="Times New Roman" w:asciiTheme="minorEastAsia" w:hAnsiTheme="minorEastAsia" w:eastAsiaTheme="minorEastAsia"/>
          <w:b/>
          <w:bCs/>
          <w:color w:val="auto"/>
          <w:sz w:val="24"/>
          <w:szCs w:val="24"/>
          <w:highlight w:val="none"/>
          <w:lang w:val="zh-CN"/>
        </w:rPr>
      </w:pPr>
      <w:bookmarkStart w:id="58" w:name="_Toc22185"/>
      <w:bookmarkStart w:id="59" w:name="_Toc6773"/>
      <w:bookmarkStart w:id="60" w:name="_Toc6311"/>
      <w:bookmarkStart w:id="61" w:name="_Toc2918"/>
      <w:bookmarkStart w:id="62" w:name="_Toc18585"/>
      <w:r>
        <w:rPr>
          <w:rFonts w:hint="eastAsia" w:cs="Times New Roman" w:asciiTheme="minorEastAsia" w:hAnsiTheme="minorEastAsia" w:eastAsiaTheme="minorEastAsia"/>
          <w:b/>
          <w:bCs/>
          <w:color w:val="auto"/>
          <w:sz w:val="24"/>
          <w:szCs w:val="24"/>
          <w:highlight w:val="none"/>
          <w:lang w:val="zh-CN"/>
        </w:rPr>
        <w:t xml:space="preserve">1.2 </w:t>
      </w:r>
      <w:bookmarkEnd w:id="58"/>
      <w:bookmarkEnd w:id="59"/>
      <w:bookmarkEnd w:id="60"/>
      <w:bookmarkEnd w:id="61"/>
      <w:bookmarkEnd w:id="62"/>
      <w:r>
        <w:rPr>
          <w:rFonts w:hint="eastAsia" w:cs="Times New Roman" w:asciiTheme="minorEastAsia" w:hAnsiTheme="minorEastAsia" w:eastAsiaTheme="minorEastAsia"/>
          <w:b/>
          <w:bCs/>
          <w:color w:val="auto"/>
          <w:sz w:val="24"/>
          <w:szCs w:val="24"/>
          <w:highlight w:val="none"/>
          <w:lang w:val="zh-CN"/>
        </w:rPr>
        <w:t>服务</w:t>
      </w:r>
    </w:p>
    <w:p w14:paraId="3A13D64E">
      <w:pPr>
        <w:spacing w:line="520" w:lineRule="exact"/>
        <w:ind w:firstLine="435"/>
        <w:rPr>
          <w:rFonts w:cs="Times New Roman" w:asciiTheme="minorEastAsia" w:hAnsiTheme="minorEastAsia" w:eastAsiaTheme="minorEastAsia"/>
          <w:color w:val="auto"/>
          <w:sz w:val="24"/>
          <w:szCs w:val="24"/>
          <w:highlight w:val="none"/>
          <w:u w:val="single"/>
        </w:rPr>
      </w:pPr>
      <w:r>
        <w:rPr>
          <w:rFonts w:hint="eastAsia" w:cs="Times New Roman" w:asciiTheme="minorEastAsia" w:hAnsiTheme="minorEastAsia" w:eastAsiaTheme="minorEastAsia"/>
          <w:color w:val="auto"/>
          <w:sz w:val="24"/>
          <w:szCs w:val="24"/>
          <w:highlight w:val="none"/>
        </w:rPr>
        <w:t>1.2.1服务</w:t>
      </w:r>
      <w:r>
        <w:rPr>
          <w:rFonts w:cs="Times New Roman" w:asciiTheme="minorEastAsia" w:hAnsiTheme="minorEastAsia" w:eastAsiaTheme="minorEastAsia"/>
          <w:color w:val="auto"/>
          <w:sz w:val="24"/>
          <w:szCs w:val="24"/>
          <w:highlight w:val="none"/>
        </w:rPr>
        <w:t>名称：</w:t>
      </w:r>
      <w:r>
        <w:rPr>
          <w:rFonts w:hint="eastAsia" w:cs="Times New Roman" w:asciiTheme="minorEastAsia" w:hAnsiTheme="minorEastAsia" w:eastAsiaTheme="minorEastAsia"/>
          <w:color w:val="auto"/>
          <w:sz w:val="24"/>
          <w:szCs w:val="24"/>
          <w:highlight w:val="none"/>
          <w:u w:val="single"/>
          <w:lang w:eastAsia="zh-CN"/>
        </w:rPr>
        <w:t>定远县2025年农村公路第三方检测项目</w:t>
      </w:r>
      <w:r>
        <w:rPr>
          <w:rFonts w:hint="eastAsia" w:cs="Times New Roman" w:asciiTheme="minorEastAsia" w:hAnsiTheme="minorEastAsia" w:eastAsiaTheme="minorEastAsia"/>
          <w:color w:val="auto"/>
          <w:sz w:val="24"/>
          <w:szCs w:val="24"/>
          <w:highlight w:val="none"/>
        </w:rPr>
        <w:t>；</w:t>
      </w:r>
    </w:p>
    <w:p w14:paraId="19300E50">
      <w:pPr>
        <w:spacing w:line="520" w:lineRule="exact"/>
        <w:ind w:firstLine="435"/>
        <w:rPr>
          <w:rFonts w:cs="Times New Roman" w:asciiTheme="minorEastAsia" w:hAnsiTheme="minorEastAsia" w:eastAsiaTheme="minorEastAsia"/>
          <w:color w:val="auto"/>
          <w:sz w:val="24"/>
          <w:szCs w:val="24"/>
          <w:highlight w:val="none"/>
          <w:u w:val="single"/>
        </w:rPr>
      </w:pPr>
      <w:r>
        <w:rPr>
          <w:rFonts w:hint="eastAsia" w:cs="Times New Roman" w:asciiTheme="minorEastAsia" w:hAnsiTheme="minorEastAsia" w:eastAsiaTheme="minorEastAsia"/>
          <w:color w:val="auto"/>
          <w:sz w:val="24"/>
          <w:szCs w:val="24"/>
          <w:highlight w:val="none"/>
        </w:rPr>
        <w:t>1.2.2服务内容</w:t>
      </w:r>
      <w:r>
        <w:rPr>
          <w:rFonts w:cs="Times New Roman" w:asciiTheme="minorEastAsia" w:hAnsiTheme="minorEastAsia" w:eastAsiaTheme="minorEastAsia"/>
          <w:color w:val="auto"/>
          <w:sz w:val="24"/>
          <w:szCs w:val="24"/>
          <w:highlight w:val="none"/>
        </w:rPr>
        <w:t>：</w:t>
      </w:r>
      <w:r>
        <w:rPr>
          <w:rFonts w:hint="eastAsia" w:ascii="宋体" w:hAnsi="宋体" w:eastAsia="宋体" w:cs="宋体"/>
          <w:color w:val="auto"/>
          <w:sz w:val="24"/>
          <w:highlight w:val="none"/>
          <w:u w:val="single"/>
        </w:rPr>
        <w:t>招标文件第三章采购需求全部内容</w:t>
      </w:r>
      <w:r>
        <w:rPr>
          <w:rFonts w:hint="eastAsia" w:cs="Times New Roman" w:asciiTheme="minorEastAsia" w:hAnsiTheme="minorEastAsia" w:eastAsiaTheme="minorEastAsia"/>
          <w:color w:val="auto"/>
          <w:sz w:val="24"/>
          <w:szCs w:val="24"/>
          <w:highlight w:val="none"/>
        </w:rPr>
        <w:t>；</w:t>
      </w:r>
    </w:p>
    <w:p w14:paraId="110BA525">
      <w:pPr>
        <w:spacing w:line="520" w:lineRule="exact"/>
        <w:ind w:firstLine="480" w:firstLineChars="200"/>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1.2.3服务质量：</w:t>
      </w:r>
      <w:r>
        <w:rPr>
          <w:rFonts w:hint="eastAsia" w:cs="Times New Roman" w:asciiTheme="minorEastAsia" w:hAnsiTheme="minorEastAsia" w:eastAsiaTheme="minorEastAsia"/>
          <w:color w:val="auto"/>
          <w:sz w:val="24"/>
          <w:szCs w:val="24"/>
          <w:highlight w:val="none"/>
          <w:u w:val="single"/>
        </w:rPr>
        <w:t>满足招标文件要求及采购人</w:t>
      </w:r>
      <w:r>
        <w:rPr>
          <w:rFonts w:hint="eastAsia" w:ascii="宋体" w:hAnsi="宋体" w:eastAsia="宋体" w:cs="宋体"/>
          <w:color w:val="auto"/>
          <w:sz w:val="24"/>
          <w:szCs w:val="24"/>
          <w:highlight w:val="none"/>
          <w:u w:val="single"/>
        </w:rPr>
        <w:t>相关要求</w:t>
      </w:r>
      <w:r>
        <w:rPr>
          <w:rFonts w:hint="eastAsia" w:cs="Times New Roman" w:asciiTheme="minorEastAsia" w:hAnsiTheme="minorEastAsia" w:eastAsiaTheme="minorEastAsia"/>
          <w:color w:val="auto"/>
          <w:sz w:val="24"/>
          <w:szCs w:val="24"/>
          <w:highlight w:val="none"/>
        </w:rPr>
        <w:t>。</w:t>
      </w:r>
    </w:p>
    <w:p w14:paraId="2FC304E9">
      <w:pPr>
        <w:spacing w:line="520" w:lineRule="exact"/>
        <w:ind w:firstLine="437"/>
        <w:outlineLvl w:val="2"/>
        <w:rPr>
          <w:rFonts w:cs="Times New Roman" w:asciiTheme="minorEastAsia" w:hAnsiTheme="minorEastAsia" w:eastAsiaTheme="minorEastAsia"/>
          <w:b/>
          <w:bCs/>
          <w:color w:val="auto"/>
          <w:sz w:val="24"/>
          <w:szCs w:val="24"/>
          <w:highlight w:val="none"/>
          <w:lang w:val="zh-CN"/>
        </w:rPr>
      </w:pPr>
      <w:bookmarkStart w:id="63" w:name="_Toc21551"/>
      <w:bookmarkStart w:id="64" w:name="_Toc21631"/>
      <w:bookmarkStart w:id="65" w:name="_Toc23292"/>
      <w:r>
        <w:rPr>
          <w:rFonts w:hint="eastAsia" w:cs="Times New Roman" w:asciiTheme="minorEastAsia" w:hAnsiTheme="minorEastAsia" w:eastAsiaTheme="minorEastAsia"/>
          <w:b/>
          <w:bCs/>
          <w:color w:val="auto"/>
          <w:sz w:val="24"/>
          <w:szCs w:val="24"/>
          <w:highlight w:val="none"/>
          <w:lang w:val="zh-CN"/>
        </w:rPr>
        <w:t>1.</w:t>
      </w:r>
      <w:r>
        <w:rPr>
          <w:rFonts w:cs="Times New Roman" w:asciiTheme="minorEastAsia" w:hAnsiTheme="minorEastAsia" w:eastAsiaTheme="minorEastAsia"/>
          <w:b/>
          <w:bCs/>
          <w:color w:val="auto"/>
          <w:sz w:val="24"/>
          <w:szCs w:val="24"/>
          <w:highlight w:val="none"/>
          <w:lang w:val="zh-CN"/>
        </w:rPr>
        <w:t xml:space="preserve">3 </w:t>
      </w:r>
      <w:r>
        <w:rPr>
          <w:rFonts w:hint="eastAsia" w:cs="Times New Roman" w:asciiTheme="minorEastAsia" w:hAnsiTheme="minorEastAsia" w:eastAsiaTheme="minorEastAsia"/>
          <w:b/>
          <w:bCs/>
          <w:color w:val="auto"/>
          <w:sz w:val="24"/>
          <w:szCs w:val="24"/>
          <w:highlight w:val="none"/>
          <w:lang w:val="zh-CN"/>
        </w:rPr>
        <w:t>价款</w:t>
      </w:r>
      <w:bookmarkEnd w:id="63"/>
      <w:bookmarkEnd w:id="64"/>
      <w:bookmarkEnd w:id="65"/>
    </w:p>
    <w:p w14:paraId="63C299CA">
      <w:pPr>
        <w:spacing w:line="520" w:lineRule="exact"/>
        <w:ind w:firstLine="435"/>
        <w:rPr>
          <w:rFonts w:hint="default" w:cs="Times New Roman" w:asciiTheme="minorEastAsia" w:hAnsiTheme="minorEastAsia" w:eastAsiaTheme="minorEastAsia"/>
          <w:color w:val="auto"/>
          <w:sz w:val="24"/>
          <w:szCs w:val="24"/>
          <w:highlight w:val="none"/>
          <w:lang w:val="en-US" w:eastAsia="zh-CN"/>
        </w:rPr>
      </w:pPr>
      <w:r>
        <w:rPr>
          <w:rFonts w:cs="Times New Roman" w:asciiTheme="minorEastAsia" w:hAnsiTheme="minorEastAsia" w:eastAsiaTheme="minorEastAsia"/>
          <w:color w:val="auto"/>
          <w:sz w:val="24"/>
          <w:szCs w:val="24"/>
          <w:highlight w:val="none"/>
        </w:rPr>
        <w:t>本合同总价为</w:t>
      </w:r>
      <w:r>
        <w:rPr>
          <w:rFonts w:hint="eastAsia" w:cs="Times New Roman" w:asciiTheme="minorEastAsia" w:hAnsiTheme="minorEastAsia" w:eastAsiaTheme="minorEastAsia"/>
          <w:color w:val="auto"/>
          <w:sz w:val="24"/>
          <w:szCs w:val="24"/>
          <w:highlight w:val="none"/>
        </w:rPr>
        <w:t>：</w:t>
      </w:r>
      <w:r>
        <w:rPr>
          <w:rFonts w:hint="eastAsia" w:cs="Times New Roman" w:asciiTheme="minorEastAsia" w:hAnsiTheme="minorEastAsia" w:eastAsiaTheme="minorEastAsia"/>
          <w:color w:val="auto"/>
          <w:sz w:val="24"/>
          <w:szCs w:val="24"/>
          <w:highlight w:val="none"/>
          <w:u w:val="single"/>
          <w:lang w:val="en-US" w:eastAsia="zh-CN"/>
        </w:rPr>
        <w:t xml:space="preserve">                </w:t>
      </w:r>
      <w:r>
        <w:rPr>
          <w:rFonts w:hint="eastAsia" w:cs="Times New Roman" w:asciiTheme="minorEastAsia" w:hAnsiTheme="minorEastAsia" w:eastAsiaTheme="minorEastAsia"/>
          <w:color w:val="auto"/>
          <w:sz w:val="24"/>
          <w:szCs w:val="24"/>
          <w:highlight w:val="none"/>
          <w:lang w:val="en-US" w:eastAsia="zh-CN"/>
        </w:rPr>
        <w:t>。</w:t>
      </w:r>
    </w:p>
    <w:p w14:paraId="76BC7E7B">
      <w:pPr>
        <w:spacing w:line="520" w:lineRule="exact"/>
        <w:ind w:firstLine="437"/>
        <w:outlineLvl w:val="2"/>
        <w:rPr>
          <w:rFonts w:cs="Times New Roman" w:asciiTheme="minorEastAsia" w:hAnsiTheme="minorEastAsia" w:eastAsiaTheme="minorEastAsia"/>
          <w:b/>
          <w:bCs/>
          <w:color w:val="auto"/>
          <w:sz w:val="24"/>
          <w:szCs w:val="24"/>
          <w:highlight w:val="none"/>
          <w:lang w:val="zh-CN"/>
        </w:rPr>
      </w:pPr>
      <w:bookmarkStart w:id="66" w:name="_Toc1814"/>
      <w:bookmarkStart w:id="67" w:name="_Toc22618"/>
      <w:bookmarkStart w:id="68" w:name="_Toc10340"/>
      <w:r>
        <w:rPr>
          <w:rFonts w:hint="eastAsia" w:cs="Times New Roman" w:asciiTheme="minorEastAsia" w:hAnsiTheme="minorEastAsia" w:eastAsiaTheme="minorEastAsia"/>
          <w:b/>
          <w:bCs/>
          <w:color w:val="auto"/>
          <w:sz w:val="24"/>
          <w:szCs w:val="24"/>
          <w:highlight w:val="none"/>
          <w:lang w:val="zh-CN"/>
        </w:rPr>
        <w:t>1.</w:t>
      </w:r>
      <w:r>
        <w:rPr>
          <w:rFonts w:cs="Times New Roman" w:asciiTheme="minorEastAsia" w:hAnsiTheme="minorEastAsia" w:eastAsiaTheme="minorEastAsia"/>
          <w:b/>
          <w:bCs/>
          <w:color w:val="auto"/>
          <w:sz w:val="24"/>
          <w:szCs w:val="24"/>
          <w:highlight w:val="none"/>
          <w:lang w:val="zh-CN"/>
        </w:rPr>
        <w:t>4 付款方式和发票开具方式</w:t>
      </w:r>
      <w:bookmarkEnd w:id="66"/>
      <w:bookmarkEnd w:id="67"/>
      <w:bookmarkEnd w:id="68"/>
    </w:p>
    <w:p w14:paraId="1816BA13">
      <w:pPr>
        <w:pStyle w:val="53"/>
        <w:widowControl w:val="0"/>
        <w:spacing w:before="0" w:beforeAutospacing="0" w:after="0" w:afterAutospacing="0" w:line="520" w:lineRule="exact"/>
        <w:ind w:firstLine="480" w:firstLineChars="200"/>
        <w:jc w:val="both"/>
        <w:rPr>
          <w:rFonts w:hint="default" w:cs="Times New Roman" w:asciiTheme="minorEastAsia" w:hAnsiTheme="minorEastAsia" w:eastAsiaTheme="minorEastAsia"/>
          <w:b w:val="0"/>
          <w:bCs w:val="0"/>
          <w:color w:val="auto"/>
          <w:kern w:val="2"/>
          <w:sz w:val="24"/>
          <w:szCs w:val="24"/>
          <w:highlight w:val="none"/>
          <w:lang w:val="en-US" w:eastAsia="zh-CN" w:bidi="ar-SA"/>
        </w:rPr>
      </w:pPr>
      <w:r>
        <w:rPr>
          <w:rFonts w:hint="eastAsia" w:cs="Times New Roman" w:asciiTheme="minorEastAsia" w:hAnsiTheme="minorEastAsia" w:eastAsiaTheme="minorEastAsia"/>
          <w:b w:val="0"/>
          <w:bCs w:val="0"/>
          <w:color w:val="auto"/>
          <w:kern w:val="2"/>
          <w:sz w:val="24"/>
          <w:szCs w:val="24"/>
          <w:highlight w:val="none"/>
          <w:lang w:val="en-US" w:eastAsia="zh-CN" w:bidi="ar-SA"/>
        </w:rPr>
        <w:t>1.4.1付款方式：</w:t>
      </w:r>
      <w:r>
        <w:rPr>
          <w:rFonts w:hint="eastAsia" w:cs="Times New Roman" w:asciiTheme="minorEastAsia" w:hAnsiTheme="minorEastAsia" w:eastAsiaTheme="minorEastAsia"/>
          <w:b w:val="0"/>
          <w:bCs w:val="0"/>
          <w:color w:val="auto"/>
          <w:kern w:val="2"/>
          <w:sz w:val="24"/>
          <w:szCs w:val="24"/>
          <w:highlight w:val="none"/>
          <w:u w:val="single"/>
          <w:lang w:val="en-US" w:eastAsia="zh-CN" w:bidi="ar-SA"/>
        </w:rPr>
        <w:t xml:space="preserve">                   </w:t>
      </w:r>
      <w:r>
        <w:rPr>
          <w:rFonts w:hint="eastAsia" w:cs="Times New Roman" w:asciiTheme="minorEastAsia" w:hAnsiTheme="minorEastAsia" w:eastAsiaTheme="minorEastAsia"/>
          <w:b w:val="0"/>
          <w:bCs w:val="0"/>
          <w:color w:val="auto"/>
          <w:kern w:val="2"/>
          <w:sz w:val="24"/>
          <w:szCs w:val="24"/>
          <w:highlight w:val="none"/>
          <w:lang w:val="en-US" w:eastAsia="zh-CN" w:bidi="ar-SA"/>
        </w:rPr>
        <w:t xml:space="preserve"> 。</w:t>
      </w:r>
    </w:p>
    <w:p w14:paraId="4396E575">
      <w:pPr>
        <w:spacing w:line="520" w:lineRule="exact"/>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1.4.2发票开具方式：</w:t>
      </w:r>
      <w:bookmarkStart w:id="69" w:name="OLE_LINK8"/>
      <w:r>
        <w:rPr>
          <w:rFonts w:hint="eastAsia" w:ascii="宋体" w:hAnsi="宋体" w:eastAsia="宋体" w:cs="宋体"/>
          <w:color w:val="auto"/>
          <w:sz w:val="24"/>
          <w:szCs w:val="24"/>
          <w:highlight w:val="none"/>
          <w:u w:val="single"/>
        </w:rPr>
        <w:t>开具符合要求的增值税专用发票</w:t>
      </w:r>
      <w:r>
        <w:rPr>
          <w:rFonts w:hint="eastAsia" w:cs="Times New Roman" w:asciiTheme="minorEastAsia" w:hAnsiTheme="minorEastAsia" w:eastAsiaTheme="minorEastAsia"/>
          <w:color w:val="auto"/>
          <w:sz w:val="24"/>
          <w:szCs w:val="24"/>
          <w:highlight w:val="none"/>
        </w:rPr>
        <w:t>。</w:t>
      </w:r>
      <w:bookmarkEnd w:id="69"/>
    </w:p>
    <w:p w14:paraId="3940D19F">
      <w:pPr>
        <w:spacing w:line="520" w:lineRule="exact"/>
        <w:ind w:firstLine="437"/>
        <w:outlineLvl w:val="2"/>
        <w:rPr>
          <w:rFonts w:cs="Times New Roman" w:asciiTheme="minorEastAsia" w:hAnsiTheme="minorEastAsia" w:eastAsiaTheme="minorEastAsia"/>
          <w:b/>
          <w:bCs/>
          <w:color w:val="auto"/>
          <w:sz w:val="24"/>
          <w:szCs w:val="24"/>
          <w:highlight w:val="none"/>
          <w:lang w:val="zh-CN"/>
        </w:rPr>
      </w:pPr>
      <w:bookmarkStart w:id="70" w:name="_Toc19304"/>
      <w:bookmarkStart w:id="71" w:name="_Toc2846"/>
      <w:bookmarkStart w:id="72" w:name="_Toc32071"/>
      <w:r>
        <w:rPr>
          <w:rFonts w:hint="eastAsia" w:cs="Times New Roman" w:asciiTheme="minorEastAsia" w:hAnsiTheme="minorEastAsia" w:eastAsiaTheme="minorEastAsia"/>
          <w:b/>
          <w:bCs/>
          <w:color w:val="auto"/>
          <w:sz w:val="24"/>
          <w:szCs w:val="24"/>
          <w:highlight w:val="none"/>
          <w:lang w:val="zh-CN"/>
        </w:rPr>
        <w:t>1.</w:t>
      </w:r>
      <w:r>
        <w:rPr>
          <w:rFonts w:cs="Times New Roman" w:asciiTheme="minorEastAsia" w:hAnsiTheme="minorEastAsia" w:eastAsiaTheme="minorEastAsia"/>
          <w:b/>
          <w:bCs/>
          <w:color w:val="auto"/>
          <w:sz w:val="24"/>
          <w:szCs w:val="24"/>
          <w:highlight w:val="none"/>
          <w:lang w:val="zh-CN"/>
        </w:rPr>
        <w:t xml:space="preserve">5 </w:t>
      </w:r>
      <w:r>
        <w:rPr>
          <w:rFonts w:hint="eastAsia" w:cs="Times New Roman" w:asciiTheme="minorEastAsia" w:hAnsiTheme="minorEastAsia" w:eastAsiaTheme="minorEastAsia"/>
          <w:b/>
          <w:bCs/>
          <w:color w:val="auto"/>
          <w:sz w:val="24"/>
          <w:szCs w:val="24"/>
          <w:highlight w:val="none"/>
          <w:lang w:val="zh-CN"/>
        </w:rPr>
        <w:t>服务</w:t>
      </w:r>
      <w:r>
        <w:rPr>
          <w:rFonts w:cs="Times New Roman" w:asciiTheme="minorEastAsia" w:hAnsiTheme="minorEastAsia" w:eastAsiaTheme="minorEastAsia"/>
          <w:b/>
          <w:bCs/>
          <w:color w:val="auto"/>
          <w:sz w:val="24"/>
          <w:szCs w:val="24"/>
          <w:highlight w:val="none"/>
          <w:lang w:val="zh-CN"/>
        </w:rPr>
        <w:t>期限</w:t>
      </w:r>
      <w:r>
        <w:rPr>
          <w:rFonts w:hint="eastAsia" w:cs="Times New Roman" w:asciiTheme="minorEastAsia" w:hAnsiTheme="minorEastAsia" w:eastAsiaTheme="minorEastAsia"/>
          <w:b/>
          <w:bCs/>
          <w:color w:val="auto"/>
          <w:sz w:val="24"/>
          <w:szCs w:val="24"/>
          <w:highlight w:val="none"/>
          <w:lang w:val="zh-CN"/>
        </w:rPr>
        <w:t>、地点和方式</w:t>
      </w:r>
      <w:bookmarkEnd w:id="70"/>
      <w:bookmarkEnd w:id="71"/>
      <w:bookmarkEnd w:id="72"/>
    </w:p>
    <w:p w14:paraId="678679B6">
      <w:pPr>
        <w:spacing w:line="520" w:lineRule="exact"/>
        <w:ind w:firstLine="435"/>
        <w:rPr>
          <w:rFonts w:ascii="宋体" w:hAnsi="宋体" w:eastAsia="宋体" w:cs="宋体"/>
          <w:color w:val="auto"/>
          <w:sz w:val="24"/>
          <w:szCs w:val="24"/>
          <w:highlight w:val="none"/>
          <w:u w:val="single"/>
        </w:rPr>
      </w:pPr>
      <w:r>
        <w:rPr>
          <w:rFonts w:hint="eastAsia" w:cs="Times New Roman" w:asciiTheme="minorEastAsia" w:hAnsiTheme="minorEastAsia" w:eastAsiaTheme="minorEastAsia"/>
          <w:color w:val="auto"/>
          <w:sz w:val="24"/>
          <w:szCs w:val="24"/>
          <w:highlight w:val="none"/>
        </w:rPr>
        <w:t>1.5.1服务期限</w:t>
      </w:r>
      <w:r>
        <w:rPr>
          <w:rFonts w:cs="Times New Roman" w:asciiTheme="minorEastAsia" w:hAnsiTheme="minorEastAsia" w:eastAsiaTheme="minorEastAsia"/>
          <w:color w:val="auto"/>
          <w:sz w:val="24"/>
          <w:szCs w:val="24"/>
          <w:highlight w:val="none"/>
        </w:rPr>
        <w:t>：</w:t>
      </w:r>
      <w:r>
        <w:rPr>
          <w:rFonts w:hint="eastAsia" w:ascii="宋体" w:hAnsi="宋体" w:eastAsia="宋体" w:cs="宋体"/>
          <w:color w:val="auto"/>
          <w:sz w:val="24"/>
          <w:szCs w:val="24"/>
          <w:highlight w:val="none"/>
        </w:rPr>
        <w:t>计划工期 365 日历天（本项目试验检测服务期涵盖施工阶段和缺陷责任期阶段）</w:t>
      </w:r>
      <w:r>
        <w:rPr>
          <w:rFonts w:hint="eastAsia" w:ascii="宋体" w:hAnsi="宋体" w:eastAsia="宋体" w:cs="宋体"/>
          <w:color w:val="auto"/>
          <w:sz w:val="24"/>
          <w:szCs w:val="24"/>
          <w:highlight w:val="none"/>
          <w:lang w:eastAsia="zh-CN"/>
        </w:rPr>
        <w:t>。</w:t>
      </w:r>
    </w:p>
    <w:p w14:paraId="3DF62AFF">
      <w:pPr>
        <w:spacing w:line="520" w:lineRule="exact"/>
        <w:ind w:firstLine="435"/>
        <w:rPr>
          <w:rFonts w:cs="Times New Roman" w:asciiTheme="minorEastAsia" w:hAnsiTheme="minorEastAsia" w:eastAsiaTheme="minorEastAsia"/>
          <w:color w:val="auto"/>
          <w:sz w:val="24"/>
          <w:szCs w:val="24"/>
          <w:highlight w:val="none"/>
          <w:u w:val="single"/>
        </w:rPr>
      </w:pPr>
      <w:r>
        <w:rPr>
          <w:rFonts w:hint="eastAsia" w:cs="Times New Roman" w:asciiTheme="minorEastAsia" w:hAnsiTheme="minorEastAsia" w:eastAsiaTheme="minorEastAsia"/>
          <w:color w:val="auto"/>
          <w:sz w:val="24"/>
          <w:szCs w:val="24"/>
          <w:highlight w:val="none"/>
        </w:rPr>
        <w:t>1.5.2服务地点</w:t>
      </w:r>
      <w:r>
        <w:rPr>
          <w:rFonts w:cs="Times New Roman" w:asciiTheme="minorEastAsia" w:hAnsiTheme="minorEastAsia" w:eastAsiaTheme="minorEastAsia"/>
          <w:color w:val="auto"/>
          <w:sz w:val="24"/>
          <w:szCs w:val="24"/>
          <w:highlight w:val="none"/>
        </w:rPr>
        <w:t>：</w:t>
      </w:r>
      <w:r>
        <w:rPr>
          <w:rFonts w:hint="eastAsia" w:cs="Times New Roman" w:asciiTheme="minorEastAsia" w:hAnsiTheme="minorEastAsia" w:eastAsiaTheme="minorEastAsia"/>
          <w:color w:val="auto"/>
          <w:sz w:val="24"/>
          <w:szCs w:val="24"/>
          <w:highlight w:val="none"/>
          <w:u w:val="single"/>
        </w:rPr>
        <w:t>甲方指定地点；</w:t>
      </w:r>
    </w:p>
    <w:p w14:paraId="09F52484">
      <w:pPr>
        <w:spacing w:line="520" w:lineRule="exact"/>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1.5.3服务方式：</w:t>
      </w:r>
      <w:r>
        <w:rPr>
          <w:rFonts w:hint="eastAsia" w:cs="Times New Roman" w:asciiTheme="minorEastAsia" w:hAnsiTheme="minorEastAsia" w:eastAsiaTheme="minorEastAsia"/>
          <w:color w:val="auto"/>
          <w:sz w:val="24"/>
          <w:szCs w:val="24"/>
          <w:highlight w:val="none"/>
          <w:u w:val="single"/>
        </w:rPr>
        <w:t>甲方指定方式</w:t>
      </w:r>
      <w:r>
        <w:rPr>
          <w:rFonts w:hint="eastAsia" w:cs="Times New Roman" w:asciiTheme="minorEastAsia" w:hAnsiTheme="minorEastAsia" w:eastAsiaTheme="minorEastAsia"/>
          <w:color w:val="auto"/>
          <w:sz w:val="24"/>
          <w:szCs w:val="24"/>
          <w:highlight w:val="none"/>
        </w:rPr>
        <w:t>。</w:t>
      </w:r>
    </w:p>
    <w:p w14:paraId="0EC5AA0A">
      <w:pPr>
        <w:spacing w:line="520" w:lineRule="exact"/>
        <w:ind w:firstLine="437"/>
        <w:outlineLvl w:val="2"/>
        <w:rPr>
          <w:rFonts w:cs="Times New Roman" w:asciiTheme="minorEastAsia" w:hAnsiTheme="minorEastAsia" w:eastAsiaTheme="minorEastAsia"/>
          <w:b/>
          <w:bCs/>
          <w:color w:val="auto"/>
          <w:sz w:val="24"/>
          <w:szCs w:val="24"/>
          <w:highlight w:val="none"/>
          <w:lang w:val="zh-CN"/>
        </w:rPr>
      </w:pPr>
      <w:bookmarkStart w:id="73" w:name="_Toc21423"/>
      <w:bookmarkStart w:id="74" w:name="_Toc19554"/>
      <w:bookmarkStart w:id="75" w:name="_Toc27250"/>
      <w:r>
        <w:rPr>
          <w:rFonts w:hint="eastAsia" w:cs="Times New Roman" w:asciiTheme="minorEastAsia" w:hAnsiTheme="minorEastAsia" w:eastAsiaTheme="minorEastAsia"/>
          <w:b/>
          <w:bCs/>
          <w:color w:val="auto"/>
          <w:sz w:val="24"/>
          <w:szCs w:val="24"/>
          <w:highlight w:val="none"/>
          <w:lang w:val="zh-CN"/>
        </w:rPr>
        <w:t>1.6 违约责任</w:t>
      </w:r>
      <w:bookmarkEnd w:id="73"/>
      <w:bookmarkEnd w:id="74"/>
      <w:bookmarkEnd w:id="75"/>
    </w:p>
    <w:p w14:paraId="60E360C3">
      <w:pPr>
        <w:spacing w:line="520" w:lineRule="exact"/>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1.6.1除不可抗力外，如果乙方没有按照本合同约定的期限、地点和方式履行，那么甲方可要求乙方支付违约金，违约金按每迟延履行一日的应提供而未提供服务价格的</w:t>
      </w:r>
      <w:r>
        <w:rPr>
          <w:rFonts w:hint="eastAsia" w:cs="Times New Roman" w:asciiTheme="minorEastAsia" w:hAnsiTheme="minorEastAsia" w:eastAsiaTheme="minorEastAsia"/>
          <w:color w:val="auto"/>
          <w:sz w:val="24"/>
          <w:szCs w:val="24"/>
          <w:highlight w:val="none"/>
          <w:u w:val="single"/>
        </w:rPr>
        <w:t>0.1 %</w:t>
      </w:r>
      <w:r>
        <w:rPr>
          <w:rFonts w:hint="eastAsia" w:cs="Times New Roman" w:asciiTheme="minorEastAsia" w:hAnsiTheme="minorEastAsia" w:eastAsiaTheme="minorEastAsia"/>
          <w:color w:val="auto"/>
          <w:sz w:val="24"/>
          <w:szCs w:val="24"/>
          <w:highlight w:val="none"/>
        </w:rPr>
        <w:t>计算，最高限额为本合同总价的</w:t>
      </w:r>
      <w:r>
        <w:rPr>
          <w:rFonts w:hint="eastAsia" w:cs="Times New Roman" w:asciiTheme="minorEastAsia" w:hAnsiTheme="minorEastAsia" w:eastAsiaTheme="minorEastAsia"/>
          <w:color w:val="auto"/>
          <w:sz w:val="24"/>
          <w:szCs w:val="24"/>
          <w:highlight w:val="none"/>
          <w:u w:val="single"/>
        </w:rPr>
        <w:t>10%</w:t>
      </w:r>
      <w:r>
        <w:rPr>
          <w:rFonts w:hint="eastAsia" w:cs="Times New Roman" w:asciiTheme="minorEastAsia" w:hAnsiTheme="minorEastAsia" w:eastAsiaTheme="minorEastAsia"/>
          <w:color w:val="auto"/>
          <w:sz w:val="24"/>
          <w:szCs w:val="24"/>
          <w:highlight w:val="none"/>
        </w:rPr>
        <w:t>；迟延履行的违约金计算数额达到前述最高限额之日起，甲方有权在要求乙方支付违约金的同时，书面通知乙方解除本合同；</w:t>
      </w:r>
    </w:p>
    <w:p w14:paraId="4F5B4F8E">
      <w:pPr>
        <w:spacing w:line="520" w:lineRule="exact"/>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1.6.2除不可抗力外，如果甲方没有按照本合同约定的付款方式付款，那么乙方可要求甲方支付违约金，违约金按每迟延付款一日的应付而未付款的</w:t>
      </w:r>
      <w:r>
        <w:rPr>
          <w:rFonts w:hint="eastAsia" w:cs="Times New Roman" w:asciiTheme="minorEastAsia" w:hAnsiTheme="minorEastAsia" w:eastAsiaTheme="minorEastAsia"/>
          <w:color w:val="auto"/>
          <w:sz w:val="24"/>
          <w:szCs w:val="24"/>
          <w:highlight w:val="none"/>
          <w:u w:val="single"/>
        </w:rPr>
        <w:t>0.1 %</w:t>
      </w:r>
      <w:r>
        <w:rPr>
          <w:rFonts w:hint="eastAsia" w:cs="Times New Roman" w:asciiTheme="minorEastAsia" w:hAnsiTheme="minorEastAsia" w:eastAsiaTheme="minorEastAsia"/>
          <w:color w:val="auto"/>
          <w:sz w:val="24"/>
          <w:szCs w:val="24"/>
          <w:highlight w:val="none"/>
        </w:rPr>
        <w:t>计算，最高限额为本合同总价的</w:t>
      </w:r>
      <w:r>
        <w:rPr>
          <w:rFonts w:hint="eastAsia" w:cs="Times New Roman" w:asciiTheme="minorEastAsia" w:hAnsiTheme="minorEastAsia" w:eastAsiaTheme="minorEastAsia"/>
          <w:color w:val="auto"/>
          <w:sz w:val="24"/>
          <w:szCs w:val="24"/>
          <w:highlight w:val="none"/>
          <w:u w:val="single"/>
        </w:rPr>
        <w:t>10%</w:t>
      </w:r>
      <w:r>
        <w:rPr>
          <w:rFonts w:hint="eastAsia" w:cs="Times New Roman" w:asciiTheme="minorEastAsia" w:hAnsiTheme="minorEastAsia" w:eastAsiaTheme="minorEastAsia"/>
          <w:color w:val="auto"/>
          <w:sz w:val="24"/>
          <w:szCs w:val="24"/>
          <w:highlight w:val="none"/>
        </w:rPr>
        <w:t>；迟延付款的违约金计算数额达到前述最高限额之日起，乙方有权在要求甲方支付违约金的同时，书面通知甲方解除本合同；</w:t>
      </w:r>
    </w:p>
    <w:p w14:paraId="3B79E803">
      <w:pPr>
        <w:spacing w:line="520" w:lineRule="exact"/>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5B22E46">
      <w:pPr>
        <w:spacing w:line="520" w:lineRule="exact"/>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BD89C1B">
      <w:pPr>
        <w:spacing w:line="520" w:lineRule="exact"/>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DA49F9A">
      <w:pPr>
        <w:spacing w:line="520" w:lineRule="exact"/>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491458E0">
      <w:pPr>
        <w:spacing w:line="520" w:lineRule="exact"/>
        <w:ind w:firstLine="435"/>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1.6.7因甲方未按合同约定支付价款、未按合同约定受领标的物、擅自解除合同</w:t>
      </w:r>
      <w:r>
        <w:rPr>
          <w:rFonts w:hint="eastAsia" w:cs="Times New Roman" w:asciiTheme="minorEastAsia" w:hAnsiTheme="minorEastAsia" w:eastAsiaTheme="minorEastAsia"/>
          <w:color w:val="auto"/>
          <w:sz w:val="24"/>
          <w:szCs w:val="24"/>
          <w:highlight w:val="none"/>
        </w:rPr>
        <w:t>、逾期退还履约保证金</w:t>
      </w:r>
      <w:r>
        <w:rPr>
          <w:rFonts w:cs="Times New Roman" w:asciiTheme="minorEastAsia" w:hAnsiTheme="minorEastAsia" w:eastAsiaTheme="minorEastAsia"/>
          <w:color w:val="auto"/>
          <w:sz w:val="24"/>
          <w:szCs w:val="24"/>
          <w:highlight w:val="none"/>
        </w:rPr>
        <w:t>导致乙方遭受的直接损失，乙方可向甲方申请赔偿，赔偿金额由双方协商一致；</w:t>
      </w:r>
      <w:r>
        <w:rPr>
          <w:rFonts w:hint="eastAsia" w:cs="Times New Roman" w:asciiTheme="minorEastAsia" w:hAnsiTheme="minorEastAsia" w:eastAsiaTheme="minorEastAsia"/>
          <w:color w:val="auto"/>
          <w:sz w:val="24"/>
          <w:szCs w:val="24"/>
          <w:highlight w:val="none"/>
        </w:rPr>
        <w:t>针对因政策变化等原因不能签订合同或解除合同时，造成乙方合法利益受损的情形，可以给予乙方合理补偿，补偿金额不得超过乙方的直接损失。</w:t>
      </w:r>
    </w:p>
    <w:p w14:paraId="69E201F3">
      <w:pPr>
        <w:spacing w:line="520" w:lineRule="exact"/>
        <w:ind w:firstLine="437"/>
        <w:outlineLvl w:val="2"/>
        <w:rPr>
          <w:rFonts w:cs="Times New Roman" w:asciiTheme="minorEastAsia" w:hAnsiTheme="minorEastAsia" w:eastAsiaTheme="minorEastAsia"/>
          <w:b/>
          <w:bCs/>
          <w:color w:val="auto"/>
          <w:sz w:val="24"/>
          <w:szCs w:val="24"/>
          <w:highlight w:val="none"/>
          <w:lang w:val="zh-CN"/>
        </w:rPr>
      </w:pPr>
      <w:bookmarkStart w:id="76" w:name="_Toc28375"/>
      <w:bookmarkStart w:id="77" w:name="_Toc15583"/>
      <w:bookmarkStart w:id="78" w:name="_Toc16021"/>
      <w:r>
        <w:rPr>
          <w:rFonts w:hint="eastAsia" w:cs="Times New Roman" w:asciiTheme="minorEastAsia" w:hAnsiTheme="minorEastAsia" w:eastAsiaTheme="minorEastAsia"/>
          <w:b/>
          <w:bCs/>
          <w:color w:val="auto"/>
          <w:sz w:val="24"/>
          <w:szCs w:val="24"/>
          <w:highlight w:val="none"/>
          <w:lang w:val="zh-CN"/>
        </w:rPr>
        <w:t>1.7合同</w:t>
      </w:r>
      <w:r>
        <w:rPr>
          <w:rFonts w:cs="Times New Roman" w:asciiTheme="minorEastAsia" w:hAnsiTheme="minorEastAsia" w:eastAsiaTheme="minorEastAsia"/>
          <w:b/>
          <w:bCs/>
          <w:color w:val="auto"/>
          <w:sz w:val="24"/>
          <w:szCs w:val="24"/>
          <w:highlight w:val="none"/>
          <w:lang w:val="zh-CN"/>
        </w:rPr>
        <w:t>争议的解决</w:t>
      </w:r>
      <w:bookmarkEnd w:id="76"/>
      <w:bookmarkEnd w:id="77"/>
      <w:bookmarkEnd w:id="78"/>
    </w:p>
    <w:p w14:paraId="069CBF04">
      <w:pPr>
        <w:spacing w:line="520" w:lineRule="exact"/>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本合</w:t>
      </w:r>
      <w:r>
        <w:rPr>
          <w:rFonts w:cs="Times New Roman" w:asciiTheme="minorEastAsia" w:hAnsiTheme="minorEastAsia" w:eastAsiaTheme="minorEastAsia"/>
          <w:color w:val="auto"/>
          <w:sz w:val="24"/>
          <w:szCs w:val="24"/>
          <w:highlight w:val="none"/>
        </w:rPr>
        <w:t>同履行过程中发生的任何争议，双方当事人均可</w:t>
      </w:r>
      <w:r>
        <w:rPr>
          <w:rFonts w:hint="eastAsia" w:cs="Times New Roman" w:asciiTheme="minorEastAsia" w:hAnsiTheme="minorEastAsia" w:eastAsiaTheme="minorEastAsia"/>
          <w:color w:val="auto"/>
          <w:sz w:val="24"/>
          <w:szCs w:val="24"/>
          <w:highlight w:val="none"/>
        </w:rPr>
        <w:t>通过和解或者调解解决；不愿和解、调解或者和解、调解不成的，可以选择下列第种方式解决：</w:t>
      </w:r>
    </w:p>
    <w:p w14:paraId="1640FC5D">
      <w:pPr>
        <w:spacing w:line="520" w:lineRule="exact"/>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（1）将争议提交</w:t>
      </w:r>
      <w:r>
        <w:rPr>
          <w:rFonts w:hint="eastAsia" w:cs="Times New Roman" w:asciiTheme="minorEastAsia" w:hAnsiTheme="minorEastAsia" w:eastAsiaTheme="minorEastAsia"/>
          <w:color w:val="auto"/>
          <w:sz w:val="24"/>
          <w:szCs w:val="24"/>
          <w:highlight w:val="none"/>
          <w:u w:val="single"/>
        </w:rPr>
        <w:t xml:space="preserve">  滁州    </w:t>
      </w:r>
      <w:r>
        <w:rPr>
          <w:rFonts w:hint="eastAsia" w:cs="Times New Roman" w:asciiTheme="minorEastAsia" w:hAnsiTheme="minorEastAsia" w:eastAsiaTheme="minorEastAsia"/>
          <w:color w:val="auto"/>
          <w:sz w:val="24"/>
          <w:szCs w:val="24"/>
          <w:highlight w:val="none"/>
        </w:rPr>
        <w:t>仲裁委员会依申请仲裁时其现行有效的仲裁规则裁决；</w:t>
      </w:r>
    </w:p>
    <w:p w14:paraId="6AE08586">
      <w:pPr>
        <w:spacing w:line="520" w:lineRule="exact"/>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（2）向</w:t>
      </w:r>
      <w:r>
        <w:rPr>
          <w:rFonts w:hint="eastAsia" w:cs="Times New Roman" w:asciiTheme="minorEastAsia" w:hAnsiTheme="minorEastAsia" w:eastAsiaTheme="minorEastAsia"/>
          <w:color w:val="auto"/>
          <w:sz w:val="24"/>
          <w:szCs w:val="24"/>
          <w:highlight w:val="none"/>
          <w:u w:val="single"/>
        </w:rPr>
        <w:t xml:space="preserve">  甲方（采购人）所在地</w:t>
      </w:r>
      <w:r>
        <w:rPr>
          <w:rFonts w:hint="eastAsia" w:cs="Times New Roman" w:asciiTheme="minorEastAsia" w:hAnsiTheme="minorEastAsia" w:eastAsiaTheme="minorEastAsia"/>
          <w:color w:val="auto"/>
          <w:sz w:val="24"/>
          <w:szCs w:val="24"/>
          <w:highlight w:val="none"/>
        </w:rPr>
        <w:t>人民法院起诉。</w:t>
      </w:r>
    </w:p>
    <w:p w14:paraId="58B385C1">
      <w:pPr>
        <w:spacing w:line="520" w:lineRule="exact"/>
        <w:ind w:firstLine="437"/>
        <w:outlineLvl w:val="2"/>
        <w:rPr>
          <w:rFonts w:cs="Times New Roman" w:asciiTheme="minorEastAsia" w:hAnsiTheme="minorEastAsia" w:eastAsiaTheme="minorEastAsia"/>
          <w:b/>
          <w:bCs/>
          <w:color w:val="auto"/>
          <w:sz w:val="24"/>
          <w:szCs w:val="24"/>
          <w:highlight w:val="none"/>
          <w:lang w:val="zh-CN"/>
        </w:rPr>
      </w:pPr>
      <w:bookmarkStart w:id="79" w:name="_Toc15322"/>
      <w:bookmarkStart w:id="80" w:name="_Toc11173"/>
      <w:bookmarkStart w:id="81" w:name="_Toc7245"/>
      <w:r>
        <w:rPr>
          <w:rFonts w:hint="eastAsia" w:cs="Times New Roman" w:asciiTheme="minorEastAsia" w:hAnsiTheme="minorEastAsia" w:eastAsiaTheme="minorEastAsia"/>
          <w:b/>
          <w:bCs/>
          <w:color w:val="auto"/>
          <w:sz w:val="24"/>
          <w:szCs w:val="24"/>
          <w:highlight w:val="none"/>
          <w:lang w:val="zh-CN"/>
        </w:rPr>
        <w:t>1.8</w:t>
      </w:r>
      <w:r>
        <w:rPr>
          <w:rFonts w:cs="Times New Roman" w:asciiTheme="minorEastAsia" w:hAnsiTheme="minorEastAsia" w:eastAsiaTheme="minorEastAsia"/>
          <w:b/>
          <w:bCs/>
          <w:color w:val="auto"/>
          <w:sz w:val="24"/>
          <w:szCs w:val="24"/>
          <w:highlight w:val="none"/>
          <w:lang w:val="zh-CN"/>
        </w:rPr>
        <w:t xml:space="preserve"> 合同生效</w:t>
      </w:r>
      <w:bookmarkEnd w:id="79"/>
      <w:bookmarkEnd w:id="80"/>
      <w:bookmarkEnd w:id="81"/>
    </w:p>
    <w:p w14:paraId="673BCD7E">
      <w:pPr>
        <w:spacing w:line="520" w:lineRule="exact"/>
        <w:ind w:firstLine="435"/>
        <w:rPr>
          <w:rFonts w:cs="Times New Roman" w:asciiTheme="minorEastAsia" w:hAnsiTheme="minorEastAsia" w:eastAsiaTheme="minorEastAsia"/>
          <w:color w:val="auto"/>
          <w:sz w:val="24"/>
          <w:szCs w:val="24"/>
          <w:highlight w:val="none"/>
          <w:lang w:val="zh-CN"/>
        </w:rPr>
      </w:pPr>
      <w:r>
        <w:rPr>
          <w:rFonts w:cs="Times New Roman" w:asciiTheme="minorEastAsia" w:hAnsiTheme="minorEastAsia" w:eastAsiaTheme="minorEastAsia"/>
          <w:color w:val="auto"/>
          <w:sz w:val="24"/>
          <w:szCs w:val="24"/>
          <w:highlight w:val="none"/>
        </w:rPr>
        <w:t>本合同自</w:t>
      </w:r>
      <w:r>
        <w:rPr>
          <w:rFonts w:hint="eastAsia" w:cs="Times New Roman" w:asciiTheme="minorEastAsia" w:hAnsiTheme="minorEastAsia" w:eastAsiaTheme="minorEastAsia"/>
          <w:color w:val="auto"/>
          <w:sz w:val="24"/>
          <w:szCs w:val="24"/>
          <w:highlight w:val="none"/>
        </w:rPr>
        <w:t>双方当事人盖章时</w:t>
      </w:r>
      <w:r>
        <w:rPr>
          <w:rFonts w:cs="Times New Roman" w:asciiTheme="minorEastAsia" w:hAnsiTheme="minorEastAsia" w:eastAsiaTheme="minorEastAsia"/>
          <w:color w:val="auto"/>
          <w:sz w:val="24"/>
          <w:szCs w:val="24"/>
          <w:highlight w:val="none"/>
        </w:rPr>
        <w:t>生效。</w:t>
      </w:r>
    </w:p>
    <w:p w14:paraId="014155C7">
      <w:pPr>
        <w:autoSpaceDE w:val="0"/>
        <w:autoSpaceDN w:val="0"/>
        <w:adjustRightInd w:val="0"/>
        <w:spacing w:line="520" w:lineRule="exact"/>
        <w:rPr>
          <w:rFonts w:cs="Times New Roman" w:asciiTheme="minorEastAsia" w:hAnsiTheme="minorEastAsia" w:eastAsiaTheme="minorEastAsia"/>
          <w:bCs/>
          <w:color w:val="auto"/>
          <w:sz w:val="24"/>
          <w:szCs w:val="24"/>
          <w:highlight w:val="none"/>
          <w:lang w:val="zh-CN"/>
        </w:rPr>
      </w:pPr>
      <w:r>
        <w:rPr>
          <w:rFonts w:hint="eastAsia" w:cs="Times New Roman" w:asciiTheme="minorEastAsia" w:hAnsiTheme="minorEastAsia" w:eastAsiaTheme="minorEastAsia"/>
          <w:bCs/>
          <w:color w:val="auto"/>
          <w:sz w:val="24"/>
          <w:szCs w:val="24"/>
          <w:highlight w:val="none"/>
          <w:lang w:val="zh-CN"/>
        </w:rPr>
        <w:t>甲 方：</w:t>
      </w:r>
      <w:r>
        <w:rPr>
          <w:rFonts w:hint="eastAsia" w:cs="Times New Roman" w:asciiTheme="minorEastAsia" w:hAnsiTheme="minorEastAsia" w:eastAsiaTheme="minorEastAsia"/>
          <w:bCs/>
          <w:color w:val="auto"/>
          <w:sz w:val="24"/>
          <w:szCs w:val="24"/>
          <w:highlight w:val="none"/>
          <w:u w:val="single"/>
          <w:lang w:val="zh-CN"/>
        </w:rPr>
        <w:t xml:space="preserve">    （单位盖章）     </w:t>
      </w:r>
      <w:r>
        <w:rPr>
          <w:rFonts w:hint="eastAsia" w:cs="Times New Roman" w:asciiTheme="minorEastAsia" w:hAnsiTheme="minorEastAsia" w:eastAsiaTheme="minorEastAsia"/>
          <w:bCs/>
          <w:color w:val="auto"/>
          <w:sz w:val="24"/>
          <w:szCs w:val="24"/>
          <w:highlight w:val="none"/>
          <w:lang w:val="zh-CN"/>
        </w:rPr>
        <w:t xml:space="preserve">          乙方：</w:t>
      </w:r>
      <w:r>
        <w:rPr>
          <w:rFonts w:hint="eastAsia" w:cs="Times New Roman" w:asciiTheme="minorEastAsia" w:hAnsiTheme="minorEastAsia" w:eastAsiaTheme="minorEastAsia"/>
          <w:bCs/>
          <w:color w:val="auto"/>
          <w:sz w:val="24"/>
          <w:szCs w:val="24"/>
          <w:highlight w:val="none"/>
          <w:u w:val="single"/>
          <w:lang w:val="zh-CN"/>
        </w:rPr>
        <w:t xml:space="preserve">    （单位盖章）     </w:t>
      </w:r>
    </w:p>
    <w:p w14:paraId="297C03B8">
      <w:pPr>
        <w:autoSpaceDE w:val="0"/>
        <w:autoSpaceDN w:val="0"/>
        <w:adjustRightInd w:val="0"/>
        <w:spacing w:line="520" w:lineRule="exact"/>
        <w:rPr>
          <w:rFonts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法定代表人                             法定代表人</w:t>
      </w:r>
    </w:p>
    <w:p w14:paraId="59337B67">
      <w:pPr>
        <w:autoSpaceDE w:val="0"/>
        <w:autoSpaceDN w:val="0"/>
        <w:adjustRightInd w:val="0"/>
        <w:spacing w:line="520" w:lineRule="exact"/>
        <w:rPr>
          <w:rFonts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或授权代表（签字）：                      或授权代表（签字）：</w:t>
      </w:r>
    </w:p>
    <w:p w14:paraId="50238CAB">
      <w:pPr>
        <w:widowControl/>
        <w:spacing w:line="520" w:lineRule="exact"/>
        <w:jc w:val="left"/>
        <w:rPr>
          <w:rFonts w:cs="Times New Roman" w:asciiTheme="minorEastAsia" w:hAnsiTheme="minorEastAsia" w:eastAsiaTheme="minorEastAsia"/>
          <w:bCs/>
          <w:color w:val="auto"/>
          <w:sz w:val="24"/>
          <w:szCs w:val="24"/>
          <w:highlight w:val="none"/>
        </w:rPr>
      </w:pPr>
      <w:bookmarkStart w:id="82" w:name="_Toc331685783"/>
      <w:r>
        <w:rPr>
          <w:rFonts w:hint="eastAsia" w:cs="Times New Roman" w:asciiTheme="minorEastAsia" w:hAnsiTheme="minorEastAsia" w:eastAsiaTheme="minorEastAsia"/>
          <w:bCs/>
          <w:color w:val="auto"/>
          <w:sz w:val="24"/>
          <w:szCs w:val="24"/>
          <w:highlight w:val="none"/>
        </w:rPr>
        <w:t xml:space="preserve">时间：年月日              </w:t>
      </w:r>
      <w:r>
        <w:rPr>
          <w:rFonts w:hint="eastAsia" w:cs="Times New Roman" w:asciiTheme="minorEastAsia" w:hAnsiTheme="minorEastAsia" w:eastAsiaTheme="minorEastAsia"/>
          <w:bCs/>
          <w:color w:val="auto"/>
          <w:sz w:val="24"/>
          <w:szCs w:val="24"/>
          <w:highlight w:val="none"/>
          <w:lang w:val="en-US" w:eastAsia="zh-CN"/>
        </w:rPr>
        <w:t xml:space="preserve">                </w:t>
      </w:r>
      <w:r>
        <w:rPr>
          <w:rFonts w:hint="eastAsia" w:cs="Times New Roman" w:asciiTheme="minorEastAsia" w:hAnsiTheme="minorEastAsia" w:eastAsiaTheme="minorEastAsia"/>
          <w:bCs/>
          <w:color w:val="auto"/>
          <w:sz w:val="24"/>
          <w:szCs w:val="24"/>
          <w:highlight w:val="none"/>
        </w:rPr>
        <w:t xml:space="preserve"> 时间：年月日</w:t>
      </w:r>
    </w:p>
    <w:p w14:paraId="736D4432">
      <w:pPr>
        <w:spacing w:line="520" w:lineRule="exact"/>
        <w:ind w:firstLine="5040" w:firstLineChars="2100"/>
        <w:rPr>
          <w:rFonts w:ascii="宋体" w:hAnsi="宋体" w:eastAsia="宋体"/>
          <w:color w:val="auto"/>
          <w:sz w:val="24"/>
          <w:szCs w:val="24"/>
          <w:highlight w:val="none"/>
        </w:rPr>
      </w:pPr>
      <w:bookmarkStart w:id="83" w:name="_Hlk110099149"/>
      <w:r>
        <w:rPr>
          <w:rFonts w:hint="eastAsia" w:ascii="宋体" w:hAnsi="宋体" w:eastAsia="宋体"/>
          <w:color w:val="auto"/>
          <w:sz w:val="24"/>
          <w:szCs w:val="24"/>
          <w:highlight w:val="none"/>
        </w:rPr>
        <w:t>乙方账户信息</w:t>
      </w:r>
    </w:p>
    <w:p w14:paraId="0BF955D4">
      <w:pPr>
        <w:spacing w:line="52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户名：</w:t>
      </w:r>
    </w:p>
    <w:p w14:paraId="06A390AE">
      <w:pPr>
        <w:spacing w:line="52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 xml:space="preserve">  账号：</w:t>
      </w:r>
    </w:p>
    <w:p w14:paraId="5F6BB4E3">
      <w:pPr>
        <w:spacing w:line="520" w:lineRule="exact"/>
        <w:ind w:firstLine="5040" w:firstLineChars="2100"/>
        <w:rPr>
          <w:rFonts w:ascii="宋体" w:hAnsi="宋体" w:eastAsia="宋体"/>
          <w:color w:val="auto"/>
          <w:sz w:val="24"/>
          <w:szCs w:val="24"/>
          <w:highlight w:val="none"/>
        </w:rPr>
      </w:pPr>
      <w:r>
        <w:rPr>
          <w:rFonts w:hint="eastAsia" w:ascii="宋体" w:hAnsi="宋体" w:eastAsia="宋体"/>
          <w:color w:val="auto"/>
          <w:sz w:val="24"/>
          <w:szCs w:val="24"/>
          <w:highlight w:val="none"/>
        </w:rPr>
        <w:t>开户银行：</w:t>
      </w:r>
    </w:p>
    <w:bookmarkEnd w:id="83"/>
    <w:p w14:paraId="3D2D7A52">
      <w:pPr>
        <w:widowControl/>
        <w:spacing w:line="440" w:lineRule="exact"/>
        <w:jc w:val="left"/>
        <w:rPr>
          <w:rFonts w:cs="Times New Roman" w:asciiTheme="minorEastAsia" w:hAnsiTheme="minorEastAsia" w:eastAsiaTheme="minorEastAsia"/>
          <w:b/>
          <w:color w:val="auto"/>
          <w:sz w:val="24"/>
          <w:szCs w:val="24"/>
          <w:highlight w:val="none"/>
        </w:rPr>
      </w:pPr>
      <w:r>
        <w:rPr>
          <w:rFonts w:cs="Times New Roman" w:asciiTheme="minorEastAsia" w:hAnsiTheme="minorEastAsia" w:eastAsiaTheme="minorEastAsia"/>
          <w:b/>
          <w:color w:val="auto"/>
          <w:sz w:val="24"/>
          <w:szCs w:val="24"/>
          <w:highlight w:val="none"/>
        </w:rPr>
        <w:br w:type="page"/>
      </w:r>
    </w:p>
    <w:p w14:paraId="36809C8C">
      <w:pPr>
        <w:spacing w:line="440" w:lineRule="exact"/>
        <w:jc w:val="center"/>
        <w:outlineLvl w:val="1"/>
        <w:rPr>
          <w:rFonts w:asciiTheme="minorEastAsia" w:hAnsiTheme="minorEastAsia" w:eastAsiaTheme="minorEastAsia"/>
          <w:b/>
          <w:color w:val="auto"/>
          <w:sz w:val="24"/>
          <w:highlight w:val="none"/>
        </w:rPr>
      </w:pPr>
      <w:bookmarkStart w:id="84" w:name="_Toc415"/>
      <w:r>
        <w:rPr>
          <w:rFonts w:hint="eastAsia" w:asciiTheme="minorEastAsia" w:hAnsiTheme="minorEastAsia" w:eastAsiaTheme="minorEastAsia"/>
          <w:b/>
          <w:color w:val="auto"/>
          <w:sz w:val="24"/>
          <w:highlight w:val="none"/>
        </w:rPr>
        <w:t>第二部分合同一般条款</w:t>
      </w:r>
      <w:bookmarkEnd w:id="82"/>
      <w:bookmarkEnd w:id="84"/>
    </w:p>
    <w:p w14:paraId="0D4B7025">
      <w:pPr>
        <w:spacing w:line="520" w:lineRule="exact"/>
        <w:ind w:firstLine="437"/>
        <w:jc w:val="left"/>
        <w:outlineLvl w:val="2"/>
        <w:rPr>
          <w:rFonts w:cs="Times New Roman" w:asciiTheme="minorEastAsia" w:hAnsiTheme="minorEastAsia" w:eastAsiaTheme="minorEastAsia"/>
          <w:b/>
          <w:bCs/>
          <w:color w:val="auto"/>
          <w:sz w:val="24"/>
          <w:szCs w:val="24"/>
          <w:highlight w:val="none"/>
          <w:lang w:val="zh-CN"/>
        </w:rPr>
      </w:pPr>
      <w:bookmarkStart w:id="85" w:name="_Ref467379205"/>
      <w:bookmarkStart w:id="86" w:name="_Toc19614"/>
      <w:bookmarkStart w:id="87" w:name="_Ref467379225"/>
      <w:bookmarkStart w:id="88" w:name="_Ref467378463"/>
      <w:bookmarkStart w:id="89" w:name="_Toc279701240"/>
      <w:bookmarkStart w:id="90" w:name="_Toc259093669"/>
      <w:bookmarkStart w:id="91" w:name="_Ref467378404"/>
      <w:bookmarkStart w:id="92" w:name="_Ref467379214"/>
      <w:bookmarkStart w:id="93" w:name="_Toc487900349"/>
      <w:bookmarkStart w:id="94" w:name="_Toc28763"/>
      <w:bookmarkStart w:id="95" w:name="_Toc16917"/>
      <w:bookmarkStart w:id="96" w:name="_Ref467378499"/>
      <w:bookmarkStart w:id="97" w:name="_Ref467379195"/>
      <w:bookmarkStart w:id="98" w:name="_Ref467379101"/>
      <w:bookmarkStart w:id="99" w:name="_Ref467379094"/>
      <w:bookmarkStart w:id="100" w:name="_Ref467379109"/>
      <w:r>
        <w:rPr>
          <w:rFonts w:hint="eastAsia" w:cs="Times New Roman" w:asciiTheme="minorEastAsia" w:hAnsiTheme="minorEastAsia" w:eastAsiaTheme="minorEastAsia"/>
          <w:b/>
          <w:bCs/>
          <w:color w:val="auto"/>
          <w:sz w:val="24"/>
          <w:szCs w:val="24"/>
          <w:highlight w:val="none"/>
          <w:lang w:val="zh-CN"/>
        </w:rPr>
        <w:t>2.1</w:t>
      </w:r>
      <w:r>
        <w:rPr>
          <w:rFonts w:cs="Times New Roman" w:asciiTheme="minorEastAsia" w:hAnsiTheme="minorEastAsia" w:eastAsiaTheme="minorEastAsia"/>
          <w:b/>
          <w:bCs/>
          <w:color w:val="auto"/>
          <w:sz w:val="24"/>
          <w:szCs w:val="24"/>
          <w:highlight w:val="none"/>
          <w:lang w:val="zh-CN"/>
        </w:rPr>
        <w:t xml:space="preserve"> 定义</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10CA097E">
      <w:pPr>
        <w:spacing w:line="520" w:lineRule="exact"/>
        <w:ind w:firstLine="435"/>
        <w:jc w:val="left"/>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本合同中的下列</w:t>
      </w:r>
      <w:r>
        <w:rPr>
          <w:rFonts w:hint="eastAsia" w:cs="Times New Roman" w:asciiTheme="minorEastAsia" w:hAnsiTheme="minorEastAsia" w:eastAsiaTheme="minorEastAsia"/>
          <w:color w:val="auto"/>
          <w:sz w:val="24"/>
          <w:szCs w:val="24"/>
          <w:highlight w:val="none"/>
        </w:rPr>
        <w:t>词</w:t>
      </w:r>
      <w:r>
        <w:rPr>
          <w:rFonts w:cs="Times New Roman" w:asciiTheme="minorEastAsia" w:hAnsiTheme="minorEastAsia" w:eastAsiaTheme="minorEastAsia"/>
          <w:color w:val="auto"/>
          <w:sz w:val="24"/>
          <w:szCs w:val="24"/>
          <w:highlight w:val="none"/>
        </w:rPr>
        <w:t>语应</w:t>
      </w:r>
      <w:r>
        <w:rPr>
          <w:rFonts w:hint="eastAsia" w:cs="Times New Roman" w:asciiTheme="minorEastAsia" w:hAnsiTheme="minorEastAsia" w:eastAsiaTheme="minorEastAsia"/>
          <w:color w:val="auto"/>
          <w:sz w:val="24"/>
          <w:szCs w:val="24"/>
          <w:highlight w:val="none"/>
        </w:rPr>
        <w:t>按以下内容进行</w:t>
      </w:r>
      <w:r>
        <w:rPr>
          <w:rFonts w:cs="Times New Roman" w:asciiTheme="minorEastAsia" w:hAnsiTheme="minorEastAsia" w:eastAsiaTheme="minorEastAsia"/>
          <w:color w:val="auto"/>
          <w:sz w:val="24"/>
          <w:szCs w:val="24"/>
          <w:highlight w:val="none"/>
        </w:rPr>
        <w:t>解释：</w:t>
      </w:r>
    </w:p>
    <w:p w14:paraId="11E89568">
      <w:pPr>
        <w:spacing w:line="520" w:lineRule="exact"/>
        <w:ind w:firstLine="435"/>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.1</w:t>
      </w:r>
      <w:r>
        <w:rPr>
          <w:rFonts w:cs="Times New Roman" w:asciiTheme="minorEastAsia" w:hAnsiTheme="minorEastAsia" w:eastAsiaTheme="minorEastAsia"/>
          <w:color w:val="auto"/>
          <w:sz w:val="24"/>
          <w:szCs w:val="24"/>
          <w:highlight w:val="none"/>
        </w:rPr>
        <w:t>“合同”系指采购人和中标人签订的载明双方当事人所达成的协议，并包括所有的附件、附录和构成合同的其他文件。</w:t>
      </w:r>
    </w:p>
    <w:p w14:paraId="2B41E7A5">
      <w:pPr>
        <w:spacing w:line="520" w:lineRule="exact"/>
        <w:ind w:firstLine="435"/>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1.2“合同价”系指根据合同约定，中标人在完全履行合同义务后</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采购人应支付给中标人的价格。</w:t>
      </w:r>
    </w:p>
    <w:p w14:paraId="7D04FE05">
      <w:pPr>
        <w:spacing w:line="520" w:lineRule="exact"/>
        <w:ind w:firstLine="435"/>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1.3“</w:t>
      </w:r>
      <w:r>
        <w:rPr>
          <w:rFonts w:hint="eastAsia" w:cs="Times New Roman" w:asciiTheme="minorEastAsia" w:hAnsiTheme="minorEastAsia" w:eastAsiaTheme="minorEastAsia"/>
          <w:color w:val="auto"/>
          <w:sz w:val="24"/>
          <w:szCs w:val="24"/>
          <w:highlight w:val="none"/>
        </w:rPr>
        <w:t>服务</w:t>
      </w:r>
      <w:r>
        <w:rPr>
          <w:rFonts w:cs="Times New Roman" w:asciiTheme="minorEastAsia" w:hAnsiTheme="minorEastAsia" w:eastAsiaTheme="minorEastAsia"/>
          <w:color w:val="auto"/>
          <w:sz w:val="24"/>
          <w:szCs w:val="24"/>
          <w:highlight w:val="none"/>
        </w:rPr>
        <w:t>”系指</w:t>
      </w:r>
      <w:r>
        <w:rPr>
          <w:rFonts w:hint="eastAsia" w:cs="Times New Roman" w:asciiTheme="minorEastAsia" w:hAnsiTheme="minorEastAsia" w:eastAsiaTheme="minorEastAsia"/>
          <w:color w:val="auto"/>
          <w:sz w:val="24"/>
          <w:szCs w:val="24"/>
          <w:highlight w:val="none"/>
        </w:rPr>
        <w:t>中标人</w:t>
      </w:r>
      <w:r>
        <w:rPr>
          <w:rFonts w:cs="Times New Roman" w:asciiTheme="minorEastAsia" w:hAnsiTheme="minorEastAsia" w:eastAsiaTheme="minorEastAsia"/>
          <w:color w:val="auto"/>
          <w:sz w:val="24"/>
          <w:szCs w:val="24"/>
          <w:highlight w:val="none"/>
        </w:rPr>
        <w:t>根据合同约定应向采购人</w:t>
      </w:r>
      <w:r>
        <w:rPr>
          <w:rFonts w:hint="eastAsia" w:cs="Times New Roman" w:asciiTheme="minorEastAsia" w:hAnsiTheme="minorEastAsia" w:eastAsiaTheme="minorEastAsia"/>
          <w:color w:val="auto"/>
          <w:sz w:val="24"/>
          <w:szCs w:val="24"/>
          <w:highlight w:val="none"/>
        </w:rPr>
        <w:t>履行</w:t>
      </w:r>
      <w:r>
        <w:rPr>
          <w:rFonts w:cs="Times New Roman" w:asciiTheme="minorEastAsia" w:hAnsiTheme="minorEastAsia" w:eastAsiaTheme="minorEastAsia"/>
          <w:color w:val="auto"/>
          <w:sz w:val="24"/>
          <w:szCs w:val="24"/>
          <w:highlight w:val="none"/>
        </w:rPr>
        <w:t>的</w:t>
      </w:r>
      <w:r>
        <w:rPr>
          <w:rFonts w:hint="eastAsia" w:cs="Times New Roman" w:asciiTheme="minorEastAsia" w:hAnsiTheme="minorEastAsia" w:eastAsiaTheme="minorEastAsia"/>
          <w:color w:val="auto"/>
          <w:sz w:val="24"/>
          <w:szCs w:val="24"/>
          <w:highlight w:val="none"/>
        </w:rPr>
        <w:t>除货物和工程以外的其他政府采购对象，包括采购人自身需要的服务和向社会公众提供的公共服务。</w:t>
      </w:r>
    </w:p>
    <w:p w14:paraId="1226A427">
      <w:pPr>
        <w:spacing w:line="520" w:lineRule="exact"/>
        <w:ind w:firstLine="435"/>
        <w:jc w:val="left"/>
        <w:rPr>
          <w:rFonts w:cs="Times New Roman" w:asciiTheme="minorEastAsia" w:hAnsiTheme="minorEastAsia" w:eastAsiaTheme="minorEastAsia"/>
          <w:color w:val="auto"/>
          <w:sz w:val="24"/>
          <w:szCs w:val="24"/>
          <w:highlight w:val="none"/>
        </w:rPr>
      </w:pPr>
      <w:bookmarkStart w:id="101" w:name="_Ref467378840"/>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4</w:t>
      </w:r>
      <w:r>
        <w:rPr>
          <w:rFonts w:cs="Times New Roman" w:asciiTheme="minorEastAsia" w:hAnsiTheme="minorEastAsia" w:eastAsiaTheme="minorEastAsia"/>
          <w:color w:val="auto"/>
          <w:sz w:val="24"/>
          <w:szCs w:val="24"/>
          <w:highlight w:val="none"/>
        </w:rPr>
        <w:t>“</w:t>
      </w:r>
      <w:r>
        <w:rPr>
          <w:rFonts w:hint="eastAsia" w:cs="Times New Roman" w:asciiTheme="minorEastAsia" w:hAnsiTheme="minorEastAsia" w:eastAsiaTheme="minorEastAsia"/>
          <w:color w:val="auto"/>
          <w:sz w:val="24"/>
          <w:szCs w:val="24"/>
          <w:highlight w:val="none"/>
        </w:rPr>
        <w:t>甲方</w:t>
      </w:r>
      <w:r>
        <w:rPr>
          <w:rFonts w:cs="Times New Roman" w:asciiTheme="minorEastAsia" w:hAnsiTheme="minorEastAsia" w:eastAsiaTheme="minorEastAsia"/>
          <w:color w:val="auto"/>
          <w:sz w:val="24"/>
          <w:szCs w:val="24"/>
          <w:highlight w:val="none"/>
        </w:rPr>
        <w:t>”系指与</w:t>
      </w:r>
      <w:r>
        <w:rPr>
          <w:rFonts w:hint="eastAsia" w:cs="Times New Roman" w:asciiTheme="minorEastAsia" w:hAnsiTheme="minorEastAsia" w:eastAsiaTheme="minorEastAsia"/>
          <w:color w:val="auto"/>
          <w:sz w:val="24"/>
          <w:szCs w:val="24"/>
          <w:highlight w:val="none"/>
        </w:rPr>
        <w:t>中标人</w:t>
      </w:r>
      <w:r>
        <w:rPr>
          <w:rFonts w:cs="Times New Roman" w:asciiTheme="minorEastAsia" w:hAnsiTheme="minorEastAsia" w:eastAsiaTheme="minorEastAsia"/>
          <w:color w:val="auto"/>
          <w:sz w:val="24"/>
          <w:szCs w:val="24"/>
          <w:highlight w:val="none"/>
        </w:rPr>
        <w:t>签署合同的采购人</w:t>
      </w:r>
      <w:bookmarkEnd w:id="101"/>
      <w:r>
        <w:rPr>
          <w:rFonts w:hint="eastAsia" w:cs="Times New Roman" w:asciiTheme="minorEastAsia" w:hAnsiTheme="minorEastAsia" w:eastAsiaTheme="minorEastAsia"/>
          <w:color w:val="auto"/>
          <w:sz w:val="24"/>
          <w:szCs w:val="24"/>
          <w:highlight w:val="none"/>
        </w:rPr>
        <w:t>；采购人委托采购代理机构代表其与乙方签订合同的，采购人的授权委托书作为合同附件。</w:t>
      </w:r>
    </w:p>
    <w:p w14:paraId="2ADB0EE3">
      <w:pPr>
        <w:spacing w:line="520" w:lineRule="exact"/>
        <w:ind w:firstLine="435"/>
        <w:jc w:val="left"/>
        <w:rPr>
          <w:rFonts w:cs="Times New Roman" w:asciiTheme="minorEastAsia" w:hAnsiTheme="minorEastAsia" w:eastAsiaTheme="minorEastAsia"/>
          <w:color w:val="auto"/>
          <w:sz w:val="24"/>
          <w:szCs w:val="24"/>
          <w:highlight w:val="none"/>
        </w:rPr>
      </w:pPr>
      <w:bookmarkStart w:id="102" w:name="_Ref467379400"/>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5</w:t>
      </w:r>
      <w:r>
        <w:rPr>
          <w:rFonts w:cs="Times New Roman" w:asciiTheme="minorEastAsia" w:hAnsiTheme="minorEastAsia" w:eastAsiaTheme="minorEastAsia"/>
          <w:color w:val="auto"/>
          <w:sz w:val="24"/>
          <w:szCs w:val="24"/>
          <w:highlight w:val="none"/>
        </w:rPr>
        <w:t>“乙方”系指根据合同约定</w:t>
      </w:r>
      <w:r>
        <w:rPr>
          <w:rFonts w:hint="eastAsia" w:cs="Times New Roman" w:asciiTheme="minorEastAsia" w:hAnsiTheme="minorEastAsia" w:eastAsiaTheme="minorEastAsia"/>
          <w:color w:val="auto"/>
          <w:sz w:val="24"/>
          <w:szCs w:val="24"/>
          <w:highlight w:val="none"/>
        </w:rPr>
        <w:t>提供服务</w:t>
      </w:r>
      <w:r>
        <w:rPr>
          <w:rFonts w:cs="Times New Roman" w:asciiTheme="minorEastAsia" w:hAnsiTheme="minorEastAsia" w:eastAsiaTheme="minorEastAsia"/>
          <w:color w:val="auto"/>
          <w:sz w:val="24"/>
          <w:szCs w:val="24"/>
          <w:highlight w:val="none"/>
        </w:rPr>
        <w:t>的中标人</w:t>
      </w:r>
      <w:bookmarkEnd w:id="102"/>
      <w:r>
        <w:rPr>
          <w:rFonts w:hint="eastAsia" w:cs="Times New Roman" w:asciiTheme="minorEastAsia" w:hAnsiTheme="minorEastAsia" w:eastAsiaTheme="minorEastAsia"/>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EDE8FA7">
      <w:pPr>
        <w:spacing w:line="520" w:lineRule="exact"/>
        <w:ind w:firstLine="435"/>
        <w:jc w:val="left"/>
        <w:rPr>
          <w:rFonts w:cs="Times New Roman" w:asciiTheme="minorEastAsia" w:hAnsiTheme="minorEastAsia" w:eastAsiaTheme="minorEastAsia"/>
          <w:color w:val="auto"/>
          <w:sz w:val="24"/>
          <w:szCs w:val="24"/>
          <w:highlight w:val="none"/>
        </w:rPr>
      </w:pPr>
      <w:bookmarkStart w:id="103" w:name="_Ref467379436"/>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6</w:t>
      </w:r>
      <w:r>
        <w:rPr>
          <w:rFonts w:cs="Times New Roman" w:asciiTheme="minorEastAsia" w:hAnsiTheme="minorEastAsia" w:eastAsiaTheme="minorEastAsia"/>
          <w:color w:val="auto"/>
          <w:sz w:val="24"/>
          <w:szCs w:val="24"/>
          <w:highlight w:val="none"/>
        </w:rPr>
        <w:t>“现场”系指合同约定</w:t>
      </w:r>
      <w:r>
        <w:rPr>
          <w:rFonts w:hint="eastAsia" w:cs="Times New Roman" w:asciiTheme="minorEastAsia" w:hAnsiTheme="minorEastAsia" w:eastAsiaTheme="minorEastAsia"/>
          <w:color w:val="auto"/>
          <w:sz w:val="24"/>
          <w:szCs w:val="24"/>
          <w:highlight w:val="none"/>
        </w:rPr>
        <w:t>提供服务</w:t>
      </w:r>
      <w:r>
        <w:rPr>
          <w:rFonts w:cs="Times New Roman" w:asciiTheme="minorEastAsia" w:hAnsiTheme="minorEastAsia" w:eastAsiaTheme="minorEastAsia"/>
          <w:color w:val="auto"/>
          <w:sz w:val="24"/>
          <w:szCs w:val="24"/>
          <w:highlight w:val="none"/>
        </w:rPr>
        <w:t>的地点。</w:t>
      </w:r>
      <w:bookmarkEnd w:id="103"/>
    </w:p>
    <w:p w14:paraId="14A90790">
      <w:pPr>
        <w:spacing w:line="520" w:lineRule="exact"/>
        <w:ind w:firstLine="437"/>
        <w:jc w:val="left"/>
        <w:outlineLvl w:val="2"/>
        <w:rPr>
          <w:rFonts w:cs="Times New Roman" w:asciiTheme="minorEastAsia" w:hAnsiTheme="minorEastAsia" w:eastAsiaTheme="minorEastAsia"/>
          <w:b/>
          <w:bCs/>
          <w:color w:val="auto"/>
          <w:sz w:val="24"/>
          <w:szCs w:val="24"/>
          <w:highlight w:val="none"/>
          <w:lang w:val="zh-CN"/>
        </w:rPr>
      </w:pPr>
      <w:bookmarkStart w:id="104" w:name="_Toc259093670"/>
      <w:bookmarkStart w:id="105" w:name="_Toc279701241"/>
      <w:bookmarkStart w:id="106" w:name="_Toc487900350"/>
      <w:bookmarkStart w:id="107" w:name="_Toc32504"/>
      <w:bookmarkStart w:id="108" w:name="_Toc27635"/>
      <w:bookmarkStart w:id="109" w:name="_Toc13336"/>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2 技术规范</w:t>
      </w:r>
      <w:bookmarkEnd w:id="104"/>
      <w:bookmarkEnd w:id="105"/>
      <w:bookmarkEnd w:id="106"/>
      <w:bookmarkEnd w:id="107"/>
      <w:bookmarkEnd w:id="108"/>
      <w:bookmarkEnd w:id="109"/>
    </w:p>
    <w:p w14:paraId="4188D606">
      <w:pPr>
        <w:spacing w:line="520" w:lineRule="exact"/>
        <w:ind w:firstLine="435"/>
        <w:jc w:val="left"/>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货物所应遵守的技术规范应与采购文件规定的技术规范和技术规范附件(如果有的话)及其技术规范偏差表(如果被甲方接受的话)相一致</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如果采购文件中没有技术规范的相应说明，那么应以国家有关部门最新颁布的相应标准</w:t>
      </w:r>
      <w:r>
        <w:rPr>
          <w:rFonts w:hint="eastAsia" w:cs="Times New Roman" w:asciiTheme="minorEastAsia" w:hAnsiTheme="minorEastAsia" w:eastAsiaTheme="minorEastAsia"/>
          <w:color w:val="auto"/>
          <w:sz w:val="24"/>
          <w:szCs w:val="24"/>
          <w:highlight w:val="none"/>
        </w:rPr>
        <w:t>和</w:t>
      </w:r>
      <w:r>
        <w:rPr>
          <w:rFonts w:cs="Times New Roman" w:asciiTheme="minorEastAsia" w:hAnsiTheme="minorEastAsia" w:eastAsiaTheme="minorEastAsia"/>
          <w:color w:val="auto"/>
          <w:sz w:val="24"/>
          <w:szCs w:val="24"/>
          <w:highlight w:val="none"/>
        </w:rPr>
        <w:t>规范为准。</w:t>
      </w:r>
    </w:p>
    <w:p w14:paraId="19A6BD12">
      <w:pPr>
        <w:spacing w:line="520" w:lineRule="exact"/>
        <w:ind w:firstLine="437"/>
        <w:jc w:val="left"/>
        <w:outlineLvl w:val="2"/>
        <w:rPr>
          <w:rFonts w:cs="Times New Roman" w:asciiTheme="minorEastAsia" w:hAnsiTheme="minorEastAsia" w:eastAsiaTheme="minorEastAsia"/>
          <w:b/>
          <w:bCs/>
          <w:color w:val="auto"/>
          <w:sz w:val="24"/>
          <w:szCs w:val="24"/>
          <w:highlight w:val="none"/>
          <w:lang w:val="zh-CN"/>
        </w:rPr>
      </w:pPr>
      <w:bookmarkStart w:id="110" w:name="_Toc31634"/>
      <w:bookmarkStart w:id="111" w:name="_Toc9829"/>
      <w:bookmarkStart w:id="112" w:name="_Toc259093671"/>
      <w:bookmarkStart w:id="113" w:name="_Toc279701242"/>
      <w:bookmarkStart w:id="114" w:name="_Toc27853"/>
      <w:bookmarkStart w:id="115" w:name="_Toc487900351"/>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3 知识产权</w:t>
      </w:r>
      <w:bookmarkEnd w:id="110"/>
      <w:bookmarkEnd w:id="111"/>
      <w:bookmarkEnd w:id="112"/>
      <w:bookmarkEnd w:id="113"/>
      <w:bookmarkEnd w:id="114"/>
      <w:bookmarkEnd w:id="115"/>
    </w:p>
    <w:p w14:paraId="156E48DE">
      <w:pPr>
        <w:spacing w:line="520" w:lineRule="exact"/>
        <w:ind w:firstLine="435"/>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2.3.1乙</w:t>
      </w:r>
      <w:r>
        <w:rPr>
          <w:rFonts w:cs="Times New Roman" w:asciiTheme="minorEastAsia" w:hAnsiTheme="minorEastAsia" w:eastAsiaTheme="minorEastAsia"/>
          <w:color w:val="auto"/>
          <w:sz w:val="24"/>
          <w:szCs w:val="24"/>
          <w:highlight w:val="none"/>
        </w:rPr>
        <w:t>方应保证</w:t>
      </w:r>
      <w:r>
        <w:rPr>
          <w:rFonts w:hint="eastAsia" w:cs="Times New Roman" w:asciiTheme="minorEastAsia" w:hAnsiTheme="minorEastAsia" w:eastAsiaTheme="minorEastAsia"/>
          <w:color w:val="auto"/>
          <w:sz w:val="24"/>
          <w:szCs w:val="24"/>
          <w:highlight w:val="none"/>
        </w:rPr>
        <w:t>其提供的服务</w:t>
      </w:r>
      <w:r>
        <w:rPr>
          <w:rFonts w:cs="Times New Roman" w:asciiTheme="minorEastAsia" w:hAnsiTheme="minorEastAsia" w:eastAsiaTheme="minorEastAsia"/>
          <w:color w:val="auto"/>
          <w:sz w:val="24"/>
          <w:szCs w:val="24"/>
          <w:highlight w:val="none"/>
        </w:rPr>
        <w:t>不受任何第三方提出的侵犯其著作权、商标权、专利权等知识产权方面的起诉</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如果任何第三方提出侵权</w:t>
      </w:r>
      <w:r>
        <w:rPr>
          <w:rFonts w:hint="eastAsia" w:cs="Times New Roman" w:asciiTheme="minorEastAsia" w:hAnsiTheme="minorEastAsia" w:eastAsiaTheme="minorEastAsia"/>
          <w:color w:val="auto"/>
          <w:sz w:val="24"/>
          <w:szCs w:val="24"/>
          <w:highlight w:val="none"/>
        </w:rPr>
        <w:t>指控</w:t>
      </w:r>
      <w:r>
        <w:rPr>
          <w:rFonts w:cs="Times New Roman" w:asciiTheme="minorEastAsia" w:hAnsiTheme="minorEastAsia" w:eastAsiaTheme="minorEastAsia"/>
          <w:color w:val="auto"/>
          <w:sz w:val="24"/>
          <w:szCs w:val="24"/>
          <w:highlight w:val="none"/>
        </w:rPr>
        <w:t>，那么乙方须与该第三方交涉并承担由此发生的一切责任、费用和赔偿</w:t>
      </w:r>
      <w:r>
        <w:rPr>
          <w:rFonts w:hint="eastAsia" w:cs="Times New Roman" w:asciiTheme="minorEastAsia" w:hAnsiTheme="minorEastAsia" w:eastAsiaTheme="minorEastAsia"/>
          <w:color w:val="auto"/>
          <w:sz w:val="24"/>
          <w:szCs w:val="24"/>
          <w:highlight w:val="none"/>
        </w:rPr>
        <w:t>。</w:t>
      </w:r>
    </w:p>
    <w:p w14:paraId="7C3E0532">
      <w:pPr>
        <w:spacing w:line="520" w:lineRule="exact"/>
        <w:ind w:firstLine="437"/>
        <w:jc w:val="left"/>
        <w:outlineLvl w:val="2"/>
        <w:rPr>
          <w:rFonts w:cs="Times New Roman" w:asciiTheme="minorEastAsia" w:hAnsiTheme="minorEastAsia" w:eastAsiaTheme="minorEastAsia"/>
          <w:b/>
          <w:bCs/>
          <w:color w:val="auto"/>
          <w:sz w:val="24"/>
          <w:szCs w:val="24"/>
          <w:highlight w:val="none"/>
          <w:lang w:val="zh-CN"/>
        </w:rPr>
      </w:pPr>
      <w:bookmarkStart w:id="116" w:name="_Ref467378591"/>
      <w:bookmarkStart w:id="117" w:name="_Toc279701245"/>
      <w:bookmarkStart w:id="118" w:name="_Ref467379542"/>
      <w:bookmarkStart w:id="119" w:name="_Toc487900354"/>
      <w:bookmarkStart w:id="120" w:name="_Ref467379527"/>
      <w:bookmarkStart w:id="121" w:name="_Toc259093674"/>
      <w:bookmarkStart w:id="122" w:name="_Ref467379536"/>
      <w:bookmarkStart w:id="123" w:name="_Ref467378541"/>
      <w:bookmarkStart w:id="124" w:name="_Toc26182"/>
      <w:bookmarkStart w:id="125" w:name="_Toc30272"/>
      <w:bookmarkStart w:id="126" w:name="_Toc19074"/>
      <w:r>
        <w:rPr>
          <w:rFonts w:hint="eastAsia" w:cs="Times New Roman" w:asciiTheme="minorEastAsia" w:hAnsiTheme="minorEastAsia" w:eastAsiaTheme="minorEastAsia"/>
          <w:b/>
          <w:bCs/>
          <w:color w:val="auto"/>
          <w:sz w:val="24"/>
          <w:szCs w:val="24"/>
          <w:highlight w:val="none"/>
          <w:lang w:val="zh-CN"/>
        </w:rPr>
        <w:t>2.</w:t>
      </w:r>
      <w:bookmarkEnd w:id="116"/>
      <w:bookmarkEnd w:id="117"/>
      <w:bookmarkEnd w:id="118"/>
      <w:bookmarkEnd w:id="119"/>
      <w:bookmarkEnd w:id="120"/>
      <w:bookmarkEnd w:id="121"/>
      <w:bookmarkEnd w:id="122"/>
      <w:bookmarkEnd w:id="123"/>
      <w:r>
        <w:rPr>
          <w:rFonts w:cs="Times New Roman" w:asciiTheme="minorEastAsia" w:hAnsiTheme="minorEastAsia" w:eastAsiaTheme="minorEastAsia"/>
          <w:b/>
          <w:bCs/>
          <w:color w:val="auto"/>
          <w:sz w:val="24"/>
          <w:szCs w:val="24"/>
          <w:highlight w:val="none"/>
          <w:lang w:val="zh-CN"/>
        </w:rPr>
        <w:t xml:space="preserve">4 </w:t>
      </w:r>
      <w:r>
        <w:rPr>
          <w:rFonts w:hint="eastAsia" w:cs="Times New Roman" w:asciiTheme="minorEastAsia" w:hAnsiTheme="minorEastAsia" w:eastAsiaTheme="minorEastAsia"/>
          <w:b/>
          <w:bCs/>
          <w:color w:val="auto"/>
          <w:sz w:val="24"/>
          <w:szCs w:val="24"/>
          <w:highlight w:val="none"/>
          <w:lang w:val="zh-CN"/>
        </w:rPr>
        <w:t>履约检查和问题反馈</w:t>
      </w:r>
      <w:bookmarkEnd w:id="124"/>
      <w:bookmarkEnd w:id="125"/>
      <w:bookmarkEnd w:id="126"/>
    </w:p>
    <w:p w14:paraId="7175292F">
      <w:pPr>
        <w:spacing w:line="520" w:lineRule="exact"/>
        <w:ind w:firstLine="435"/>
        <w:jc w:val="left"/>
        <w:rPr>
          <w:rFonts w:cs="Times New Roman" w:asciiTheme="minorEastAsia" w:hAnsiTheme="minorEastAsia" w:eastAsiaTheme="minorEastAsia"/>
          <w:color w:val="auto"/>
          <w:sz w:val="24"/>
          <w:szCs w:val="24"/>
          <w:highlight w:val="none"/>
        </w:rPr>
      </w:pPr>
      <w:bookmarkStart w:id="127" w:name="_Toc186431854"/>
      <w:bookmarkStart w:id="128" w:name="_Toc487900357"/>
      <w:bookmarkStart w:id="129" w:name="_Ref467379807"/>
      <w:bookmarkStart w:id="130" w:name="_Toc259093676"/>
      <w:bookmarkStart w:id="131" w:name="_Ref467379793"/>
      <w:bookmarkStart w:id="132" w:name="_Toc279701247"/>
      <w:r>
        <w:rPr>
          <w:rFonts w:hint="eastAsia" w:cs="Times New Roman" w:asciiTheme="minorEastAsia" w:hAnsiTheme="minorEastAsia" w:eastAsiaTheme="minorEastAsia"/>
          <w:color w:val="auto"/>
          <w:sz w:val="24"/>
          <w:szCs w:val="24"/>
          <w:highlight w:val="none"/>
        </w:rPr>
        <w:t>2.4</w:t>
      </w:r>
      <w:r>
        <w:rPr>
          <w:rFonts w:cs="Times New Roman" w:asciiTheme="minorEastAsia" w:hAnsiTheme="minorEastAsia" w:eastAsiaTheme="minorEastAsia"/>
          <w:color w:val="auto"/>
          <w:sz w:val="24"/>
          <w:szCs w:val="24"/>
          <w:highlight w:val="none"/>
        </w:rPr>
        <w:t>.1甲方</w:t>
      </w:r>
      <w:r>
        <w:rPr>
          <w:rFonts w:hint="eastAsia" w:cs="Times New Roman" w:asciiTheme="minorEastAsia" w:hAnsiTheme="minorEastAsia" w:eastAsiaTheme="minorEastAsia"/>
          <w:color w:val="auto"/>
          <w:sz w:val="24"/>
          <w:szCs w:val="24"/>
          <w:highlight w:val="none"/>
        </w:rPr>
        <w:t>有权</w:t>
      </w:r>
      <w:r>
        <w:rPr>
          <w:rFonts w:cs="Times New Roman" w:asciiTheme="minorEastAsia" w:hAnsiTheme="minorEastAsia" w:eastAsiaTheme="minorEastAsia"/>
          <w:color w:val="auto"/>
          <w:sz w:val="24"/>
          <w:szCs w:val="24"/>
          <w:highlight w:val="none"/>
        </w:rPr>
        <w:t>在其认为必要时</w:t>
      </w:r>
      <w:r>
        <w:rPr>
          <w:rFonts w:hint="eastAsia" w:cs="Times New Roman" w:asciiTheme="minorEastAsia" w:hAnsiTheme="minorEastAsia" w:eastAsiaTheme="minorEastAsia"/>
          <w:color w:val="auto"/>
          <w:sz w:val="24"/>
          <w:szCs w:val="24"/>
          <w:highlight w:val="none"/>
        </w:rPr>
        <w:t>，对乙方是否能够按照合同约定提供服务进行履约检查，以确保乙方所提供的服务能够依约满足甲方项目需求，但不得因履约检查妨碍乙方的正常工作，乙方应予积极配合；</w:t>
      </w:r>
    </w:p>
    <w:p w14:paraId="4F45A0E3">
      <w:pPr>
        <w:spacing w:line="520" w:lineRule="exact"/>
        <w:ind w:firstLine="435"/>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4</w:t>
      </w:r>
      <w:r>
        <w:rPr>
          <w:rFonts w:hint="eastAsia" w:cs="Times New Roman" w:asciiTheme="minorEastAsia" w:hAnsiTheme="minorEastAsia" w:eastAsiaTheme="minorEastAsia"/>
          <w:color w:val="auto"/>
          <w:sz w:val="24"/>
          <w:szCs w:val="24"/>
          <w:highlight w:val="none"/>
        </w:rPr>
        <w:t>.2合同履行期间，甲方有权将履行过程中出现的问题反馈给乙方，双方当事人应以书面形式约定需要完善和改进的内容</w:t>
      </w:r>
      <w:bookmarkEnd w:id="127"/>
      <w:bookmarkStart w:id="133" w:name="_Toc186431855"/>
      <w:r>
        <w:rPr>
          <w:rFonts w:hint="eastAsia" w:cs="Times New Roman" w:asciiTheme="minorEastAsia" w:hAnsiTheme="minorEastAsia" w:eastAsiaTheme="minorEastAsia"/>
          <w:color w:val="auto"/>
          <w:sz w:val="24"/>
          <w:szCs w:val="24"/>
          <w:highlight w:val="none"/>
        </w:rPr>
        <w:t>。</w:t>
      </w:r>
    </w:p>
    <w:bookmarkEnd w:id="133"/>
    <w:p w14:paraId="3CE54043">
      <w:pPr>
        <w:spacing w:line="520" w:lineRule="exact"/>
        <w:ind w:firstLine="437"/>
        <w:jc w:val="left"/>
        <w:outlineLvl w:val="2"/>
        <w:rPr>
          <w:rFonts w:cs="Times New Roman" w:asciiTheme="minorEastAsia" w:hAnsiTheme="minorEastAsia" w:eastAsiaTheme="minorEastAsia"/>
          <w:b/>
          <w:bCs/>
          <w:color w:val="auto"/>
          <w:sz w:val="24"/>
          <w:szCs w:val="24"/>
          <w:highlight w:val="none"/>
          <w:lang w:val="zh-CN"/>
        </w:rPr>
      </w:pPr>
      <w:bookmarkStart w:id="134" w:name="_Toc28451"/>
      <w:bookmarkStart w:id="135" w:name="_Toc19219"/>
      <w:bookmarkStart w:id="136" w:name="_Toc7836"/>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5结算方式和付款条件</w:t>
      </w:r>
      <w:bookmarkEnd w:id="128"/>
      <w:bookmarkEnd w:id="129"/>
      <w:bookmarkEnd w:id="130"/>
      <w:bookmarkEnd w:id="131"/>
      <w:bookmarkEnd w:id="132"/>
      <w:bookmarkEnd w:id="134"/>
      <w:bookmarkEnd w:id="135"/>
      <w:bookmarkEnd w:id="136"/>
    </w:p>
    <w:p w14:paraId="18B3021E">
      <w:pPr>
        <w:spacing w:line="520" w:lineRule="exact"/>
        <w:ind w:firstLine="435"/>
        <w:jc w:val="left"/>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详见</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w:t>
      </w:r>
    </w:p>
    <w:p w14:paraId="67CB8FED">
      <w:pPr>
        <w:spacing w:line="520" w:lineRule="exact"/>
        <w:ind w:firstLine="437"/>
        <w:jc w:val="left"/>
        <w:outlineLvl w:val="2"/>
        <w:rPr>
          <w:rFonts w:cs="Times New Roman" w:asciiTheme="minorEastAsia" w:hAnsiTheme="minorEastAsia" w:eastAsiaTheme="minorEastAsia"/>
          <w:b/>
          <w:bCs/>
          <w:color w:val="auto"/>
          <w:sz w:val="24"/>
          <w:szCs w:val="24"/>
          <w:highlight w:val="none"/>
          <w:lang w:val="zh-CN"/>
        </w:rPr>
      </w:pPr>
      <w:bookmarkStart w:id="137" w:name="_Ref467379852"/>
      <w:bookmarkStart w:id="138" w:name="_Ref467379923"/>
      <w:bookmarkStart w:id="139" w:name="_Toc259093677"/>
      <w:bookmarkStart w:id="140" w:name="_Toc487900358"/>
      <w:bookmarkStart w:id="141" w:name="_Ref467379863"/>
      <w:bookmarkStart w:id="142" w:name="_Toc279701248"/>
      <w:bookmarkStart w:id="143" w:name="_Toc3225"/>
      <w:bookmarkStart w:id="144" w:name="_Toc16110"/>
      <w:bookmarkStart w:id="145" w:name="_Toc774"/>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6技术资料</w:t>
      </w:r>
      <w:bookmarkEnd w:id="137"/>
      <w:bookmarkEnd w:id="138"/>
      <w:bookmarkEnd w:id="139"/>
      <w:bookmarkEnd w:id="140"/>
      <w:bookmarkEnd w:id="141"/>
      <w:bookmarkEnd w:id="142"/>
      <w:r>
        <w:rPr>
          <w:rFonts w:cs="Times New Roman" w:asciiTheme="minorEastAsia" w:hAnsiTheme="minorEastAsia" w:eastAsiaTheme="minorEastAsia"/>
          <w:b/>
          <w:bCs/>
          <w:color w:val="auto"/>
          <w:sz w:val="24"/>
          <w:szCs w:val="24"/>
          <w:highlight w:val="none"/>
          <w:lang w:val="zh-CN"/>
        </w:rPr>
        <w:t>和保密义务</w:t>
      </w:r>
      <w:bookmarkEnd w:id="143"/>
      <w:bookmarkEnd w:id="144"/>
      <w:bookmarkEnd w:id="145"/>
    </w:p>
    <w:p w14:paraId="0FEA4AA5">
      <w:pPr>
        <w:spacing w:line="520" w:lineRule="exact"/>
        <w:ind w:firstLine="435"/>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6.1</w:t>
      </w:r>
      <w:r>
        <w:rPr>
          <w:rFonts w:hint="eastAsia" w:cs="Times New Roman" w:asciiTheme="minorEastAsia" w:hAnsiTheme="minorEastAsia" w:eastAsiaTheme="minorEastAsia"/>
          <w:color w:val="auto"/>
          <w:sz w:val="24"/>
          <w:szCs w:val="24"/>
          <w:highlight w:val="none"/>
        </w:rPr>
        <w:t>乙方有权依据合同约定和项目需要，向甲方了解有关情况，调阅有关资料等，甲方应予积极配合；</w:t>
      </w:r>
    </w:p>
    <w:p w14:paraId="41274D2F">
      <w:pPr>
        <w:spacing w:line="520" w:lineRule="exact"/>
        <w:ind w:firstLine="435"/>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6</w:t>
      </w:r>
      <w:r>
        <w:rPr>
          <w:rFonts w:hint="eastAsia" w:cs="Times New Roman" w:asciiTheme="minorEastAsia" w:hAnsiTheme="minorEastAsia" w:eastAsiaTheme="minorEastAsia"/>
          <w:color w:val="auto"/>
          <w:sz w:val="24"/>
          <w:szCs w:val="24"/>
          <w:highlight w:val="none"/>
        </w:rPr>
        <w:t>.2乙方有义务妥善保管和保护由甲方提供的前款信息和资料等；</w:t>
      </w:r>
    </w:p>
    <w:p w14:paraId="59D10071">
      <w:pPr>
        <w:spacing w:line="520" w:lineRule="exact"/>
        <w:ind w:firstLine="435"/>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6.</w:t>
      </w:r>
      <w:r>
        <w:rPr>
          <w:rFonts w:hint="eastAsia" w:cs="Times New Roman" w:asciiTheme="minorEastAsia" w:hAnsiTheme="minorEastAsia" w:eastAsiaTheme="minorEastAsia"/>
          <w:color w:val="auto"/>
          <w:sz w:val="24"/>
          <w:szCs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cs="Times New Roman" w:asciiTheme="minorEastAsia" w:hAnsiTheme="minorEastAsia" w:eastAsiaTheme="minorEastAsia"/>
          <w:color w:val="auto"/>
          <w:sz w:val="24"/>
          <w:szCs w:val="24"/>
          <w:highlight w:val="none"/>
        </w:rPr>
        <w:t>技术情报</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技术资料</w:t>
      </w:r>
      <w:r>
        <w:rPr>
          <w:rFonts w:hint="eastAsia" w:cs="Times New Roman" w:asciiTheme="minorEastAsia" w:hAnsiTheme="minorEastAsia" w:eastAsiaTheme="minorEastAsia"/>
          <w:color w:val="auto"/>
          <w:sz w:val="24"/>
          <w:szCs w:val="24"/>
          <w:highlight w:val="none"/>
        </w:rPr>
        <w:t>、商业秘密和商业信息等，并采取一切合理和必要措施和方式防止任何第三方接触到对方当事人的上述保密信息和资料。</w:t>
      </w:r>
    </w:p>
    <w:p w14:paraId="7CDD2848">
      <w:pPr>
        <w:spacing w:line="520" w:lineRule="exact"/>
        <w:ind w:firstLine="437"/>
        <w:jc w:val="left"/>
        <w:outlineLvl w:val="2"/>
        <w:rPr>
          <w:rFonts w:cs="Times New Roman" w:asciiTheme="minorEastAsia" w:hAnsiTheme="minorEastAsia" w:eastAsiaTheme="minorEastAsia"/>
          <w:b/>
          <w:bCs/>
          <w:color w:val="auto"/>
          <w:sz w:val="24"/>
          <w:szCs w:val="24"/>
          <w:highlight w:val="none"/>
          <w:lang w:val="zh-CN"/>
        </w:rPr>
      </w:pPr>
      <w:bookmarkStart w:id="146" w:name="_Toc7860"/>
      <w:r>
        <w:rPr>
          <w:rFonts w:cs="Times New Roman" w:asciiTheme="minorEastAsia" w:hAnsiTheme="minorEastAsia" w:eastAsiaTheme="minorEastAsia"/>
          <w:b/>
          <w:bCs/>
          <w:color w:val="auto"/>
          <w:sz w:val="24"/>
          <w:szCs w:val="24"/>
          <w:highlight w:val="none"/>
          <w:lang w:val="zh-CN"/>
        </w:rPr>
        <w:t>2.7 质量保证</w:t>
      </w:r>
      <w:bookmarkEnd w:id="146"/>
    </w:p>
    <w:p w14:paraId="0E922A0D">
      <w:pPr>
        <w:spacing w:line="520" w:lineRule="exact"/>
        <w:ind w:firstLine="435"/>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7</w:t>
      </w:r>
      <w:r>
        <w:rPr>
          <w:rFonts w:hint="eastAsia" w:cs="Times New Roman" w:asciiTheme="minorEastAsia" w:hAnsiTheme="minorEastAsia" w:eastAsiaTheme="minorEastAsia"/>
          <w:color w:val="auto"/>
          <w:sz w:val="24"/>
          <w:szCs w:val="24"/>
          <w:highlight w:val="none"/>
        </w:rPr>
        <w:t>.1乙方应建立和完善履行合同的内部质量保证体系，并提供相关内部规章制度给甲方，以便甲方进行监督检查；</w:t>
      </w:r>
    </w:p>
    <w:p w14:paraId="132FB1E2">
      <w:pPr>
        <w:spacing w:line="520" w:lineRule="exact"/>
        <w:ind w:firstLine="435"/>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7</w:t>
      </w:r>
      <w:r>
        <w:rPr>
          <w:rFonts w:hint="eastAsia" w:cs="Times New Roman" w:asciiTheme="minorEastAsia" w:hAnsiTheme="minorEastAsia" w:eastAsiaTheme="minorEastAsia"/>
          <w:color w:val="auto"/>
          <w:sz w:val="24"/>
          <w:szCs w:val="24"/>
          <w:highlight w:val="none"/>
        </w:rPr>
        <w:t>.2乙方应保证履行合同的人员数量和素质、软件和硬件设备的配置、场地、环境和设施等满足全面履行合同的要求，并应接受甲方的监督检查。</w:t>
      </w:r>
    </w:p>
    <w:p w14:paraId="4BF5B356">
      <w:pPr>
        <w:spacing w:line="520" w:lineRule="exact"/>
        <w:ind w:firstLine="437"/>
        <w:jc w:val="left"/>
        <w:outlineLvl w:val="2"/>
        <w:rPr>
          <w:rFonts w:cs="Times New Roman" w:asciiTheme="minorEastAsia" w:hAnsiTheme="minorEastAsia" w:eastAsiaTheme="minorEastAsia"/>
          <w:b/>
          <w:color w:val="auto"/>
          <w:sz w:val="24"/>
          <w:szCs w:val="24"/>
          <w:highlight w:val="none"/>
        </w:rPr>
      </w:pPr>
      <w:bookmarkStart w:id="147" w:name="_Toc22267"/>
      <w:r>
        <w:rPr>
          <w:rFonts w:hint="eastAsia" w:cs="Times New Roman" w:asciiTheme="minorEastAsia" w:hAnsiTheme="minorEastAsia" w:eastAsiaTheme="minorEastAsia"/>
          <w:b/>
          <w:color w:val="auto"/>
          <w:sz w:val="24"/>
          <w:szCs w:val="24"/>
          <w:highlight w:val="none"/>
        </w:rPr>
        <w:t>2.8 延迟履行</w:t>
      </w:r>
      <w:bookmarkEnd w:id="147"/>
    </w:p>
    <w:p w14:paraId="518ABB20">
      <w:pPr>
        <w:spacing w:line="520" w:lineRule="exact"/>
        <w:ind w:firstLine="435"/>
        <w:jc w:val="left"/>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在合同履行过程中，如果乙方遇到不能按时</w:t>
      </w:r>
      <w:r>
        <w:rPr>
          <w:rFonts w:hint="eastAsia" w:cs="Times New Roman" w:asciiTheme="minorEastAsia" w:hAnsiTheme="minorEastAsia" w:eastAsiaTheme="minorEastAsia"/>
          <w:color w:val="auto"/>
          <w:sz w:val="24"/>
          <w:szCs w:val="24"/>
          <w:highlight w:val="none"/>
        </w:rPr>
        <w:t>提供服务</w:t>
      </w:r>
      <w:r>
        <w:rPr>
          <w:rFonts w:cs="Times New Roman" w:asciiTheme="minorEastAsia" w:hAnsiTheme="minorEastAsia" w:eastAsiaTheme="minorEastAsia"/>
          <w:color w:val="auto"/>
          <w:sz w:val="24"/>
          <w:szCs w:val="24"/>
          <w:highlight w:val="none"/>
        </w:rPr>
        <w:t>的情况，应及时以书面形式将不能按时</w:t>
      </w:r>
      <w:r>
        <w:rPr>
          <w:rFonts w:hint="eastAsia" w:cs="Times New Roman" w:asciiTheme="minorEastAsia" w:hAnsiTheme="minorEastAsia" w:eastAsiaTheme="minorEastAsia"/>
          <w:color w:val="auto"/>
          <w:sz w:val="24"/>
          <w:szCs w:val="24"/>
          <w:highlight w:val="none"/>
        </w:rPr>
        <w:t>提供服务</w:t>
      </w:r>
      <w:r>
        <w:rPr>
          <w:rFonts w:cs="Times New Roman" w:asciiTheme="minorEastAsia" w:hAnsiTheme="minorEastAsia" w:eastAsiaTheme="minorEastAsia"/>
          <w:color w:val="auto"/>
          <w:sz w:val="24"/>
          <w:szCs w:val="24"/>
          <w:highlight w:val="none"/>
        </w:rPr>
        <w:t>的理由、预期延误时间通知甲方</w:t>
      </w:r>
      <w:r>
        <w:rPr>
          <w:rFonts w:hint="eastAsia" w:cs="Times New Roman" w:asciiTheme="minorEastAsia" w:hAnsiTheme="minorEastAsia" w:eastAsiaTheme="minorEastAsia"/>
          <w:color w:val="auto"/>
          <w:sz w:val="24"/>
          <w:szCs w:val="24"/>
          <w:highlight w:val="none"/>
        </w:rPr>
        <w:t>；甲</w:t>
      </w:r>
      <w:r>
        <w:rPr>
          <w:rFonts w:cs="Times New Roman" w:asciiTheme="minorEastAsia" w:hAnsiTheme="minorEastAsia" w:eastAsiaTheme="minorEastAsia"/>
          <w:color w:val="auto"/>
          <w:sz w:val="24"/>
          <w:szCs w:val="24"/>
          <w:highlight w:val="none"/>
        </w:rPr>
        <w:t>方收到乙方通知后，认为其理由正当的，可以书面形式酌情同意乙方可以延长</w:t>
      </w:r>
      <w:r>
        <w:rPr>
          <w:rFonts w:hint="eastAsia" w:cs="Times New Roman" w:asciiTheme="minorEastAsia" w:hAnsiTheme="minorEastAsia" w:eastAsiaTheme="minorEastAsia"/>
          <w:color w:val="auto"/>
          <w:sz w:val="24"/>
          <w:szCs w:val="24"/>
          <w:highlight w:val="none"/>
        </w:rPr>
        <w:t>履行</w:t>
      </w:r>
      <w:r>
        <w:rPr>
          <w:rFonts w:cs="Times New Roman" w:asciiTheme="minorEastAsia" w:hAnsiTheme="minorEastAsia" w:eastAsiaTheme="minorEastAsia"/>
          <w:color w:val="auto"/>
          <w:sz w:val="24"/>
          <w:szCs w:val="24"/>
          <w:highlight w:val="none"/>
        </w:rPr>
        <w:t>的具体时间。</w:t>
      </w:r>
    </w:p>
    <w:p w14:paraId="69967B23">
      <w:pPr>
        <w:spacing w:line="520" w:lineRule="exact"/>
        <w:ind w:firstLine="437"/>
        <w:jc w:val="left"/>
        <w:outlineLvl w:val="2"/>
        <w:rPr>
          <w:rFonts w:cs="Times New Roman" w:asciiTheme="minorEastAsia" w:hAnsiTheme="minorEastAsia" w:eastAsiaTheme="minorEastAsia"/>
          <w:b/>
          <w:bCs/>
          <w:color w:val="auto"/>
          <w:sz w:val="24"/>
          <w:szCs w:val="24"/>
          <w:highlight w:val="none"/>
          <w:lang w:val="zh-CN"/>
        </w:rPr>
      </w:pPr>
      <w:bookmarkStart w:id="148" w:name="_Toc7502"/>
      <w:bookmarkStart w:id="149" w:name="_Toc259093683"/>
      <w:bookmarkStart w:id="150" w:name="_Ref467378121"/>
      <w:bookmarkStart w:id="151" w:name="_Toc279701254"/>
      <w:bookmarkStart w:id="152" w:name="_Toc487900364"/>
      <w:r>
        <w:rPr>
          <w:rFonts w:cs="Times New Roman" w:asciiTheme="minorEastAsia" w:hAnsiTheme="minorEastAsia" w:eastAsiaTheme="minorEastAsia"/>
          <w:b/>
          <w:bCs/>
          <w:color w:val="auto"/>
          <w:sz w:val="24"/>
          <w:szCs w:val="24"/>
          <w:highlight w:val="none"/>
          <w:lang w:val="zh-CN"/>
        </w:rPr>
        <w:t>2.9 合同变更</w:t>
      </w:r>
      <w:bookmarkEnd w:id="148"/>
    </w:p>
    <w:p w14:paraId="119E2D6F">
      <w:pPr>
        <w:spacing w:line="520" w:lineRule="exact"/>
        <w:ind w:firstLine="435"/>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9</w:t>
      </w:r>
      <w:r>
        <w:rPr>
          <w:rFonts w:hint="eastAsia" w:cs="Times New Roman" w:asciiTheme="minorEastAsia" w:hAnsiTheme="minorEastAsia" w:eastAsiaTheme="minorEastAsia"/>
          <w:color w:val="auto"/>
          <w:sz w:val="24"/>
          <w:szCs w:val="24"/>
          <w:highlight w:val="none"/>
        </w:rPr>
        <w:t>.1双方当事人协商一致，可以签订书面补充合同的形式变更合同，但不得违背采购文件确定的事项；</w:t>
      </w:r>
    </w:p>
    <w:p w14:paraId="7F97A802">
      <w:pPr>
        <w:spacing w:line="520" w:lineRule="exact"/>
        <w:ind w:firstLine="435"/>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9</w:t>
      </w:r>
      <w:r>
        <w:rPr>
          <w:rFonts w:hint="eastAsia" w:cs="Times New Roman" w:asciiTheme="minorEastAsia" w:hAnsiTheme="minorEastAsia" w:eastAsiaTheme="minorEastAsia"/>
          <w:color w:val="auto"/>
          <w:sz w:val="24"/>
          <w:szCs w:val="24"/>
          <w:highlight w:val="none"/>
        </w:rPr>
        <w:t>.2合同继续履行将损害国家利益和社会公共利益的，双方当事人应当以书面形式变更合同。有过错的一方应当承担赔偿责任，双方当事人都有过错的，各自承担相应的责任。</w:t>
      </w:r>
      <w:bookmarkStart w:id="153" w:name="_Toc279701259"/>
      <w:bookmarkStart w:id="154" w:name="_Toc487900369"/>
      <w:bookmarkStart w:id="155" w:name="_Toc259093688"/>
    </w:p>
    <w:p w14:paraId="7D7AC8ED">
      <w:pPr>
        <w:spacing w:line="520" w:lineRule="exact"/>
        <w:ind w:firstLine="437"/>
        <w:jc w:val="left"/>
        <w:outlineLvl w:val="2"/>
        <w:rPr>
          <w:rFonts w:cs="Times New Roman" w:asciiTheme="minorEastAsia" w:hAnsiTheme="minorEastAsia" w:eastAsiaTheme="minorEastAsia"/>
          <w:b/>
          <w:bCs/>
          <w:color w:val="auto"/>
          <w:sz w:val="24"/>
          <w:szCs w:val="24"/>
          <w:highlight w:val="none"/>
          <w:lang w:val="zh-CN"/>
        </w:rPr>
      </w:pPr>
      <w:bookmarkStart w:id="156" w:name="_Toc15237"/>
      <w:bookmarkStart w:id="157" w:name="_Toc22955"/>
      <w:bookmarkStart w:id="158" w:name="_Toc10366"/>
      <w:r>
        <w:rPr>
          <w:rFonts w:hint="eastAsia" w:cs="Times New Roman" w:asciiTheme="minorEastAsia" w:hAnsiTheme="minorEastAsia" w:eastAsiaTheme="minorEastAsia"/>
          <w:b/>
          <w:bCs/>
          <w:color w:val="auto"/>
          <w:sz w:val="24"/>
          <w:szCs w:val="24"/>
          <w:highlight w:val="none"/>
          <w:lang w:val="zh-CN"/>
        </w:rPr>
        <w:t>2.1</w:t>
      </w:r>
      <w:r>
        <w:rPr>
          <w:rFonts w:cs="Times New Roman" w:asciiTheme="minorEastAsia" w:hAnsiTheme="minorEastAsia" w:eastAsiaTheme="minorEastAsia"/>
          <w:b/>
          <w:bCs/>
          <w:color w:val="auto"/>
          <w:sz w:val="24"/>
          <w:szCs w:val="24"/>
          <w:highlight w:val="none"/>
          <w:lang w:val="zh-CN"/>
        </w:rPr>
        <w:t>0合同转让</w:t>
      </w:r>
      <w:bookmarkEnd w:id="153"/>
      <w:bookmarkEnd w:id="154"/>
      <w:bookmarkEnd w:id="155"/>
      <w:r>
        <w:rPr>
          <w:rFonts w:cs="Times New Roman" w:asciiTheme="minorEastAsia" w:hAnsiTheme="minorEastAsia" w:eastAsiaTheme="minorEastAsia"/>
          <w:b/>
          <w:bCs/>
          <w:color w:val="auto"/>
          <w:sz w:val="24"/>
          <w:szCs w:val="24"/>
          <w:highlight w:val="none"/>
          <w:lang w:val="zh-CN"/>
        </w:rPr>
        <w:t>和分包</w:t>
      </w:r>
      <w:bookmarkEnd w:id="156"/>
      <w:bookmarkEnd w:id="157"/>
      <w:bookmarkEnd w:id="158"/>
    </w:p>
    <w:p w14:paraId="5C81D3C7">
      <w:pPr>
        <w:spacing w:line="520" w:lineRule="exact"/>
        <w:ind w:firstLine="435"/>
        <w:jc w:val="left"/>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合同的权利义务依法不</w:t>
      </w:r>
      <w:r>
        <w:rPr>
          <w:rFonts w:hint="eastAsia" w:cs="Times New Roman" w:asciiTheme="minorEastAsia" w:hAnsiTheme="minorEastAsia" w:eastAsiaTheme="minorEastAsia"/>
          <w:color w:val="auto"/>
          <w:sz w:val="24"/>
          <w:szCs w:val="24"/>
          <w:highlight w:val="none"/>
        </w:rPr>
        <w:t>得</w:t>
      </w:r>
      <w:r>
        <w:rPr>
          <w:rFonts w:cs="Times New Roman" w:asciiTheme="minorEastAsia" w:hAnsiTheme="minorEastAsia" w:eastAsiaTheme="minorEastAsia"/>
          <w:color w:val="auto"/>
          <w:sz w:val="24"/>
          <w:szCs w:val="24"/>
          <w:highlight w:val="none"/>
        </w:rPr>
        <w:t>转让</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但经甲方</w:t>
      </w:r>
      <w:r>
        <w:rPr>
          <w:rFonts w:hint="eastAsia" w:cs="Times New Roman" w:asciiTheme="minorEastAsia" w:hAnsiTheme="minorEastAsia" w:eastAsiaTheme="minorEastAsia"/>
          <w:color w:val="auto"/>
          <w:sz w:val="24"/>
          <w:szCs w:val="24"/>
          <w:highlight w:val="none"/>
        </w:rPr>
        <w:t>同意，乙方可以依法采取分包方式履行合同，即：依法可以</w:t>
      </w:r>
      <w:r>
        <w:rPr>
          <w:rFonts w:cs="Times New Roman" w:asciiTheme="minorEastAsia" w:hAnsiTheme="minorEastAsia" w:eastAsiaTheme="minorEastAsia"/>
          <w:color w:val="auto"/>
          <w:sz w:val="24"/>
          <w:szCs w:val="24"/>
          <w:highlight w:val="none"/>
        </w:rPr>
        <w:t>将合同项下的部分非主体、非关键性工作分包给他人完成</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接受分包的人应当具备相应的资格条件，并不得再次分包</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且乙方应就分包项目向甲方负责</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并</w:t>
      </w:r>
      <w:r>
        <w:rPr>
          <w:rFonts w:hint="eastAsia" w:cs="Times New Roman" w:asciiTheme="minorEastAsia" w:hAnsiTheme="minorEastAsia" w:eastAsiaTheme="minorEastAsia"/>
          <w:color w:val="auto"/>
          <w:sz w:val="24"/>
          <w:szCs w:val="24"/>
          <w:highlight w:val="none"/>
        </w:rPr>
        <w:t>与分包供应商就分包项目向甲方承担连带责任。</w:t>
      </w:r>
    </w:p>
    <w:p w14:paraId="3EB264A1">
      <w:pPr>
        <w:spacing w:line="520" w:lineRule="exact"/>
        <w:ind w:firstLine="437"/>
        <w:jc w:val="left"/>
        <w:outlineLvl w:val="2"/>
        <w:rPr>
          <w:rFonts w:cs="Times New Roman" w:asciiTheme="minorEastAsia" w:hAnsiTheme="minorEastAsia" w:eastAsiaTheme="minorEastAsia"/>
          <w:b/>
          <w:bCs/>
          <w:color w:val="auto"/>
          <w:sz w:val="24"/>
          <w:szCs w:val="24"/>
          <w:highlight w:val="none"/>
          <w:lang w:val="zh-CN"/>
        </w:rPr>
      </w:pPr>
      <w:bookmarkStart w:id="159" w:name="_Toc16508"/>
      <w:bookmarkStart w:id="160" w:name="_Toc14066"/>
      <w:bookmarkStart w:id="161" w:name="_Toc13566"/>
      <w:r>
        <w:rPr>
          <w:rFonts w:hint="eastAsia" w:cs="Times New Roman" w:asciiTheme="minorEastAsia" w:hAnsiTheme="minorEastAsia" w:eastAsiaTheme="minorEastAsia"/>
          <w:b/>
          <w:bCs/>
          <w:color w:val="auto"/>
          <w:sz w:val="24"/>
          <w:szCs w:val="24"/>
          <w:highlight w:val="none"/>
          <w:lang w:val="zh-CN"/>
        </w:rPr>
        <w:t>2.1</w:t>
      </w:r>
      <w:r>
        <w:rPr>
          <w:rFonts w:cs="Times New Roman" w:asciiTheme="minorEastAsia" w:hAnsiTheme="minorEastAsia" w:eastAsiaTheme="minorEastAsia"/>
          <w:b/>
          <w:bCs/>
          <w:color w:val="auto"/>
          <w:sz w:val="24"/>
          <w:szCs w:val="24"/>
          <w:highlight w:val="none"/>
          <w:lang w:val="zh-CN"/>
        </w:rPr>
        <w:t>1 不可抗力</w:t>
      </w:r>
      <w:bookmarkEnd w:id="159"/>
      <w:bookmarkEnd w:id="160"/>
      <w:bookmarkEnd w:id="161"/>
    </w:p>
    <w:p w14:paraId="4484FA4C">
      <w:pPr>
        <w:spacing w:line="520" w:lineRule="exact"/>
        <w:ind w:firstLine="435"/>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w:t>
      </w:r>
      <w:r>
        <w:rPr>
          <w:rFonts w:cs="Times New Roman" w:asciiTheme="minorEastAsia" w:hAnsiTheme="minorEastAsia" w:eastAsiaTheme="minorEastAsia"/>
          <w:color w:val="auto"/>
          <w:sz w:val="24"/>
          <w:szCs w:val="24"/>
          <w:highlight w:val="none"/>
        </w:rPr>
        <w:t>1.1如果任何一方遭遇法律规定的不可抗力，致使合同履行受阻时，履行合同的期限应予延长，延长的期限应相当于不可抗力所影响的时间</w:t>
      </w:r>
      <w:r>
        <w:rPr>
          <w:rFonts w:hint="eastAsia" w:cs="Times New Roman" w:asciiTheme="minorEastAsia" w:hAnsiTheme="minorEastAsia" w:eastAsiaTheme="minorEastAsia"/>
          <w:color w:val="auto"/>
          <w:sz w:val="24"/>
          <w:szCs w:val="24"/>
          <w:highlight w:val="none"/>
        </w:rPr>
        <w:t>；</w:t>
      </w:r>
    </w:p>
    <w:p w14:paraId="23BA3AD5">
      <w:pPr>
        <w:spacing w:line="520" w:lineRule="exact"/>
        <w:ind w:firstLine="435"/>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w:t>
      </w: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.2因不可抗力致使不能实现合同目的的，当事人可以解除合同；</w:t>
      </w:r>
    </w:p>
    <w:p w14:paraId="2987E6C6">
      <w:pPr>
        <w:spacing w:line="520" w:lineRule="exact"/>
        <w:ind w:firstLine="435"/>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w:t>
      </w: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.3因</w:t>
      </w:r>
      <w:r>
        <w:rPr>
          <w:rFonts w:cs="Times New Roman" w:asciiTheme="minorEastAsia" w:hAnsiTheme="minorEastAsia" w:eastAsiaTheme="minorEastAsia"/>
          <w:color w:val="auto"/>
          <w:sz w:val="24"/>
          <w:szCs w:val="24"/>
          <w:highlight w:val="none"/>
        </w:rPr>
        <w:t>不可抗力致使合同有变更必要的，双方当事人应在</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约定时间内以书面形式变更合同</w:t>
      </w:r>
      <w:r>
        <w:rPr>
          <w:rFonts w:hint="eastAsia" w:cs="Times New Roman" w:asciiTheme="minorEastAsia" w:hAnsiTheme="minorEastAsia" w:eastAsiaTheme="minorEastAsia"/>
          <w:color w:val="auto"/>
          <w:sz w:val="24"/>
          <w:szCs w:val="24"/>
          <w:highlight w:val="none"/>
        </w:rPr>
        <w:t>；</w:t>
      </w:r>
    </w:p>
    <w:p w14:paraId="69BF991A">
      <w:pPr>
        <w:spacing w:line="520" w:lineRule="exact"/>
        <w:ind w:firstLine="435"/>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w:t>
      </w: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4</w:t>
      </w:r>
      <w:r>
        <w:rPr>
          <w:rFonts w:cs="Times New Roman" w:asciiTheme="minorEastAsia" w:hAnsiTheme="minorEastAsia" w:eastAsiaTheme="minorEastAsia"/>
          <w:color w:val="auto"/>
          <w:sz w:val="24"/>
          <w:szCs w:val="24"/>
          <w:highlight w:val="none"/>
        </w:rPr>
        <w:t>受</w:t>
      </w:r>
      <w:r>
        <w:rPr>
          <w:rFonts w:hint="eastAsia" w:cs="Times New Roman" w:asciiTheme="minorEastAsia" w:hAnsiTheme="minorEastAsia" w:eastAsiaTheme="minorEastAsia"/>
          <w:color w:val="auto"/>
          <w:sz w:val="24"/>
          <w:szCs w:val="24"/>
          <w:highlight w:val="none"/>
        </w:rPr>
        <w:t>不可抗力</w:t>
      </w:r>
      <w:r>
        <w:rPr>
          <w:rFonts w:cs="Times New Roman" w:asciiTheme="minorEastAsia" w:hAnsiTheme="minorEastAsia" w:eastAsiaTheme="minorEastAsia"/>
          <w:color w:val="auto"/>
          <w:sz w:val="24"/>
          <w:szCs w:val="24"/>
          <w:highlight w:val="none"/>
        </w:rPr>
        <w:t>影响的一方在不可抗力发生后</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应在</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约定时间内以书面形式通知</w:t>
      </w:r>
      <w:r>
        <w:rPr>
          <w:rFonts w:hint="eastAsia" w:cs="Times New Roman" w:asciiTheme="minorEastAsia" w:hAnsiTheme="minorEastAsia" w:eastAsiaTheme="minorEastAsia"/>
          <w:color w:val="auto"/>
          <w:sz w:val="24"/>
          <w:szCs w:val="24"/>
          <w:highlight w:val="none"/>
        </w:rPr>
        <w:t>对</w:t>
      </w:r>
      <w:r>
        <w:rPr>
          <w:rFonts w:cs="Times New Roman" w:asciiTheme="minorEastAsia" w:hAnsiTheme="minorEastAsia" w:eastAsiaTheme="minorEastAsia"/>
          <w:color w:val="auto"/>
          <w:sz w:val="24"/>
          <w:szCs w:val="24"/>
          <w:highlight w:val="none"/>
        </w:rPr>
        <w:t>方当事人，并在</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约定时间内，将有关部门出具的证明文件送达</w:t>
      </w:r>
      <w:r>
        <w:rPr>
          <w:rFonts w:hint="eastAsia" w:cs="Times New Roman" w:asciiTheme="minorEastAsia" w:hAnsiTheme="minorEastAsia" w:eastAsiaTheme="minorEastAsia"/>
          <w:color w:val="auto"/>
          <w:sz w:val="24"/>
          <w:szCs w:val="24"/>
          <w:highlight w:val="none"/>
        </w:rPr>
        <w:t>对方当事人</w:t>
      </w:r>
      <w:r>
        <w:rPr>
          <w:rFonts w:cs="Times New Roman" w:asciiTheme="minorEastAsia" w:hAnsiTheme="minorEastAsia" w:eastAsiaTheme="minorEastAsia"/>
          <w:color w:val="auto"/>
          <w:sz w:val="24"/>
          <w:szCs w:val="24"/>
          <w:highlight w:val="none"/>
        </w:rPr>
        <w:t>。</w:t>
      </w:r>
    </w:p>
    <w:p w14:paraId="15BFDC89">
      <w:pPr>
        <w:spacing w:line="520" w:lineRule="exact"/>
        <w:ind w:firstLine="437"/>
        <w:jc w:val="left"/>
        <w:outlineLvl w:val="2"/>
        <w:rPr>
          <w:rFonts w:cs="Times New Roman" w:asciiTheme="minorEastAsia" w:hAnsiTheme="minorEastAsia" w:eastAsiaTheme="minorEastAsia"/>
          <w:b/>
          <w:bCs/>
          <w:color w:val="auto"/>
          <w:sz w:val="24"/>
          <w:szCs w:val="24"/>
          <w:highlight w:val="none"/>
          <w:lang w:val="zh-CN"/>
        </w:rPr>
      </w:pPr>
      <w:bookmarkStart w:id="162" w:name="_Toc279701255"/>
      <w:bookmarkStart w:id="163" w:name="_Toc30676"/>
      <w:bookmarkStart w:id="164" w:name="_Toc6969"/>
      <w:bookmarkStart w:id="165" w:name="_Toc487900365"/>
      <w:bookmarkStart w:id="166" w:name="_Toc689"/>
      <w:bookmarkStart w:id="167" w:name="_Toc259093684"/>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12税费</w:t>
      </w:r>
      <w:bookmarkEnd w:id="162"/>
      <w:bookmarkEnd w:id="163"/>
      <w:bookmarkEnd w:id="164"/>
      <w:bookmarkEnd w:id="165"/>
      <w:bookmarkEnd w:id="166"/>
      <w:bookmarkEnd w:id="167"/>
    </w:p>
    <w:p w14:paraId="09F7CD80">
      <w:pPr>
        <w:spacing w:line="520" w:lineRule="exact"/>
        <w:ind w:firstLine="435"/>
        <w:jc w:val="left"/>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与合同有关的一切税费</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均按照中华人民共和国法律的相关规定</w:t>
      </w:r>
      <w:r>
        <w:rPr>
          <w:rFonts w:hint="eastAsia" w:cs="Times New Roman" w:asciiTheme="minorEastAsia" w:hAnsiTheme="minorEastAsia" w:eastAsiaTheme="minorEastAsia"/>
          <w:color w:val="auto"/>
          <w:sz w:val="24"/>
          <w:szCs w:val="24"/>
          <w:highlight w:val="none"/>
        </w:rPr>
        <w:t>缴纳</w:t>
      </w:r>
      <w:r>
        <w:rPr>
          <w:rFonts w:cs="Times New Roman" w:asciiTheme="minorEastAsia" w:hAnsiTheme="minorEastAsia" w:eastAsiaTheme="minorEastAsia"/>
          <w:color w:val="auto"/>
          <w:sz w:val="24"/>
          <w:szCs w:val="24"/>
          <w:highlight w:val="none"/>
        </w:rPr>
        <w:t>。</w:t>
      </w:r>
    </w:p>
    <w:p w14:paraId="4ED92361">
      <w:pPr>
        <w:spacing w:line="520" w:lineRule="exact"/>
        <w:ind w:firstLine="437"/>
        <w:jc w:val="left"/>
        <w:outlineLvl w:val="2"/>
        <w:rPr>
          <w:rFonts w:cs="Times New Roman" w:asciiTheme="minorEastAsia" w:hAnsiTheme="minorEastAsia" w:eastAsiaTheme="minorEastAsia"/>
          <w:b/>
          <w:bCs/>
          <w:color w:val="auto"/>
          <w:sz w:val="24"/>
          <w:szCs w:val="24"/>
          <w:highlight w:val="none"/>
          <w:lang w:val="zh-CN"/>
        </w:rPr>
      </w:pPr>
      <w:bookmarkStart w:id="168" w:name="_Toc16959"/>
      <w:bookmarkStart w:id="169" w:name="_Toc259093687"/>
      <w:bookmarkStart w:id="170" w:name="_Toc279701258"/>
      <w:bookmarkStart w:id="171" w:name="_Toc8298"/>
      <w:bookmarkStart w:id="172" w:name="_Toc7102"/>
      <w:bookmarkStart w:id="173" w:name="_Toc487900368"/>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13乙方破产</w:t>
      </w:r>
      <w:bookmarkEnd w:id="168"/>
      <w:bookmarkEnd w:id="169"/>
      <w:bookmarkEnd w:id="170"/>
      <w:bookmarkEnd w:id="171"/>
      <w:bookmarkEnd w:id="172"/>
      <w:bookmarkEnd w:id="173"/>
    </w:p>
    <w:p w14:paraId="661400BE">
      <w:pPr>
        <w:spacing w:line="520" w:lineRule="exact"/>
        <w:ind w:firstLine="435"/>
        <w:jc w:val="left"/>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如果乙方破产导致合同无法履行时，甲方可以书面形式通知乙方终止合同且不给予乙方任何补偿和赔偿</w:t>
      </w:r>
      <w:r>
        <w:rPr>
          <w:rFonts w:hint="eastAsia" w:cs="Times New Roman" w:asciiTheme="minorEastAsia" w:hAnsiTheme="minorEastAsia" w:eastAsiaTheme="minorEastAsia"/>
          <w:color w:val="auto"/>
          <w:sz w:val="24"/>
          <w:szCs w:val="24"/>
          <w:highlight w:val="none"/>
        </w:rPr>
        <w:t>，但合同的</w:t>
      </w:r>
      <w:r>
        <w:rPr>
          <w:rFonts w:cs="Times New Roman" w:asciiTheme="minorEastAsia" w:hAnsiTheme="minorEastAsia" w:eastAsiaTheme="minorEastAsia"/>
          <w:color w:val="auto"/>
          <w:sz w:val="24"/>
          <w:szCs w:val="24"/>
          <w:highlight w:val="none"/>
        </w:rPr>
        <w:t>终止不损害或不影响甲方已经采取或将要采取的任何要求乙方支付违约金</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赔偿损失等的行动或补救措施的权利</w:t>
      </w:r>
      <w:r>
        <w:rPr>
          <w:rFonts w:hint="eastAsia" w:cs="Times New Roman" w:asciiTheme="minorEastAsia" w:hAnsiTheme="minorEastAsia" w:eastAsiaTheme="minorEastAsia"/>
          <w:color w:val="auto"/>
          <w:sz w:val="24"/>
          <w:szCs w:val="24"/>
          <w:highlight w:val="none"/>
        </w:rPr>
        <w:t>。</w:t>
      </w:r>
    </w:p>
    <w:p w14:paraId="251F901A">
      <w:pPr>
        <w:spacing w:line="520" w:lineRule="exact"/>
        <w:ind w:firstLine="437"/>
        <w:jc w:val="left"/>
        <w:outlineLvl w:val="2"/>
        <w:rPr>
          <w:rFonts w:cs="Times New Roman" w:asciiTheme="minorEastAsia" w:hAnsiTheme="minorEastAsia" w:eastAsiaTheme="minorEastAsia"/>
          <w:b/>
          <w:color w:val="auto"/>
          <w:sz w:val="24"/>
          <w:szCs w:val="24"/>
          <w:highlight w:val="none"/>
        </w:rPr>
      </w:pPr>
      <w:bookmarkStart w:id="174" w:name="_Toc29333"/>
      <w:bookmarkStart w:id="175" w:name="_Toc15387"/>
      <w:bookmarkStart w:id="176" w:name="_Toc6134"/>
      <w:r>
        <w:rPr>
          <w:rFonts w:hint="eastAsia" w:cs="Times New Roman" w:asciiTheme="minorEastAsia" w:hAnsiTheme="minorEastAsia" w:eastAsiaTheme="minorEastAsia"/>
          <w:b/>
          <w:bCs/>
          <w:color w:val="auto"/>
          <w:sz w:val="24"/>
          <w:szCs w:val="24"/>
          <w:highlight w:val="none"/>
          <w:lang w:val="zh-CN"/>
        </w:rPr>
        <w:t>2.1</w:t>
      </w:r>
      <w:r>
        <w:rPr>
          <w:rFonts w:cs="Times New Roman" w:asciiTheme="minorEastAsia" w:hAnsiTheme="minorEastAsia" w:eastAsiaTheme="minorEastAsia"/>
          <w:b/>
          <w:bCs/>
          <w:color w:val="auto"/>
          <w:sz w:val="24"/>
          <w:szCs w:val="24"/>
          <w:highlight w:val="none"/>
          <w:lang w:val="zh-CN"/>
        </w:rPr>
        <w:t>4</w:t>
      </w:r>
      <w:r>
        <w:rPr>
          <w:rFonts w:hint="eastAsia" w:cs="Times New Roman" w:asciiTheme="minorEastAsia" w:hAnsiTheme="minorEastAsia" w:eastAsiaTheme="minorEastAsia"/>
          <w:b/>
          <w:bCs/>
          <w:color w:val="auto"/>
          <w:sz w:val="24"/>
          <w:szCs w:val="24"/>
          <w:highlight w:val="none"/>
          <w:lang w:val="zh-CN"/>
        </w:rPr>
        <w:t xml:space="preserve"> 合同中止、终止</w:t>
      </w:r>
      <w:bookmarkEnd w:id="174"/>
      <w:bookmarkEnd w:id="175"/>
      <w:bookmarkEnd w:id="176"/>
    </w:p>
    <w:p w14:paraId="7640DF66">
      <w:pPr>
        <w:spacing w:line="520" w:lineRule="exact"/>
        <w:ind w:firstLine="435"/>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w:t>
      </w:r>
      <w:r>
        <w:rPr>
          <w:rFonts w:cs="Times New Roman" w:asciiTheme="minorEastAsia" w:hAnsiTheme="minorEastAsia" w:eastAsiaTheme="minorEastAsia"/>
          <w:color w:val="auto"/>
          <w:sz w:val="24"/>
          <w:szCs w:val="24"/>
          <w:highlight w:val="none"/>
        </w:rPr>
        <w:t>4</w:t>
      </w:r>
      <w:r>
        <w:rPr>
          <w:rFonts w:hint="eastAsia" w:cs="Times New Roman" w:asciiTheme="minorEastAsia" w:hAnsiTheme="minorEastAsia" w:eastAsiaTheme="minorEastAsia"/>
          <w:color w:val="auto"/>
          <w:sz w:val="24"/>
          <w:szCs w:val="24"/>
          <w:highlight w:val="none"/>
        </w:rPr>
        <w:t>.1双方当事人不得擅自中止或者终止合同；</w:t>
      </w:r>
    </w:p>
    <w:p w14:paraId="0C9F2A51">
      <w:pPr>
        <w:spacing w:line="520" w:lineRule="exact"/>
        <w:ind w:firstLine="435"/>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w:t>
      </w:r>
      <w:r>
        <w:rPr>
          <w:rFonts w:cs="Times New Roman" w:asciiTheme="minorEastAsia" w:hAnsiTheme="minorEastAsia" w:eastAsiaTheme="minorEastAsia"/>
          <w:color w:val="auto"/>
          <w:sz w:val="24"/>
          <w:szCs w:val="24"/>
          <w:highlight w:val="none"/>
        </w:rPr>
        <w:t>4</w:t>
      </w:r>
      <w:r>
        <w:rPr>
          <w:rFonts w:hint="eastAsia" w:cs="Times New Roman" w:asciiTheme="minorEastAsia" w:hAnsiTheme="minorEastAsia" w:eastAsiaTheme="minorEastAsia"/>
          <w:color w:val="auto"/>
          <w:sz w:val="24"/>
          <w:szCs w:val="24"/>
          <w:highlight w:val="none"/>
        </w:rPr>
        <w:t>.2合同继续履行将损害国家利益和社会公共利益的，双方当事人应当中止或者终止合同。有过错的一方应当承担赔偿责任，双方当事人都有过错的，各自承担相应的责任。</w:t>
      </w:r>
    </w:p>
    <w:p w14:paraId="5997C358">
      <w:pPr>
        <w:spacing w:line="520" w:lineRule="exact"/>
        <w:ind w:firstLine="437"/>
        <w:jc w:val="left"/>
        <w:outlineLvl w:val="2"/>
        <w:rPr>
          <w:rFonts w:cs="Times New Roman" w:asciiTheme="minorEastAsia" w:hAnsiTheme="minorEastAsia" w:eastAsiaTheme="minorEastAsia"/>
          <w:b/>
          <w:bCs/>
          <w:color w:val="auto"/>
          <w:sz w:val="24"/>
          <w:szCs w:val="24"/>
          <w:highlight w:val="none"/>
          <w:lang w:val="zh-CN"/>
        </w:rPr>
      </w:pPr>
      <w:bookmarkStart w:id="177" w:name="_Toc6596"/>
      <w:bookmarkStart w:id="178" w:name="_Toc1125"/>
      <w:bookmarkStart w:id="179" w:name="_Toc14563"/>
      <w:r>
        <w:rPr>
          <w:rFonts w:hint="eastAsia" w:cs="Times New Roman" w:asciiTheme="minorEastAsia" w:hAnsiTheme="minorEastAsia" w:eastAsiaTheme="minorEastAsia"/>
          <w:b/>
          <w:bCs/>
          <w:color w:val="auto"/>
          <w:sz w:val="24"/>
          <w:szCs w:val="24"/>
          <w:highlight w:val="none"/>
          <w:lang w:val="zh-CN"/>
        </w:rPr>
        <w:t>2.1</w:t>
      </w:r>
      <w:r>
        <w:rPr>
          <w:rFonts w:cs="Times New Roman" w:asciiTheme="minorEastAsia" w:hAnsiTheme="minorEastAsia" w:eastAsiaTheme="minorEastAsia"/>
          <w:b/>
          <w:bCs/>
          <w:color w:val="auto"/>
          <w:sz w:val="24"/>
          <w:szCs w:val="24"/>
          <w:highlight w:val="none"/>
          <w:lang w:val="zh-CN"/>
        </w:rPr>
        <w:t>5</w:t>
      </w:r>
      <w:r>
        <w:rPr>
          <w:rFonts w:hint="eastAsia" w:cs="Times New Roman" w:asciiTheme="minorEastAsia" w:hAnsiTheme="minorEastAsia" w:eastAsiaTheme="minorEastAsia"/>
          <w:b/>
          <w:bCs/>
          <w:color w:val="auto"/>
          <w:sz w:val="24"/>
          <w:szCs w:val="24"/>
          <w:highlight w:val="none"/>
          <w:lang w:val="zh-CN"/>
        </w:rPr>
        <w:t xml:space="preserve"> 检验和验收</w:t>
      </w:r>
      <w:bookmarkEnd w:id="177"/>
      <w:bookmarkEnd w:id="178"/>
      <w:bookmarkEnd w:id="179"/>
    </w:p>
    <w:p w14:paraId="35BADA2F">
      <w:pPr>
        <w:spacing w:line="520" w:lineRule="exact"/>
        <w:ind w:firstLine="435"/>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5</w:t>
      </w:r>
      <w:r>
        <w:rPr>
          <w:rFonts w:cs="Times New Roman" w:asciiTheme="minorEastAsia" w:hAnsiTheme="minorEastAsia" w:eastAsiaTheme="minorEastAsia"/>
          <w:color w:val="auto"/>
          <w:sz w:val="24"/>
          <w:szCs w:val="24"/>
          <w:highlight w:val="none"/>
        </w:rPr>
        <w:t>.</w:t>
      </w:r>
      <w:r>
        <w:rPr>
          <w:rFonts w:hint="eastAsia" w:cs="Times New Roman" w:asciiTheme="minorEastAsia" w:hAnsiTheme="minorEastAsia" w:eastAsiaTheme="minorEastAsia"/>
          <w:color w:val="auto"/>
          <w:sz w:val="24"/>
          <w:szCs w:val="24"/>
          <w:highlight w:val="none"/>
        </w:rPr>
        <w:t>1乙方按照</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的约定</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定期提交服务报告</w:t>
      </w:r>
      <w:r>
        <w:rPr>
          <w:rFonts w:hint="eastAsia" w:cs="Times New Roman" w:asciiTheme="minorEastAsia" w:hAnsiTheme="minorEastAsia" w:eastAsiaTheme="minorEastAsia"/>
          <w:color w:val="auto"/>
          <w:sz w:val="24"/>
          <w:szCs w:val="24"/>
          <w:highlight w:val="none"/>
        </w:rPr>
        <w:t>，甲方按照</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的约定进行定期验收</w:t>
      </w:r>
      <w:r>
        <w:rPr>
          <w:rFonts w:hint="eastAsia" w:cs="Times New Roman" w:asciiTheme="minorEastAsia" w:hAnsiTheme="minorEastAsia" w:eastAsiaTheme="minorEastAsia"/>
          <w:color w:val="auto"/>
          <w:sz w:val="24"/>
          <w:szCs w:val="24"/>
          <w:highlight w:val="none"/>
        </w:rPr>
        <w:t>；</w:t>
      </w:r>
    </w:p>
    <w:p w14:paraId="79021D51">
      <w:pPr>
        <w:spacing w:line="520" w:lineRule="exact"/>
        <w:ind w:firstLine="435"/>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7AB6DC3">
      <w:pPr>
        <w:spacing w:line="520" w:lineRule="exact"/>
        <w:ind w:firstLine="435"/>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2.15.3检验和验收标准、程序等具体内容以及前述验收书的效力详见</w:t>
      </w:r>
      <w:r>
        <w:rPr>
          <w:rFonts w:cs="Times New Roman" w:asciiTheme="minorEastAsia" w:hAnsiTheme="minorEastAsia" w:eastAsiaTheme="minorEastAsia"/>
          <w:b/>
          <w:i/>
          <w:color w:val="auto"/>
          <w:sz w:val="24"/>
          <w:szCs w:val="24"/>
          <w:highlight w:val="none"/>
          <w:u w:val="single"/>
        </w:rPr>
        <w:t>合同专用条款</w:t>
      </w:r>
      <w:r>
        <w:rPr>
          <w:rFonts w:hint="eastAsia" w:cs="Times New Roman" w:asciiTheme="minorEastAsia" w:hAnsiTheme="minorEastAsia" w:eastAsiaTheme="minorEastAsia"/>
          <w:i/>
          <w:color w:val="auto"/>
          <w:sz w:val="24"/>
          <w:szCs w:val="24"/>
          <w:highlight w:val="none"/>
        </w:rPr>
        <w:t>。</w:t>
      </w:r>
    </w:p>
    <w:bookmarkEnd w:id="149"/>
    <w:bookmarkEnd w:id="150"/>
    <w:bookmarkEnd w:id="151"/>
    <w:bookmarkEnd w:id="152"/>
    <w:p w14:paraId="5F8E9C0E">
      <w:pPr>
        <w:spacing w:line="520" w:lineRule="exact"/>
        <w:ind w:firstLine="437"/>
        <w:jc w:val="left"/>
        <w:outlineLvl w:val="2"/>
        <w:rPr>
          <w:rFonts w:cs="Times New Roman" w:asciiTheme="minorEastAsia" w:hAnsiTheme="minorEastAsia" w:eastAsiaTheme="minorEastAsia"/>
          <w:b/>
          <w:bCs/>
          <w:color w:val="auto"/>
          <w:sz w:val="24"/>
          <w:szCs w:val="24"/>
          <w:highlight w:val="none"/>
        </w:rPr>
      </w:pPr>
      <w:bookmarkStart w:id="180" w:name="_Toc18567"/>
      <w:bookmarkStart w:id="181" w:name="_Toc10330"/>
      <w:bookmarkStart w:id="182" w:name="_Toc12773"/>
      <w:bookmarkStart w:id="183" w:name="_Toc259093692"/>
      <w:bookmarkStart w:id="184" w:name="_Toc487900373"/>
      <w:bookmarkStart w:id="185" w:name="_Toc279701263"/>
      <w:r>
        <w:rPr>
          <w:rFonts w:hint="eastAsia" w:cs="Times New Roman" w:asciiTheme="minorEastAsia" w:hAnsiTheme="minorEastAsia" w:eastAsiaTheme="minorEastAsia"/>
          <w:b/>
          <w:bCs/>
          <w:color w:val="auto"/>
          <w:sz w:val="24"/>
          <w:szCs w:val="24"/>
          <w:highlight w:val="none"/>
        </w:rPr>
        <w:t>2.</w:t>
      </w:r>
      <w:r>
        <w:rPr>
          <w:rFonts w:cs="Times New Roman" w:asciiTheme="minorEastAsia" w:hAnsiTheme="minorEastAsia" w:eastAsiaTheme="minorEastAsia"/>
          <w:b/>
          <w:bCs/>
          <w:color w:val="auto"/>
          <w:sz w:val="24"/>
          <w:szCs w:val="24"/>
          <w:highlight w:val="none"/>
        </w:rPr>
        <w:t>16</w:t>
      </w:r>
      <w:r>
        <w:rPr>
          <w:rFonts w:hint="eastAsia" w:cs="Times New Roman" w:asciiTheme="minorEastAsia" w:hAnsiTheme="minorEastAsia" w:eastAsiaTheme="minorEastAsia"/>
          <w:b/>
          <w:bCs/>
          <w:color w:val="auto"/>
          <w:sz w:val="24"/>
          <w:szCs w:val="24"/>
          <w:highlight w:val="none"/>
          <w:lang w:val="zh-CN"/>
        </w:rPr>
        <w:t>合同使用的文字和</w:t>
      </w:r>
      <w:r>
        <w:rPr>
          <w:rFonts w:cs="Times New Roman" w:asciiTheme="minorEastAsia" w:hAnsiTheme="minorEastAsia" w:eastAsiaTheme="minorEastAsia"/>
          <w:b/>
          <w:bCs/>
          <w:color w:val="auto"/>
          <w:sz w:val="24"/>
          <w:szCs w:val="24"/>
          <w:highlight w:val="none"/>
          <w:lang w:val="zh-CN"/>
        </w:rPr>
        <w:t>适用的法律</w:t>
      </w:r>
      <w:bookmarkEnd w:id="180"/>
      <w:bookmarkEnd w:id="181"/>
      <w:bookmarkEnd w:id="182"/>
      <w:bookmarkEnd w:id="183"/>
      <w:bookmarkEnd w:id="184"/>
      <w:bookmarkEnd w:id="185"/>
    </w:p>
    <w:p w14:paraId="69ACCB3E">
      <w:pPr>
        <w:spacing w:line="520" w:lineRule="exact"/>
        <w:ind w:firstLine="435"/>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16.1合同使用汉语书就</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变更和解释</w:t>
      </w:r>
      <w:r>
        <w:rPr>
          <w:rFonts w:hint="eastAsia" w:cs="Times New Roman" w:asciiTheme="minorEastAsia" w:hAnsiTheme="minorEastAsia" w:eastAsiaTheme="minorEastAsia"/>
          <w:color w:val="auto"/>
          <w:sz w:val="24"/>
          <w:szCs w:val="24"/>
          <w:highlight w:val="none"/>
        </w:rPr>
        <w:t>；</w:t>
      </w:r>
    </w:p>
    <w:p w14:paraId="55AB892D">
      <w:pPr>
        <w:spacing w:line="520" w:lineRule="exact"/>
        <w:ind w:firstLine="435"/>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16</w:t>
      </w:r>
      <w:r>
        <w:rPr>
          <w:rFonts w:hint="eastAsia" w:cs="Times New Roman" w:asciiTheme="minorEastAsia" w:hAnsiTheme="minorEastAsia" w:eastAsiaTheme="minorEastAsia"/>
          <w:color w:val="auto"/>
          <w:sz w:val="24"/>
          <w:szCs w:val="24"/>
          <w:highlight w:val="none"/>
        </w:rPr>
        <w:t>.2合同适用</w:t>
      </w:r>
      <w:r>
        <w:rPr>
          <w:rFonts w:cs="Times New Roman" w:asciiTheme="minorEastAsia" w:hAnsiTheme="minorEastAsia" w:eastAsiaTheme="minorEastAsia"/>
          <w:color w:val="auto"/>
          <w:sz w:val="24"/>
          <w:szCs w:val="24"/>
          <w:highlight w:val="none"/>
        </w:rPr>
        <w:t>中华人民共和国法律。</w:t>
      </w:r>
    </w:p>
    <w:p w14:paraId="1075FDB9">
      <w:pPr>
        <w:spacing w:line="520" w:lineRule="exact"/>
        <w:ind w:firstLine="437"/>
        <w:jc w:val="left"/>
        <w:outlineLvl w:val="2"/>
        <w:rPr>
          <w:rFonts w:cs="Times New Roman" w:asciiTheme="minorEastAsia" w:hAnsiTheme="minorEastAsia" w:eastAsiaTheme="minorEastAsia"/>
          <w:b/>
          <w:color w:val="auto"/>
          <w:sz w:val="24"/>
          <w:szCs w:val="24"/>
          <w:highlight w:val="none"/>
        </w:rPr>
      </w:pPr>
      <w:bookmarkStart w:id="186" w:name="_Toc12004"/>
      <w:bookmarkStart w:id="187" w:name="_Toc279701264"/>
      <w:bookmarkStart w:id="188" w:name="_Toc3148"/>
      <w:bookmarkStart w:id="189" w:name="_Toc16673"/>
      <w:bookmarkStart w:id="190" w:name="_Toc259093693"/>
      <w:bookmarkStart w:id="191" w:name="_Toc487900374"/>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17履约保证金</w:t>
      </w:r>
      <w:bookmarkEnd w:id="186"/>
      <w:bookmarkEnd w:id="187"/>
      <w:bookmarkEnd w:id="188"/>
      <w:bookmarkEnd w:id="189"/>
      <w:bookmarkEnd w:id="190"/>
    </w:p>
    <w:p w14:paraId="5A5711B9">
      <w:pPr>
        <w:spacing w:line="520" w:lineRule="exact"/>
        <w:ind w:firstLine="435"/>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17</w:t>
      </w:r>
      <w:r>
        <w:rPr>
          <w:rFonts w:hint="eastAsia" w:cs="Times New Roman" w:asciiTheme="minorEastAsia" w:hAnsiTheme="minorEastAsia" w:eastAsiaTheme="minorEastAsia"/>
          <w:color w:val="auto"/>
          <w:sz w:val="24"/>
          <w:szCs w:val="24"/>
          <w:highlight w:val="none"/>
        </w:rPr>
        <w:t>.1采购文件要求乙方提交履约保证金的，乙方</w:t>
      </w:r>
      <w:r>
        <w:rPr>
          <w:rFonts w:cs="Times New Roman" w:asciiTheme="minorEastAsia" w:hAnsiTheme="minorEastAsia" w:eastAsiaTheme="minorEastAsia"/>
          <w:color w:val="auto"/>
          <w:sz w:val="24"/>
          <w:szCs w:val="24"/>
          <w:highlight w:val="none"/>
        </w:rPr>
        <w:t>应按</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约定的方式</w:t>
      </w:r>
      <w:r>
        <w:rPr>
          <w:rFonts w:hint="eastAsia" w:cs="Times New Roman" w:asciiTheme="minorEastAsia" w:hAnsiTheme="minorEastAsia" w:eastAsiaTheme="minorEastAsia"/>
          <w:color w:val="auto"/>
          <w:sz w:val="24"/>
          <w:szCs w:val="24"/>
          <w:highlight w:val="none"/>
        </w:rPr>
        <w:t>，以支票、汇票、本票或者金融机构、担保机构出具的保函等非现金形式提交；</w:t>
      </w:r>
    </w:p>
    <w:p w14:paraId="0591FCA9">
      <w:pPr>
        <w:spacing w:line="520" w:lineRule="exact"/>
        <w:ind w:firstLine="435"/>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17.2履约保证金在</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约定期间内不予退还或者应完全有效</w:t>
      </w:r>
      <w:r>
        <w:rPr>
          <w:rFonts w:hint="eastAsia" w:cs="Times New Roman" w:asciiTheme="minorEastAsia" w:hAnsiTheme="minorEastAsia" w:eastAsiaTheme="minorEastAsia"/>
          <w:color w:val="auto"/>
          <w:sz w:val="24"/>
          <w:szCs w:val="24"/>
          <w:highlight w:val="none"/>
        </w:rPr>
        <w:t>，前述约定期间届满</w:t>
      </w:r>
      <w:r>
        <w:rPr>
          <w:rFonts w:cs="Times New Roman" w:asciiTheme="minorEastAsia" w:hAnsiTheme="minorEastAsia" w:eastAsiaTheme="minorEastAsia"/>
          <w:color w:val="auto"/>
          <w:sz w:val="24"/>
          <w:szCs w:val="24"/>
          <w:highlight w:val="none"/>
        </w:rPr>
        <w:t>之日起</w:t>
      </w:r>
      <w:r>
        <w:rPr>
          <w:rFonts w:hint="eastAsia" w:cs="Times New Roman" w:asciiTheme="minorEastAsia" w:hAnsiTheme="minorEastAsia" w:eastAsiaTheme="minorEastAsia"/>
          <w:color w:val="auto"/>
          <w:sz w:val="24"/>
          <w:szCs w:val="24"/>
          <w:highlight w:val="none"/>
        </w:rPr>
        <w:t>个</w:t>
      </w:r>
      <w:r>
        <w:rPr>
          <w:rFonts w:cs="Times New Roman" w:asciiTheme="minorEastAsia" w:hAnsiTheme="minorEastAsia" w:eastAsiaTheme="minorEastAsia"/>
          <w:color w:val="auto"/>
          <w:sz w:val="24"/>
          <w:szCs w:val="24"/>
          <w:highlight w:val="none"/>
        </w:rPr>
        <w:t>工作日内，甲方应将履约保证金退还乙方</w:t>
      </w:r>
      <w:r>
        <w:rPr>
          <w:rFonts w:hint="eastAsia" w:cs="Times New Roman" w:asciiTheme="minorEastAsia" w:hAnsiTheme="minorEastAsia" w:eastAsiaTheme="minorEastAsia"/>
          <w:color w:val="auto"/>
          <w:sz w:val="24"/>
          <w:szCs w:val="24"/>
          <w:highlight w:val="none"/>
        </w:rPr>
        <w:t>，甲方逾期退还履约保证金应承担违约责任。</w:t>
      </w:r>
    </w:p>
    <w:p w14:paraId="4266248B">
      <w:pPr>
        <w:spacing w:line="520" w:lineRule="exact"/>
        <w:ind w:firstLine="435"/>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17</w:t>
      </w:r>
      <w:r>
        <w:rPr>
          <w:rFonts w:hint="eastAsia" w:cs="Times New Roman" w:asciiTheme="minorEastAsia" w:hAnsiTheme="minorEastAsia" w:eastAsiaTheme="minorEastAsia"/>
          <w:color w:val="auto"/>
          <w:sz w:val="24"/>
          <w:szCs w:val="24"/>
          <w:highlight w:val="none"/>
        </w:rPr>
        <w:t>.3</w:t>
      </w:r>
      <w:r>
        <w:rPr>
          <w:rFonts w:cs="Times New Roman" w:asciiTheme="minorEastAsia" w:hAnsiTheme="minorEastAsia" w:eastAsiaTheme="minorEastAsia"/>
          <w:color w:val="auto"/>
          <w:sz w:val="24"/>
          <w:szCs w:val="24"/>
          <w:highlight w:val="none"/>
        </w:rPr>
        <w:t>如果乙方不履行合同</w:t>
      </w:r>
      <w:r>
        <w:rPr>
          <w:rFonts w:hint="eastAsia" w:cs="Times New Roman" w:asciiTheme="minorEastAsia" w:hAnsiTheme="minorEastAsia" w:eastAsiaTheme="minorEastAsia"/>
          <w:color w:val="auto"/>
          <w:sz w:val="24"/>
          <w:szCs w:val="24"/>
          <w:highlight w:val="none"/>
        </w:rPr>
        <w:t>，履约保证金不予退还；如果乙方</w:t>
      </w:r>
      <w:r>
        <w:rPr>
          <w:rFonts w:cs="Times New Roman" w:asciiTheme="minorEastAsia" w:hAnsiTheme="minorEastAsia" w:eastAsiaTheme="minorEastAsia"/>
          <w:color w:val="auto"/>
          <w:sz w:val="24"/>
          <w:szCs w:val="24"/>
          <w:highlight w:val="none"/>
        </w:rPr>
        <w:t>未能按合同</w:t>
      </w:r>
      <w:r>
        <w:rPr>
          <w:rFonts w:hint="eastAsia" w:cs="Times New Roman" w:asciiTheme="minorEastAsia" w:hAnsiTheme="minorEastAsia" w:eastAsiaTheme="minorEastAsia"/>
          <w:color w:val="auto"/>
          <w:sz w:val="24"/>
          <w:szCs w:val="24"/>
          <w:highlight w:val="none"/>
        </w:rPr>
        <w:t>约</w:t>
      </w:r>
      <w:r>
        <w:rPr>
          <w:rFonts w:cs="Times New Roman" w:asciiTheme="minorEastAsia" w:hAnsiTheme="minorEastAsia" w:eastAsiaTheme="minorEastAsia"/>
          <w:color w:val="auto"/>
          <w:sz w:val="24"/>
          <w:szCs w:val="24"/>
          <w:highlight w:val="none"/>
        </w:rPr>
        <w:t>定全面履行义务，那么甲方有权从履约保证金中取得补偿或赔偿</w:t>
      </w:r>
      <w:r>
        <w:rPr>
          <w:rFonts w:hint="eastAsia" w:cs="Times New Roman" w:asciiTheme="minorEastAsia" w:hAnsiTheme="minorEastAsia" w:eastAsiaTheme="minorEastAsia"/>
          <w:color w:val="auto"/>
          <w:sz w:val="24"/>
          <w:szCs w:val="24"/>
          <w:highlight w:val="none"/>
        </w:rPr>
        <w:t>，同时不影响甲方要求乙方承担合同约定的超过履约保证金的违约责任的权利。</w:t>
      </w:r>
    </w:p>
    <w:bookmarkEnd w:id="191"/>
    <w:p w14:paraId="7F280EA4">
      <w:pPr>
        <w:spacing w:line="520" w:lineRule="exact"/>
        <w:ind w:firstLine="437"/>
        <w:jc w:val="left"/>
        <w:outlineLvl w:val="2"/>
        <w:rPr>
          <w:rFonts w:cs="Times New Roman" w:asciiTheme="minorEastAsia" w:hAnsiTheme="minorEastAsia" w:eastAsiaTheme="minorEastAsia"/>
          <w:b/>
          <w:color w:val="auto"/>
          <w:sz w:val="24"/>
          <w:szCs w:val="24"/>
          <w:highlight w:val="none"/>
        </w:rPr>
      </w:pPr>
      <w:bookmarkStart w:id="192" w:name="_Toc6885"/>
      <w:bookmarkStart w:id="193" w:name="_Toc14001"/>
      <w:bookmarkStart w:id="194" w:name="_Toc19890"/>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18</w:t>
      </w:r>
      <w:r>
        <w:rPr>
          <w:rFonts w:hint="eastAsia" w:cs="Times New Roman" w:asciiTheme="minorEastAsia" w:hAnsiTheme="minorEastAsia" w:eastAsiaTheme="minorEastAsia"/>
          <w:b/>
          <w:bCs/>
          <w:color w:val="auto"/>
          <w:sz w:val="24"/>
          <w:szCs w:val="24"/>
          <w:highlight w:val="none"/>
          <w:lang w:val="zh-CN"/>
        </w:rPr>
        <w:t xml:space="preserve"> 合同份数</w:t>
      </w:r>
      <w:bookmarkEnd w:id="192"/>
      <w:bookmarkEnd w:id="193"/>
      <w:bookmarkEnd w:id="194"/>
    </w:p>
    <w:p w14:paraId="5800A958">
      <w:pPr>
        <w:spacing w:line="520" w:lineRule="exact"/>
        <w:ind w:firstLine="435"/>
        <w:jc w:val="left"/>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合同份数按</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规定</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每份均具有同等法律效力</w:t>
      </w:r>
      <w:r>
        <w:rPr>
          <w:rFonts w:hint="eastAsia" w:cs="Times New Roman" w:asciiTheme="minorEastAsia" w:hAnsiTheme="minorEastAsia" w:eastAsiaTheme="minorEastAsia"/>
          <w:color w:val="auto"/>
          <w:sz w:val="24"/>
          <w:szCs w:val="24"/>
          <w:highlight w:val="none"/>
        </w:rPr>
        <w:t>。</w:t>
      </w:r>
    </w:p>
    <w:p w14:paraId="30D041C4">
      <w:pPr>
        <w:spacing w:line="440" w:lineRule="exact"/>
        <w:jc w:val="center"/>
        <w:outlineLvl w:val="1"/>
        <w:rPr>
          <w:rFonts w:asciiTheme="minorEastAsia" w:hAnsiTheme="minorEastAsia" w:eastAsiaTheme="minorEastAsia"/>
          <w:b/>
          <w:color w:val="auto"/>
          <w:sz w:val="24"/>
          <w:highlight w:val="none"/>
        </w:rPr>
      </w:pPr>
      <w:r>
        <w:rPr>
          <w:rFonts w:cs="Times New Roman" w:asciiTheme="minorEastAsia" w:hAnsiTheme="minorEastAsia" w:eastAsiaTheme="minorEastAsia"/>
          <w:color w:val="auto"/>
          <w:sz w:val="24"/>
          <w:szCs w:val="24"/>
          <w:highlight w:val="none"/>
        </w:rPr>
        <w:br w:type="page"/>
      </w:r>
      <w:bookmarkStart w:id="195" w:name="_Toc3736"/>
      <w:r>
        <w:rPr>
          <w:rFonts w:hint="eastAsia" w:asciiTheme="minorEastAsia" w:hAnsiTheme="minorEastAsia" w:eastAsiaTheme="minorEastAsia"/>
          <w:b/>
          <w:color w:val="auto"/>
          <w:sz w:val="24"/>
          <w:highlight w:val="none"/>
        </w:rPr>
        <w:t>第三部分合同专用条款</w:t>
      </w:r>
      <w:bookmarkEnd w:id="195"/>
    </w:p>
    <w:p w14:paraId="3C646A2A">
      <w:pPr>
        <w:spacing w:line="520" w:lineRule="exact"/>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本部分</w:t>
      </w:r>
      <w:r>
        <w:rPr>
          <w:rFonts w:cs="Times New Roman" w:asciiTheme="minorEastAsia" w:hAnsiTheme="minorEastAsia" w:eastAsiaTheme="minorEastAsia"/>
          <w:color w:val="auto"/>
          <w:sz w:val="24"/>
          <w:szCs w:val="24"/>
          <w:highlight w:val="none"/>
        </w:rPr>
        <w:t>是对</w:t>
      </w:r>
      <w:r>
        <w:rPr>
          <w:rFonts w:hint="eastAsia" w:cs="Times New Roman" w:asciiTheme="minorEastAsia" w:hAnsiTheme="minorEastAsia" w:eastAsiaTheme="minorEastAsia"/>
          <w:color w:val="auto"/>
          <w:sz w:val="24"/>
          <w:szCs w:val="24"/>
          <w:highlight w:val="none"/>
        </w:rPr>
        <w:t>前两</w:t>
      </w:r>
      <w:r>
        <w:rPr>
          <w:rFonts w:cs="Times New Roman" w:asciiTheme="minorEastAsia" w:hAnsiTheme="minorEastAsia" w:eastAsiaTheme="minorEastAsia"/>
          <w:color w:val="auto"/>
          <w:sz w:val="24"/>
          <w:szCs w:val="24"/>
          <w:highlight w:val="none"/>
        </w:rPr>
        <w:t>部分的补充和修改</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如果</w:t>
      </w:r>
      <w:r>
        <w:rPr>
          <w:rFonts w:hint="eastAsia" w:cs="Times New Roman" w:asciiTheme="minorEastAsia" w:hAnsiTheme="minorEastAsia" w:eastAsiaTheme="minorEastAsia"/>
          <w:color w:val="auto"/>
          <w:sz w:val="24"/>
          <w:szCs w:val="24"/>
          <w:highlight w:val="none"/>
        </w:rPr>
        <w:t>前两</w:t>
      </w:r>
      <w:r>
        <w:rPr>
          <w:rFonts w:cs="Times New Roman" w:asciiTheme="minorEastAsia" w:hAnsiTheme="minorEastAsia" w:eastAsiaTheme="minorEastAsia"/>
          <w:color w:val="auto"/>
          <w:sz w:val="24"/>
          <w:szCs w:val="24"/>
          <w:highlight w:val="none"/>
        </w:rPr>
        <w:t>部分和本部分的约定不一致</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应以本部分的约定为准</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本部分的条款号应与</w:t>
      </w:r>
      <w:r>
        <w:rPr>
          <w:rFonts w:hint="eastAsia" w:cs="Times New Roman" w:asciiTheme="minorEastAsia" w:hAnsiTheme="minorEastAsia" w:eastAsiaTheme="minorEastAsia"/>
          <w:color w:val="auto"/>
          <w:sz w:val="24"/>
          <w:szCs w:val="24"/>
          <w:highlight w:val="none"/>
        </w:rPr>
        <w:t>前两部分</w:t>
      </w:r>
      <w:r>
        <w:rPr>
          <w:rFonts w:cs="Times New Roman" w:asciiTheme="minorEastAsia" w:hAnsiTheme="minorEastAsia" w:eastAsiaTheme="minorEastAsia"/>
          <w:color w:val="auto"/>
          <w:sz w:val="24"/>
          <w:szCs w:val="24"/>
          <w:highlight w:val="none"/>
        </w:rPr>
        <w:t>的条款号保持对应</w:t>
      </w:r>
      <w:r>
        <w:rPr>
          <w:rFonts w:hint="eastAsia" w:cs="Times New Roman" w:asciiTheme="minorEastAsia" w:hAnsiTheme="minorEastAsia" w:eastAsiaTheme="minorEastAsia"/>
          <w:color w:val="auto"/>
          <w:sz w:val="24"/>
          <w:szCs w:val="24"/>
          <w:highlight w:val="none"/>
        </w:rPr>
        <w:t>；与前两部分</w:t>
      </w:r>
      <w:r>
        <w:rPr>
          <w:rFonts w:cs="Times New Roman" w:asciiTheme="minorEastAsia" w:hAnsiTheme="minorEastAsia" w:eastAsiaTheme="minorEastAsia"/>
          <w:color w:val="auto"/>
          <w:sz w:val="24"/>
          <w:szCs w:val="24"/>
          <w:highlight w:val="none"/>
        </w:rPr>
        <w:t>无对应关系的内容可另行编制条款号</w:t>
      </w:r>
      <w:r>
        <w:rPr>
          <w:rFonts w:hint="eastAsia" w:cs="Times New Roman" w:asciiTheme="minorEastAsia" w:hAnsiTheme="minorEastAsia" w:eastAsiaTheme="minorEastAsia"/>
          <w:color w:val="auto"/>
          <w:sz w:val="24"/>
          <w:szCs w:val="24"/>
          <w:highlight w:val="none"/>
        </w:rPr>
        <w:t>。</w:t>
      </w:r>
    </w:p>
    <w:tbl>
      <w:tblPr>
        <w:tblStyle w:val="33"/>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27A6B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6D11B830">
            <w:pPr>
              <w:spacing w:line="520" w:lineRule="exact"/>
              <w:jc w:val="center"/>
              <w:rPr>
                <w:rFonts w:cs="Times New Roman" w:asciiTheme="minorEastAsia" w:hAnsiTheme="minorEastAsia" w:eastAsiaTheme="minorEastAsia"/>
                <w:b/>
                <w:color w:val="auto"/>
                <w:sz w:val="24"/>
                <w:szCs w:val="24"/>
                <w:highlight w:val="none"/>
              </w:rPr>
            </w:pPr>
            <w:r>
              <w:rPr>
                <w:rFonts w:cs="Times New Roman" w:asciiTheme="minorEastAsia" w:hAnsiTheme="minorEastAsia" w:eastAsiaTheme="minorEastAsia"/>
                <w:b/>
                <w:color w:val="auto"/>
                <w:sz w:val="24"/>
                <w:szCs w:val="24"/>
                <w:highlight w:val="none"/>
              </w:rPr>
              <w:t>条款号</w:t>
            </w:r>
          </w:p>
        </w:tc>
        <w:tc>
          <w:tcPr>
            <w:tcW w:w="7568" w:type="dxa"/>
            <w:vAlign w:val="center"/>
          </w:tcPr>
          <w:p w14:paraId="5AC6EC98">
            <w:pPr>
              <w:spacing w:line="520" w:lineRule="exact"/>
              <w:jc w:val="center"/>
              <w:rPr>
                <w:rFonts w:cs="Times New Roman" w:asciiTheme="minorEastAsia" w:hAnsiTheme="minorEastAsia" w:eastAsiaTheme="minorEastAsia"/>
                <w:b/>
                <w:color w:val="auto"/>
                <w:sz w:val="24"/>
                <w:szCs w:val="24"/>
                <w:highlight w:val="none"/>
              </w:rPr>
            </w:pPr>
            <w:r>
              <w:rPr>
                <w:rFonts w:cs="Times New Roman" w:asciiTheme="minorEastAsia" w:hAnsiTheme="minorEastAsia" w:eastAsiaTheme="minorEastAsia"/>
                <w:b/>
                <w:color w:val="auto"/>
                <w:sz w:val="24"/>
                <w:szCs w:val="24"/>
                <w:highlight w:val="none"/>
              </w:rPr>
              <w:t>约定内容</w:t>
            </w:r>
          </w:p>
        </w:tc>
      </w:tr>
      <w:tr w14:paraId="5137B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5879D9F6">
            <w:pPr>
              <w:spacing w:line="520" w:lineRule="exact"/>
              <w:jc w:val="center"/>
              <w:rPr>
                <w:rFonts w:hint="eastAsia" w:eastAsia="@仿宋_GB2312"/>
                <w:color w:val="auto"/>
                <w:highlight w:val="none"/>
                <w:lang w:eastAsia="zh-CN"/>
              </w:rPr>
            </w:pPr>
            <w:r>
              <w:rPr>
                <w:rFonts w:hint="eastAsia" w:cs="Times New Roman" w:asciiTheme="minorEastAsia" w:hAnsiTheme="minorEastAsia" w:eastAsiaTheme="minorEastAsia"/>
                <w:color w:val="auto"/>
                <w:sz w:val="24"/>
                <w:szCs w:val="24"/>
                <w:highlight w:val="none"/>
                <w:lang w:val="en-US" w:eastAsia="zh-CN"/>
              </w:rPr>
              <w:t>1</w:t>
            </w:r>
          </w:p>
        </w:tc>
        <w:tc>
          <w:tcPr>
            <w:tcW w:w="7568" w:type="dxa"/>
            <w:vAlign w:val="center"/>
          </w:tcPr>
          <w:p w14:paraId="3DD9D406">
            <w:pPr>
              <w:spacing w:line="520" w:lineRule="exact"/>
              <w:rPr>
                <w:color w:val="auto"/>
                <w:highlight w:val="none"/>
              </w:rPr>
            </w:pPr>
            <w:r>
              <w:rPr>
                <w:rFonts w:hint="eastAsia" w:ascii="宋体" w:hAnsi="宋体" w:eastAsia="宋体" w:cs="宋体"/>
                <w:b w:val="0"/>
                <w:color w:val="auto"/>
                <w:sz w:val="24"/>
                <w:szCs w:val="24"/>
                <w:highlight w:val="none"/>
              </w:rPr>
              <w:t>在具备检测条件的前提下，发包人在合同签订后一个月内或不迟于约定的开工日期前 7 天内预付检测款为合同总价（扣除暂列金额）的40%作为预付款（预付款支付前，中标人须提供同等金额且生效的见索即付预付款保函）；</w:t>
            </w:r>
            <w:r>
              <w:rPr>
                <w:rFonts w:hint="eastAsia" w:ascii="宋体" w:hAnsi="宋体" w:eastAsia="宋体" w:cs="宋体"/>
                <w:b w:val="0"/>
                <w:color w:val="auto"/>
                <w:sz w:val="24"/>
                <w:szCs w:val="24"/>
                <w:highlight w:val="none"/>
                <w:lang w:eastAsia="zh-CN"/>
              </w:rPr>
              <w:t>交（竣）工</w:t>
            </w:r>
            <w:r>
              <w:rPr>
                <w:rFonts w:hint="eastAsia" w:ascii="宋体" w:hAnsi="宋体" w:eastAsia="宋体" w:cs="宋体"/>
                <w:b w:val="0"/>
                <w:color w:val="auto"/>
                <w:sz w:val="24"/>
                <w:szCs w:val="24"/>
                <w:highlight w:val="none"/>
              </w:rPr>
              <w:t>验收合格并审计备案后付至</w:t>
            </w:r>
            <w:r>
              <w:rPr>
                <w:rFonts w:hint="eastAsia" w:ascii="宋体" w:hAnsi="宋体" w:eastAsia="宋体" w:cs="宋体"/>
                <w:b w:val="0"/>
                <w:color w:val="auto"/>
                <w:sz w:val="24"/>
                <w:szCs w:val="24"/>
                <w:highlight w:val="none"/>
                <w:lang w:val="en-US" w:eastAsia="zh-CN"/>
              </w:rPr>
              <w:t>检测费用</w:t>
            </w:r>
            <w:r>
              <w:rPr>
                <w:rFonts w:hint="eastAsia" w:ascii="宋体" w:hAnsi="宋体" w:eastAsia="宋体" w:cs="宋体"/>
                <w:b w:val="0"/>
                <w:color w:val="auto"/>
                <w:sz w:val="24"/>
                <w:szCs w:val="24"/>
                <w:highlight w:val="none"/>
              </w:rPr>
              <w:t>的100%。</w:t>
            </w:r>
          </w:p>
        </w:tc>
      </w:tr>
      <w:tr w14:paraId="7BCE2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46ADE67B">
            <w:pPr>
              <w:spacing w:line="520" w:lineRule="exact"/>
              <w:jc w:val="center"/>
              <w:rPr>
                <w:rFonts w:hint="eastAsia" w:cs="Times New Roman" w:asciiTheme="minorEastAsia" w:hAnsiTheme="minorEastAsia" w:eastAsiaTheme="minorEastAsia"/>
                <w:color w:val="auto"/>
                <w:sz w:val="24"/>
                <w:szCs w:val="24"/>
                <w:highlight w:val="none"/>
                <w:lang w:eastAsia="zh-CN"/>
              </w:rPr>
            </w:pPr>
            <w:r>
              <w:rPr>
                <w:rFonts w:hint="eastAsia" w:cs="Times New Roman" w:asciiTheme="minorEastAsia" w:hAnsiTheme="minorEastAsia" w:eastAsiaTheme="minorEastAsia"/>
                <w:color w:val="auto"/>
                <w:sz w:val="24"/>
                <w:szCs w:val="24"/>
                <w:highlight w:val="none"/>
                <w:lang w:val="en-US" w:eastAsia="zh-CN"/>
              </w:rPr>
              <w:t>2</w:t>
            </w:r>
          </w:p>
        </w:tc>
        <w:tc>
          <w:tcPr>
            <w:tcW w:w="7568" w:type="dxa"/>
            <w:vAlign w:val="center"/>
          </w:tcPr>
          <w:p w14:paraId="6A0A0E68">
            <w:pPr>
              <w:spacing w:line="520" w:lineRule="exac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因不可抗力致使合同有变更必要的，双方当事人应在不可抗力发生的15个工作日内以书面形式变更合同</w:t>
            </w:r>
          </w:p>
        </w:tc>
      </w:tr>
      <w:tr w14:paraId="053B1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6F01EE03">
            <w:pPr>
              <w:spacing w:line="520" w:lineRule="exact"/>
              <w:jc w:val="center"/>
              <w:rPr>
                <w:rFonts w:hint="eastAsia" w:cs="Times New Roman" w:asciiTheme="minorEastAsia" w:hAnsiTheme="minorEastAsia" w:eastAsiaTheme="minorEastAsia"/>
                <w:color w:val="auto"/>
                <w:sz w:val="24"/>
                <w:szCs w:val="24"/>
                <w:highlight w:val="none"/>
                <w:lang w:eastAsia="zh-CN"/>
              </w:rPr>
            </w:pPr>
            <w:r>
              <w:rPr>
                <w:rFonts w:hint="eastAsia" w:cs="Times New Roman" w:asciiTheme="minorEastAsia" w:hAnsiTheme="minorEastAsia" w:eastAsiaTheme="minorEastAsia"/>
                <w:color w:val="auto"/>
                <w:sz w:val="24"/>
                <w:szCs w:val="24"/>
                <w:highlight w:val="none"/>
                <w:lang w:val="en-US" w:eastAsia="zh-CN"/>
              </w:rPr>
              <w:t>3</w:t>
            </w:r>
          </w:p>
        </w:tc>
        <w:tc>
          <w:tcPr>
            <w:tcW w:w="7568" w:type="dxa"/>
            <w:vAlign w:val="center"/>
          </w:tcPr>
          <w:p w14:paraId="75738409">
            <w:pPr>
              <w:spacing w:line="520" w:lineRule="exac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受不可抗力影响的一方在不可抗力发生后，应在不可抗力发生的3个工作日内以书面形式通知对方当事人，并在3个工作日内，将有关部门出具的证明文件送达对方当事人</w:t>
            </w:r>
          </w:p>
        </w:tc>
      </w:tr>
      <w:tr w14:paraId="04370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73C7AA95">
            <w:pPr>
              <w:spacing w:line="520" w:lineRule="exact"/>
              <w:jc w:val="center"/>
              <w:rPr>
                <w:rFonts w:hint="eastAsia" w:cs="Times New Roman" w:asciiTheme="minorEastAsia" w:hAnsiTheme="minorEastAsia" w:eastAsiaTheme="minorEastAsia"/>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7568" w:type="dxa"/>
            <w:vAlign w:val="center"/>
          </w:tcPr>
          <w:p w14:paraId="668AFFE8">
            <w:pPr>
              <w:spacing w:line="520" w:lineRule="exac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lang w:val="en-US" w:eastAsia="zh-CN"/>
              </w:rPr>
              <w:t xml:space="preserve">4.1 </w:t>
            </w:r>
            <w:r>
              <w:rPr>
                <w:rFonts w:hint="eastAsia" w:cs="Times New Roman" w:asciiTheme="minorEastAsia" w:hAnsiTheme="minorEastAsia" w:eastAsiaTheme="minorEastAsia"/>
                <w:color w:val="auto"/>
                <w:sz w:val="24"/>
                <w:szCs w:val="24"/>
                <w:highlight w:val="none"/>
              </w:rPr>
              <w:t>检测人未能在合同约定的期限内提交各项检测资料，每逾期一日，向委托人支付5000元违约金。因此给委托人造成损失的，由检测人赔偿损失，逾期 15 日以上，委托人有权留进一步追究检测人法律责任的权利；</w:t>
            </w:r>
          </w:p>
          <w:p w14:paraId="2079B067">
            <w:pPr>
              <w:spacing w:line="520" w:lineRule="exac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lang w:val="en-US" w:eastAsia="zh-CN"/>
              </w:rPr>
              <w:t xml:space="preserve">4.2 </w:t>
            </w:r>
            <w:r>
              <w:rPr>
                <w:rFonts w:hint="eastAsia" w:cs="Times New Roman" w:asciiTheme="minorEastAsia" w:hAnsiTheme="minorEastAsia" w:eastAsiaTheme="minorEastAsia"/>
                <w:color w:val="auto"/>
                <w:sz w:val="24"/>
                <w:szCs w:val="24"/>
                <w:highlight w:val="none"/>
              </w:rPr>
              <w:t>检测人、试验检测工程师与第三人串通损害委托人利益的，向委托人支付违约金每次100000元。因此给委托人造成损失的，由检测人赔偿损失并保留进一步追究检测人法律责任的权利；</w:t>
            </w:r>
          </w:p>
          <w:p w14:paraId="511BEF46">
            <w:pPr>
              <w:spacing w:line="520" w:lineRule="exac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lang w:val="en-US" w:eastAsia="zh-CN"/>
              </w:rPr>
              <w:t>4.3</w:t>
            </w:r>
            <w:r>
              <w:rPr>
                <w:rFonts w:hint="eastAsia" w:cs="Times New Roman" w:asciiTheme="minorEastAsia" w:hAnsiTheme="minorEastAsia" w:eastAsiaTheme="minorEastAsia"/>
                <w:color w:val="auto"/>
                <w:sz w:val="24"/>
                <w:szCs w:val="24"/>
                <w:highlight w:val="none"/>
              </w:rPr>
              <w:t>委托人应提供的工程资料及提供时间；</w:t>
            </w:r>
          </w:p>
          <w:p w14:paraId="3A7B20A1">
            <w:pPr>
              <w:spacing w:line="520" w:lineRule="exac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本工程的相关其他资料。在试验检测前七天内提供给第三方检测单位。</w:t>
            </w:r>
          </w:p>
          <w:p w14:paraId="5D4019FF">
            <w:pPr>
              <w:spacing w:line="520" w:lineRule="exac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lang w:val="en-US" w:eastAsia="zh-CN"/>
              </w:rPr>
              <w:t>4.4</w:t>
            </w:r>
            <w:r>
              <w:rPr>
                <w:rFonts w:hint="eastAsia" w:cs="Times New Roman" w:asciiTheme="minorEastAsia" w:hAnsiTheme="minorEastAsia" w:eastAsiaTheme="minorEastAsia"/>
                <w:color w:val="auto"/>
                <w:sz w:val="24"/>
                <w:szCs w:val="24"/>
                <w:highlight w:val="none"/>
              </w:rPr>
              <w:t>委托人应在10天内对检测人书面提交并要求作出决定的事宜作出书面答复；</w:t>
            </w:r>
          </w:p>
          <w:p w14:paraId="04F2A79C">
            <w:pPr>
              <w:spacing w:line="520" w:lineRule="exac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lang w:val="en-US" w:eastAsia="zh-CN"/>
              </w:rPr>
              <w:t>4.5</w:t>
            </w:r>
            <w:r>
              <w:rPr>
                <w:rFonts w:hint="eastAsia" w:cs="Times New Roman" w:asciiTheme="minorEastAsia" w:hAnsiTheme="minorEastAsia" w:eastAsiaTheme="minorEastAsia"/>
                <w:color w:val="auto"/>
                <w:sz w:val="24"/>
                <w:szCs w:val="24"/>
                <w:highlight w:val="none"/>
              </w:rPr>
              <w:t>检测人在责任期内如果失职，同意按以下办法承担责任，赔偿损失[累计赔偿额不超过检测试验费报酬总数（扣税）]:赔偿金=直接经济损失报酬比率（扣除税金）</w:t>
            </w:r>
          </w:p>
        </w:tc>
      </w:tr>
      <w:tr w14:paraId="3D945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33E40AFB">
            <w:pPr>
              <w:spacing w:line="520" w:lineRule="exact"/>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5</w:t>
            </w:r>
          </w:p>
        </w:tc>
        <w:tc>
          <w:tcPr>
            <w:tcW w:w="7568" w:type="dxa"/>
            <w:vAlign w:val="center"/>
          </w:tcPr>
          <w:p w14:paraId="5667615E">
            <w:pPr>
              <w:spacing w:line="520" w:lineRule="exac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本项目免收</w:t>
            </w:r>
            <w:r>
              <w:rPr>
                <w:rFonts w:hint="eastAsia" w:cs="Times New Roman" w:asciiTheme="minorEastAsia" w:hAnsiTheme="minorEastAsia" w:eastAsiaTheme="minorEastAsia"/>
                <w:color w:val="auto"/>
                <w:sz w:val="24"/>
                <w:szCs w:val="24"/>
                <w:highlight w:val="none"/>
                <w:lang w:val="zh-CN"/>
              </w:rPr>
              <w:t>履约保证金。</w:t>
            </w:r>
          </w:p>
        </w:tc>
      </w:tr>
      <w:tr w14:paraId="032AD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4D75D828">
            <w:pPr>
              <w:spacing w:line="520" w:lineRule="exact"/>
              <w:jc w:val="center"/>
              <w:rPr>
                <w:rFonts w:hint="eastAsia" w:cs="Times New Roman" w:asciiTheme="minorEastAsia" w:hAnsiTheme="minorEastAsia" w:eastAsiaTheme="minorEastAsia"/>
                <w:color w:val="auto"/>
                <w:sz w:val="24"/>
                <w:szCs w:val="24"/>
                <w:highlight w:val="none"/>
                <w:lang w:eastAsia="zh-CN"/>
              </w:rPr>
            </w:pPr>
            <w:r>
              <w:rPr>
                <w:rFonts w:hint="eastAsia" w:cs="Times New Roman" w:asciiTheme="minorEastAsia" w:hAnsiTheme="minorEastAsia" w:eastAsiaTheme="minorEastAsia"/>
                <w:color w:val="auto"/>
                <w:sz w:val="24"/>
                <w:szCs w:val="24"/>
                <w:highlight w:val="none"/>
                <w:lang w:val="en-US" w:eastAsia="zh-CN"/>
              </w:rPr>
              <w:t>6</w:t>
            </w:r>
          </w:p>
        </w:tc>
        <w:tc>
          <w:tcPr>
            <w:tcW w:w="7568" w:type="dxa"/>
            <w:vAlign w:val="center"/>
          </w:tcPr>
          <w:p w14:paraId="24D4FB74">
            <w:pPr>
              <w:spacing w:line="520" w:lineRule="exact"/>
              <w:rPr>
                <w:rFonts w:cs="Times New Roman" w:asciiTheme="minorEastAsia" w:hAnsiTheme="minorEastAsia" w:eastAsiaTheme="minorEastAsia"/>
                <w:color w:val="auto"/>
                <w:sz w:val="24"/>
                <w:szCs w:val="24"/>
                <w:highlight w:val="none"/>
              </w:rPr>
            </w:pPr>
            <w:r>
              <w:rPr>
                <w:rFonts w:hint="eastAsia" w:ascii="宋体" w:hAnsi="宋体" w:eastAsia="宋体" w:cs="宋体"/>
                <w:color w:val="auto"/>
                <w:sz w:val="24"/>
                <w:highlight w:val="none"/>
              </w:rPr>
              <w:t>合同一式陆份，甲乙双方各执叁份。</w:t>
            </w:r>
          </w:p>
        </w:tc>
      </w:tr>
      <w:tr w14:paraId="07CF6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34C10762">
            <w:pPr>
              <w:spacing w:line="520" w:lineRule="exact"/>
              <w:rPr>
                <w:rFonts w:cs="Times New Roman" w:asciiTheme="minorEastAsia" w:hAnsiTheme="minorEastAsia" w:eastAsiaTheme="minorEastAsia"/>
                <w:color w:val="auto"/>
                <w:sz w:val="24"/>
                <w:szCs w:val="24"/>
                <w:highlight w:val="none"/>
              </w:rPr>
            </w:pPr>
          </w:p>
        </w:tc>
        <w:tc>
          <w:tcPr>
            <w:tcW w:w="7568" w:type="dxa"/>
            <w:vAlign w:val="center"/>
          </w:tcPr>
          <w:p w14:paraId="01DCFE62">
            <w:pPr>
              <w:spacing w:line="520" w:lineRule="exact"/>
              <w:rPr>
                <w:rFonts w:cs="Times New Roman" w:asciiTheme="minorEastAsia" w:hAnsiTheme="minorEastAsia" w:eastAsiaTheme="minorEastAsia"/>
                <w:color w:val="auto"/>
                <w:sz w:val="24"/>
                <w:szCs w:val="24"/>
                <w:highlight w:val="none"/>
                <w:u w:val="single"/>
              </w:rPr>
            </w:pPr>
            <w:r>
              <w:rPr>
                <w:rFonts w:hint="eastAsia" w:cs="Times New Roman" w:asciiTheme="minorEastAsia" w:hAnsiTheme="minorEastAsia" w:eastAsiaTheme="minorEastAsia"/>
                <w:color w:val="auto"/>
                <w:sz w:val="24"/>
                <w:szCs w:val="24"/>
                <w:highlight w:val="none"/>
              </w:rPr>
              <w:t>（签订合同时可补充）</w:t>
            </w:r>
          </w:p>
        </w:tc>
      </w:tr>
      <w:tr w14:paraId="41A4E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75DF2891">
            <w:pPr>
              <w:spacing w:line="520" w:lineRule="exact"/>
              <w:rPr>
                <w:rFonts w:cs="Times New Roman" w:asciiTheme="minorEastAsia" w:hAnsiTheme="minorEastAsia" w:eastAsiaTheme="minorEastAsia"/>
                <w:color w:val="auto"/>
                <w:sz w:val="24"/>
                <w:szCs w:val="24"/>
                <w:highlight w:val="none"/>
              </w:rPr>
            </w:pPr>
          </w:p>
        </w:tc>
        <w:tc>
          <w:tcPr>
            <w:tcW w:w="7568" w:type="dxa"/>
            <w:vAlign w:val="center"/>
          </w:tcPr>
          <w:p w14:paraId="48BEA556">
            <w:pPr>
              <w:spacing w:line="520" w:lineRule="exact"/>
              <w:rPr>
                <w:rFonts w:cs="Times New Roman" w:asciiTheme="minorEastAsia" w:hAnsiTheme="minorEastAsia" w:eastAsiaTheme="minorEastAsia"/>
                <w:color w:val="auto"/>
                <w:sz w:val="24"/>
                <w:szCs w:val="24"/>
                <w:highlight w:val="none"/>
              </w:rPr>
            </w:pPr>
          </w:p>
        </w:tc>
      </w:tr>
    </w:tbl>
    <w:p w14:paraId="59C1EA96">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5B2BEA96">
      <w:pPr>
        <w:numPr>
          <w:ilvl w:val="0"/>
          <w:numId w:val="4"/>
        </w:num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 xml:space="preserve"> 投标文件格式</w:t>
      </w:r>
      <w:bookmarkEnd w:id="54"/>
    </w:p>
    <w:p w14:paraId="6C343420">
      <w:pPr>
        <w:spacing w:line="900" w:lineRule="exact"/>
        <w:jc w:val="center"/>
        <w:rPr>
          <w:rFonts w:asciiTheme="minorEastAsia" w:hAnsiTheme="minorEastAsia" w:eastAsiaTheme="minorEastAsia"/>
          <w:b/>
          <w:color w:val="auto"/>
          <w:sz w:val="72"/>
          <w:highlight w:val="none"/>
        </w:rPr>
      </w:pPr>
    </w:p>
    <w:p w14:paraId="447C960F">
      <w:pPr>
        <w:spacing w:line="900" w:lineRule="exact"/>
        <w:jc w:val="center"/>
        <w:outlineLvl w:val="1"/>
        <w:rPr>
          <w:rFonts w:asciiTheme="minorEastAsia" w:hAnsiTheme="minorEastAsia" w:eastAsiaTheme="minorEastAsia"/>
          <w:b/>
          <w:color w:val="auto"/>
          <w:sz w:val="72"/>
          <w:highlight w:val="none"/>
        </w:rPr>
      </w:pPr>
      <w:bookmarkStart w:id="196" w:name="_Toc5119"/>
      <w:r>
        <w:rPr>
          <w:rFonts w:hint="eastAsia" w:asciiTheme="minorEastAsia" w:hAnsiTheme="minorEastAsia" w:eastAsiaTheme="minorEastAsia"/>
          <w:b/>
          <w:color w:val="auto"/>
          <w:sz w:val="72"/>
          <w:highlight w:val="none"/>
        </w:rPr>
        <w:t>投</w:t>
      </w:r>
      <w:bookmarkEnd w:id="196"/>
    </w:p>
    <w:p w14:paraId="71AF4B9D">
      <w:pPr>
        <w:spacing w:line="900" w:lineRule="exact"/>
        <w:jc w:val="center"/>
        <w:rPr>
          <w:rFonts w:asciiTheme="minorEastAsia" w:hAnsiTheme="minorEastAsia" w:eastAsiaTheme="minorEastAsia"/>
          <w:b/>
          <w:color w:val="auto"/>
          <w:sz w:val="72"/>
          <w:highlight w:val="none"/>
        </w:rPr>
      </w:pPr>
    </w:p>
    <w:p w14:paraId="0967DC77">
      <w:pPr>
        <w:spacing w:line="900" w:lineRule="exact"/>
        <w:jc w:val="center"/>
        <w:outlineLvl w:val="1"/>
        <w:rPr>
          <w:rFonts w:asciiTheme="minorEastAsia" w:hAnsiTheme="minorEastAsia" w:eastAsiaTheme="minorEastAsia"/>
          <w:b/>
          <w:color w:val="auto"/>
          <w:sz w:val="72"/>
          <w:highlight w:val="none"/>
        </w:rPr>
      </w:pPr>
      <w:bookmarkStart w:id="197" w:name="_Toc4782"/>
      <w:r>
        <w:rPr>
          <w:rFonts w:hint="eastAsia" w:asciiTheme="minorEastAsia" w:hAnsiTheme="minorEastAsia" w:eastAsiaTheme="minorEastAsia"/>
          <w:b/>
          <w:color w:val="auto"/>
          <w:sz w:val="72"/>
          <w:highlight w:val="none"/>
        </w:rPr>
        <w:t>标</w:t>
      </w:r>
      <w:bookmarkEnd w:id="197"/>
    </w:p>
    <w:p w14:paraId="3E9E9E5B">
      <w:pPr>
        <w:spacing w:line="900" w:lineRule="exact"/>
        <w:jc w:val="center"/>
        <w:rPr>
          <w:rFonts w:asciiTheme="minorEastAsia" w:hAnsiTheme="minorEastAsia" w:eastAsiaTheme="minorEastAsia"/>
          <w:b/>
          <w:color w:val="auto"/>
          <w:sz w:val="72"/>
          <w:highlight w:val="none"/>
        </w:rPr>
      </w:pPr>
    </w:p>
    <w:p w14:paraId="0BE85877">
      <w:pPr>
        <w:spacing w:line="900" w:lineRule="exact"/>
        <w:jc w:val="center"/>
        <w:outlineLvl w:val="1"/>
        <w:rPr>
          <w:rFonts w:asciiTheme="minorEastAsia" w:hAnsiTheme="minorEastAsia" w:eastAsiaTheme="minorEastAsia"/>
          <w:b/>
          <w:color w:val="auto"/>
          <w:sz w:val="72"/>
          <w:highlight w:val="none"/>
        </w:rPr>
      </w:pPr>
      <w:bookmarkStart w:id="198" w:name="_Toc19607"/>
      <w:r>
        <w:rPr>
          <w:rFonts w:hint="eastAsia" w:asciiTheme="minorEastAsia" w:hAnsiTheme="minorEastAsia" w:eastAsiaTheme="minorEastAsia"/>
          <w:b/>
          <w:color w:val="auto"/>
          <w:sz w:val="72"/>
          <w:highlight w:val="none"/>
        </w:rPr>
        <w:t>文</w:t>
      </w:r>
      <w:bookmarkEnd w:id="198"/>
    </w:p>
    <w:p w14:paraId="417A95C0">
      <w:pPr>
        <w:spacing w:line="900" w:lineRule="exact"/>
        <w:jc w:val="center"/>
        <w:rPr>
          <w:rFonts w:asciiTheme="minorEastAsia" w:hAnsiTheme="minorEastAsia" w:eastAsiaTheme="minorEastAsia"/>
          <w:b/>
          <w:color w:val="auto"/>
          <w:sz w:val="72"/>
          <w:highlight w:val="none"/>
        </w:rPr>
      </w:pPr>
    </w:p>
    <w:p w14:paraId="6AD9D80C">
      <w:pPr>
        <w:jc w:val="center"/>
        <w:outlineLvl w:val="1"/>
        <w:rPr>
          <w:rFonts w:asciiTheme="minorEastAsia" w:hAnsiTheme="minorEastAsia" w:eastAsiaTheme="minorEastAsia"/>
          <w:b/>
          <w:color w:val="auto"/>
          <w:sz w:val="72"/>
          <w:highlight w:val="none"/>
        </w:rPr>
      </w:pPr>
      <w:bookmarkStart w:id="199" w:name="_Toc8365"/>
      <w:r>
        <w:rPr>
          <w:rFonts w:hint="eastAsia" w:asciiTheme="minorEastAsia" w:hAnsiTheme="minorEastAsia" w:eastAsiaTheme="minorEastAsia"/>
          <w:b/>
          <w:color w:val="auto"/>
          <w:sz w:val="72"/>
          <w:highlight w:val="none"/>
        </w:rPr>
        <w:t>件</w:t>
      </w:r>
      <w:bookmarkEnd w:id="199"/>
    </w:p>
    <w:p w14:paraId="7EC67B48">
      <w:pPr>
        <w:spacing w:afterLines="50"/>
        <w:jc w:val="center"/>
        <w:rPr>
          <w:rFonts w:asciiTheme="minorEastAsia" w:hAnsiTheme="minorEastAsia" w:eastAsiaTheme="minorEastAsia"/>
          <w:b/>
          <w:color w:val="auto"/>
          <w:sz w:val="32"/>
          <w:szCs w:val="32"/>
          <w:highlight w:val="none"/>
        </w:rPr>
      </w:pPr>
      <w:bookmarkStart w:id="200" w:name="_Toc32506"/>
    </w:p>
    <w:bookmarkEnd w:id="200"/>
    <w:p w14:paraId="101C28A1">
      <w:pPr>
        <w:spacing w:beforeLines="50" w:afterLines="50"/>
        <w:jc w:val="center"/>
        <w:rPr>
          <w:rFonts w:asciiTheme="minorEastAsia" w:hAnsiTheme="minorEastAsia" w:eastAsiaTheme="minorEastAsia"/>
          <w:b/>
          <w:color w:val="auto"/>
          <w:sz w:val="32"/>
          <w:szCs w:val="32"/>
          <w:highlight w:val="none"/>
        </w:rPr>
      </w:pPr>
    </w:p>
    <w:p w14:paraId="35E87D6C">
      <w:pPr>
        <w:spacing w:beforeLines="50" w:afterLines="50"/>
        <w:jc w:val="center"/>
        <w:rPr>
          <w:rFonts w:asciiTheme="minorEastAsia" w:hAnsiTheme="minorEastAsia" w:eastAsiaTheme="minorEastAsia"/>
          <w:b/>
          <w:color w:val="auto"/>
          <w:sz w:val="32"/>
          <w:szCs w:val="32"/>
          <w:highlight w:val="none"/>
        </w:rPr>
      </w:pPr>
    </w:p>
    <w:p w14:paraId="6E0C9238">
      <w:pPr>
        <w:spacing w:afterLines="50" w:line="500" w:lineRule="exact"/>
        <w:jc w:val="center"/>
        <w:rPr>
          <w:rFonts w:asciiTheme="minorEastAsia" w:hAnsiTheme="minorEastAsia" w:eastAsiaTheme="minorEastAsia"/>
          <w:b/>
          <w:color w:val="auto"/>
          <w:sz w:val="28"/>
          <w:szCs w:val="28"/>
          <w:highlight w:val="none"/>
        </w:rPr>
      </w:pPr>
    </w:p>
    <w:p w14:paraId="151AD2B9">
      <w:pPr>
        <w:tabs>
          <w:tab w:val="left" w:pos="2410"/>
        </w:tabs>
        <w:autoSpaceDE w:val="0"/>
        <w:autoSpaceDN w:val="0"/>
        <w:adjustRightInd w:val="0"/>
        <w:snapToGrid w:val="0"/>
        <w:spacing w:line="360" w:lineRule="auto"/>
        <w:ind w:firstLine="1928" w:firstLineChars="600"/>
        <w:rPr>
          <w:rFonts w:ascii="宋体" w:hAnsi="宋体" w:eastAsia="宋体"/>
          <w:b/>
          <w:color w:val="auto"/>
          <w:spacing w:val="20"/>
          <w:kern w:val="0"/>
          <w:sz w:val="32"/>
          <w:szCs w:val="32"/>
          <w:highlight w:val="none"/>
        </w:rPr>
      </w:pPr>
      <w:r>
        <w:rPr>
          <w:rFonts w:hint="eastAsia" w:asciiTheme="minorEastAsia" w:hAnsiTheme="minorEastAsia" w:eastAsiaTheme="minorEastAsia"/>
          <w:b/>
          <w:color w:val="auto"/>
          <w:sz w:val="32"/>
          <w:highlight w:val="none"/>
        </w:rPr>
        <w:t>项目名称：</w:t>
      </w:r>
    </w:p>
    <w:p w14:paraId="0AE07007">
      <w:pPr>
        <w:tabs>
          <w:tab w:val="left" w:pos="2410"/>
        </w:tabs>
        <w:autoSpaceDE w:val="0"/>
        <w:autoSpaceDN w:val="0"/>
        <w:adjustRightInd w:val="0"/>
        <w:snapToGrid w:val="0"/>
        <w:spacing w:line="360" w:lineRule="auto"/>
        <w:ind w:firstLine="1928" w:firstLineChars="600"/>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p>
    <w:p w14:paraId="4E7F27E4">
      <w:pPr>
        <w:tabs>
          <w:tab w:val="left" w:pos="2410"/>
        </w:tabs>
        <w:autoSpaceDE w:val="0"/>
        <w:autoSpaceDN w:val="0"/>
        <w:adjustRightInd w:val="0"/>
        <w:snapToGrid w:val="0"/>
        <w:spacing w:line="360" w:lineRule="auto"/>
        <w:ind w:firstLine="1928" w:firstLineChars="600"/>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投 标 人：</w:t>
      </w:r>
    </w:p>
    <w:p w14:paraId="73298EEB">
      <w:pPr>
        <w:spacing w:afterLines="50" w:line="500" w:lineRule="exact"/>
        <w:jc w:val="center"/>
        <w:outlineLvl w:val="1"/>
        <w:rPr>
          <w:rFonts w:asciiTheme="minorEastAsia" w:hAnsiTheme="minorEastAsia" w:eastAsiaTheme="minorEastAsia"/>
          <w:b/>
          <w:color w:val="auto"/>
          <w:sz w:val="32"/>
          <w:highlight w:val="none"/>
        </w:rPr>
      </w:pPr>
      <w:bookmarkStart w:id="201" w:name="_Toc8037"/>
      <w:bookmarkStart w:id="202" w:name="_Toc19687"/>
      <w:r>
        <w:rPr>
          <w:rFonts w:hint="eastAsia" w:asciiTheme="minorEastAsia" w:hAnsiTheme="minorEastAsia" w:eastAsiaTheme="minorEastAsia"/>
          <w:b/>
          <w:color w:val="auto"/>
          <w:sz w:val="32"/>
          <w:highlight w:val="none"/>
        </w:rPr>
        <w:t>年月日</w:t>
      </w:r>
      <w:bookmarkEnd w:id="201"/>
      <w:bookmarkEnd w:id="202"/>
    </w:p>
    <w:p w14:paraId="270242C8">
      <w:pPr>
        <w:rPr>
          <w:rFonts w:ascii="宋体" w:hAnsi="宋体" w:eastAsia="宋体" w:cs="宋体"/>
          <w:b/>
          <w:color w:val="auto"/>
          <w:sz w:val="28"/>
          <w:szCs w:val="28"/>
          <w:highlight w:val="none"/>
        </w:rPr>
      </w:pPr>
      <w:bookmarkStart w:id="203" w:name="_Toc17986"/>
      <w:bookmarkStart w:id="204" w:name="_Toc28960"/>
      <w:r>
        <w:rPr>
          <w:rFonts w:hint="eastAsia" w:ascii="宋体" w:hAnsi="宋体" w:eastAsia="宋体" w:cs="宋体"/>
          <w:b/>
          <w:color w:val="auto"/>
          <w:sz w:val="28"/>
          <w:szCs w:val="28"/>
          <w:highlight w:val="none"/>
        </w:rPr>
        <w:br w:type="page"/>
      </w:r>
    </w:p>
    <w:p w14:paraId="3F6C40AD">
      <w:pP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一、资信证明格式文件</w:t>
      </w:r>
    </w:p>
    <w:p w14:paraId="621EB57B">
      <w:pPr>
        <w:jc w:val="center"/>
        <w:rPr>
          <w:rFonts w:ascii="黑体" w:hAnsi="宋体" w:eastAsia="黑体" w:cs="黑体"/>
          <w:color w:val="auto"/>
          <w:sz w:val="20"/>
          <w:highlight w:val="none"/>
        </w:rPr>
      </w:pPr>
    </w:p>
    <w:p w14:paraId="749A6D5C">
      <w:pPr>
        <w:rPr>
          <w:rFonts w:ascii="宋体" w:hAnsi="宋体" w:eastAsia="宋体" w:cs="宋体"/>
          <w:b/>
          <w:color w:val="auto"/>
          <w:sz w:val="44"/>
          <w:szCs w:val="44"/>
          <w:highlight w:val="none"/>
        </w:rPr>
      </w:pPr>
    </w:p>
    <w:p w14:paraId="7374CD74">
      <w:pPr>
        <w:jc w:val="center"/>
        <w:rPr>
          <w:rFonts w:ascii="宋体" w:hAnsi="宋体" w:eastAsia="宋体" w:cs="宋体"/>
          <w:b/>
          <w:color w:val="auto"/>
          <w:sz w:val="44"/>
          <w:szCs w:val="44"/>
          <w:highlight w:val="none"/>
        </w:rPr>
      </w:pPr>
    </w:p>
    <w:p w14:paraId="3DD83C26">
      <w:pPr>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资信证明文件</w:t>
      </w:r>
    </w:p>
    <w:p w14:paraId="6BE65499">
      <w:pPr>
        <w:jc w:val="center"/>
        <w:rPr>
          <w:rFonts w:ascii="宋体" w:hAnsi="宋体" w:eastAsia="宋体" w:cs="宋体"/>
          <w:color w:val="auto"/>
          <w:sz w:val="32"/>
          <w:szCs w:val="32"/>
          <w:highlight w:val="none"/>
        </w:rPr>
      </w:pPr>
    </w:p>
    <w:p w14:paraId="3EE2AC07">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（投标文件一）</w:t>
      </w:r>
    </w:p>
    <w:p w14:paraId="34FAE93D">
      <w:pPr>
        <w:jc w:val="center"/>
        <w:rPr>
          <w:rFonts w:ascii="黑体" w:hAnsi="宋体" w:eastAsia="黑体" w:cs="黑体"/>
          <w:color w:val="auto"/>
          <w:sz w:val="44"/>
          <w:szCs w:val="44"/>
          <w:highlight w:val="none"/>
        </w:rPr>
      </w:pPr>
    </w:p>
    <w:p w14:paraId="1D54D541">
      <w:pPr>
        <w:jc w:val="center"/>
        <w:rPr>
          <w:rFonts w:ascii="宋体" w:hAnsi="宋体" w:eastAsia="宋体" w:cs="宋体"/>
          <w:color w:val="auto"/>
          <w:sz w:val="32"/>
          <w:szCs w:val="32"/>
          <w:highlight w:val="none"/>
          <w:u w:val="single"/>
        </w:rPr>
      </w:pPr>
    </w:p>
    <w:p w14:paraId="79F6822F">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w:t>
      </w:r>
    </w:p>
    <w:p w14:paraId="54102C2A">
      <w:pPr>
        <w:jc w:val="center"/>
        <w:rPr>
          <w:rFonts w:ascii="宋体" w:hAnsi="宋体" w:eastAsia="宋体" w:cs="宋体"/>
          <w:color w:val="auto"/>
          <w:sz w:val="28"/>
          <w:szCs w:val="28"/>
          <w:highlight w:val="none"/>
        </w:rPr>
      </w:pPr>
    </w:p>
    <w:p w14:paraId="3F9B07A0">
      <w:pPr>
        <w:jc w:val="center"/>
        <w:rPr>
          <w:rFonts w:ascii="宋体" w:hAnsi="宋体" w:eastAsia="宋体" w:cs="宋体"/>
          <w:color w:val="auto"/>
          <w:sz w:val="44"/>
          <w:szCs w:val="44"/>
          <w:highlight w:val="none"/>
        </w:rPr>
      </w:pPr>
      <w:r>
        <w:rPr>
          <w:rFonts w:hint="eastAsia" w:ascii="宋体" w:hAnsi="宋体" w:eastAsia="宋体" w:cs="宋体"/>
          <w:color w:val="auto"/>
          <w:sz w:val="28"/>
          <w:szCs w:val="28"/>
          <w:highlight w:val="none"/>
        </w:rPr>
        <w:t>项目编号：</w:t>
      </w:r>
    </w:p>
    <w:p w14:paraId="7C626446">
      <w:pPr>
        <w:rPr>
          <w:rFonts w:ascii="宋体" w:hAnsi="宋体" w:eastAsia="宋体" w:cs="宋体"/>
          <w:color w:val="auto"/>
          <w:sz w:val="28"/>
          <w:szCs w:val="28"/>
          <w:highlight w:val="none"/>
        </w:rPr>
      </w:pPr>
    </w:p>
    <w:p w14:paraId="33331DCC">
      <w:pPr>
        <w:rPr>
          <w:rFonts w:ascii="宋体" w:hAnsi="宋体" w:eastAsia="宋体" w:cs="宋体"/>
          <w:color w:val="auto"/>
          <w:sz w:val="28"/>
          <w:szCs w:val="28"/>
          <w:highlight w:val="none"/>
        </w:rPr>
      </w:pPr>
    </w:p>
    <w:p w14:paraId="37BDC456">
      <w:pPr>
        <w:rPr>
          <w:rFonts w:ascii="宋体" w:hAnsi="宋体" w:eastAsia="宋体" w:cs="宋体"/>
          <w:color w:val="auto"/>
          <w:sz w:val="28"/>
          <w:szCs w:val="28"/>
          <w:highlight w:val="none"/>
        </w:rPr>
      </w:pPr>
    </w:p>
    <w:p w14:paraId="54DEECFA">
      <w:pPr>
        <w:rPr>
          <w:rFonts w:ascii="宋体" w:hAnsi="宋体" w:eastAsia="宋体" w:cs="宋体"/>
          <w:color w:val="auto"/>
          <w:sz w:val="28"/>
          <w:szCs w:val="28"/>
          <w:highlight w:val="none"/>
        </w:rPr>
      </w:pPr>
    </w:p>
    <w:p w14:paraId="73FA195B">
      <w:pPr>
        <w:rPr>
          <w:rFonts w:ascii="宋体" w:hAnsi="宋体" w:eastAsia="宋体" w:cs="宋体"/>
          <w:color w:val="auto"/>
          <w:sz w:val="28"/>
          <w:szCs w:val="28"/>
          <w:highlight w:val="none"/>
        </w:rPr>
      </w:pPr>
    </w:p>
    <w:p w14:paraId="4D58285A">
      <w:pPr>
        <w:rPr>
          <w:rFonts w:ascii="宋体" w:hAnsi="宋体" w:eastAsia="宋体" w:cs="宋体"/>
          <w:color w:val="auto"/>
          <w:sz w:val="28"/>
          <w:szCs w:val="28"/>
          <w:highlight w:val="none"/>
        </w:rPr>
      </w:pPr>
    </w:p>
    <w:p w14:paraId="429CDE63">
      <w:pPr>
        <w:jc w:val="center"/>
        <w:rPr>
          <w:rFonts w:ascii="宋体" w:hAnsi="宋体" w:eastAsia="宋体" w:cs="宋体"/>
          <w:color w:val="auto"/>
          <w:sz w:val="28"/>
          <w:szCs w:val="28"/>
          <w:highlight w:val="none"/>
        </w:rPr>
      </w:pPr>
    </w:p>
    <w:p w14:paraId="2B43578C">
      <w:pPr>
        <w:spacing w:line="360" w:lineRule="auto"/>
        <w:jc w:val="cente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投标人：（签章）</w:t>
      </w:r>
    </w:p>
    <w:p w14:paraId="4080C3E7">
      <w:pPr>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法定代表人：（签章）</w:t>
      </w:r>
    </w:p>
    <w:p w14:paraId="6D916763">
      <w:pPr>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年月日</w:t>
      </w:r>
    </w:p>
    <w:p w14:paraId="31DDBECA">
      <w:pPr>
        <w:spacing w:line="400" w:lineRule="exact"/>
        <w:ind w:firstLine="4130" w:firstLineChars="935"/>
        <w:rPr>
          <w:rFonts w:ascii="宋体" w:hAnsi="宋体" w:eastAsia="宋体" w:cs="宋体"/>
          <w:b/>
          <w:color w:val="auto"/>
          <w:sz w:val="44"/>
          <w:szCs w:val="44"/>
          <w:highlight w:val="none"/>
        </w:rPr>
      </w:pPr>
    </w:p>
    <w:p w14:paraId="2FA50042">
      <w:pP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1DCCCBB">
      <w:pPr>
        <w:jc w:val="center"/>
        <w:rPr>
          <w:rFonts w:ascii="宋体" w:hAnsi="宋体" w:eastAsia="宋体" w:cs="宋体"/>
          <w:b/>
          <w:color w:val="auto"/>
          <w:sz w:val="44"/>
          <w:szCs w:val="44"/>
          <w:highlight w:val="none"/>
        </w:rPr>
      </w:pPr>
      <w:r>
        <w:rPr>
          <w:rFonts w:hint="eastAsia" w:ascii="宋体" w:hAnsi="宋体" w:eastAsia="宋体" w:cs="宋体"/>
          <w:b/>
          <w:color w:val="auto"/>
          <w:sz w:val="36"/>
          <w:szCs w:val="36"/>
          <w:highlight w:val="none"/>
        </w:rPr>
        <w:t>目   录</w:t>
      </w:r>
    </w:p>
    <w:p w14:paraId="3ABD86C8">
      <w:pPr>
        <w:spacing w:line="400" w:lineRule="exact"/>
        <w:ind w:firstLine="562" w:firstLineChars="200"/>
        <w:rPr>
          <w:rFonts w:ascii="宋体" w:hAnsi="宋体" w:eastAsia="宋体" w:cs="宋体"/>
          <w:b/>
          <w:color w:val="auto"/>
          <w:sz w:val="28"/>
          <w:szCs w:val="28"/>
          <w:highlight w:val="none"/>
        </w:rPr>
      </w:pPr>
    </w:p>
    <w:p w14:paraId="2AC36C5B">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（1）投标人资格声明书（格式见附件）；</w:t>
      </w:r>
    </w:p>
    <w:p w14:paraId="14A73DB2">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（2）授权书（格式见附件）；   </w:t>
      </w:r>
    </w:p>
    <w:p w14:paraId="6280722E">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（3）诚信投标承诺书（格式见附件）；</w:t>
      </w:r>
    </w:p>
    <w:p w14:paraId="3DCA44D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）招标文件中要求的资格审查和资信评分的支持资料；</w:t>
      </w:r>
    </w:p>
    <w:p w14:paraId="09172A9B">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）投标人认为需要提供的其他资信证明材料；</w:t>
      </w:r>
    </w:p>
    <w:p w14:paraId="0FDEC9C4">
      <w:pPr>
        <w:spacing w:line="360" w:lineRule="auto"/>
        <w:ind w:left="63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AD1721A">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（1）投标人资格声明书</w:t>
      </w:r>
    </w:p>
    <w:p w14:paraId="36EF8C50">
      <w:pPr>
        <w:pStyle w:val="28"/>
        <w:spacing w:before="0" w:beforeAutospacing="0" w:after="0" w:afterAutospacing="0" w:line="360" w:lineRule="auto"/>
        <w:jc w:val="both"/>
        <w:rPr>
          <w:rFonts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致：</w:t>
      </w:r>
      <w:r>
        <w:rPr>
          <w:rFonts w:hint="eastAsia" w:ascii="宋体" w:hAnsi="宋体" w:eastAsia="宋体" w:cs="宋体"/>
          <w:b/>
          <w:color w:val="auto"/>
          <w:kern w:val="2"/>
          <w:szCs w:val="24"/>
          <w:highlight w:val="none"/>
          <w:u w:val="single"/>
        </w:rPr>
        <w:t>采购人</w:t>
      </w:r>
    </w:p>
    <w:p w14:paraId="71BF9AF0">
      <w:pPr>
        <w:widowControl/>
        <w:autoSpaceDE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在参与本次项目投标中，我单位承诺：</w:t>
      </w:r>
    </w:p>
    <w:p w14:paraId="2AB92E12">
      <w:pPr>
        <w:widowControl/>
        <w:autoSpaceDE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（一）具有良好的商业信誉和健全的财务会计制度；</w:t>
      </w:r>
    </w:p>
    <w:p w14:paraId="104C1CE2">
      <w:pPr>
        <w:widowControl/>
        <w:autoSpaceDE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（二）具有履行合同所必需的设备和专业技术能力；</w:t>
      </w:r>
    </w:p>
    <w:p w14:paraId="39ABFBFD">
      <w:pPr>
        <w:widowControl/>
        <w:autoSpaceDE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（三）有依法缴纳税收和社会保障资金的良好记录；</w:t>
      </w:r>
    </w:p>
    <w:p w14:paraId="1B433A3B">
      <w:pPr>
        <w:widowControl/>
        <w:autoSpaceDE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CA05469">
      <w:pPr>
        <w:widowControl/>
        <w:autoSpaceDE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（五）我单位不存在为采购项目提供整体设计、规范编制或者项目管理、监理、检测等服务后，再参加该采购项目的其他采购活动的情形（单一来源采购项目除外）；</w:t>
      </w:r>
    </w:p>
    <w:p w14:paraId="101BCF4F">
      <w:pPr>
        <w:widowControl/>
        <w:autoSpaceDE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（六）与我单位存在单位负责人为同一人或者存在直接控股、管理关系的其他法人单位信息如下（如有，不论其是否参加同一合同项下的政府采购活动均须填写）：</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909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30E1A8CD">
            <w:pPr>
              <w:widowControl/>
              <w:autoSpaceDE w:val="0"/>
              <w:spacing w:beforeLines="50" w:after="1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841" w:type="dxa"/>
            <w:tcBorders>
              <w:top w:val="single" w:color="auto" w:sz="4" w:space="0"/>
              <w:left w:val="single" w:color="auto" w:sz="4" w:space="0"/>
              <w:bottom w:val="single" w:color="auto" w:sz="4" w:space="0"/>
              <w:right w:val="single" w:color="auto" w:sz="4" w:space="0"/>
            </w:tcBorders>
            <w:shd w:val="clear" w:color="auto" w:fill="auto"/>
          </w:tcPr>
          <w:p w14:paraId="09FE5E74">
            <w:pPr>
              <w:pStyle w:val="28"/>
              <w:autoSpaceDE w:val="0"/>
              <w:spacing w:beforeLines="50" w:beforeAutospacing="0" w:after="10" w:afterAutospacing="0"/>
              <w:jc w:val="center"/>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tc>
        <w:tc>
          <w:tcPr>
            <w:tcW w:w="2841" w:type="dxa"/>
            <w:tcBorders>
              <w:top w:val="single" w:color="auto" w:sz="4" w:space="0"/>
              <w:left w:val="single" w:color="auto" w:sz="4" w:space="0"/>
              <w:bottom w:val="single" w:color="auto" w:sz="4" w:space="0"/>
              <w:right w:val="single" w:color="auto" w:sz="4" w:space="0"/>
            </w:tcBorders>
            <w:shd w:val="clear" w:color="auto" w:fill="auto"/>
          </w:tcPr>
          <w:p w14:paraId="5EC5E89B">
            <w:pPr>
              <w:pStyle w:val="28"/>
              <w:autoSpaceDE w:val="0"/>
              <w:spacing w:beforeLines="50" w:beforeAutospacing="0" w:after="10" w:afterAutospacing="0"/>
              <w:jc w:val="center"/>
              <w:rPr>
                <w:rFonts w:ascii="宋体" w:hAnsi="宋体" w:eastAsia="宋体" w:cs="宋体"/>
                <w:color w:val="auto"/>
                <w:szCs w:val="24"/>
                <w:highlight w:val="none"/>
              </w:rPr>
            </w:pPr>
            <w:r>
              <w:rPr>
                <w:rFonts w:hint="eastAsia" w:ascii="宋体" w:hAnsi="宋体" w:eastAsia="宋体" w:cs="宋体"/>
                <w:color w:val="auto"/>
                <w:szCs w:val="24"/>
                <w:highlight w:val="none"/>
              </w:rPr>
              <w:t>相互关系</w:t>
            </w:r>
          </w:p>
        </w:tc>
      </w:tr>
      <w:tr w14:paraId="4C571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638CA021">
            <w:pPr>
              <w:pStyle w:val="28"/>
              <w:autoSpaceDE w:val="0"/>
              <w:spacing w:beforeLines="50" w:beforeAutospacing="0" w:after="10" w:afterAutospacing="0"/>
              <w:jc w:val="center"/>
              <w:rPr>
                <w:rFonts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2841" w:type="dxa"/>
            <w:tcBorders>
              <w:top w:val="single" w:color="auto" w:sz="4" w:space="0"/>
              <w:left w:val="single" w:color="auto" w:sz="4" w:space="0"/>
              <w:bottom w:val="single" w:color="auto" w:sz="4" w:space="0"/>
              <w:right w:val="single" w:color="auto" w:sz="4" w:space="0"/>
            </w:tcBorders>
            <w:shd w:val="clear" w:color="auto" w:fill="auto"/>
          </w:tcPr>
          <w:p w14:paraId="24FA7D70">
            <w:pPr>
              <w:pStyle w:val="28"/>
              <w:autoSpaceDE w:val="0"/>
              <w:spacing w:beforeLines="50" w:beforeAutospacing="0" w:after="10" w:afterAutospacing="0"/>
              <w:jc w:val="center"/>
              <w:rPr>
                <w:rFonts w:ascii="宋体" w:hAnsi="宋体" w:eastAsia="宋体" w:cs="宋体"/>
                <w:color w:val="auto"/>
                <w:szCs w:val="24"/>
                <w:highlight w:val="none"/>
              </w:rPr>
            </w:pPr>
          </w:p>
        </w:tc>
        <w:tc>
          <w:tcPr>
            <w:tcW w:w="2841" w:type="dxa"/>
            <w:tcBorders>
              <w:top w:val="single" w:color="auto" w:sz="4" w:space="0"/>
              <w:left w:val="single" w:color="auto" w:sz="4" w:space="0"/>
              <w:bottom w:val="single" w:color="auto" w:sz="4" w:space="0"/>
              <w:right w:val="single" w:color="auto" w:sz="4" w:space="0"/>
            </w:tcBorders>
            <w:shd w:val="clear" w:color="auto" w:fill="auto"/>
          </w:tcPr>
          <w:p w14:paraId="75D659FF">
            <w:pPr>
              <w:pStyle w:val="28"/>
              <w:autoSpaceDE w:val="0"/>
              <w:spacing w:beforeLines="50" w:beforeAutospacing="0" w:after="10" w:afterAutospacing="0"/>
              <w:jc w:val="center"/>
              <w:rPr>
                <w:rFonts w:ascii="宋体" w:hAnsi="宋体" w:eastAsia="宋体" w:cs="宋体"/>
                <w:color w:val="auto"/>
                <w:szCs w:val="24"/>
                <w:highlight w:val="none"/>
              </w:rPr>
            </w:pPr>
          </w:p>
        </w:tc>
      </w:tr>
      <w:tr w14:paraId="52E7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4DBD40B4">
            <w:pPr>
              <w:pStyle w:val="28"/>
              <w:autoSpaceDE w:val="0"/>
              <w:spacing w:beforeLines="50" w:beforeAutospacing="0" w:after="10" w:afterAutospacing="0"/>
              <w:jc w:val="center"/>
              <w:rPr>
                <w:rFonts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2841" w:type="dxa"/>
            <w:tcBorders>
              <w:top w:val="single" w:color="auto" w:sz="4" w:space="0"/>
              <w:left w:val="single" w:color="auto" w:sz="4" w:space="0"/>
              <w:bottom w:val="single" w:color="auto" w:sz="4" w:space="0"/>
              <w:right w:val="single" w:color="auto" w:sz="4" w:space="0"/>
            </w:tcBorders>
            <w:shd w:val="clear" w:color="auto" w:fill="auto"/>
          </w:tcPr>
          <w:p w14:paraId="176E33A1">
            <w:pPr>
              <w:pStyle w:val="28"/>
              <w:autoSpaceDE w:val="0"/>
              <w:spacing w:beforeLines="50" w:beforeAutospacing="0" w:after="10" w:afterAutospacing="0"/>
              <w:jc w:val="center"/>
              <w:rPr>
                <w:rFonts w:ascii="宋体" w:hAnsi="宋体" w:eastAsia="宋体" w:cs="宋体"/>
                <w:color w:val="auto"/>
                <w:szCs w:val="24"/>
                <w:highlight w:val="none"/>
              </w:rPr>
            </w:pPr>
          </w:p>
        </w:tc>
        <w:tc>
          <w:tcPr>
            <w:tcW w:w="2841" w:type="dxa"/>
            <w:tcBorders>
              <w:top w:val="single" w:color="auto" w:sz="4" w:space="0"/>
              <w:left w:val="single" w:color="auto" w:sz="4" w:space="0"/>
              <w:bottom w:val="single" w:color="auto" w:sz="4" w:space="0"/>
              <w:right w:val="single" w:color="auto" w:sz="4" w:space="0"/>
            </w:tcBorders>
            <w:shd w:val="clear" w:color="auto" w:fill="auto"/>
          </w:tcPr>
          <w:p w14:paraId="77163C2D">
            <w:pPr>
              <w:pStyle w:val="28"/>
              <w:autoSpaceDE w:val="0"/>
              <w:spacing w:beforeLines="50" w:beforeAutospacing="0" w:after="10" w:afterAutospacing="0"/>
              <w:jc w:val="center"/>
              <w:rPr>
                <w:rFonts w:ascii="宋体" w:hAnsi="宋体" w:eastAsia="宋体" w:cs="宋体"/>
                <w:color w:val="auto"/>
                <w:szCs w:val="24"/>
                <w:highlight w:val="none"/>
              </w:rPr>
            </w:pPr>
          </w:p>
        </w:tc>
      </w:tr>
    </w:tbl>
    <w:p w14:paraId="11419323">
      <w:pPr>
        <w:spacing w:line="360" w:lineRule="auto"/>
        <w:ind w:firstLine="435"/>
        <w:rPr>
          <w:rFonts w:ascii="宋体" w:hAnsi="宋体" w:eastAsia="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42863404">
      <w:pPr>
        <w:spacing w:line="360" w:lineRule="auto"/>
        <w:ind w:firstLine="4800" w:firstLineChars="2000"/>
        <w:rPr>
          <w:rFonts w:ascii="宋体" w:hAnsi="宋体" w:eastAsia="宋体"/>
          <w:color w:val="auto"/>
          <w:sz w:val="24"/>
          <w:szCs w:val="24"/>
          <w:highlight w:val="none"/>
          <w:u w:val="single"/>
        </w:rPr>
      </w:pPr>
      <w:r>
        <w:rPr>
          <w:rFonts w:hint="eastAsia" w:ascii="宋体" w:hAnsi="宋体" w:eastAsia="宋体" w:cs="宋体"/>
          <w:color w:val="auto"/>
          <w:sz w:val="24"/>
          <w:szCs w:val="24"/>
          <w:highlight w:val="none"/>
        </w:rPr>
        <w:t>投标人电子签章：</w:t>
      </w:r>
    </w:p>
    <w:p w14:paraId="629C4E35">
      <w:pPr>
        <w:spacing w:line="360" w:lineRule="auto"/>
        <w:ind w:firstLine="4800" w:firstLineChars="2000"/>
        <w:rPr>
          <w:rFonts w:ascii="宋体" w:hAnsi="宋体" w:eastAsia="宋体"/>
          <w:color w:val="auto"/>
          <w:sz w:val="24"/>
          <w:szCs w:val="24"/>
          <w:highlight w:val="none"/>
          <w:u w:val="single"/>
        </w:rPr>
      </w:pPr>
      <w:r>
        <w:rPr>
          <w:rFonts w:hint="eastAsia" w:ascii="宋体" w:hAnsi="宋体" w:eastAsia="宋体" w:cs="宋体"/>
          <w:color w:val="auto"/>
          <w:sz w:val="24"/>
          <w:szCs w:val="24"/>
          <w:highlight w:val="none"/>
        </w:rPr>
        <w:t>日期：</w:t>
      </w:r>
    </w:p>
    <w:p w14:paraId="59545A43">
      <w:pPr>
        <w:pStyle w:val="28"/>
        <w:spacing w:before="0" w:after="120" w:afterAutospacing="0"/>
        <w:jc w:val="both"/>
        <w:rPr>
          <w:rFonts w:ascii="宋体" w:hAnsi="宋体" w:eastAsia="宋体" w:cs="宋体"/>
          <w:color w:val="auto"/>
          <w:szCs w:val="24"/>
          <w:highlight w:val="none"/>
        </w:rPr>
      </w:pPr>
    </w:p>
    <w:p w14:paraId="5CA3CBCB">
      <w:pPr>
        <w:spacing w:line="360" w:lineRule="auto"/>
        <w:jc w:val="center"/>
        <w:outlineLvl w:val="1"/>
        <w:rPr>
          <w:rFonts w:asciiTheme="minorEastAsia" w:hAnsiTheme="minorEastAsia" w:eastAsiaTheme="minorEastAsia"/>
          <w:b/>
          <w:color w:val="auto"/>
          <w:sz w:val="24"/>
          <w:highlight w:val="none"/>
        </w:rPr>
      </w:pPr>
    </w:p>
    <w:p w14:paraId="199DC6AD">
      <w:pPr>
        <w:spacing w:line="360" w:lineRule="auto"/>
        <w:jc w:val="center"/>
        <w:outlineLvl w:val="1"/>
        <w:rPr>
          <w:rFonts w:asciiTheme="minorEastAsia" w:hAnsiTheme="minorEastAsia" w:eastAsiaTheme="minorEastAsia"/>
          <w:b/>
          <w:color w:val="auto"/>
          <w:sz w:val="24"/>
          <w:highlight w:val="none"/>
        </w:rPr>
      </w:pPr>
    </w:p>
    <w:p w14:paraId="457E4970">
      <w:pP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5F6E4E5E">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（2）授权书</w:t>
      </w:r>
    </w:p>
    <w:p w14:paraId="7D9B6540">
      <w:pPr>
        <w:pStyle w:val="28"/>
        <w:snapToGrid w:val="0"/>
        <w:spacing w:before="0" w:beforeAutospacing="0" w:after="0" w:afterAutospacing="0" w:line="360" w:lineRule="auto"/>
        <w:ind w:firstLine="480" w:firstLineChars="200"/>
        <w:rPr>
          <w:rFonts w:ascii="宋体" w:hAnsi="宋体" w:eastAsia="宋体"/>
          <w:color w:val="auto"/>
          <w:kern w:val="2"/>
          <w:szCs w:val="24"/>
          <w:highlight w:val="none"/>
        </w:rPr>
      </w:pPr>
    </w:p>
    <w:p w14:paraId="17425461">
      <w:pPr>
        <w:spacing w:line="360" w:lineRule="auto"/>
        <w:ind w:firstLine="435"/>
        <w:rPr>
          <w:rFonts w:hAnsi="宋体" w:eastAsia="宋体"/>
          <w:color w:val="auto"/>
          <w:sz w:val="24"/>
          <w:szCs w:val="24"/>
          <w:highlight w:val="none"/>
        </w:rPr>
      </w:pPr>
      <w:r>
        <w:rPr>
          <w:rFonts w:hint="eastAsia" w:ascii="宋体" w:hAnsi="宋体" w:eastAsia="宋体" w:cs="宋体"/>
          <w:color w:val="auto"/>
          <w:sz w:val="24"/>
          <w:szCs w:val="24"/>
          <w:highlight w:val="none"/>
        </w:rPr>
        <w:t>本授权书声明：（投标人名称）授权（投标人授权代表姓名）代表我方参加本项目</w:t>
      </w:r>
      <w:r>
        <w:rPr>
          <w:rFonts w:hint="eastAsia" w:ascii="宋体" w:hAnsi="宋体" w:eastAsia="宋体" w:cs="宋体"/>
          <w:bCs/>
          <w:color w:val="auto"/>
          <w:sz w:val="24"/>
          <w:szCs w:val="24"/>
          <w:highlight w:val="none"/>
        </w:rPr>
        <w:t>采购活动</w:t>
      </w:r>
      <w:r>
        <w:rPr>
          <w:rFonts w:hint="eastAsia" w:ascii="宋体" w:hAnsi="宋体" w:eastAsia="宋体" w:cs="宋体"/>
          <w:color w:val="auto"/>
          <w:sz w:val="24"/>
          <w:szCs w:val="24"/>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1AB762D5">
      <w:pPr>
        <w:spacing w:line="360" w:lineRule="auto"/>
        <w:ind w:firstLine="435"/>
        <w:rPr>
          <w:rFonts w:hAnsi="宋体" w:eastAsia="宋体"/>
          <w:color w:val="auto"/>
          <w:sz w:val="24"/>
          <w:szCs w:val="24"/>
          <w:highlight w:val="none"/>
        </w:rPr>
      </w:pPr>
      <w:r>
        <w:rPr>
          <w:rFonts w:hint="eastAsia" w:ascii="宋体" w:hAnsi="宋体" w:eastAsia="宋体" w:cs="宋体"/>
          <w:color w:val="auto"/>
          <w:sz w:val="24"/>
          <w:szCs w:val="24"/>
          <w:highlight w:val="none"/>
        </w:rPr>
        <w:t>本授权书自出具之日起生效。</w:t>
      </w:r>
    </w:p>
    <w:p w14:paraId="1D656E23">
      <w:pPr>
        <w:spacing w:line="360" w:lineRule="auto"/>
        <w:ind w:firstLine="435"/>
        <w:rPr>
          <w:rFonts w:hAnsi="宋体" w:eastAsia="宋体"/>
          <w:color w:val="auto"/>
          <w:sz w:val="24"/>
          <w:szCs w:val="24"/>
          <w:highlight w:val="none"/>
        </w:rPr>
      </w:pPr>
      <w:r>
        <w:rPr>
          <w:rFonts w:hint="eastAsia" w:ascii="宋体" w:hAnsi="宋体" w:eastAsia="宋体" w:cs="宋体"/>
          <w:color w:val="auto"/>
          <w:sz w:val="24"/>
          <w:szCs w:val="24"/>
          <w:highlight w:val="none"/>
        </w:rPr>
        <w:t>授权代表身份证明扫描件：</w:t>
      </w:r>
    </w:p>
    <w:p w14:paraId="2F4198CA">
      <w:pPr>
        <w:spacing w:line="360" w:lineRule="auto"/>
        <w:ind w:firstLine="435"/>
        <w:rPr>
          <w:rFonts w:ascii="宋体" w:hAnsi="宋体" w:eastAsia="宋体"/>
          <w:color w:val="auto"/>
          <w:sz w:val="24"/>
          <w:szCs w:val="24"/>
          <w:highlight w:val="none"/>
        </w:rPr>
      </w:pPr>
    </w:p>
    <w:p w14:paraId="17127FCD">
      <w:pPr>
        <w:spacing w:line="360" w:lineRule="auto"/>
        <w:ind w:firstLine="435"/>
        <w:rPr>
          <w:rFonts w:ascii="宋体" w:hAnsi="宋体" w:eastAsia="宋体"/>
          <w:color w:val="auto"/>
          <w:sz w:val="24"/>
          <w:szCs w:val="24"/>
          <w:highlight w:val="none"/>
        </w:rPr>
      </w:pPr>
    </w:p>
    <w:p w14:paraId="76AED6F7">
      <w:pPr>
        <w:spacing w:line="360" w:lineRule="auto"/>
        <w:ind w:firstLine="435"/>
        <w:rPr>
          <w:rFonts w:ascii="宋体" w:hAnsi="宋体" w:eastAsia="宋体"/>
          <w:color w:val="auto"/>
          <w:sz w:val="24"/>
          <w:szCs w:val="24"/>
          <w:highlight w:val="none"/>
        </w:rPr>
      </w:pPr>
    </w:p>
    <w:p w14:paraId="0290496E">
      <w:pPr>
        <w:spacing w:line="360" w:lineRule="auto"/>
        <w:ind w:firstLine="435"/>
        <w:rPr>
          <w:rFonts w:hAnsi="宋体" w:eastAsia="宋体"/>
          <w:color w:val="auto"/>
          <w:sz w:val="24"/>
          <w:szCs w:val="24"/>
          <w:highlight w:val="none"/>
          <w:u w:val="single"/>
        </w:rPr>
      </w:pPr>
      <w:r>
        <w:rPr>
          <w:rFonts w:hint="eastAsia" w:ascii="宋体" w:hAnsi="宋体" w:eastAsia="宋体" w:cs="宋体"/>
          <w:color w:val="auto"/>
          <w:sz w:val="24"/>
          <w:szCs w:val="24"/>
          <w:highlight w:val="none"/>
        </w:rPr>
        <w:t>授权代表联系方式：</w:t>
      </w:r>
      <w:r>
        <w:rPr>
          <w:rFonts w:hint="eastAsia" w:ascii="宋体" w:hAnsi="宋体" w:eastAsia="宋体" w:cs="宋体"/>
          <w:color w:val="auto"/>
          <w:sz w:val="24"/>
          <w:szCs w:val="24"/>
          <w:highlight w:val="none"/>
          <w:u w:val="single"/>
        </w:rPr>
        <w:t>（请填写手机号码）</w:t>
      </w:r>
    </w:p>
    <w:p w14:paraId="02742981">
      <w:pPr>
        <w:spacing w:line="360" w:lineRule="auto"/>
        <w:ind w:firstLine="435"/>
        <w:rPr>
          <w:rFonts w:hAnsi="宋体" w:eastAsia="宋体"/>
          <w:color w:val="auto"/>
          <w:sz w:val="24"/>
          <w:szCs w:val="24"/>
          <w:highlight w:val="none"/>
        </w:rPr>
      </w:pPr>
    </w:p>
    <w:p w14:paraId="46B66161">
      <w:pPr>
        <w:spacing w:line="360" w:lineRule="auto"/>
        <w:ind w:firstLine="435"/>
        <w:rPr>
          <w:rFonts w:ascii="宋体" w:hAnsi="宋体" w:eastAsia="宋体"/>
          <w:color w:val="auto"/>
          <w:sz w:val="24"/>
          <w:szCs w:val="24"/>
          <w:highlight w:val="none"/>
        </w:rPr>
      </w:pPr>
      <w:r>
        <w:rPr>
          <w:rFonts w:hint="eastAsia" w:ascii="宋体" w:hAnsi="宋体" w:eastAsia="宋体" w:cs="宋体"/>
          <w:color w:val="auto"/>
          <w:sz w:val="24"/>
          <w:szCs w:val="24"/>
          <w:highlight w:val="none"/>
        </w:rPr>
        <w:t>特此声明。</w:t>
      </w:r>
    </w:p>
    <w:p w14:paraId="458666D1">
      <w:pPr>
        <w:spacing w:line="360" w:lineRule="auto"/>
        <w:rPr>
          <w:rFonts w:ascii="宋体" w:hAnsi="宋体" w:eastAsia="宋体"/>
          <w:color w:val="auto"/>
          <w:sz w:val="24"/>
          <w:szCs w:val="24"/>
          <w:highlight w:val="none"/>
        </w:rPr>
      </w:pPr>
    </w:p>
    <w:p w14:paraId="733209C4">
      <w:pPr>
        <w:spacing w:line="360" w:lineRule="auto"/>
        <w:ind w:firstLine="435"/>
        <w:jc w:val="center"/>
        <w:rPr>
          <w:rFonts w:ascii="宋体" w:hAnsi="宋体" w:eastAsia="宋体"/>
          <w:bCs/>
          <w:color w:val="auto"/>
          <w:sz w:val="24"/>
          <w:szCs w:val="24"/>
          <w:highlight w:val="none"/>
        </w:rPr>
      </w:pPr>
      <w:r>
        <w:rPr>
          <w:rFonts w:hint="eastAsia" w:ascii="宋体" w:hAnsi="宋体" w:eastAsia="宋体" w:cs="宋体"/>
          <w:bCs/>
          <w:color w:val="auto"/>
          <w:sz w:val="24"/>
          <w:szCs w:val="24"/>
          <w:highlight w:val="none"/>
        </w:rPr>
        <w:t>投标人电子签章：</w:t>
      </w:r>
    </w:p>
    <w:p w14:paraId="19B53F6A">
      <w:pPr>
        <w:spacing w:line="360" w:lineRule="auto"/>
        <w:ind w:firstLine="435"/>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日期：</w:t>
      </w:r>
    </w:p>
    <w:p w14:paraId="33DCFAB5">
      <w:pPr>
        <w:spacing w:line="360" w:lineRule="auto"/>
        <w:ind w:firstLine="435"/>
        <w:rPr>
          <w:rFonts w:ascii="宋体" w:hAnsi="宋体" w:eastAsia="宋体"/>
          <w:color w:val="auto"/>
          <w:sz w:val="24"/>
          <w:szCs w:val="24"/>
          <w:highlight w:val="none"/>
        </w:rPr>
      </w:pPr>
    </w:p>
    <w:p w14:paraId="25E6324E">
      <w:pPr>
        <w:spacing w:line="360" w:lineRule="auto"/>
        <w:ind w:firstLine="435"/>
        <w:rPr>
          <w:rFonts w:ascii="宋体" w:hAnsi="宋体" w:eastAsia="宋体"/>
          <w:color w:val="auto"/>
          <w:sz w:val="24"/>
          <w:szCs w:val="24"/>
          <w:highlight w:val="none"/>
        </w:rPr>
      </w:pPr>
    </w:p>
    <w:p w14:paraId="5B32FC39">
      <w:pPr>
        <w:spacing w:line="360" w:lineRule="auto"/>
        <w:rPr>
          <w:rFonts w:ascii="宋体" w:hAnsi="宋体" w:eastAsia="宋体"/>
          <w:color w:val="auto"/>
          <w:sz w:val="24"/>
          <w:szCs w:val="24"/>
          <w:highlight w:val="none"/>
        </w:rPr>
      </w:pPr>
      <w:r>
        <w:rPr>
          <w:rFonts w:hint="eastAsia" w:ascii="宋体" w:hAnsi="宋体" w:eastAsia="宋体" w:cs="宋体"/>
          <w:color w:val="auto"/>
          <w:sz w:val="24"/>
          <w:szCs w:val="24"/>
          <w:highlight w:val="none"/>
        </w:rPr>
        <w:t>注：</w:t>
      </w:r>
    </w:p>
    <w:p w14:paraId="1FC18D33">
      <w:pPr>
        <w:spacing w:line="360" w:lineRule="auto"/>
        <w:ind w:firstLine="435"/>
        <w:rPr>
          <w:rFonts w:ascii="宋体" w:hAnsi="宋体" w:eastAsia="宋体"/>
          <w:color w:val="auto"/>
          <w:sz w:val="24"/>
          <w:szCs w:val="24"/>
          <w:highlight w:val="none"/>
        </w:rPr>
      </w:pPr>
      <w:r>
        <w:rPr>
          <w:rFonts w:hint="eastAsia" w:ascii="宋体" w:hAnsi="宋体" w:eastAsia="宋体" w:cs="宋体"/>
          <w:color w:val="auto"/>
          <w:sz w:val="24"/>
          <w:szCs w:val="24"/>
          <w:highlight w:val="none"/>
        </w:rPr>
        <w:t>1.本项目只允许有唯一的投标人授权代表，提供身份证明扫描件；</w:t>
      </w:r>
    </w:p>
    <w:p w14:paraId="21A9968A">
      <w:pPr>
        <w:spacing w:line="360" w:lineRule="auto"/>
        <w:ind w:firstLine="4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2.法定代表人参加投标的无需提供授权书，提供身份证明扫描件。</w:t>
      </w:r>
    </w:p>
    <w:p w14:paraId="6B5649F4">
      <w:pPr>
        <w:spacing w:line="360" w:lineRule="auto"/>
        <w:jc w:val="center"/>
        <w:outlineLvl w:val="1"/>
        <w:rPr>
          <w:rFonts w:asciiTheme="minorEastAsia" w:hAnsiTheme="minorEastAsia" w:eastAsiaTheme="minorEastAsia"/>
          <w:b/>
          <w:color w:val="auto"/>
          <w:sz w:val="24"/>
          <w:highlight w:val="none"/>
        </w:rPr>
      </w:pPr>
    </w:p>
    <w:p w14:paraId="695C36A3">
      <w:pPr>
        <w:spacing w:line="360" w:lineRule="auto"/>
        <w:jc w:val="center"/>
        <w:outlineLvl w:val="1"/>
        <w:rPr>
          <w:rFonts w:asciiTheme="minorEastAsia" w:hAnsiTheme="minorEastAsia" w:eastAsiaTheme="minorEastAsia"/>
          <w:b/>
          <w:color w:val="auto"/>
          <w:sz w:val="24"/>
          <w:highlight w:val="none"/>
        </w:rPr>
      </w:pPr>
    </w:p>
    <w:p w14:paraId="6A31014B">
      <w:pP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627A8F58">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3</w:t>
      </w:r>
      <w:r>
        <w:rPr>
          <w:rFonts w:hint="eastAsia" w:asciiTheme="minorEastAsia" w:hAnsiTheme="minorEastAsia" w:eastAsiaTheme="minorEastAsia"/>
          <w:b/>
          <w:color w:val="auto"/>
          <w:sz w:val="24"/>
          <w:highlight w:val="none"/>
        </w:rPr>
        <w:t>）诚信投标承诺书</w:t>
      </w:r>
    </w:p>
    <w:p w14:paraId="23340790">
      <w:pPr>
        <w:spacing w:line="5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本人以企业法定代表人的身份郑重承诺：</w:t>
      </w:r>
    </w:p>
    <w:p w14:paraId="7ACB4471">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一、将遵循公开、公正和诚实信用的原则自愿参加项目的投标，所提供的一切材料都是真实、有效、合法的；</w:t>
      </w:r>
    </w:p>
    <w:p w14:paraId="289BCBB1">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53BBEC20">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三、不出借、转让资质证书，不让他人挂靠投标，不以他人名义投标或者以其他方式弄虚作假，骗取中标；</w:t>
      </w:r>
    </w:p>
    <w:p w14:paraId="320B8EAC">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四、不与其他投标人相互串通投标报价，不排挤其他投标人的公平竞争、损害招标人的合法权益；</w:t>
      </w:r>
    </w:p>
    <w:p w14:paraId="4CE88CBD">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五、不与招标人、招标代理机构或其他投标人串通投标，损害国家利益、社会公共利益或者他人的合法权益；</w:t>
      </w:r>
    </w:p>
    <w:p w14:paraId="6FD33E52">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六、我公司没有下列情形：1、被人民法院列入失信被执行人的；2、我公司及其法定代表人、拟派项目经理（项目负责人）前三年有行贿犯罪行为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若招标文件对投标人所属分公司、办事处等分支机构有上述1-6项信誉要求，在此一并承诺我公司所属分公司、办事处等分支机构没有上述1-6项情形）</w:t>
      </w:r>
    </w:p>
    <w:p w14:paraId="75660119">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七、我公司没有下列情形：被滁州市县两级公管部门记入不良行为记录且在披露期内。</w:t>
      </w:r>
    </w:p>
    <w:p w14:paraId="491E7C97">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八、严格遵守开标现场纪律，服从监管人员管理；</w:t>
      </w:r>
    </w:p>
    <w:p w14:paraId="62DB0D36">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九、保证中标后不转包，若有分包征得采购人同意；</w:t>
      </w:r>
    </w:p>
    <w:p w14:paraId="4778C953">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十、保证中标之后，按照投标文件要求提供相关后续服务；</w:t>
      </w:r>
    </w:p>
    <w:p w14:paraId="0B386D39">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十一、保证企业及所属相关人员在本次投标中无行贿等犯罪行为；</w:t>
      </w:r>
    </w:p>
    <w:p w14:paraId="77FEC680">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十二、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1865241F">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以上内容我已仔细阅读，本公司若有违反承诺内容的行为，自愿接受取消投标或者中标资格、记入不良行为记录等有关处理，愿意承担法律责任，给招标人造成损失的，依法承担赔偿责任。</w:t>
      </w:r>
    </w:p>
    <w:p w14:paraId="64250C90">
      <w:pPr>
        <w:spacing w:line="500" w:lineRule="exact"/>
        <w:ind w:firstLine="420" w:firstLineChars="200"/>
        <w:rPr>
          <w:rFonts w:ascii="宋体" w:hAnsi="宋体" w:eastAsia="宋体" w:cs="宋体"/>
          <w:color w:val="auto"/>
          <w:szCs w:val="21"/>
          <w:highlight w:val="none"/>
        </w:rPr>
      </w:pPr>
    </w:p>
    <w:p w14:paraId="772BF7F8">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开户银行：                      基本账户：</w:t>
      </w:r>
    </w:p>
    <w:p w14:paraId="47FE5192">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投标单位（签章）：              法定代表人（签章）：</w:t>
      </w:r>
    </w:p>
    <w:p w14:paraId="0EE1006C">
      <w:pPr>
        <w:spacing w:line="500" w:lineRule="exact"/>
        <w:ind w:firstLine="420" w:firstLineChars="200"/>
        <w:rPr>
          <w:rFonts w:ascii="宋体" w:hAnsi="宋体" w:eastAsia="宋体" w:cs="宋体"/>
          <w:color w:val="auto"/>
          <w:szCs w:val="21"/>
          <w:highlight w:val="none"/>
        </w:rPr>
      </w:pPr>
    </w:p>
    <w:p w14:paraId="05E12560">
      <w:pPr>
        <w:spacing w:line="560" w:lineRule="exact"/>
        <w:jc w:val="right"/>
        <w:rPr>
          <w:rFonts w:ascii="仿宋_GB2312" w:eastAsia="仿宋_GB2312" w:cs="仿宋_GB2312"/>
          <w:color w:val="auto"/>
          <w:sz w:val="32"/>
          <w:szCs w:val="32"/>
          <w:highlight w:val="none"/>
        </w:rPr>
      </w:pPr>
      <w:r>
        <w:rPr>
          <w:rFonts w:hint="eastAsia" w:ascii="宋体" w:hAnsi="宋体" w:eastAsia="宋体" w:cs="宋体"/>
          <w:color w:val="auto"/>
          <w:szCs w:val="21"/>
          <w:highlight w:val="none"/>
        </w:rPr>
        <w:t>日期：年 月 日</w:t>
      </w:r>
    </w:p>
    <w:p w14:paraId="39BA1986">
      <w:pPr>
        <w:spacing w:line="360" w:lineRule="auto"/>
        <w:jc w:val="center"/>
        <w:outlineLvl w:val="1"/>
        <w:rPr>
          <w:rFonts w:asciiTheme="minorEastAsia" w:hAnsiTheme="minorEastAsia" w:eastAsiaTheme="minorEastAsia"/>
          <w:b/>
          <w:color w:val="auto"/>
          <w:sz w:val="24"/>
          <w:highlight w:val="none"/>
        </w:rPr>
      </w:pPr>
    </w:p>
    <w:p w14:paraId="41F421FA">
      <w:pPr>
        <w:spacing w:line="360" w:lineRule="auto"/>
        <w:jc w:val="center"/>
        <w:outlineLvl w:val="1"/>
        <w:rPr>
          <w:rFonts w:asciiTheme="minorEastAsia" w:hAnsiTheme="minorEastAsia" w:eastAsiaTheme="minorEastAsia"/>
          <w:b/>
          <w:color w:val="auto"/>
          <w:sz w:val="24"/>
          <w:highlight w:val="none"/>
        </w:rPr>
      </w:pPr>
    </w:p>
    <w:p w14:paraId="2B74CF61">
      <w:pPr>
        <w:wordWrap w:val="0"/>
        <w:spacing w:line="400" w:lineRule="exact"/>
        <w:jc w:val="center"/>
        <w:outlineLvl w:val="1"/>
        <w:rPr>
          <w:rFonts w:asciiTheme="minorEastAsia" w:hAnsiTheme="minorEastAsia" w:eastAsiaTheme="minorEastAsia"/>
          <w:b/>
          <w:color w:val="auto"/>
          <w:sz w:val="24"/>
          <w:highlight w:val="none"/>
        </w:rPr>
      </w:pPr>
      <w:bookmarkStart w:id="205" w:name="_Toc11594"/>
      <w:bookmarkStart w:id="206" w:name="_Toc9864"/>
    </w:p>
    <w:p w14:paraId="5ECA37A7">
      <w:pPr>
        <w:wordWrap w:val="0"/>
        <w:spacing w:line="400" w:lineRule="exact"/>
        <w:jc w:val="center"/>
        <w:outlineLvl w:val="1"/>
        <w:rPr>
          <w:rFonts w:asciiTheme="minorEastAsia" w:hAnsiTheme="minorEastAsia" w:eastAsiaTheme="minorEastAsia"/>
          <w:b/>
          <w:color w:val="auto"/>
          <w:sz w:val="24"/>
          <w:highlight w:val="none"/>
        </w:rPr>
      </w:pPr>
    </w:p>
    <w:p w14:paraId="0578CF5C">
      <w:pPr>
        <w:wordWrap w:val="0"/>
        <w:spacing w:line="400" w:lineRule="exact"/>
        <w:jc w:val="center"/>
        <w:outlineLvl w:val="1"/>
        <w:rPr>
          <w:rFonts w:asciiTheme="minorEastAsia" w:hAnsiTheme="minorEastAsia" w:eastAsiaTheme="minorEastAsia"/>
          <w:b/>
          <w:color w:val="auto"/>
          <w:sz w:val="24"/>
          <w:highlight w:val="none"/>
        </w:rPr>
      </w:pPr>
    </w:p>
    <w:p w14:paraId="60F3C168">
      <w:pPr>
        <w:wordWrap w:val="0"/>
        <w:spacing w:line="400" w:lineRule="exact"/>
        <w:jc w:val="center"/>
        <w:outlineLvl w:val="1"/>
        <w:rPr>
          <w:rFonts w:asciiTheme="minorEastAsia" w:hAnsiTheme="minorEastAsia" w:eastAsiaTheme="minorEastAsia"/>
          <w:b/>
          <w:color w:val="auto"/>
          <w:sz w:val="24"/>
          <w:highlight w:val="none"/>
        </w:rPr>
      </w:pPr>
    </w:p>
    <w:p w14:paraId="3892E2B4">
      <w:pPr>
        <w:wordWrap w:val="0"/>
        <w:spacing w:line="400" w:lineRule="exact"/>
        <w:jc w:val="center"/>
        <w:outlineLvl w:val="1"/>
        <w:rPr>
          <w:rFonts w:asciiTheme="minorEastAsia" w:hAnsiTheme="minorEastAsia" w:eastAsiaTheme="minorEastAsia"/>
          <w:b/>
          <w:color w:val="auto"/>
          <w:sz w:val="24"/>
          <w:highlight w:val="none"/>
        </w:rPr>
      </w:pPr>
    </w:p>
    <w:p w14:paraId="0991DFED">
      <w:pPr>
        <w:wordWrap w:val="0"/>
        <w:spacing w:line="400" w:lineRule="exact"/>
        <w:jc w:val="center"/>
        <w:outlineLvl w:val="1"/>
        <w:rPr>
          <w:rFonts w:asciiTheme="minorEastAsia" w:hAnsiTheme="minorEastAsia" w:eastAsiaTheme="minorEastAsia"/>
          <w:b/>
          <w:color w:val="auto"/>
          <w:sz w:val="24"/>
          <w:highlight w:val="none"/>
        </w:rPr>
      </w:pPr>
    </w:p>
    <w:p w14:paraId="227EF1FE">
      <w:pPr>
        <w:wordWrap w:val="0"/>
        <w:spacing w:line="400" w:lineRule="exact"/>
        <w:jc w:val="center"/>
        <w:outlineLvl w:val="1"/>
        <w:rPr>
          <w:rFonts w:asciiTheme="minorEastAsia" w:hAnsiTheme="minorEastAsia" w:eastAsiaTheme="minorEastAsia"/>
          <w:b/>
          <w:color w:val="auto"/>
          <w:sz w:val="24"/>
          <w:highlight w:val="none"/>
        </w:rPr>
      </w:pPr>
    </w:p>
    <w:p w14:paraId="66021C38">
      <w:pPr>
        <w:wordWrap w:val="0"/>
        <w:spacing w:line="400" w:lineRule="exact"/>
        <w:jc w:val="center"/>
        <w:outlineLvl w:val="1"/>
        <w:rPr>
          <w:rFonts w:asciiTheme="minorEastAsia" w:hAnsiTheme="minorEastAsia" w:eastAsiaTheme="minorEastAsia"/>
          <w:b/>
          <w:color w:val="auto"/>
          <w:sz w:val="24"/>
          <w:highlight w:val="none"/>
        </w:rPr>
      </w:pPr>
    </w:p>
    <w:p w14:paraId="7276738F">
      <w:pPr>
        <w:wordWrap w:val="0"/>
        <w:spacing w:line="400" w:lineRule="exact"/>
        <w:jc w:val="center"/>
        <w:outlineLvl w:val="1"/>
        <w:rPr>
          <w:rFonts w:asciiTheme="minorEastAsia" w:hAnsiTheme="minorEastAsia" w:eastAsiaTheme="minorEastAsia"/>
          <w:b/>
          <w:color w:val="auto"/>
          <w:sz w:val="24"/>
          <w:highlight w:val="none"/>
        </w:rPr>
      </w:pPr>
    </w:p>
    <w:p w14:paraId="718C1B10">
      <w:pPr>
        <w:wordWrap w:val="0"/>
        <w:spacing w:line="400" w:lineRule="exact"/>
        <w:jc w:val="center"/>
        <w:outlineLvl w:val="1"/>
        <w:rPr>
          <w:rFonts w:asciiTheme="minorEastAsia" w:hAnsiTheme="minorEastAsia" w:eastAsiaTheme="minorEastAsia"/>
          <w:b/>
          <w:color w:val="auto"/>
          <w:sz w:val="24"/>
          <w:highlight w:val="none"/>
        </w:rPr>
      </w:pPr>
    </w:p>
    <w:p w14:paraId="783CD751">
      <w:pPr>
        <w:wordWrap w:val="0"/>
        <w:spacing w:line="400" w:lineRule="exact"/>
        <w:jc w:val="center"/>
        <w:outlineLvl w:val="1"/>
        <w:rPr>
          <w:rFonts w:asciiTheme="minorEastAsia" w:hAnsiTheme="minorEastAsia" w:eastAsiaTheme="minorEastAsia"/>
          <w:b/>
          <w:color w:val="auto"/>
          <w:sz w:val="24"/>
          <w:highlight w:val="none"/>
        </w:rPr>
      </w:pPr>
    </w:p>
    <w:p w14:paraId="62DBB371">
      <w:pPr>
        <w:wordWrap w:val="0"/>
        <w:spacing w:line="400" w:lineRule="exact"/>
        <w:jc w:val="center"/>
        <w:outlineLvl w:val="1"/>
        <w:rPr>
          <w:rFonts w:asciiTheme="minorEastAsia" w:hAnsiTheme="minorEastAsia" w:eastAsiaTheme="minorEastAsia"/>
          <w:b/>
          <w:color w:val="auto"/>
          <w:sz w:val="24"/>
          <w:highlight w:val="none"/>
        </w:rPr>
      </w:pPr>
    </w:p>
    <w:p w14:paraId="2E36A3F1">
      <w:pPr>
        <w:wordWrap w:val="0"/>
        <w:spacing w:line="400" w:lineRule="exact"/>
        <w:jc w:val="center"/>
        <w:outlineLvl w:val="1"/>
        <w:rPr>
          <w:rFonts w:asciiTheme="minorEastAsia" w:hAnsiTheme="minorEastAsia" w:eastAsiaTheme="minorEastAsia"/>
          <w:b/>
          <w:color w:val="auto"/>
          <w:sz w:val="24"/>
          <w:highlight w:val="none"/>
        </w:rPr>
      </w:pPr>
    </w:p>
    <w:p w14:paraId="3392BD59">
      <w:pPr>
        <w:wordWrap w:val="0"/>
        <w:spacing w:line="400" w:lineRule="exact"/>
        <w:jc w:val="center"/>
        <w:outlineLvl w:val="1"/>
        <w:rPr>
          <w:rFonts w:asciiTheme="minorEastAsia" w:hAnsiTheme="minorEastAsia" w:eastAsiaTheme="minorEastAsia"/>
          <w:b/>
          <w:color w:val="auto"/>
          <w:sz w:val="24"/>
          <w:highlight w:val="none"/>
        </w:rPr>
      </w:pPr>
    </w:p>
    <w:p w14:paraId="0E352AA0">
      <w:pPr>
        <w:wordWrap w:val="0"/>
        <w:spacing w:line="400" w:lineRule="exact"/>
        <w:jc w:val="center"/>
        <w:outlineLvl w:val="1"/>
        <w:rPr>
          <w:rFonts w:asciiTheme="minorEastAsia" w:hAnsiTheme="minorEastAsia" w:eastAsiaTheme="minorEastAsia"/>
          <w:b/>
          <w:color w:val="auto"/>
          <w:sz w:val="24"/>
          <w:highlight w:val="none"/>
        </w:rPr>
      </w:pPr>
    </w:p>
    <w:p w14:paraId="75E8CD33">
      <w:pPr>
        <w:wordWrap w:val="0"/>
        <w:spacing w:line="400" w:lineRule="exact"/>
        <w:jc w:val="center"/>
        <w:outlineLvl w:val="1"/>
        <w:rPr>
          <w:rFonts w:asciiTheme="minorEastAsia" w:hAnsiTheme="minorEastAsia" w:eastAsiaTheme="minorEastAsia"/>
          <w:b/>
          <w:color w:val="auto"/>
          <w:sz w:val="24"/>
          <w:highlight w:val="none"/>
        </w:rPr>
      </w:pPr>
    </w:p>
    <w:p w14:paraId="5CE65FEC">
      <w:pPr>
        <w:wordWrap w:val="0"/>
        <w:spacing w:line="400" w:lineRule="exact"/>
        <w:jc w:val="center"/>
        <w:outlineLvl w:val="1"/>
        <w:rPr>
          <w:rFonts w:asciiTheme="minorEastAsia" w:hAnsiTheme="minorEastAsia" w:eastAsiaTheme="minorEastAsia"/>
          <w:b/>
          <w:color w:val="auto"/>
          <w:sz w:val="24"/>
          <w:highlight w:val="none"/>
        </w:rPr>
      </w:pPr>
    </w:p>
    <w:p w14:paraId="6FE239B6">
      <w:pPr>
        <w:wordWrap w:val="0"/>
        <w:spacing w:line="400" w:lineRule="exact"/>
        <w:jc w:val="center"/>
        <w:outlineLvl w:val="1"/>
        <w:rPr>
          <w:rFonts w:asciiTheme="minorEastAsia" w:hAnsiTheme="minorEastAsia" w:eastAsiaTheme="minorEastAsia"/>
          <w:b/>
          <w:color w:val="auto"/>
          <w:sz w:val="24"/>
          <w:highlight w:val="none"/>
        </w:rPr>
      </w:pPr>
    </w:p>
    <w:bookmarkEnd w:id="205"/>
    <w:bookmarkEnd w:id="206"/>
    <w:p w14:paraId="05CC3F50">
      <w:pPr>
        <w:rPr>
          <w:rFonts w:asciiTheme="minorEastAsia" w:hAnsiTheme="minorEastAsia" w:eastAsiaTheme="minorEastAsia"/>
          <w:b/>
          <w:color w:val="auto"/>
          <w:sz w:val="24"/>
          <w:highlight w:val="none"/>
        </w:rPr>
      </w:pPr>
    </w:p>
    <w:p w14:paraId="03EE9934">
      <w:pPr>
        <w:jc w:val="center"/>
        <w:rPr>
          <w:rFonts w:asciiTheme="minorEastAsia" w:hAnsiTheme="minorEastAsia" w:eastAsiaTheme="minorEastAsia"/>
          <w:b/>
          <w:color w:val="auto"/>
          <w:sz w:val="24"/>
          <w:highlight w:val="none"/>
        </w:rPr>
      </w:pPr>
    </w:p>
    <w:p w14:paraId="287C680B">
      <w:pP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二、技术标格式文件</w:t>
      </w:r>
    </w:p>
    <w:p w14:paraId="6A50AA60">
      <w:pPr>
        <w:jc w:val="center"/>
        <w:rPr>
          <w:rFonts w:ascii="黑体" w:hAnsi="宋体" w:eastAsia="黑体" w:cs="黑体"/>
          <w:color w:val="auto"/>
          <w:sz w:val="20"/>
          <w:highlight w:val="none"/>
        </w:rPr>
      </w:pPr>
    </w:p>
    <w:p w14:paraId="5475A874">
      <w:pPr>
        <w:rPr>
          <w:rFonts w:ascii="黑体" w:hAnsi="宋体" w:eastAsia="黑体" w:cs="黑体"/>
          <w:color w:val="auto"/>
          <w:sz w:val="20"/>
          <w:highlight w:val="none"/>
        </w:rPr>
      </w:pPr>
    </w:p>
    <w:p w14:paraId="1C230394">
      <w:pPr>
        <w:jc w:val="center"/>
        <w:rPr>
          <w:rFonts w:ascii="宋体" w:hAnsi="宋体" w:eastAsia="宋体" w:cs="宋体"/>
          <w:b/>
          <w:color w:val="auto"/>
          <w:sz w:val="44"/>
          <w:szCs w:val="44"/>
          <w:highlight w:val="none"/>
        </w:rPr>
      </w:pPr>
    </w:p>
    <w:p w14:paraId="5747913C">
      <w:pPr>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技术标</w:t>
      </w:r>
    </w:p>
    <w:p w14:paraId="6414DA23">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（投标文件二）</w:t>
      </w:r>
    </w:p>
    <w:p w14:paraId="36E60F61">
      <w:pPr>
        <w:jc w:val="center"/>
        <w:rPr>
          <w:rFonts w:ascii="宋体" w:hAnsi="宋体" w:eastAsia="宋体" w:cs="宋体"/>
          <w:color w:val="auto"/>
          <w:sz w:val="32"/>
          <w:szCs w:val="32"/>
          <w:highlight w:val="none"/>
          <w:u w:val="single"/>
        </w:rPr>
      </w:pPr>
    </w:p>
    <w:p w14:paraId="3B9C297F">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w:t>
      </w:r>
    </w:p>
    <w:p w14:paraId="79B562D1">
      <w:pPr>
        <w:jc w:val="center"/>
        <w:rPr>
          <w:rFonts w:ascii="宋体" w:hAnsi="宋体" w:eastAsia="宋体" w:cs="宋体"/>
          <w:color w:val="auto"/>
          <w:sz w:val="28"/>
          <w:szCs w:val="28"/>
          <w:highlight w:val="none"/>
        </w:rPr>
      </w:pPr>
    </w:p>
    <w:p w14:paraId="15EDAEA8">
      <w:pPr>
        <w:jc w:val="center"/>
        <w:rPr>
          <w:rFonts w:ascii="宋体" w:hAnsi="宋体" w:eastAsia="宋体" w:cs="宋体"/>
          <w:color w:val="auto"/>
          <w:sz w:val="44"/>
          <w:szCs w:val="44"/>
          <w:highlight w:val="none"/>
        </w:rPr>
      </w:pPr>
      <w:r>
        <w:rPr>
          <w:rFonts w:hint="eastAsia" w:ascii="宋体" w:hAnsi="宋体" w:eastAsia="宋体" w:cs="宋体"/>
          <w:color w:val="auto"/>
          <w:sz w:val="28"/>
          <w:szCs w:val="28"/>
          <w:highlight w:val="none"/>
        </w:rPr>
        <w:t>项目编号：</w:t>
      </w:r>
    </w:p>
    <w:p w14:paraId="6A95A291">
      <w:pPr>
        <w:rPr>
          <w:rFonts w:ascii="宋体" w:hAnsi="宋体" w:eastAsia="宋体" w:cs="宋体"/>
          <w:color w:val="auto"/>
          <w:sz w:val="28"/>
          <w:szCs w:val="28"/>
          <w:highlight w:val="none"/>
        </w:rPr>
      </w:pPr>
    </w:p>
    <w:p w14:paraId="3B77F59E">
      <w:pPr>
        <w:rPr>
          <w:rFonts w:ascii="宋体" w:hAnsi="宋体" w:eastAsia="宋体" w:cs="宋体"/>
          <w:color w:val="auto"/>
          <w:sz w:val="28"/>
          <w:szCs w:val="28"/>
          <w:highlight w:val="none"/>
        </w:rPr>
      </w:pPr>
    </w:p>
    <w:p w14:paraId="70F81300">
      <w:pPr>
        <w:jc w:val="center"/>
        <w:rPr>
          <w:rFonts w:ascii="宋体" w:hAnsi="宋体" w:eastAsia="宋体" w:cs="宋体"/>
          <w:color w:val="auto"/>
          <w:sz w:val="28"/>
          <w:szCs w:val="28"/>
          <w:highlight w:val="none"/>
        </w:rPr>
      </w:pPr>
    </w:p>
    <w:p w14:paraId="5E724760">
      <w:pPr>
        <w:jc w:val="center"/>
        <w:rPr>
          <w:rFonts w:ascii="宋体" w:hAnsi="宋体" w:eastAsia="宋体" w:cs="宋体"/>
          <w:color w:val="auto"/>
          <w:sz w:val="28"/>
          <w:szCs w:val="28"/>
          <w:highlight w:val="none"/>
        </w:rPr>
      </w:pPr>
    </w:p>
    <w:p w14:paraId="469B4AD2">
      <w:pPr>
        <w:jc w:val="center"/>
        <w:rPr>
          <w:rFonts w:ascii="宋体" w:hAnsi="宋体" w:eastAsia="宋体" w:cs="宋体"/>
          <w:color w:val="auto"/>
          <w:sz w:val="28"/>
          <w:szCs w:val="28"/>
          <w:highlight w:val="none"/>
        </w:rPr>
      </w:pPr>
    </w:p>
    <w:p w14:paraId="24DA39F3">
      <w:pPr>
        <w:jc w:val="center"/>
        <w:rPr>
          <w:rFonts w:ascii="宋体" w:hAnsi="宋体" w:eastAsia="宋体" w:cs="宋体"/>
          <w:color w:val="auto"/>
          <w:sz w:val="28"/>
          <w:szCs w:val="28"/>
          <w:highlight w:val="none"/>
        </w:rPr>
      </w:pPr>
    </w:p>
    <w:p w14:paraId="7E66D9CC">
      <w:pPr>
        <w:jc w:val="center"/>
        <w:rPr>
          <w:rFonts w:ascii="宋体" w:hAnsi="宋体" w:eastAsia="宋体" w:cs="宋体"/>
          <w:color w:val="auto"/>
          <w:sz w:val="28"/>
          <w:szCs w:val="28"/>
          <w:highlight w:val="none"/>
        </w:rPr>
      </w:pPr>
    </w:p>
    <w:p w14:paraId="23B299D3">
      <w:pPr>
        <w:autoSpaceDE w:val="0"/>
        <w:spacing w:line="360" w:lineRule="auto"/>
        <w:jc w:val="center"/>
        <w:rPr>
          <w:rFonts w:ascii="宋体" w:hAnsi="宋体" w:eastAsia="宋体" w:cs="宋体"/>
          <w:color w:val="auto"/>
          <w:sz w:val="28"/>
          <w:szCs w:val="28"/>
          <w:highlight w:val="none"/>
        </w:rPr>
      </w:pPr>
    </w:p>
    <w:p w14:paraId="7A339765">
      <w:pPr>
        <w:autoSpaceDE w:val="0"/>
        <w:spacing w:line="360" w:lineRule="auto"/>
        <w:jc w:val="center"/>
        <w:rPr>
          <w:rFonts w:ascii="宋体" w:hAnsi="宋体" w:eastAsia="宋体" w:cs="宋体"/>
          <w:color w:val="auto"/>
          <w:sz w:val="28"/>
          <w:szCs w:val="28"/>
          <w:highlight w:val="none"/>
        </w:rPr>
      </w:pPr>
    </w:p>
    <w:p w14:paraId="1E5B4D75">
      <w:pPr>
        <w:autoSpaceDE w:val="0"/>
        <w:spacing w:line="360" w:lineRule="auto"/>
        <w:jc w:val="cente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投标人：（签章）</w:t>
      </w:r>
    </w:p>
    <w:p w14:paraId="67A780C7">
      <w:pPr>
        <w:autoSpaceDE w:val="0"/>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法定代表人：（签章）</w:t>
      </w:r>
    </w:p>
    <w:p w14:paraId="521B6B5C">
      <w:pPr>
        <w:autoSpaceDE w:val="0"/>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年月日</w:t>
      </w:r>
    </w:p>
    <w:p w14:paraId="2E18F11C">
      <w:pPr>
        <w:spacing w:line="360" w:lineRule="auto"/>
        <w:jc w:val="center"/>
        <w:outlineLvl w:val="1"/>
        <w:rPr>
          <w:rFonts w:asciiTheme="minorEastAsia" w:hAnsiTheme="minorEastAsia" w:eastAsiaTheme="minorEastAsia"/>
          <w:b/>
          <w:color w:val="auto"/>
          <w:sz w:val="24"/>
          <w:highlight w:val="none"/>
        </w:rPr>
      </w:pPr>
    </w:p>
    <w:p w14:paraId="2B1170FE">
      <w:pPr>
        <w:spacing w:line="360" w:lineRule="auto"/>
        <w:jc w:val="center"/>
        <w:outlineLvl w:val="1"/>
        <w:rPr>
          <w:rFonts w:asciiTheme="minorEastAsia" w:hAnsiTheme="minorEastAsia" w:eastAsiaTheme="minorEastAsia"/>
          <w:b/>
          <w:color w:val="auto"/>
          <w:sz w:val="24"/>
          <w:highlight w:val="none"/>
        </w:rPr>
      </w:pPr>
    </w:p>
    <w:p w14:paraId="68F72252">
      <w:pPr>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14:paraId="672CD08B">
      <w:pPr>
        <w:spacing w:line="400" w:lineRule="exact"/>
        <w:ind w:firstLine="3744" w:firstLineChars="1036"/>
        <w:rPr>
          <w:rFonts w:ascii="宋体" w:hAnsi="宋体" w:eastAsia="宋体" w:cs="宋体"/>
          <w:b/>
          <w:color w:val="auto"/>
          <w:sz w:val="36"/>
          <w:szCs w:val="36"/>
          <w:highlight w:val="none"/>
        </w:rPr>
      </w:pPr>
    </w:p>
    <w:p w14:paraId="330C85CA">
      <w:pPr>
        <w:spacing w:line="400" w:lineRule="exact"/>
        <w:ind w:firstLine="480" w:firstLineChars="200"/>
        <w:rPr>
          <w:rFonts w:ascii="宋体" w:hAnsi="宋体" w:eastAsia="宋体" w:cs="宋体"/>
          <w:bCs/>
          <w:color w:val="auto"/>
          <w:sz w:val="24"/>
          <w:szCs w:val="24"/>
          <w:highlight w:val="none"/>
        </w:rPr>
      </w:pPr>
      <w:r>
        <w:rPr>
          <w:rFonts w:hint="eastAsia" w:cs="Times New Roman" w:asciiTheme="minorEastAsia" w:hAnsiTheme="minorEastAsia" w:eastAsiaTheme="minorEastAsia"/>
          <w:color w:val="auto"/>
          <w:sz w:val="24"/>
          <w:szCs w:val="24"/>
          <w:highlight w:val="none"/>
        </w:rPr>
        <w:t>（</w:t>
      </w:r>
      <w:r>
        <w:rPr>
          <w:rFonts w:hint="eastAsia" w:ascii="宋体" w:hAnsi="宋体" w:eastAsia="宋体" w:cs="宋体"/>
          <w:bCs/>
          <w:color w:val="auto"/>
          <w:sz w:val="24"/>
          <w:szCs w:val="24"/>
          <w:highlight w:val="none"/>
        </w:rPr>
        <w:t>1）投标响应表（格式见附件）；</w:t>
      </w:r>
    </w:p>
    <w:p w14:paraId="1D81636B">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（2）诚信履约承诺函（格式见附件）；</w:t>
      </w:r>
    </w:p>
    <w:p w14:paraId="5CA24E6D">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（3）招标文件中要求的技术标评审及技术标评分的支持资料；</w:t>
      </w:r>
    </w:p>
    <w:p w14:paraId="5504098B">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color w:val="auto"/>
          <w:sz w:val="24"/>
          <w:szCs w:val="24"/>
          <w:highlight w:val="none"/>
        </w:rPr>
        <w:t>投标人认为需要提供的其他技术证明材料</w:t>
      </w:r>
      <w:r>
        <w:rPr>
          <w:rFonts w:hint="eastAsia" w:ascii="宋体" w:hAnsi="宋体" w:eastAsia="宋体" w:cs="宋体"/>
          <w:bCs/>
          <w:color w:val="auto"/>
          <w:sz w:val="24"/>
          <w:szCs w:val="24"/>
          <w:highlight w:val="none"/>
        </w:rPr>
        <w:t>。</w:t>
      </w:r>
    </w:p>
    <w:p w14:paraId="1CD44E2E">
      <w:pPr>
        <w:spacing w:line="400" w:lineRule="exact"/>
        <w:ind w:firstLine="480" w:firstLineChars="200"/>
        <w:rPr>
          <w:rFonts w:ascii="宋体" w:hAnsi="宋体" w:eastAsia="宋体" w:cs="宋体"/>
          <w:bCs/>
          <w:color w:val="auto"/>
          <w:sz w:val="24"/>
          <w:szCs w:val="24"/>
          <w:highlight w:val="none"/>
        </w:rPr>
      </w:pPr>
    </w:p>
    <w:p w14:paraId="1FAFC3A8">
      <w:pPr>
        <w:spacing w:line="360" w:lineRule="auto"/>
        <w:jc w:val="center"/>
        <w:outlineLvl w:val="1"/>
        <w:rPr>
          <w:rFonts w:asciiTheme="minorEastAsia" w:hAnsiTheme="minorEastAsia" w:eastAsiaTheme="minorEastAsia"/>
          <w:b/>
          <w:color w:val="auto"/>
          <w:sz w:val="24"/>
          <w:highlight w:val="none"/>
        </w:rPr>
      </w:pPr>
    </w:p>
    <w:p w14:paraId="51B15EC6">
      <w:pPr>
        <w:spacing w:line="360" w:lineRule="auto"/>
        <w:jc w:val="center"/>
        <w:outlineLvl w:val="1"/>
        <w:rPr>
          <w:rFonts w:asciiTheme="minorEastAsia" w:hAnsiTheme="minorEastAsia" w:eastAsiaTheme="minorEastAsia"/>
          <w:b/>
          <w:color w:val="auto"/>
          <w:sz w:val="24"/>
          <w:highlight w:val="none"/>
        </w:rPr>
      </w:pPr>
    </w:p>
    <w:p w14:paraId="37C1B07F">
      <w:pP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450A7504">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（1）投标响应表</w:t>
      </w:r>
    </w:p>
    <w:p w14:paraId="411C0B42">
      <w:pPr>
        <w:spacing w:line="360" w:lineRule="auto"/>
        <w:ind w:firstLine="435"/>
        <w:outlineLvl w:val="2"/>
        <w:rPr>
          <w:rFonts w:ascii="宋体" w:hAnsi="宋体" w:eastAsia="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b/>
          <w:color w:val="auto"/>
          <w:sz w:val="24"/>
          <w:szCs w:val="24"/>
          <w:highlight w:val="none"/>
        </w:rPr>
        <w:t>.1</w:t>
      </w:r>
      <w:r>
        <w:rPr>
          <w:rFonts w:hint="eastAsia" w:ascii="宋体" w:hAnsi="宋体" w:eastAsia="宋体" w:cs="宋体"/>
          <w:b/>
          <w:color w:val="auto"/>
          <w:sz w:val="24"/>
          <w:szCs w:val="24"/>
          <w:highlight w:val="none"/>
        </w:rPr>
        <w:t>商务响应表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992"/>
        <w:gridCol w:w="2596"/>
        <w:gridCol w:w="2676"/>
        <w:gridCol w:w="842"/>
      </w:tblGrid>
      <w:tr w14:paraId="76F8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509102A">
            <w:pPr>
              <w:pStyle w:val="28"/>
              <w:spacing w:before="0" w:beforeAutospacing="0" w:after="0" w:afterAutospacing="0"/>
              <w:jc w:val="center"/>
              <w:rPr>
                <w:rFonts w:ascii="宋体" w:hAnsi="宋体" w:eastAsia="宋体" w:cs="Wingdings"/>
                <w:b/>
                <w:color w:val="auto"/>
                <w:kern w:val="2"/>
                <w:szCs w:val="24"/>
                <w:highlight w:val="none"/>
              </w:rPr>
            </w:pPr>
            <w:r>
              <w:rPr>
                <w:rFonts w:hint="eastAsia" w:ascii="宋体" w:hAnsi="宋体" w:eastAsia="宋体" w:cs="宋体"/>
                <w:b/>
                <w:color w:val="auto"/>
                <w:kern w:val="2"/>
                <w:szCs w:val="24"/>
                <w:highlight w:val="none"/>
              </w:rPr>
              <w:t>序号</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60987766">
            <w:pPr>
              <w:pStyle w:val="28"/>
              <w:spacing w:before="0" w:beforeAutospacing="0" w:after="0" w:afterAutospacing="0"/>
              <w:jc w:val="center"/>
              <w:rPr>
                <w:rFonts w:ascii="宋体" w:hAnsi="宋体" w:eastAsia="宋体" w:cs="Wingdings"/>
                <w:b/>
                <w:color w:val="auto"/>
                <w:kern w:val="2"/>
                <w:szCs w:val="24"/>
                <w:highlight w:val="none"/>
              </w:rPr>
            </w:pPr>
            <w:r>
              <w:rPr>
                <w:rFonts w:hint="eastAsia" w:ascii="宋体" w:hAnsi="宋体" w:eastAsia="宋体" w:cs="宋体"/>
                <w:b/>
                <w:bCs/>
                <w:color w:val="auto"/>
                <w:kern w:val="2"/>
                <w:szCs w:val="24"/>
                <w:highlight w:val="none"/>
              </w:rPr>
              <w:t>商务条款</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020D53F3">
            <w:pPr>
              <w:pStyle w:val="28"/>
              <w:spacing w:before="0" w:beforeAutospacing="0" w:after="0" w:afterAutospacing="0"/>
              <w:jc w:val="center"/>
              <w:rPr>
                <w:rFonts w:ascii="宋体" w:hAnsi="宋体" w:eastAsia="宋体" w:cs="Wingdings"/>
                <w:b/>
                <w:color w:val="auto"/>
                <w:kern w:val="2"/>
                <w:szCs w:val="24"/>
                <w:highlight w:val="none"/>
              </w:rPr>
            </w:pPr>
            <w:r>
              <w:rPr>
                <w:rFonts w:hint="eastAsia" w:ascii="宋体" w:hAnsi="宋体" w:eastAsia="宋体" w:cs="宋体"/>
                <w:b/>
                <w:color w:val="auto"/>
                <w:kern w:val="2"/>
                <w:szCs w:val="24"/>
                <w:highlight w:val="none"/>
              </w:rPr>
              <w:t>招标文件要求</w:t>
            </w: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79446FDE">
            <w:pPr>
              <w:pStyle w:val="28"/>
              <w:spacing w:before="0" w:beforeAutospacing="0" w:after="0" w:afterAutospacing="0"/>
              <w:jc w:val="center"/>
              <w:rPr>
                <w:rFonts w:ascii="宋体" w:hAnsi="宋体" w:eastAsia="宋体" w:cs="Wingdings"/>
                <w:b/>
                <w:color w:val="auto"/>
                <w:kern w:val="2"/>
                <w:szCs w:val="24"/>
                <w:highlight w:val="none"/>
              </w:rPr>
            </w:pPr>
            <w:r>
              <w:rPr>
                <w:rFonts w:hint="eastAsia" w:ascii="宋体" w:hAnsi="宋体" w:eastAsia="宋体" w:cs="宋体"/>
                <w:b/>
                <w:color w:val="auto"/>
                <w:kern w:val="2"/>
                <w:szCs w:val="24"/>
                <w:highlight w:val="none"/>
              </w:rPr>
              <w:t>投标人承诺</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2CEB0E5D">
            <w:pPr>
              <w:pStyle w:val="28"/>
              <w:spacing w:before="0" w:beforeAutospacing="0" w:after="0" w:afterAutospacing="0"/>
              <w:jc w:val="center"/>
              <w:rPr>
                <w:rFonts w:ascii="宋体" w:hAnsi="宋体" w:eastAsia="宋体" w:cs="Wingdings"/>
                <w:b/>
                <w:color w:val="auto"/>
                <w:kern w:val="2"/>
                <w:szCs w:val="24"/>
                <w:highlight w:val="none"/>
              </w:rPr>
            </w:pPr>
            <w:r>
              <w:rPr>
                <w:rFonts w:hint="eastAsia" w:ascii="宋体" w:hAnsi="宋体" w:eastAsia="宋体" w:cs="宋体"/>
                <w:b/>
                <w:color w:val="auto"/>
                <w:kern w:val="2"/>
                <w:szCs w:val="24"/>
                <w:highlight w:val="none"/>
              </w:rPr>
              <w:t>偏离说明</w:t>
            </w:r>
          </w:p>
        </w:tc>
      </w:tr>
      <w:tr w14:paraId="0963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3E7FAEFB">
            <w:pPr>
              <w:jc w:val="center"/>
              <w:rPr>
                <w:rFonts w:ascii="宋体" w:hAnsi="宋体" w:eastAsia="宋体"/>
                <w:color w:val="auto"/>
                <w:sz w:val="24"/>
                <w:szCs w:val="24"/>
                <w:highlight w:val="none"/>
              </w:rPr>
            </w:pPr>
            <w:r>
              <w:rPr>
                <w:rFonts w:asciiTheme="minorEastAsia" w:hAnsiTheme="minorEastAsia" w:eastAsiaTheme="minorEastAsia"/>
                <w:color w:val="auto"/>
                <w:sz w:val="24"/>
                <w:highlight w:val="none"/>
              </w:rPr>
              <w:t>1</w:t>
            </w:r>
          </w:p>
        </w:tc>
        <w:tc>
          <w:tcPr>
            <w:tcW w:w="2102" w:type="dxa"/>
            <w:tcBorders>
              <w:top w:val="single" w:color="auto" w:sz="4" w:space="0"/>
              <w:left w:val="single" w:color="auto" w:sz="4" w:space="0"/>
              <w:bottom w:val="single" w:color="auto" w:sz="4" w:space="0"/>
              <w:right w:val="single" w:color="auto" w:sz="4" w:space="0"/>
            </w:tcBorders>
            <w:shd w:val="clear" w:color="auto" w:fill="auto"/>
            <w:vAlign w:val="center"/>
          </w:tcPr>
          <w:p w14:paraId="7671A794">
            <w:pPr>
              <w:jc w:val="center"/>
              <w:rPr>
                <w:rFonts w:ascii="宋体" w:hAnsi="宋体" w:eastAsia="宋体"/>
                <w:color w:val="auto"/>
                <w:sz w:val="24"/>
                <w:szCs w:val="24"/>
                <w:highlight w:val="none"/>
              </w:rPr>
            </w:pPr>
            <w:r>
              <w:rPr>
                <w:rFonts w:asciiTheme="minorEastAsia" w:hAnsiTheme="minorEastAsia" w:eastAsiaTheme="minorEastAsia"/>
                <w:color w:val="auto"/>
                <w:sz w:val="24"/>
                <w:highlight w:val="none"/>
              </w:rPr>
              <w:t>付款方式</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23122893">
            <w:pPr>
              <w:jc w:val="center"/>
              <w:rPr>
                <w:rFonts w:ascii="宋体" w:hAnsi="宋体" w:eastAsia="宋体"/>
                <w:color w:val="auto"/>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4B7E6FB2">
            <w:pPr>
              <w:jc w:val="center"/>
              <w:rPr>
                <w:rFonts w:ascii="宋体" w:hAnsi="宋体" w:eastAsia="宋体"/>
                <w:color w:val="auto"/>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3CF54C6B">
            <w:pPr>
              <w:jc w:val="center"/>
              <w:rPr>
                <w:rFonts w:ascii="宋体" w:hAnsi="宋体" w:eastAsia="宋体"/>
                <w:color w:val="auto"/>
                <w:sz w:val="24"/>
                <w:szCs w:val="24"/>
                <w:highlight w:val="none"/>
              </w:rPr>
            </w:pPr>
          </w:p>
        </w:tc>
      </w:tr>
      <w:tr w14:paraId="606E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07A0F2EC">
            <w:pPr>
              <w:jc w:val="center"/>
              <w:rPr>
                <w:rFonts w:ascii="宋体" w:hAnsi="宋体" w:eastAsia="宋体"/>
                <w:color w:val="auto"/>
                <w:sz w:val="24"/>
                <w:szCs w:val="24"/>
                <w:highlight w:val="none"/>
              </w:rPr>
            </w:pPr>
            <w:r>
              <w:rPr>
                <w:rFonts w:hint="eastAsia" w:asciiTheme="minorEastAsia" w:hAnsiTheme="minorEastAsia" w:eastAsiaTheme="minorEastAsia"/>
                <w:color w:val="auto"/>
                <w:sz w:val="24"/>
                <w:highlight w:val="none"/>
              </w:rPr>
              <w:t>2</w:t>
            </w:r>
          </w:p>
        </w:tc>
        <w:tc>
          <w:tcPr>
            <w:tcW w:w="2102" w:type="dxa"/>
            <w:tcBorders>
              <w:top w:val="single" w:color="auto" w:sz="4" w:space="0"/>
              <w:left w:val="single" w:color="auto" w:sz="4" w:space="0"/>
              <w:bottom w:val="single" w:color="auto" w:sz="4" w:space="0"/>
              <w:right w:val="single" w:color="auto" w:sz="4" w:space="0"/>
            </w:tcBorders>
            <w:shd w:val="clear" w:color="auto" w:fill="auto"/>
            <w:vAlign w:val="center"/>
          </w:tcPr>
          <w:p w14:paraId="1189141E">
            <w:pPr>
              <w:jc w:val="center"/>
              <w:rPr>
                <w:rFonts w:ascii="宋体" w:hAnsi="宋体" w:eastAsia="宋体"/>
                <w:color w:val="auto"/>
                <w:sz w:val="24"/>
                <w:szCs w:val="24"/>
                <w:highlight w:val="none"/>
              </w:rPr>
            </w:pPr>
            <w:r>
              <w:rPr>
                <w:rFonts w:hint="eastAsia" w:ascii="宋体" w:hAnsi="宋体" w:eastAsia="宋体"/>
                <w:color w:val="auto"/>
                <w:sz w:val="24"/>
                <w:highlight w:val="none"/>
              </w:rPr>
              <w:t>服务地点</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263DABF4">
            <w:pPr>
              <w:jc w:val="center"/>
              <w:rPr>
                <w:rFonts w:ascii="宋体" w:hAnsi="宋体" w:eastAsia="宋体"/>
                <w:color w:val="auto"/>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1D2C21EE">
            <w:pPr>
              <w:jc w:val="center"/>
              <w:rPr>
                <w:rFonts w:ascii="宋体" w:hAnsi="宋体" w:eastAsia="宋体"/>
                <w:color w:val="auto"/>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490B8B0A">
            <w:pPr>
              <w:jc w:val="center"/>
              <w:rPr>
                <w:rFonts w:ascii="宋体" w:hAnsi="宋体" w:eastAsia="宋体"/>
                <w:color w:val="auto"/>
                <w:sz w:val="24"/>
                <w:szCs w:val="24"/>
                <w:highlight w:val="none"/>
              </w:rPr>
            </w:pPr>
          </w:p>
        </w:tc>
      </w:tr>
      <w:tr w14:paraId="7296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1505B194">
            <w:pPr>
              <w:jc w:val="center"/>
              <w:rPr>
                <w:rFonts w:ascii="宋体" w:hAnsi="宋体" w:eastAsia="宋体"/>
                <w:color w:val="auto"/>
                <w:sz w:val="24"/>
                <w:szCs w:val="24"/>
                <w:highlight w:val="none"/>
              </w:rPr>
            </w:pPr>
            <w:r>
              <w:rPr>
                <w:rFonts w:hint="eastAsia" w:asciiTheme="minorEastAsia" w:hAnsiTheme="minorEastAsia" w:eastAsiaTheme="minorEastAsia"/>
                <w:color w:val="auto"/>
                <w:sz w:val="24"/>
                <w:highlight w:val="none"/>
              </w:rPr>
              <w:t>3</w:t>
            </w:r>
          </w:p>
        </w:tc>
        <w:tc>
          <w:tcPr>
            <w:tcW w:w="2102" w:type="dxa"/>
            <w:tcBorders>
              <w:top w:val="single" w:color="auto" w:sz="4" w:space="0"/>
              <w:left w:val="single" w:color="auto" w:sz="4" w:space="0"/>
              <w:bottom w:val="single" w:color="auto" w:sz="4" w:space="0"/>
              <w:right w:val="single" w:color="auto" w:sz="4" w:space="0"/>
            </w:tcBorders>
            <w:shd w:val="clear" w:color="auto" w:fill="auto"/>
            <w:vAlign w:val="center"/>
          </w:tcPr>
          <w:p w14:paraId="79EE2903">
            <w:pPr>
              <w:jc w:val="center"/>
              <w:rPr>
                <w:rFonts w:ascii="宋体" w:hAnsi="宋体" w:eastAsia="宋体"/>
                <w:color w:val="auto"/>
                <w:sz w:val="24"/>
                <w:szCs w:val="24"/>
                <w:highlight w:val="none"/>
              </w:rPr>
            </w:pPr>
            <w:r>
              <w:rPr>
                <w:rFonts w:hint="eastAsia" w:ascii="宋体" w:hAnsi="宋体" w:eastAsia="宋体"/>
                <w:color w:val="auto"/>
                <w:sz w:val="24"/>
                <w:highlight w:val="none"/>
              </w:rPr>
              <w:t>服务期限</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3BBA547C">
            <w:pPr>
              <w:jc w:val="center"/>
              <w:rPr>
                <w:rFonts w:ascii="宋体" w:hAnsi="宋体" w:eastAsia="宋体"/>
                <w:color w:val="auto"/>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5CFE0570">
            <w:pPr>
              <w:pStyle w:val="28"/>
              <w:spacing w:before="0" w:beforeAutospacing="0" w:after="0" w:afterAutospacing="0"/>
              <w:jc w:val="center"/>
              <w:rPr>
                <w:rFonts w:ascii="宋体" w:hAnsi="宋体" w:eastAsia="宋体" w:cs="Arial"/>
                <w:color w:val="auto"/>
                <w:kern w:val="2"/>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69A7CE82">
            <w:pPr>
              <w:jc w:val="center"/>
              <w:rPr>
                <w:rFonts w:ascii="宋体" w:hAnsi="宋体" w:eastAsia="宋体"/>
                <w:color w:val="auto"/>
                <w:sz w:val="24"/>
                <w:szCs w:val="24"/>
                <w:highlight w:val="none"/>
              </w:rPr>
            </w:pPr>
          </w:p>
        </w:tc>
      </w:tr>
      <w:tr w14:paraId="44CF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76706F0B">
            <w:pPr>
              <w:jc w:val="center"/>
              <w:rPr>
                <w:rFonts w:ascii="宋体" w:hAnsi="宋体" w:eastAsia="宋体"/>
                <w:color w:val="auto"/>
                <w:sz w:val="24"/>
                <w:szCs w:val="24"/>
                <w:highlight w:val="none"/>
              </w:rPr>
            </w:pPr>
            <w:r>
              <w:rPr>
                <w:rFonts w:hint="eastAsia" w:asciiTheme="minorEastAsia" w:hAnsiTheme="minorEastAsia" w:eastAsiaTheme="minorEastAsia"/>
                <w:color w:val="auto"/>
                <w:sz w:val="24"/>
                <w:highlight w:val="none"/>
              </w:rPr>
              <w:t>4</w:t>
            </w:r>
          </w:p>
        </w:tc>
        <w:tc>
          <w:tcPr>
            <w:tcW w:w="2102" w:type="dxa"/>
            <w:tcBorders>
              <w:top w:val="single" w:color="auto" w:sz="4" w:space="0"/>
              <w:left w:val="single" w:color="auto" w:sz="4" w:space="0"/>
              <w:bottom w:val="single" w:color="auto" w:sz="4" w:space="0"/>
              <w:right w:val="single" w:color="auto" w:sz="4" w:space="0"/>
            </w:tcBorders>
            <w:shd w:val="clear" w:color="auto" w:fill="auto"/>
            <w:vAlign w:val="center"/>
          </w:tcPr>
          <w:p w14:paraId="1A36BC1D">
            <w:pPr>
              <w:jc w:val="center"/>
              <w:rPr>
                <w:rFonts w:ascii="宋体" w:hAnsi="宋体" w:eastAsia="宋体"/>
                <w:color w:val="auto"/>
                <w:sz w:val="24"/>
                <w:szCs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1A67D834">
            <w:pPr>
              <w:jc w:val="center"/>
              <w:rPr>
                <w:rFonts w:ascii="宋体" w:hAnsi="宋体" w:eastAsia="宋体"/>
                <w:color w:val="auto"/>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514F734A">
            <w:pPr>
              <w:jc w:val="center"/>
              <w:rPr>
                <w:rFonts w:ascii="宋体" w:hAnsi="宋体" w:eastAsia="宋体"/>
                <w:color w:val="auto"/>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4788B251">
            <w:pPr>
              <w:jc w:val="center"/>
              <w:rPr>
                <w:rFonts w:ascii="宋体" w:hAnsi="宋体" w:eastAsia="宋体"/>
                <w:color w:val="auto"/>
                <w:sz w:val="24"/>
                <w:szCs w:val="24"/>
                <w:highlight w:val="none"/>
              </w:rPr>
            </w:pPr>
          </w:p>
        </w:tc>
      </w:tr>
      <w:tr w14:paraId="1186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67FA43AD">
            <w:pPr>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153A09DA">
            <w:pPr>
              <w:jc w:val="center"/>
              <w:rPr>
                <w:rFonts w:ascii="宋体" w:hAnsi="宋体" w:eastAsia="宋体"/>
                <w:color w:val="auto"/>
                <w:sz w:val="24"/>
                <w:szCs w:val="24"/>
                <w:highlight w:val="none"/>
              </w:rPr>
            </w:pP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46CD2DAA">
            <w:pPr>
              <w:jc w:val="center"/>
              <w:rPr>
                <w:rFonts w:ascii="宋体" w:hAnsi="宋体" w:eastAsia="宋体"/>
                <w:color w:val="auto"/>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20A2EFBE">
            <w:pPr>
              <w:jc w:val="center"/>
              <w:rPr>
                <w:rFonts w:ascii="宋体" w:hAnsi="宋体" w:eastAsia="宋体"/>
                <w:color w:val="auto"/>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48A01C6B">
            <w:pPr>
              <w:jc w:val="center"/>
              <w:rPr>
                <w:rFonts w:ascii="宋体" w:hAnsi="宋体" w:eastAsia="宋体"/>
                <w:color w:val="auto"/>
                <w:sz w:val="24"/>
                <w:szCs w:val="24"/>
                <w:highlight w:val="none"/>
              </w:rPr>
            </w:pPr>
          </w:p>
        </w:tc>
      </w:tr>
    </w:tbl>
    <w:p w14:paraId="17315A88">
      <w:pPr>
        <w:spacing w:line="360" w:lineRule="auto"/>
        <w:ind w:firstLine="4800" w:firstLineChars="2000"/>
        <w:rPr>
          <w:rFonts w:ascii="宋体" w:hAnsi="宋体" w:eastAsia="宋体" w:cs="宋体"/>
          <w:color w:val="auto"/>
          <w:sz w:val="24"/>
          <w:szCs w:val="24"/>
          <w:highlight w:val="none"/>
        </w:rPr>
      </w:pPr>
    </w:p>
    <w:p w14:paraId="68D668CE">
      <w:pPr>
        <w:spacing w:line="360" w:lineRule="auto"/>
        <w:ind w:firstLine="4800" w:firstLineChars="2000"/>
        <w:rPr>
          <w:rFonts w:ascii="宋体" w:hAnsi="宋体" w:eastAsia="宋体"/>
          <w:color w:val="auto"/>
          <w:sz w:val="24"/>
          <w:szCs w:val="24"/>
          <w:highlight w:val="none"/>
          <w:u w:val="single"/>
        </w:rPr>
      </w:pPr>
      <w:r>
        <w:rPr>
          <w:rFonts w:hint="eastAsia" w:ascii="宋体" w:hAnsi="宋体" w:eastAsia="宋体" w:cs="宋体"/>
          <w:color w:val="auto"/>
          <w:sz w:val="24"/>
          <w:szCs w:val="24"/>
          <w:highlight w:val="none"/>
        </w:rPr>
        <w:t>投标人电子签章：</w:t>
      </w:r>
    </w:p>
    <w:p w14:paraId="6165DF7E">
      <w:pPr>
        <w:spacing w:line="360" w:lineRule="auto"/>
        <w:ind w:firstLine="4800" w:firstLineChars="2000"/>
        <w:rPr>
          <w:rFonts w:ascii="宋体" w:hAnsi="宋体" w:eastAsia="宋体"/>
          <w:color w:val="auto"/>
          <w:sz w:val="24"/>
          <w:szCs w:val="24"/>
          <w:highlight w:val="none"/>
          <w:u w:val="single"/>
        </w:rPr>
      </w:pPr>
      <w:r>
        <w:rPr>
          <w:rFonts w:hint="eastAsia" w:ascii="宋体" w:hAnsi="宋体" w:eastAsia="宋体" w:cs="宋体"/>
          <w:color w:val="auto"/>
          <w:sz w:val="24"/>
          <w:szCs w:val="24"/>
          <w:highlight w:val="none"/>
        </w:rPr>
        <w:t>日期：</w:t>
      </w:r>
    </w:p>
    <w:p w14:paraId="6CD9BEA1">
      <w:pPr>
        <w:spacing w:line="360" w:lineRule="auto"/>
        <w:jc w:val="center"/>
        <w:outlineLvl w:val="1"/>
        <w:rPr>
          <w:rFonts w:asciiTheme="minorEastAsia" w:hAnsiTheme="minorEastAsia" w:eastAsiaTheme="minorEastAsia"/>
          <w:b/>
          <w:color w:val="auto"/>
          <w:sz w:val="24"/>
          <w:highlight w:val="none"/>
        </w:rPr>
      </w:pPr>
    </w:p>
    <w:p w14:paraId="7A314698">
      <w:pPr>
        <w:spacing w:line="360" w:lineRule="auto"/>
        <w:jc w:val="center"/>
        <w:outlineLvl w:val="1"/>
        <w:rPr>
          <w:rFonts w:asciiTheme="minorEastAsia" w:hAnsiTheme="minorEastAsia" w:eastAsiaTheme="minorEastAsia"/>
          <w:b/>
          <w:color w:val="auto"/>
          <w:sz w:val="24"/>
          <w:highlight w:val="none"/>
        </w:rPr>
      </w:pPr>
    </w:p>
    <w:p w14:paraId="2E1310FE">
      <w:pP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4C4718EB">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（2）诚信履约承诺函</w:t>
      </w:r>
    </w:p>
    <w:p w14:paraId="7B02C9C4">
      <w:pPr>
        <w:spacing w:line="360" w:lineRule="auto"/>
        <w:rPr>
          <w:rFonts w:ascii="宋体" w:hAnsi="宋体" w:eastAsia="宋体"/>
          <w:b/>
          <w:bCs/>
          <w:color w:val="auto"/>
          <w:sz w:val="24"/>
          <w:szCs w:val="24"/>
          <w:highlight w:val="none"/>
        </w:rPr>
      </w:pPr>
    </w:p>
    <w:p w14:paraId="7F2E95A9">
      <w:pPr>
        <w:spacing w:line="360" w:lineRule="auto"/>
        <w:rPr>
          <w:rFonts w:ascii="宋体" w:hAnsi="宋体" w:eastAsia="宋体"/>
          <w:b/>
          <w:bCs/>
          <w:color w:val="auto"/>
          <w:sz w:val="24"/>
          <w:szCs w:val="24"/>
          <w:highlight w:val="none"/>
          <w:u w:val="single"/>
        </w:rPr>
      </w:pPr>
      <w:r>
        <w:rPr>
          <w:rFonts w:hint="eastAsia" w:ascii="宋体" w:hAnsi="宋体" w:eastAsia="宋体" w:cs="宋体"/>
          <w:b/>
          <w:bCs/>
          <w:color w:val="auto"/>
          <w:sz w:val="24"/>
          <w:szCs w:val="24"/>
          <w:highlight w:val="none"/>
        </w:rPr>
        <w:t>致：采购人</w:t>
      </w:r>
    </w:p>
    <w:p w14:paraId="62BF1690">
      <w:pPr>
        <w:spacing w:line="360" w:lineRule="auto"/>
        <w:ind w:firstLine="480" w:firstLineChars="200"/>
        <w:rPr>
          <w:rFonts w:ascii="宋体" w:hAnsi="宋体" w:eastAsia="宋体"/>
          <w:bCs/>
          <w:color w:val="auto"/>
          <w:sz w:val="24"/>
          <w:szCs w:val="24"/>
          <w:highlight w:val="none"/>
        </w:rPr>
      </w:pPr>
      <w:r>
        <w:rPr>
          <w:rFonts w:hint="eastAsia" w:ascii="宋体" w:hAnsi="宋体" w:eastAsia="宋体" w:cs="宋体"/>
          <w:bCs/>
          <w:color w:val="auto"/>
          <w:sz w:val="24"/>
          <w:szCs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165F84EF">
      <w:pPr>
        <w:spacing w:line="360" w:lineRule="auto"/>
        <w:ind w:firstLine="480" w:firstLineChars="200"/>
        <w:rPr>
          <w:rFonts w:ascii="宋体" w:hAnsi="宋体" w:eastAsia="宋体"/>
          <w:bCs/>
          <w:color w:val="auto"/>
          <w:sz w:val="24"/>
          <w:szCs w:val="24"/>
          <w:highlight w:val="none"/>
        </w:rPr>
      </w:pPr>
      <w:r>
        <w:rPr>
          <w:rFonts w:hint="eastAsia" w:ascii="宋体" w:hAnsi="宋体" w:eastAsia="宋体" w:cs="宋体"/>
          <w:bCs/>
          <w:color w:val="auto"/>
          <w:sz w:val="24"/>
          <w:szCs w:val="24"/>
          <w:highlight w:val="none"/>
        </w:rPr>
        <w:t>（1）中标或者成交后无正当理由拒不与采购人签订政府采购合同；</w:t>
      </w:r>
    </w:p>
    <w:p w14:paraId="0D97E217">
      <w:pPr>
        <w:spacing w:line="360" w:lineRule="auto"/>
        <w:ind w:firstLine="480" w:firstLineChars="200"/>
        <w:rPr>
          <w:rFonts w:ascii="宋体" w:hAnsi="宋体" w:eastAsia="宋体"/>
          <w:bCs/>
          <w:color w:val="auto"/>
          <w:sz w:val="24"/>
          <w:szCs w:val="24"/>
          <w:highlight w:val="none"/>
        </w:rPr>
      </w:pPr>
      <w:r>
        <w:rPr>
          <w:rFonts w:hint="eastAsia" w:ascii="宋体" w:hAnsi="宋体" w:eastAsia="宋体" w:cs="宋体"/>
          <w:bCs/>
          <w:color w:val="auto"/>
          <w:sz w:val="24"/>
          <w:szCs w:val="24"/>
          <w:highlight w:val="none"/>
        </w:rPr>
        <w:t>（2）未按照采购文件确定的事项签订政府采购合同；</w:t>
      </w:r>
    </w:p>
    <w:p w14:paraId="23E49828">
      <w:pPr>
        <w:spacing w:line="360" w:lineRule="auto"/>
        <w:ind w:firstLine="480" w:firstLineChars="200"/>
        <w:rPr>
          <w:rFonts w:ascii="宋体" w:hAnsi="宋体" w:eastAsia="宋体"/>
          <w:bCs/>
          <w:color w:val="auto"/>
          <w:sz w:val="24"/>
          <w:szCs w:val="24"/>
          <w:highlight w:val="none"/>
        </w:rPr>
      </w:pPr>
      <w:r>
        <w:rPr>
          <w:rFonts w:hint="eastAsia" w:ascii="宋体" w:hAnsi="宋体" w:eastAsia="宋体" w:cs="宋体"/>
          <w:bCs/>
          <w:color w:val="auto"/>
          <w:sz w:val="24"/>
          <w:szCs w:val="24"/>
          <w:highlight w:val="none"/>
        </w:rPr>
        <w:t>（3）将政府采购合同转包；</w:t>
      </w:r>
    </w:p>
    <w:p w14:paraId="0F9B8213">
      <w:pPr>
        <w:spacing w:line="360" w:lineRule="auto"/>
        <w:ind w:firstLine="480" w:firstLineChars="200"/>
        <w:rPr>
          <w:rFonts w:ascii="宋体" w:hAnsi="宋体" w:eastAsia="宋体"/>
          <w:bCs/>
          <w:color w:val="auto"/>
          <w:sz w:val="24"/>
          <w:szCs w:val="24"/>
          <w:highlight w:val="none"/>
        </w:rPr>
      </w:pPr>
      <w:r>
        <w:rPr>
          <w:rFonts w:hint="eastAsia" w:ascii="宋体" w:hAnsi="宋体" w:eastAsia="宋体" w:cs="宋体"/>
          <w:bCs/>
          <w:color w:val="auto"/>
          <w:sz w:val="24"/>
          <w:szCs w:val="24"/>
          <w:highlight w:val="none"/>
        </w:rPr>
        <w:t>（4）提供假冒伪劣产品；</w:t>
      </w:r>
    </w:p>
    <w:p w14:paraId="2D1D8D13">
      <w:pPr>
        <w:spacing w:line="360" w:lineRule="auto"/>
        <w:ind w:firstLine="480" w:firstLineChars="200"/>
        <w:rPr>
          <w:rFonts w:ascii="宋体" w:hAnsi="宋体" w:eastAsia="宋体"/>
          <w:bCs/>
          <w:color w:val="auto"/>
          <w:sz w:val="24"/>
          <w:szCs w:val="24"/>
          <w:highlight w:val="none"/>
        </w:rPr>
      </w:pPr>
      <w:r>
        <w:rPr>
          <w:rFonts w:hint="eastAsia" w:ascii="宋体" w:hAnsi="宋体" w:eastAsia="宋体" w:cs="宋体"/>
          <w:bCs/>
          <w:color w:val="auto"/>
          <w:sz w:val="24"/>
          <w:szCs w:val="24"/>
          <w:highlight w:val="none"/>
        </w:rPr>
        <w:t>（5）擅自变更、中止或者终止政府采购合同。</w:t>
      </w:r>
    </w:p>
    <w:p w14:paraId="5C40B21E">
      <w:pPr>
        <w:spacing w:line="360" w:lineRule="auto"/>
        <w:ind w:firstLine="480" w:firstLineChars="200"/>
        <w:rPr>
          <w:rFonts w:ascii="宋体" w:hAnsi="宋体" w:eastAsia="宋体"/>
          <w:bCs/>
          <w:color w:val="auto"/>
          <w:sz w:val="24"/>
          <w:szCs w:val="24"/>
          <w:highlight w:val="none"/>
        </w:rPr>
      </w:pPr>
      <w:r>
        <w:rPr>
          <w:rFonts w:hint="eastAsia" w:ascii="宋体" w:hAnsi="宋体" w:eastAsia="宋体" w:cs="宋体"/>
          <w:bCs/>
          <w:color w:val="auto"/>
          <w:sz w:val="24"/>
          <w:szCs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8C70C13">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本承诺声明：</w:t>
      </w:r>
      <w:r>
        <w:rPr>
          <w:rFonts w:hint="eastAsia" w:ascii="宋体" w:hAnsi="宋体" w:eastAsia="宋体" w:cs="宋体"/>
          <w:bCs/>
          <w:color w:val="auto"/>
          <w:sz w:val="24"/>
          <w:szCs w:val="24"/>
          <w:highlight w:val="none"/>
          <w:u w:val="single"/>
        </w:rPr>
        <w:t xml:space="preserve">                   （投标人名称）</w:t>
      </w:r>
      <w:r>
        <w:rPr>
          <w:rFonts w:hint="eastAsia" w:ascii="宋体" w:hAnsi="宋体" w:eastAsia="宋体" w:cs="宋体"/>
          <w:bCs/>
          <w:color w:val="auto"/>
          <w:sz w:val="24"/>
          <w:szCs w:val="24"/>
          <w:highlight w:val="none"/>
        </w:rPr>
        <w:t>对本招标文件的相关要求完全响应</w:t>
      </w:r>
      <w:r>
        <w:rPr>
          <w:rFonts w:hint="eastAsia" w:asciiTheme="minorEastAsia" w:hAnsiTheme="minorEastAsia" w:eastAsiaTheme="minorEastAsia"/>
          <w:bCs/>
          <w:color w:val="auto"/>
          <w:sz w:val="24"/>
          <w:highlight w:val="none"/>
        </w:rPr>
        <w:t>。配备人员数量、设备数量和采购生产资料数量均不低于采购需求的要求。若有幸中标将严格按照以上承诺进行服务。</w:t>
      </w:r>
    </w:p>
    <w:p w14:paraId="430114B5">
      <w:pPr>
        <w:spacing w:line="360" w:lineRule="auto"/>
        <w:ind w:firstLine="4320" w:firstLineChars="1800"/>
        <w:rPr>
          <w:rFonts w:ascii="宋体" w:hAnsi="宋体" w:eastAsia="宋体" w:cs="宋体"/>
          <w:bCs/>
          <w:color w:val="auto"/>
          <w:sz w:val="24"/>
          <w:szCs w:val="24"/>
          <w:highlight w:val="none"/>
        </w:rPr>
      </w:pPr>
    </w:p>
    <w:p w14:paraId="38939F87">
      <w:pPr>
        <w:spacing w:line="360" w:lineRule="auto"/>
        <w:ind w:firstLine="4320" w:firstLineChars="1800"/>
        <w:rPr>
          <w:rFonts w:ascii="宋体" w:hAnsi="宋体" w:eastAsia="宋体"/>
          <w:bCs/>
          <w:color w:val="auto"/>
          <w:sz w:val="24"/>
          <w:szCs w:val="24"/>
          <w:highlight w:val="none"/>
          <w:u w:val="single"/>
        </w:rPr>
      </w:pPr>
      <w:r>
        <w:rPr>
          <w:rFonts w:hint="eastAsia" w:ascii="宋体" w:hAnsi="宋体" w:eastAsia="宋体" w:cs="宋体"/>
          <w:bCs/>
          <w:color w:val="auto"/>
          <w:sz w:val="24"/>
          <w:szCs w:val="24"/>
          <w:highlight w:val="none"/>
        </w:rPr>
        <w:t>投标人电子签章：</w:t>
      </w:r>
    </w:p>
    <w:p w14:paraId="51247E95">
      <w:pPr>
        <w:spacing w:line="360" w:lineRule="auto"/>
        <w:ind w:firstLine="4320" w:firstLineChars="1800"/>
        <w:rPr>
          <w:rFonts w:ascii="宋体" w:hAnsi="宋体" w:eastAsia="宋体"/>
          <w:bCs/>
          <w:color w:val="auto"/>
          <w:sz w:val="24"/>
          <w:szCs w:val="24"/>
          <w:highlight w:val="none"/>
        </w:rPr>
      </w:pPr>
      <w:r>
        <w:rPr>
          <w:rFonts w:hint="eastAsia" w:ascii="宋体" w:hAnsi="宋体" w:eastAsia="宋体" w:cs="宋体"/>
          <w:bCs/>
          <w:color w:val="auto"/>
          <w:sz w:val="24"/>
          <w:szCs w:val="24"/>
          <w:highlight w:val="none"/>
        </w:rPr>
        <w:t>日期：</w:t>
      </w:r>
    </w:p>
    <w:p w14:paraId="028A4719">
      <w:pPr>
        <w:spacing w:line="360" w:lineRule="auto"/>
        <w:jc w:val="center"/>
        <w:outlineLvl w:val="1"/>
        <w:rPr>
          <w:rFonts w:asciiTheme="minorEastAsia" w:hAnsiTheme="minorEastAsia" w:eastAsiaTheme="minorEastAsia"/>
          <w:b/>
          <w:color w:val="auto"/>
          <w:sz w:val="24"/>
          <w:highlight w:val="none"/>
        </w:rPr>
      </w:pPr>
    </w:p>
    <w:p w14:paraId="2354083C">
      <w:pPr>
        <w:spacing w:line="360" w:lineRule="auto"/>
        <w:jc w:val="center"/>
        <w:outlineLvl w:val="1"/>
        <w:rPr>
          <w:rFonts w:asciiTheme="minorEastAsia" w:hAnsiTheme="minorEastAsia" w:eastAsiaTheme="minorEastAsia"/>
          <w:b/>
          <w:color w:val="auto"/>
          <w:sz w:val="24"/>
          <w:highlight w:val="none"/>
        </w:rPr>
      </w:pPr>
    </w:p>
    <w:p w14:paraId="509BA836">
      <w:pP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61424CBE">
      <w:pP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三、商务标格式文件</w:t>
      </w:r>
    </w:p>
    <w:p w14:paraId="0EA50E31">
      <w:pPr>
        <w:jc w:val="center"/>
        <w:rPr>
          <w:rFonts w:ascii="黑体" w:hAnsi="宋体" w:eastAsia="黑体" w:cs="黑体"/>
          <w:color w:val="auto"/>
          <w:sz w:val="20"/>
          <w:highlight w:val="none"/>
        </w:rPr>
      </w:pPr>
    </w:p>
    <w:p w14:paraId="15B31680">
      <w:pPr>
        <w:rPr>
          <w:rFonts w:ascii="黑体" w:hAnsi="宋体" w:eastAsia="黑体" w:cs="黑体"/>
          <w:color w:val="auto"/>
          <w:sz w:val="20"/>
          <w:highlight w:val="none"/>
        </w:rPr>
      </w:pPr>
    </w:p>
    <w:p w14:paraId="24C890AA">
      <w:pPr>
        <w:jc w:val="center"/>
        <w:rPr>
          <w:rFonts w:ascii="宋体" w:hAnsi="宋体" w:eastAsia="宋体" w:cs="宋体"/>
          <w:b/>
          <w:color w:val="auto"/>
          <w:sz w:val="44"/>
          <w:szCs w:val="44"/>
          <w:highlight w:val="none"/>
        </w:rPr>
      </w:pPr>
    </w:p>
    <w:p w14:paraId="511599F5">
      <w:pPr>
        <w:jc w:val="center"/>
        <w:rPr>
          <w:rFonts w:ascii="宋体" w:hAnsi="宋体" w:eastAsia="宋体" w:cs="宋体"/>
          <w:b/>
          <w:color w:val="auto"/>
          <w:sz w:val="44"/>
          <w:szCs w:val="44"/>
          <w:highlight w:val="none"/>
        </w:rPr>
      </w:pPr>
    </w:p>
    <w:p w14:paraId="0149F112">
      <w:pPr>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商务标</w:t>
      </w:r>
    </w:p>
    <w:p w14:paraId="6898C772">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（投标文件三）</w:t>
      </w:r>
    </w:p>
    <w:p w14:paraId="2E5BF6BF">
      <w:pPr>
        <w:jc w:val="center"/>
        <w:rPr>
          <w:rFonts w:ascii="宋体" w:hAnsi="宋体" w:eastAsia="宋体" w:cs="宋体"/>
          <w:color w:val="auto"/>
          <w:sz w:val="32"/>
          <w:szCs w:val="32"/>
          <w:highlight w:val="none"/>
          <w:u w:val="single"/>
        </w:rPr>
      </w:pPr>
    </w:p>
    <w:p w14:paraId="5D101D8A">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w:t>
      </w:r>
    </w:p>
    <w:p w14:paraId="2DFAA310">
      <w:pPr>
        <w:jc w:val="center"/>
        <w:rPr>
          <w:rFonts w:ascii="宋体" w:hAnsi="宋体" w:eastAsia="宋体" w:cs="宋体"/>
          <w:color w:val="auto"/>
          <w:sz w:val="28"/>
          <w:szCs w:val="28"/>
          <w:highlight w:val="none"/>
        </w:rPr>
      </w:pPr>
    </w:p>
    <w:p w14:paraId="6D8FB7EB">
      <w:pPr>
        <w:jc w:val="center"/>
        <w:rPr>
          <w:rFonts w:ascii="宋体" w:hAnsi="宋体" w:eastAsia="宋体" w:cs="宋体"/>
          <w:color w:val="auto"/>
          <w:sz w:val="44"/>
          <w:szCs w:val="44"/>
          <w:highlight w:val="none"/>
        </w:rPr>
      </w:pPr>
      <w:r>
        <w:rPr>
          <w:rFonts w:hint="eastAsia" w:ascii="宋体" w:hAnsi="宋体" w:eastAsia="宋体" w:cs="宋体"/>
          <w:color w:val="auto"/>
          <w:sz w:val="28"/>
          <w:szCs w:val="28"/>
          <w:highlight w:val="none"/>
        </w:rPr>
        <w:t>项目编号：</w:t>
      </w:r>
    </w:p>
    <w:p w14:paraId="4ED80BF2">
      <w:pPr>
        <w:rPr>
          <w:rFonts w:ascii="宋体" w:hAnsi="宋体" w:eastAsia="宋体" w:cs="宋体"/>
          <w:color w:val="auto"/>
          <w:sz w:val="28"/>
          <w:szCs w:val="28"/>
          <w:highlight w:val="none"/>
        </w:rPr>
      </w:pPr>
    </w:p>
    <w:p w14:paraId="16270EA7">
      <w:pPr>
        <w:rPr>
          <w:rFonts w:ascii="宋体" w:hAnsi="宋体" w:eastAsia="宋体" w:cs="宋体"/>
          <w:color w:val="auto"/>
          <w:sz w:val="28"/>
          <w:szCs w:val="28"/>
          <w:highlight w:val="none"/>
        </w:rPr>
      </w:pPr>
    </w:p>
    <w:p w14:paraId="1D9FE489">
      <w:pPr>
        <w:jc w:val="center"/>
        <w:rPr>
          <w:rFonts w:ascii="宋体" w:hAnsi="宋体" w:eastAsia="宋体" w:cs="宋体"/>
          <w:color w:val="auto"/>
          <w:sz w:val="28"/>
          <w:szCs w:val="28"/>
          <w:highlight w:val="none"/>
        </w:rPr>
      </w:pPr>
    </w:p>
    <w:p w14:paraId="3F7D5CD6">
      <w:pPr>
        <w:jc w:val="center"/>
        <w:rPr>
          <w:rFonts w:ascii="宋体" w:hAnsi="宋体" w:eastAsia="宋体" w:cs="宋体"/>
          <w:color w:val="auto"/>
          <w:sz w:val="28"/>
          <w:szCs w:val="28"/>
          <w:highlight w:val="none"/>
        </w:rPr>
      </w:pPr>
    </w:p>
    <w:p w14:paraId="3166EF90">
      <w:pPr>
        <w:jc w:val="center"/>
        <w:rPr>
          <w:rFonts w:ascii="宋体" w:hAnsi="宋体" w:eastAsia="宋体" w:cs="宋体"/>
          <w:color w:val="auto"/>
          <w:sz w:val="28"/>
          <w:szCs w:val="28"/>
          <w:highlight w:val="none"/>
        </w:rPr>
      </w:pPr>
    </w:p>
    <w:p w14:paraId="54E14697">
      <w:pPr>
        <w:jc w:val="center"/>
        <w:rPr>
          <w:rFonts w:ascii="宋体" w:hAnsi="宋体" w:eastAsia="宋体" w:cs="宋体"/>
          <w:color w:val="auto"/>
          <w:sz w:val="28"/>
          <w:szCs w:val="28"/>
          <w:highlight w:val="none"/>
        </w:rPr>
      </w:pPr>
    </w:p>
    <w:p w14:paraId="1CD32736">
      <w:pPr>
        <w:jc w:val="center"/>
        <w:rPr>
          <w:rFonts w:ascii="宋体" w:hAnsi="宋体" w:eastAsia="宋体" w:cs="宋体"/>
          <w:color w:val="auto"/>
          <w:sz w:val="28"/>
          <w:szCs w:val="28"/>
          <w:highlight w:val="none"/>
        </w:rPr>
      </w:pPr>
    </w:p>
    <w:p w14:paraId="6580B9F8">
      <w:pPr>
        <w:jc w:val="center"/>
        <w:rPr>
          <w:rFonts w:ascii="宋体" w:hAnsi="宋体" w:eastAsia="宋体" w:cs="宋体"/>
          <w:color w:val="auto"/>
          <w:sz w:val="28"/>
          <w:szCs w:val="28"/>
          <w:highlight w:val="none"/>
        </w:rPr>
      </w:pPr>
    </w:p>
    <w:p w14:paraId="7C34BE29">
      <w:pPr>
        <w:autoSpaceDE w:val="0"/>
        <w:spacing w:line="360" w:lineRule="auto"/>
        <w:jc w:val="cente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投标人：（签章）</w:t>
      </w:r>
    </w:p>
    <w:p w14:paraId="6A6276CA">
      <w:pPr>
        <w:autoSpaceDE w:val="0"/>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法定代表人：（签章）</w:t>
      </w:r>
    </w:p>
    <w:p w14:paraId="122B8FF5">
      <w:pPr>
        <w:autoSpaceDE w:val="0"/>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年月日</w:t>
      </w:r>
    </w:p>
    <w:p w14:paraId="7BE1BE11">
      <w:pP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3A3AB289">
      <w:pPr>
        <w:spacing w:line="400" w:lineRule="exact"/>
        <w:ind w:firstLine="3379" w:firstLineChars="935"/>
        <w:jc w:val="left"/>
        <w:rPr>
          <w:rFonts w:ascii="宋体" w:hAnsi="宋体" w:eastAsia="宋体" w:cs="宋体"/>
          <w:b/>
          <w:color w:val="auto"/>
          <w:sz w:val="36"/>
          <w:szCs w:val="36"/>
          <w:highlight w:val="none"/>
        </w:rPr>
      </w:pPr>
    </w:p>
    <w:p w14:paraId="4562967E">
      <w:pPr>
        <w:spacing w:line="400" w:lineRule="exact"/>
        <w:ind w:firstLine="3379" w:firstLineChars="935"/>
        <w:jc w:val="left"/>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14:paraId="2C38694D">
      <w:pPr>
        <w:spacing w:line="400" w:lineRule="exact"/>
        <w:ind w:firstLine="4130" w:firstLineChars="935"/>
        <w:rPr>
          <w:rFonts w:ascii="宋体" w:hAnsi="宋体" w:eastAsia="宋体" w:cs="宋体"/>
          <w:b/>
          <w:color w:val="auto"/>
          <w:sz w:val="44"/>
          <w:szCs w:val="44"/>
          <w:highlight w:val="none"/>
        </w:rPr>
      </w:pPr>
    </w:p>
    <w:p w14:paraId="22CC619B">
      <w:pPr>
        <w:spacing w:line="440" w:lineRule="exact"/>
        <w:ind w:left="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（1）开标一览表（格式见附件）；</w:t>
      </w:r>
    </w:p>
    <w:p w14:paraId="7861EAD2">
      <w:pPr>
        <w:spacing w:line="440" w:lineRule="exact"/>
        <w:ind w:left="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（2）投标函（格式见附件）；</w:t>
      </w:r>
    </w:p>
    <w:p w14:paraId="6DD4D3C5">
      <w:pPr>
        <w:spacing w:line="440" w:lineRule="exact"/>
        <w:ind w:left="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（3）中小企业声明函，残疾人福利性企业（格式见附件）（如是）；</w:t>
      </w:r>
    </w:p>
    <w:p w14:paraId="4EF58858">
      <w:pPr>
        <w:spacing w:line="440" w:lineRule="exact"/>
        <w:ind w:left="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（4）省级以上监狱管理局、戒毒管理局（含新疆生产建设兵团）出具的属于监狱企业的证明（如是）；</w:t>
      </w:r>
    </w:p>
    <w:p w14:paraId="715B592F">
      <w:pPr>
        <w:spacing w:line="440" w:lineRule="exact"/>
        <w:ind w:left="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）招标文件商务评审中要求提供的其他相关资料；</w:t>
      </w:r>
    </w:p>
    <w:p w14:paraId="454FF96C">
      <w:pPr>
        <w:spacing w:line="440" w:lineRule="exact"/>
        <w:ind w:left="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）其他（如有）。</w:t>
      </w:r>
    </w:p>
    <w:p w14:paraId="34FABDC5">
      <w:pPr>
        <w:spacing w:line="440" w:lineRule="exact"/>
        <w:ind w:left="420"/>
        <w:rPr>
          <w:rFonts w:ascii="宋体" w:hAnsi="宋体" w:eastAsia="宋体" w:cs="宋体"/>
          <w:color w:val="auto"/>
          <w:szCs w:val="21"/>
          <w:highlight w:val="none"/>
        </w:rPr>
      </w:pPr>
    </w:p>
    <w:p w14:paraId="12726930">
      <w:pPr>
        <w:spacing w:line="360" w:lineRule="auto"/>
        <w:jc w:val="center"/>
        <w:outlineLvl w:val="1"/>
        <w:rPr>
          <w:rFonts w:asciiTheme="minorEastAsia" w:hAnsiTheme="minorEastAsia" w:eastAsiaTheme="minorEastAsia"/>
          <w:b/>
          <w:color w:val="auto"/>
          <w:sz w:val="24"/>
          <w:highlight w:val="none"/>
        </w:rPr>
      </w:pPr>
    </w:p>
    <w:p w14:paraId="2FEBD02B">
      <w:pPr>
        <w:spacing w:line="360" w:lineRule="auto"/>
        <w:ind w:firstLine="482" w:firstLineChars="200"/>
        <w:rPr>
          <w:rFonts w:ascii="宋体" w:hAnsi="宋体" w:eastAsia="宋体" w:cs="宋体"/>
          <w:color w:val="auto"/>
          <w:szCs w:val="21"/>
          <w:highlight w:val="none"/>
        </w:rPr>
      </w:pPr>
      <w:r>
        <w:rPr>
          <w:rFonts w:hint="eastAsia" w:asciiTheme="minorEastAsia" w:hAnsiTheme="minorEastAsia" w:eastAsiaTheme="minorEastAsia"/>
          <w:b/>
          <w:color w:val="auto"/>
          <w:sz w:val="24"/>
          <w:highlight w:val="none"/>
        </w:rPr>
        <w:br w:type="page"/>
      </w:r>
    </w:p>
    <w:p w14:paraId="47ED01D9">
      <w:pPr>
        <w:rPr>
          <w:rFonts w:asciiTheme="minorEastAsia" w:hAnsiTheme="minorEastAsia" w:eastAsiaTheme="minorEastAsia"/>
          <w:b/>
          <w:color w:val="auto"/>
          <w:sz w:val="24"/>
          <w:highlight w:val="none"/>
        </w:rPr>
      </w:pPr>
    </w:p>
    <w:p w14:paraId="207BBB71">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（1）开标一览表</w:t>
      </w:r>
      <w:bookmarkEnd w:id="203"/>
      <w:bookmarkEnd w:id="204"/>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6461"/>
      </w:tblGrid>
      <w:tr w14:paraId="0FD8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0CB13718">
            <w:pPr>
              <w:widowControl/>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1FE7DE5C">
            <w:pPr>
              <w:spacing w:line="360" w:lineRule="exact"/>
              <w:jc w:val="center"/>
              <w:rPr>
                <w:rFonts w:asciiTheme="minorEastAsia" w:hAnsiTheme="minorEastAsia" w:eastAsiaTheme="minorEastAsia"/>
                <w:bCs/>
                <w:color w:val="auto"/>
                <w:sz w:val="24"/>
                <w:highlight w:val="none"/>
                <w:u w:val="single"/>
              </w:rPr>
            </w:pPr>
          </w:p>
        </w:tc>
      </w:tr>
      <w:tr w14:paraId="464E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68EE67F7">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投标人全称</w:t>
            </w:r>
          </w:p>
        </w:tc>
        <w:tc>
          <w:tcPr>
            <w:tcW w:w="3648" w:type="pct"/>
            <w:tcBorders>
              <w:top w:val="nil"/>
            </w:tcBorders>
            <w:vAlign w:val="center"/>
          </w:tcPr>
          <w:p w14:paraId="47BDDF91">
            <w:pPr>
              <w:spacing w:line="360" w:lineRule="auto"/>
              <w:rPr>
                <w:rFonts w:asciiTheme="minorEastAsia" w:hAnsiTheme="minorEastAsia" w:eastAsiaTheme="minorEastAsia"/>
                <w:color w:val="auto"/>
                <w:sz w:val="24"/>
                <w:highlight w:val="none"/>
              </w:rPr>
            </w:pPr>
          </w:p>
        </w:tc>
      </w:tr>
      <w:tr w14:paraId="7D77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352" w:type="pct"/>
            <w:tcBorders>
              <w:top w:val="nil"/>
            </w:tcBorders>
            <w:vAlign w:val="center"/>
          </w:tcPr>
          <w:p w14:paraId="3EF8174E">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投标范围</w:t>
            </w:r>
          </w:p>
        </w:tc>
        <w:tc>
          <w:tcPr>
            <w:tcW w:w="3648" w:type="pct"/>
            <w:tcBorders>
              <w:top w:val="nil"/>
            </w:tcBorders>
            <w:vAlign w:val="center"/>
          </w:tcPr>
          <w:p w14:paraId="6DDB0925">
            <w:pPr>
              <w:widowControl/>
              <w:spacing w:line="360" w:lineRule="auto"/>
              <w:rPr>
                <w:rFonts w:asciiTheme="minorEastAsia" w:hAnsiTheme="minorEastAsia" w:eastAsiaTheme="minorEastAsia"/>
                <w:color w:val="auto"/>
                <w:sz w:val="24"/>
                <w:highlight w:val="none"/>
              </w:rPr>
            </w:pPr>
            <w:r>
              <w:rPr>
                <w:rFonts w:hint="eastAsia" w:ascii="宋体" w:hAnsi="宋体" w:eastAsia="宋体" w:cs="宋体"/>
                <w:color w:val="auto"/>
                <w:sz w:val="24"/>
                <w:szCs w:val="28"/>
                <w:highlight w:val="none"/>
              </w:rPr>
              <w:t>全部</w:t>
            </w:r>
          </w:p>
        </w:tc>
      </w:tr>
      <w:tr w14:paraId="0D70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1352" w:type="pct"/>
            <w:tcBorders>
              <w:top w:val="nil"/>
            </w:tcBorders>
            <w:vAlign w:val="center"/>
          </w:tcPr>
          <w:p w14:paraId="77A8B4F4">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投标报价</w:t>
            </w:r>
          </w:p>
        </w:tc>
        <w:tc>
          <w:tcPr>
            <w:tcW w:w="3648" w:type="pct"/>
            <w:tcBorders>
              <w:top w:val="nil"/>
            </w:tcBorders>
            <w:vAlign w:val="center"/>
          </w:tcPr>
          <w:p w14:paraId="396C06BD">
            <w:pPr>
              <w:snapToGrid w:val="0"/>
              <w:spacing w:line="440" w:lineRule="exact"/>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p>
          <w:p w14:paraId="73C7E058">
            <w:pPr>
              <w:spacing w:line="360" w:lineRule="auto"/>
              <w:ind w:right="-670"/>
              <w:rPr>
                <w:rFonts w:eastAsia="宋体" w:asciiTheme="minorEastAsia" w:hAnsiTheme="minorEastAsia"/>
                <w:color w:val="auto"/>
                <w:sz w:val="24"/>
                <w:highlight w:val="none"/>
              </w:rPr>
            </w:pPr>
            <w:r>
              <w:rPr>
                <w:rFonts w:hint="eastAsia" w:ascii="宋体" w:hAnsi="宋体" w:eastAsia="宋体" w:cs="宋体"/>
                <w:bCs/>
                <w:color w:val="auto"/>
                <w:sz w:val="24"/>
                <w:szCs w:val="24"/>
                <w:highlight w:val="none"/>
              </w:rPr>
              <w:t>小写：</w:t>
            </w:r>
          </w:p>
        </w:tc>
      </w:tr>
      <w:tr w14:paraId="7281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6DCF2861">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其他</w:t>
            </w:r>
          </w:p>
        </w:tc>
        <w:tc>
          <w:tcPr>
            <w:tcW w:w="3648" w:type="pct"/>
            <w:tcBorders>
              <w:top w:val="nil"/>
            </w:tcBorders>
            <w:vAlign w:val="center"/>
          </w:tcPr>
          <w:p w14:paraId="3BADE57E">
            <w:pPr>
              <w:spacing w:line="360" w:lineRule="auto"/>
              <w:jc w:val="left"/>
              <w:rPr>
                <w:rFonts w:asciiTheme="minorEastAsia" w:hAnsiTheme="minorEastAsia" w:eastAsiaTheme="minorEastAsia"/>
                <w:color w:val="auto"/>
                <w:sz w:val="24"/>
                <w:szCs w:val="28"/>
                <w:highlight w:val="none"/>
              </w:rPr>
            </w:pPr>
          </w:p>
        </w:tc>
      </w:tr>
    </w:tbl>
    <w:p w14:paraId="56D453E9">
      <w:pPr>
        <w:spacing w:line="360" w:lineRule="auto"/>
        <w:ind w:firstLine="4800" w:firstLineChars="2000"/>
        <w:rPr>
          <w:rFonts w:ascii="宋体" w:hAnsi="宋体" w:eastAsia="宋体"/>
          <w:color w:val="auto"/>
          <w:sz w:val="24"/>
          <w:highlight w:val="none"/>
        </w:rPr>
      </w:pPr>
    </w:p>
    <w:p w14:paraId="63F6CC69">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p>
    <w:p w14:paraId="6CA6F236">
      <w:pPr>
        <w:tabs>
          <w:tab w:val="left" w:pos="630"/>
        </w:tabs>
        <w:spacing w:line="360" w:lineRule="auto"/>
        <w:ind w:firstLine="4800" w:firstLineChars="2000"/>
        <w:rPr>
          <w:rFonts w:asciiTheme="minorEastAsia" w:hAnsiTheme="minorEastAsia" w:eastAsiaTheme="minorEastAsia"/>
          <w:color w:val="auto"/>
          <w:sz w:val="24"/>
          <w:highlight w:val="none"/>
        </w:rPr>
      </w:pPr>
      <w:r>
        <w:rPr>
          <w:rFonts w:hint="eastAsia" w:ascii="宋体" w:hAnsi="宋体" w:eastAsia="宋体"/>
          <w:color w:val="auto"/>
          <w:sz w:val="24"/>
          <w:highlight w:val="none"/>
        </w:rPr>
        <w:t>日      期：</w:t>
      </w:r>
    </w:p>
    <w:p w14:paraId="4F6F0229">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注：</w:t>
      </w:r>
    </w:p>
    <w:p w14:paraId="4F288BD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此表用于开标唱标之用。</w:t>
      </w:r>
    </w:p>
    <w:p w14:paraId="05CAC82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表中投标报价即为优惠后报价，并作为评审及定标依据。任何有选择或有条件的投标报价，或者表中某一包别填写多个报价，均为无效报价。</w:t>
      </w:r>
    </w:p>
    <w:p w14:paraId="4837431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3.表中大写金额与小写金额不一致的，以大写金额为准。</w:t>
      </w:r>
      <w:r>
        <w:rPr>
          <w:rFonts w:asciiTheme="minorEastAsia" w:hAnsiTheme="minorEastAsia" w:eastAsiaTheme="minorEastAsia"/>
          <w:color w:val="auto"/>
          <w:sz w:val="24"/>
          <w:highlight w:val="none"/>
        </w:rPr>
        <w:br w:type="page"/>
      </w:r>
    </w:p>
    <w:p w14:paraId="7CBB1587">
      <w:pPr>
        <w:spacing w:line="360" w:lineRule="auto"/>
        <w:jc w:val="center"/>
        <w:outlineLvl w:val="1"/>
        <w:rPr>
          <w:rFonts w:asciiTheme="minorEastAsia" w:hAnsiTheme="minorEastAsia" w:eastAsiaTheme="minorEastAsia"/>
          <w:b/>
          <w:color w:val="auto"/>
          <w:sz w:val="24"/>
          <w:highlight w:val="none"/>
        </w:rPr>
      </w:pPr>
      <w:bookmarkStart w:id="207" w:name="_Toc6120"/>
      <w:bookmarkStart w:id="208" w:name="_Toc6441"/>
      <w:r>
        <w:rPr>
          <w:rFonts w:hint="eastAsia" w:asciiTheme="minorEastAsia" w:hAnsiTheme="minorEastAsia" w:eastAsiaTheme="minorEastAsia"/>
          <w:b/>
          <w:color w:val="auto"/>
          <w:sz w:val="24"/>
          <w:highlight w:val="none"/>
        </w:rPr>
        <w:t>（2）投标函</w:t>
      </w:r>
      <w:bookmarkEnd w:id="207"/>
      <w:bookmarkEnd w:id="208"/>
    </w:p>
    <w:p w14:paraId="3A852A72">
      <w:pPr>
        <w:pStyle w:val="21"/>
        <w:spacing w:line="360" w:lineRule="auto"/>
        <w:rPr>
          <w:rFonts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采购人</w:t>
      </w:r>
    </w:p>
    <w:p w14:paraId="58F15D5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根据贵方的招标公告和投标邀请，我方兹宣布同意如下：</w:t>
      </w:r>
    </w:p>
    <w:p w14:paraId="54E6B58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57A4D56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2.我方已详细审核全部招标文件，包括招标文件附件及更正公告（如有），我方正式认可并遵守本次招标文件，并对招标文件各项条款、规定及要求均无异议。</w:t>
      </w:r>
    </w:p>
    <w:p w14:paraId="3B861F0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3.我方同意从招标文件规定的开标日期起遵循本招标文件，并在招标文件规定的投标有效期之前均具有约束力。</w:t>
      </w:r>
    </w:p>
    <w:p w14:paraId="0EC3960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7A7F7492">
      <w:pPr>
        <w:spacing w:line="360" w:lineRule="auto"/>
        <w:ind w:firstLine="4800" w:firstLineChars="2000"/>
        <w:rPr>
          <w:rFonts w:ascii="宋体" w:hAnsi="宋体" w:eastAsia="宋体"/>
          <w:color w:val="auto"/>
          <w:sz w:val="24"/>
          <w:highlight w:val="none"/>
        </w:rPr>
      </w:pPr>
    </w:p>
    <w:p w14:paraId="4D9DF1A6">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p>
    <w:p w14:paraId="22C4A13A">
      <w:pPr>
        <w:spacing w:line="360" w:lineRule="auto"/>
        <w:jc w:val="center"/>
        <w:outlineLvl w:val="1"/>
        <w:rPr>
          <w:rFonts w:asciiTheme="minorEastAsia" w:hAnsiTheme="minorEastAsia" w:eastAsiaTheme="minorEastAsia"/>
          <w:b/>
          <w:color w:val="auto"/>
          <w:sz w:val="24"/>
          <w:highlight w:val="none"/>
        </w:rPr>
      </w:pPr>
    </w:p>
    <w:p w14:paraId="5A5A79F6">
      <w:pPr>
        <w:rPr>
          <w:rFonts w:asciiTheme="minorEastAsia" w:hAnsiTheme="minorEastAsia" w:eastAsiaTheme="minorEastAsia"/>
          <w:b/>
          <w:color w:val="auto"/>
          <w:sz w:val="24"/>
          <w:highlight w:val="none"/>
        </w:rPr>
      </w:pPr>
    </w:p>
    <w:p w14:paraId="1B411B63">
      <w:pPr>
        <w:rPr>
          <w:rFonts w:asciiTheme="minorEastAsia" w:hAnsiTheme="minorEastAsia" w:eastAsiaTheme="minorEastAsia"/>
          <w:b/>
          <w:color w:val="auto"/>
          <w:sz w:val="24"/>
          <w:highlight w:val="none"/>
        </w:rPr>
      </w:pPr>
    </w:p>
    <w:p w14:paraId="3D801A35">
      <w:pPr>
        <w:rPr>
          <w:rFonts w:asciiTheme="minorEastAsia" w:hAnsiTheme="minorEastAsia" w:eastAsiaTheme="minorEastAsia"/>
          <w:b/>
          <w:color w:val="auto"/>
          <w:sz w:val="24"/>
          <w:highlight w:val="none"/>
        </w:rPr>
      </w:pPr>
    </w:p>
    <w:p w14:paraId="752CDDE9">
      <w:pPr>
        <w:rPr>
          <w:rFonts w:asciiTheme="minorEastAsia" w:hAnsiTheme="minorEastAsia" w:eastAsiaTheme="minorEastAsia"/>
          <w:b/>
          <w:color w:val="auto"/>
          <w:sz w:val="24"/>
          <w:highlight w:val="none"/>
        </w:rPr>
      </w:pPr>
    </w:p>
    <w:p w14:paraId="2C5B47E0">
      <w:pPr>
        <w:rPr>
          <w:rFonts w:asciiTheme="minorEastAsia" w:hAnsiTheme="minorEastAsia" w:eastAsiaTheme="minorEastAsia"/>
          <w:b/>
          <w:color w:val="auto"/>
          <w:sz w:val="24"/>
          <w:highlight w:val="none"/>
        </w:rPr>
      </w:pPr>
    </w:p>
    <w:p w14:paraId="04B22FD0">
      <w:pPr>
        <w:rPr>
          <w:rFonts w:asciiTheme="minorEastAsia" w:hAnsiTheme="minorEastAsia" w:eastAsiaTheme="minorEastAsia"/>
          <w:b/>
          <w:color w:val="auto"/>
          <w:sz w:val="24"/>
          <w:highlight w:val="none"/>
        </w:rPr>
      </w:pPr>
    </w:p>
    <w:p w14:paraId="60A6330A">
      <w:pPr>
        <w:rPr>
          <w:rFonts w:asciiTheme="minorEastAsia" w:hAnsiTheme="minorEastAsia" w:eastAsiaTheme="minorEastAsia"/>
          <w:b/>
          <w:color w:val="auto"/>
          <w:sz w:val="24"/>
          <w:highlight w:val="none"/>
        </w:rPr>
      </w:pPr>
    </w:p>
    <w:p w14:paraId="3709C0A5">
      <w:pPr>
        <w:rPr>
          <w:rFonts w:asciiTheme="minorEastAsia" w:hAnsiTheme="minorEastAsia" w:eastAsiaTheme="minorEastAsia"/>
          <w:b/>
          <w:color w:val="auto"/>
          <w:sz w:val="24"/>
          <w:highlight w:val="none"/>
        </w:rPr>
      </w:pPr>
    </w:p>
    <w:p w14:paraId="387DA900">
      <w:pPr>
        <w:rPr>
          <w:rFonts w:asciiTheme="minorEastAsia" w:hAnsiTheme="minorEastAsia" w:eastAsiaTheme="minorEastAsia"/>
          <w:b/>
          <w:color w:val="auto"/>
          <w:sz w:val="24"/>
          <w:highlight w:val="none"/>
        </w:rPr>
      </w:pPr>
    </w:p>
    <w:p w14:paraId="38126167">
      <w:pPr>
        <w:rPr>
          <w:rFonts w:asciiTheme="minorEastAsia" w:hAnsiTheme="minorEastAsia" w:eastAsiaTheme="minorEastAsia"/>
          <w:b/>
          <w:color w:val="auto"/>
          <w:sz w:val="24"/>
          <w:highlight w:val="none"/>
        </w:rPr>
      </w:pPr>
    </w:p>
    <w:p w14:paraId="7C25D926">
      <w:pPr>
        <w:rPr>
          <w:rFonts w:asciiTheme="minorEastAsia" w:hAnsiTheme="minorEastAsia" w:eastAsiaTheme="minorEastAsia"/>
          <w:b/>
          <w:color w:val="auto"/>
          <w:sz w:val="24"/>
          <w:highlight w:val="none"/>
        </w:rPr>
      </w:pPr>
    </w:p>
    <w:p w14:paraId="6C70A138">
      <w:pPr>
        <w:rPr>
          <w:rFonts w:asciiTheme="minorEastAsia" w:hAnsiTheme="minorEastAsia" w:eastAsiaTheme="minorEastAsia"/>
          <w:b/>
          <w:color w:val="auto"/>
          <w:sz w:val="24"/>
          <w:highlight w:val="none"/>
        </w:rPr>
      </w:pPr>
    </w:p>
    <w:p w14:paraId="478A1BB9">
      <w:pPr>
        <w:rPr>
          <w:rFonts w:asciiTheme="minorEastAsia" w:hAnsiTheme="minorEastAsia" w:eastAsiaTheme="minorEastAsia"/>
          <w:b/>
          <w:color w:val="auto"/>
          <w:sz w:val="24"/>
          <w:highlight w:val="none"/>
        </w:rPr>
      </w:pPr>
    </w:p>
    <w:p w14:paraId="1EC29A9B">
      <w:pPr>
        <w:rPr>
          <w:rFonts w:asciiTheme="minorEastAsia" w:hAnsiTheme="minorEastAsia" w:eastAsiaTheme="minorEastAsia"/>
          <w:b/>
          <w:color w:val="auto"/>
          <w:sz w:val="24"/>
          <w:highlight w:val="none"/>
        </w:rPr>
      </w:pPr>
    </w:p>
    <w:p w14:paraId="643855FC">
      <w:pPr>
        <w:rPr>
          <w:rFonts w:asciiTheme="minorEastAsia" w:hAnsiTheme="minorEastAsia" w:eastAsiaTheme="minorEastAsia"/>
          <w:b/>
          <w:color w:val="auto"/>
          <w:sz w:val="24"/>
          <w:highlight w:val="none"/>
        </w:rPr>
      </w:pPr>
    </w:p>
    <w:p w14:paraId="1A8209C6">
      <w:pPr>
        <w:rPr>
          <w:rFonts w:asciiTheme="minorEastAsia" w:hAnsiTheme="minorEastAsia" w:eastAsiaTheme="minorEastAsia"/>
          <w:b/>
          <w:color w:val="auto"/>
          <w:sz w:val="24"/>
          <w:highlight w:val="none"/>
        </w:rPr>
      </w:pPr>
    </w:p>
    <w:p w14:paraId="60D89C48">
      <w:pPr>
        <w:rPr>
          <w:rFonts w:asciiTheme="minorEastAsia" w:hAnsiTheme="minorEastAsia" w:eastAsiaTheme="minorEastAsia"/>
          <w:b/>
          <w:color w:val="auto"/>
          <w:sz w:val="24"/>
          <w:highlight w:val="none"/>
        </w:rPr>
      </w:pPr>
    </w:p>
    <w:p w14:paraId="47BA973F">
      <w:pPr>
        <w:rPr>
          <w:rFonts w:asciiTheme="minorEastAsia" w:hAnsiTheme="minorEastAsia" w:eastAsiaTheme="minorEastAsia"/>
          <w:b/>
          <w:color w:val="auto"/>
          <w:sz w:val="24"/>
          <w:highlight w:val="none"/>
        </w:rPr>
      </w:pPr>
    </w:p>
    <w:p w14:paraId="7D49B19E">
      <w:pPr>
        <w:rPr>
          <w:rFonts w:asciiTheme="minorEastAsia" w:hAnsiTheme="minorEastAsia" w:eastAsiaTheme="minorEastAsia"/>
          <w:b/>
          <w:color w:val="auto"/>
          <w:sz w:val="24"/>
          <w:highlight w:val="none"/>
        </w:rPr>
      </w:pPr>
    </w:p>
    <w:p w14:paraId="4493D3C8">
      <w:pPr>
        <w:rPr>
          <w:rFonts w:asciiTheme="minorEastAsia" w:hAnsiTheme="minorEastAsia" w:eastAsiaTheme="minorEastAsia"/>
          <w:b/>
          <w:color w:val="auto"/>
          <w:sz w:val="24"/>
          <w:highlight w:val="none"/>
        </w:rPr>
      </w:pPr>
    </w:p>
    <w:p w14:paraId="4E6D9342">
      <w:pPr>
        <w:rPr>
          <w:rFonts w:asciiTheme="minorEastAsia" w:hAnsiTheme="minorEastAsia" w:eastAsiaTheme="minorEastAsia"/>
          <w:b/>
          <w:color w:val="auto"/>
          <w:sz w:val="24"/>
          <w:highlight w:val="none"/>
        </w:rPr>
      </w:pPr>
    </w:p>
    <w:p w14:paraId="0F458126">
      <w:pPr>
        <w:rPr>
          <w:rFonts w:asciiTheme="minorEastAsia" w:hAnsiTheme="minorEastAsia" w:eastAsiaTheme="minorEastAsia"/>
          <w:b/>
          <w:color w:val="auto"/>
          <w:sz w:val="24"/>
          <w:highlight w:val="none"/>
        </w:rPr>
      </w:pPr>
    </w:p>
    <w:p w14:paraId="5CCDCC68">
      <w:pPr>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3</w:t>
      </w:r>
      <w:r>
        <w:rPr>
          <w:rFonts w:hint="eastAsia" w:asciiTheme="minorEastAsia" w:hAnsiTheme="minorEastAsia" w:eastAsiaTheme="minorEastAsia"/>
          <w:b/>
          <w:color w:val="auto"/>
          <w:sz w:val="24"/>
          <w:highlight w:val="none"/>
        </w:rPr>
        <w:t>）中小企业声明函</w:t>
      </w:r>
    </w:p>
    <w:p w14:paraId="499A7538">
      <w:pPr>
        <w:pStyle w:val="28"/>
        <w:autoSpaceDE w:val="0"/>
        <w:spacing w:before="0" w:beforeAutospacing="0" w:after="120" w:afterAutospacing="0"/>
        <w:jc w:val="center"/>
        <w:rPr>
          <w:rFonts w:ascii="宋体" w:hAnsi="宋体" w:eastAsia="宋体" w:cs="@微软简标宋"/>
          <w:i/>
          <w:color w:val="auto"/>
          <w:kern w:val="2"/>
          <w:szCs w:val="24"/>
          <w:highlight w:val="none"/>
        </w:rPr>
      </w:pPr>
      <w:r>
        <w:rPr>
          <w:rFonts w:hint="eastAsia" w:ascii="宋体" w:hAnsi="宋体" w:eastAsia="宋体" w:cs="宋体"/>
          <w:i/>
          <w:color w:val="auto"/>
          <w:kern w:val="2"/>
          <w:szCs w:val="24"/>
          <w:highlight w:val="none"/>
        </w:rPr>
        <w:t>（非中小企业投标，不需此件，请删去“中小企业声明函”）</w:t>
      </w:r>
    </w:p>
    <w:p w14:paraId="252BD297">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u w:val="single"/>
        </w:rPr>
        <w:t>单位名称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rPr>
        <w:t>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44516D37">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，从业人员人，营业收入为万元，资产总额为万元，属于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19F020DB">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，从业人员人，营业收入为万元，资产总额为万元，属于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28CCFF48">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5542D8F3">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57E898AA">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6F2CE66C">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p>
    <w:p w14:paraId="6FA2AFF0">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    期：</w:t>
      </w:r>
    </w:p>
    <w:p w14:paraId="4B63854A">
      <w:pPr>
        <w:spacing w:line="360" w:lineRule="auto"/>
        <w:jc w:val="left"/>
        <w:rPr>
          <w:rFonts w:ascii="宋体" w:hAnsi="宋体" w:eastAsia="宋体"/>
          <w:b/>
          <w:color w:val="auto"/>
          <w:szCs w:val="21"/>
          <w:highlight w:val="none"/>
        </w:rPr>
      </w:pPr>
      <w:r>
        <w:rPr>
          <w:rFonts w:hint="eastAsia" w:ascii="宋体" w:hAnsi="宋体" w:eastAsia="宋体" w:cs="宋体"/>
          <w:b/>
          <w:color w:val="auto"/>
          <w:szCs w:val="21"/>
          <w:highlight w:val="none"/>
        </w:rPr>
        <w:t>注：</w:t>
      </w:r>
    </w:p>
    <w:p w14:paraId="515D420B">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1.从业人员、营业收入、资产总额填报上一年数据，无上一年数据的新成立企业可不填报。</w:t>
      </w:r>
    </w:p>
    <w:p w14:paraId="1E6BA470">
      <w:pPr>
        <w:wordWrap w:val="0"/>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投标人应根据《政府采购促进中小企业发展管理办法》（财库﹝2020﹞46号）和《关于印发中小企业划型标准规定的通知》(工信部联企业〔2011〕300号)相关规定，如实填写中小企业声明函。如有虚假，将依法承担相应责任。投标人自行登录工业和信息化部官网进行中小企业规模类型自测（查询网址https://www.miit.gov.cn/）。</w:t>
      </w:r>
    </w:p>
    <w:p w14:paraId="2FFC43DC">
      <w:pPr>
        <w:wordWrap w:val="0"/>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rPr>
        <w:t>标的名称</w:t>
      </w:r>
      <w:r>
        <w:rPr>
          <w:rFonts w:hint="eastAsia" w:ascii="宋体" w:hAnsi="宋体" w:eastAsia="宋体" w:cs="宋体"/>
          <w:b/>
          <w:bCs/>
          <w:color w:val="auto"/>
          <w:szCs w:val="21"/>
          <w:highlight w:val="none"/>
        </w:rPr>
        <w:t>”，详见第三章采购需求中明确的“货物名称”。</w:t>
      </w:r>
    </w:p>
    <w:p w14:paraId="6477A1F7">
      <w:pPr>
        <w:wordWrap w:val="0"/>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”，详见第三章采购需求中明确的“所属行业”。</w:t>
      </w:r>
    </w:p>
    <w:p w14:paraId="2F9A7A62">
      <w:pPr>
        <w:wordWrap w:val="0"/>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rPr>
        <w:t>某设备</w:t>
      </w:r>
      <w:r>
        <w:rPr>
          <w:rFonts w:hint="eastAsia" w:ascii="宋体" w:hAnsi="宋体" w:eastAsia="宋体" w:cs="宋体"/>
          <w:b/>
          <w:bCs/>
          <w:color w:val="auto"/>
          <w:szCs w:val="21"/>
          <w:highlight w:val="none"/>
        </w:rPr>
        <w:t>，属于</w:t>
      </w:r>
      <w:r>
        <w:rPr>
          <w:rFonts w:hint="eastAsia" w:ascii="宋体" w:hAnsi="宋体" w:eastAsia="宋体" w:cs="宋体"/>
          <w:b/>
          <w:bCs/>
          <w:color w:val="auto"/>
          <w:szCs w:val="21"/>
          <w:highlight w:val="none"/>
          <w:u w:val="single"/>
        </w:rPr>
        <w:t>（填写第三章采购需求中对应货物的“所属行业”，如工业）</w:t>
      </w:r>
      <w:r>
        <w:rPr>
          <w:rFonts w:hint="eastAsia" w:ascii="宋体" w:hAnsi="宋体" w:eastAsia="宋体" w:cs="宋体"/>
          <w:b/>
          <w:bCs/>
          <w:color w:val="auto"/>
          <w:szCs w:val="21"/>
          <w:highlight w:val="none"/>
        </w:rPr>
        <w:t>行业；承接企业为</w:t>
      </w:r>
      <w:r>
        <w:rPr>
          <w:rFonts w:hint="eastAsia" w:ascii="宋体" w:hAnsi="宋体" w:eastAsia="宋体" w:cs="宋体"/>
          <w:b/>
          <w:bCs/>
          <w:color w:val="auto"/>
          <w:szCs w:val="21"/>
          <w:highlight w:val="none"/>
          <w:u w:val="single"/>
        </w:rPr>
        <w:t>某企业</w:t>
      </w:r>
      <w:r>
        <w:rPr>
          <w:rFonts w:hint="eastAsia" w:ascii="宋体" w:hAnsi="宋体" w:eastAsia="宋体" w:cs="宋体"/>
          <w:b/>
          <w:bCs/>
          <w:color w:val="auto"/>
          <w:szCs w:val="21"/>
          <w:highlight w:val="none"/>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rPr>
        <w:t>人，营业收入为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rPr>
        <w:t>万元，资产总额为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rPr>
        <w:t>万元，属于</w:t>
      </w:r>
      <w:r>
        <w:rPr>
          <w:rFonts w:hint="eastAsia" w:ascii="宋体" w:hAnsi="宋体" w:eastAsia="宋体" w:cs="宋体"/>
          <w:b/>
          <w:bCs/>
          <w:color w:val="auto"/>
          <w:szCs w:val="21"/>
          <w:highlight w:val="none"/>
          <w:u w:val="single"/>
        </w:rPr>
        <w:t>小型</w:t>
      </w:r>
      <w:r>
        <w:rPr>
          <w:rFonts w:hint="eastAsia" w:ascii="宋体" w:hAnsi="宋体" w:eastAsia="宋体" w:cs="宋体"/>
          <w:b/>
          <w:bCs/>
          <w:color w:val="auto"/>
          <w:szCs w:val="21"/>
          <w:highlight w:val="none"/>
        </w:rPr>
        <w:t>企业[投标人自行登录工业和信息化部官网进行中小企业规模类型自测（查询网址https://www.miit.gov.cn/）]。</w:t>
      </w:r>
    </w:p>
    <w:p w14:paraId="629843DD">
      <w:pPr>
        <w:spacing w:line="360" w:lineRule="auto"/>
        <w:jc w:val="center"/>
        <w:outlineLvl w:val="1"/>
        <w:rPr>
          <w:rFonts w:asciiTheme="minorEastAsia" w:hAnsiTheme="minorEastAsia" w:eastAsiaTheme="minorEastAsia"/>
          <w:b/>
          <w:color w:val="auto"/>
          <w:sz w:val="24"/>
          <w:highlight w:val="none"/>
        </w:rPr>
      </w:pPr>
    </w:p>
    <w:p w14:paraId="086413CA">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4</w:t>
      </w:r>
      <w:r>
        <w:rPr>
          <w:rFonts w:hint="eastAsia" w:asciiTheme="minorEastAsia" w:hAnsiTheme="minorEastAsia" w:eastAsiaTheme="minorEastAsia"/>
          <w:b/>
          <w:color w:val="auto"/>
          <w:sz w:val="24"/>
          <w:highlight w:val="none"/>
        </w:rPr>
        <w:t>）残疾人福利性单位声明函</w:t>
      </w:r>
    </w:p>
    <w:p w14:paraId="011681D0">
      <w:pPr>
        <w:pStyle w:val="28"/>
        <w:autoSpaceDE w:val="0"/>
        <w:spacing w:before="0" w:after="120" w:afterAutospacing="0" w:line="360" w:lineRule="auto"/>
        <w:jc w:val="center"/>
        <w:rPr>
          <w:rFonts w:ascii="宋体" w:hAnsi="宋体" w:eastAsia="宋体" w:cs="@微软简标宋"/>
          <w:i/>
          <w:color w:val="auto"/>
          <w:kern w:val="2"/>
          <w:szCs w:val="24"/>
          <w:highlight w:val="none"/>
        </w:rPr>
      </w:pPr>
      <w:r>
        <w:rPr>
          <w:rFonts w:hint="eastAsia" w:ascii="宋体" w:hAnsi="宋体" w:eastAsia="宋体" w:cs="宋体"/>
          <w:i/>
          <w:color w:val="auto"/>
          <w:kern w:val="2"/>
          <w:szCs w:val="24"/>
          <w:highlight w:val="none"/>
        </w:rPr>
        <w:t>（非残疾人福利性单位投标，请删去“残疾人福利性单位声明函”）</w:t>
      </w:r>
    </w:p>
    <w:p w14:paraId="1ED663E8">
      <w:pPr>
        <w:spacing w:line="360" w:lineRule="auto"/>
        <w:ind w:firstLine="435"/>
        <w:rPr>
          <w:rFonts w:ascii="宋体" w:hAnsi="宋体" w:eastAsia="宋体"/>
          <w:color w:val="auto"/>
          <w:spacing w:val="6"/>
          <w:sz w:val="24"/>
          <w:szCs w:val="24"/>
          <w:highlight w:val="none"/>
        </w:rPr>
      </w:pPr>
      <w:r>
        <w:rPr>
          <w:rFonts w:hint="eastAsia" w:ascii="宋体" w:hAnsi="宋体" w:eastAsia="宋体" w:cs="宋体"/>
          <w:color w:val="auto"/>
          <w:spacing w:val="6"/>
          <w:sz w:val="24"/>
          <w:szCs w:val="24"/>
          <w:highlight w:val="none"/>
        </w:rPr>
        <w:t>本单位</w:t>
      </w:r>
      <w:r>
        <w:rPr>
          <w:rFonts w:hint="eastAsia" w:ascii="宋体" w:hAnsi="宋体" w:eastAsia="宋体" w:cs="宋体"/>
          <w:color w:val="auto"/>
          <w:sz w:val="24"/>
          <w:szCs w:val="24"/>
          <w:highlight w:val="none"/>
        </w:rPr>
        <w:t>郑重</w:t>
      </w:r>
      <w:r>
        <w:rPr>
          <w:rFonts w:hint="eastAsia" w:ascii="宋体" w:hAnsi="宋体" w:eastAsia="宋体" w:cs="宋体"/>
          <w:color w:val="auto"/>
          <w:spacing w:val="6"/>
          <w:sz w:val="24"/>
          <w:szCs w:val="24"/>
          <w:highlight w:val="none"/>
        </w:rPr>
        <w:t>声明，根据《财政部民政部中国残疾人联合会关于促进残疾人就业政府采购政策的通知》（财库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w:t>
      </w:r>
      <w:r>
        <w:rPr>
          <w:rFonts w:hint="eastAsia" w:ascii="宋体" w:hAnsi="宋体" w:eastAsia="宋体" w:cs="宋体"/>
          <w:bCs/>
          <w:color w:val="auto"/>
          <w:sz w:val="24"/>
          <w:szCs w:val="24"/>
          <w:highlight w:val="none"/>
        </w:rPr>
        <w:t>符合</w:t>
      </w:r>
      <w:r>
        <w:rPr>
          <w:rFonts w:hint="eastAsia" w:ascii="宋体" w:hAnsi="宋体" w:eastAsia="宋体" w:cs="宋体"/>
          <w:color w:val="auto"/>
          <w:spacing w:val="6"/>
          <w:sz w:val="24"/>
          <w:szCs w:val="24"/>
          <w:highlight w:val="none"/>
        </w:rPr>
        <w:t>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B8B4BC4">
      <w:pPr>
        <w:spacing w:line="360" w:lineRule="auto"/>
        <w:ind w:firstLine="435"/>
        <w:rPr>
          <w:rFonts w:ascii="宋体" w:hAnsi="宋体" w:eastAsia="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7D41DB12">
      <w:pPr>
        <w:spacing w:line="360" w:lineRule="auto"/>
        <w:ind w:firstLine="4228" w:firstLineChars="1762"/>
        <w:rPr>
          <w:rFonts w:ascii="宋体" w:hAnsi="宋体" w:eastAsia="宋体"/>
          <w:color w:val="auto"/>
          <w:sz w:val="24"/>
          <w:szCs w:val="24"/>
          <w:highlight w:val="none"/>
        </w:rPr>
      </w:pPr>
    </w:p>
    <w:p w14:paraId="65D2213B">
      <w:pPr>
        <w:spacing w:line="360" w:lineRule="auto"/>
        <w:ind w:firstLine="4228" w:firstLineChars="1762"/>
        <w:rPr>
          <w:rFonts w:ascii="宋体" w:hAnsi="宋体" w:eastAsia="宋体"/>
          <w:color w:val="auto"/>
          <w:sz w:val="24"/>
          <w:szCs w:val="24"/>
          <w:highlight w:val="none"/>
        </w:rPr>
      </w:pPr>
    </w:p>
    <w:p w14:paraId="270C4CC7">
      <w:pPr>
        <w:spacing w:line="360" w:lineRule="auto"/>
        <w:ind w:firstLine="4228" w:firstLineChars="1762"/>
        <w:rPr>
          <w:rFonts w:ascii="宋体" w:hAnsi="宋体" w:eastAsia="宋体"/>
          <w:color w:val="auto"/>
          <w:sz w:val="24"/>
          <w:szCs w:val="24"/>
          <w:highlight w:val="none"/>
          <w:u w:val="single"/>
        </w:rPr>
      </w:pPr>
      <w:r>
        <w:rPr>
          <w:rFonts w:hint="eastAsia" w:ascii="宋体" w:hAnsi="宋体" w:eastAsia="宋体" w:cs="宋体"/>
          <w:color w:val="auto"/>
          <w:sz w:val="24"/>
          <w:szCs w:val="24"/>
          <w:highlight w:val="none"/>
        </w:rPr>
        <w:t>投标人电子签章：</w:t>
      </w:r>
    </w:p>
    <w:p w14:paraId="1D30ED4F">
      <w:pPr>
        <w:spacing w:line="360" w:lineRule="auto"/>
        <w:ind w:firstLine="4252" w:firstLineChars="1772"/>
        <w:rPr>
          <w:rFonts w:ascii="宋体" w:hAnsi="宋体" w:eastAsia="宋体"/>
          <w:color w:val="auto"/>
          <w:sz w:val="24"/>
          <w:szCs w:val="24"/>
          <w:highlight w:val="none"/>
          <w:u w:val="single"/>
        </w:rPr>
      </w:pPr>
      <w:r>
        <w:rPr>
          <w:rFonts w:hint="eastAsia" w:ascii="宋体" w:hAnsi="宋体" w:eastAsia="宋体" w:cs="宋体"/>
          <w:color w:val="auto"/>
          <w:sz w:val="24"/>
          <w:szCs w:val="24"/>
          <w:highlight w:val="none"/>
        </w:rPr>
        <w:t>日期：</w:t>
      </w:r>
    </w:p>
    <w:p w14:paraId="06C3C958">
      <w:pPr>
        <w:spacing w:line="360" w:lineRule="auto"/>
        <w:jc w:val="center"/>
        <w:outlineLvl w:val="1"/>
        <w:rPr>
          <w:rFonts w:asciiTheme="minorEastAsia" w:hAnsiTheme="minorEastAsia" w:eastAsiaTheme="minorEastAsia"/>
          <w:b/>
          <w:color w:val="auto"/>
          <w:sz w:val="24"/>
          <w:highlight w:val="none"/>
        </w:rPr>
      </w:pPr>
    </w:p>
    <w:p w14:paraId="21563C8B">
      <w:pPr>
        <w:spacing w:line="360" w:lineRule="auto"/>
        <w:jc w:val="center"/>
        <w:outlineLvl w:val="1"/>
        <w:rPr>
          <w:rFonts w:asciiTheme="minorEastAsia" w:hAnsiTheme="minorEastAsia" w:eastAsiaTheme="minorEastAsia"/>
          <w:b/>
          <w:color w:val="auto"/>
          <w:sz w:val="24"/>
          <w:highlight w:val="none"/>
        </w:rPr>
      </w:pPr>
    </w:p>
    <w:p w14:paraId="22A260DB">
      <w:pPr>
        <w:spacing w:line="360" w:lineRule="auto"/>
        <w:ind w:firstLine="435"/>
        <w:rPr>
          <w:rFonts w:asciiTheme="minorEastAsia" w:hAnsiTheme="minorEastAsia" w:eastAsiaTheme="minorEastAsia"/>
          <w:color w:val="auto"/>
          <w:sz w:val="24"/>
          <w:highlight w:val="none"/>
        </w:rPr>
      </w:pPr>
    </w:p>
    <w:p w14:paraId="64C3BBBD">
      <w:pPr>
        <w:widowControl/>
        <w:jc w:val="left"/>
        <w:rPr>
          <w:rFonts w:ascii="宋体" w:hAnsi="宋体" w:eastAsia="宋体"/>
          <w:bCs/>
          <w:color w:val="auto"/>
          <w:sz w:val="24"/>
          <w:highlight w:val="none"/>
        </w:rPr>
      </w:pPr>
      <w:r>
        <w:rPr>
          <w:rFonts w:ascii="宋体" w:hAnsi="宋体" w:eastAsia="宋体"/>
          <w:bCs/>
          <w:color w:val="auto"/>
          <w:sz w:val="24"/>
          <w:highlight w:val="none"/>
        </w:rPr>
        <w:br w:type="page"/>
      </w:r>
    </w:p>
    <w:p w14:paraId="5CC9F904">
      <w:pPr>
        <w:spacing w:line="360" w:lineRule="auto"/>
        <w:jc w:val="center"/>
        <w:outlineLvl w:val="0"/>
        <w:rPr>
          <w:rFonts w:ascii="宋体" w:hAnsi="宋体" w:eastAsia="宋体"/>
          <w:b/>
          <w:bCs/>
          <w:color w:val="auto"/>
          <w:sz w:val="28"/>
          <w:highlight w:val="none"/>
        </w:rPr>
      </w:pPr>
      <w:bookmarkStart w:id="209" w:name="_Toc6435"/>
      <w:bookmarkStart w:id="210" w:name="_Toc20819"/>
      <w:r>
        <w:rPr>
          <w:rFonts w:hint="eastAsia" w:asciiTheme="minorEastAsia" w:hAnsiTheme="minorEastAsia" w:eastAsiaTheme="minorEastAsia"/>
          <w:b/>
          <w:color w:val="auto"/>
          <w:sz w:val="28"/>
          <w:highlight w:val="none"/>
        </w:rPr>
        <w:t>第七章</w:t>
      </w:r>
      <w:r>
        <w:rPr>
          <w:rFonts w:hint="eastAsia" w:ascii="宋体" w:hAnsi="宋体" w:eastAsia="宋体"/>
          <w:b/>
          <w:bCs/>
          <w:color w:val="auto"/>
          <w:sz w:val="28"/>
          <w:highlight w:val="none"/>
        </w:rPr>
        <w:t xml:space="preserve">  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209"/>
      <w:bookmarkEnd w:id="210"/>
    </w:p>
    <w:p w14:paraId="11A35092">
      <w:pPr>
        <w:spacing w:line="360" w:lineRule="auto"/>
        <w:jc w:val="center"/>
        <w:outlineLvl w:val="1"/>
        <w:rPr>
          <w:rFonts w:ascii="仿宋" w:hAnsi="仿宋" w:eastAsia="仿宋" w:cs="仿宋"/>
          <w:b/>
          <w:bCs/>
          <w:color w:val="auto"/>
          <w:sz w:val="32"/>
          <w:szCs w:val="44"/>
          <w:highlight w:val="none"/>
        </w:rPr>
      </w:pPr>
      <w:bookmarkStart w:id="211" w:name="_Toc27159"/>
      <w:bookmarkStart w:id="212" w:name="_Toc6955"/>
      <w:r>
        <w:rPr>
          <w:rFonts w:hint="eastAsia" w:ascii="仿宋" w:hAnsi="仿宋" w:eastAsia="仿宋" w:cs="仿宋"/>
          <w:b/>
          <w:bCs/>
          <w:color w:val="auto"/>
          <w:sz w:val="32"/>
          <w:szCs w:val="44"/>
          <w:highlight w:val="none"/>
        </w:rPr>
        <w:t>询问函范本</w:t>
      </w:r>
      <w:bookmarkEnd w:id="211"/>
      <w:bookmarkEnd w:id="212"/>
    </w:p>
    <w:p w14:paraId="05B9C9DC">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31FEC23D">
      <w:pPr>
        <w:adjustRightInd w:val="0"/>
        <w:snapToGrid w:val="0"/>
        <w:spacing w:line="360" w:lineRule="auto"/>
        <w:rPr>
          <w:rFonts w:cs="仿宋" w:asciiTheme="minorEastAsia" w:hAnsiTheme="minorEastAsia" w:eastAsiaTheme="minorEastAsia"/>
          <w:b/>
          <w:bCs/>
          <w:color w:val="auto"/>
          <w:sz w:val="24"/>
          <w:szCs w:val="24"/>
          <w:highlight w:val="none"/>
          <w:u w:val="single"/>
        </w:rPr>
      </w:pPr>
      <w:r>
        <w:rPr>
          <w:rFonts w:hint="eastAsia" w:cs="仿宋" w:asciiTheme="minorEastAsia" w:hAnsiTheme="minorEastAsia" w:eastAsiaTheme="minorEastAsia"/>
          <w:b/>
          <w:bCs/>
          <w:color w:val="auto"/>
          <w:sz w:val="24"/>
          <w:szCs w:val="24"/>
          <w:highlight w:val="none"/>
        </w:rPr>
        <w:t>致：采购人</w:t>
      </w:r>
    </w:p>
    <w:p w14:paraId="610F9C25">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i/>
          <w:iCs/>
          <w:color w:val="auto"/>
          <w:sz w:val="24"/>
          <w:szCs w:val="24"/>
          <w:highlight w:val="none"/>
        </w:rPr>
        <w:t>项目名称、编号</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6AFB8F7A">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bookmarkStart w:id="213" w:name="_Toc13899"/>
      <w:r>
        <w:rPr>
          <w:rFonts w:hint="eastAsia" w:cs="仿宋" w:asciiTheme="minorEastAsia" w:hAnsiTheme="minorEastAsia" w:eastAsiaTheme="minorEastAsia"/>
          <w:color w:val="auto"/>
          <w:sz w:val="24"/>
          <w:szCs w:val="24"/>
          <w:highlight w:val="none"/>
        </w:rPr>
        <w:t>一、(事项一)</w:t>
      </w:r>
      <w:bookmarkEnd w:id="213"/>
    </w:p>
    <w:p w14:paraId="4BFAD376">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64B7FCB7">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5317F5B7">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70906F91">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bookmarkStart w:id="214" w:name="_Toc3352"/>
      <w:r>
        <w:rPr>
          <w:rFonts w:hint="eastAsia" w:cs="仿宋" w:asciiTheme="minorEastAsia" w:hAnsiTheme="minorEastAsia" w:eastAsiaTheme="minorEastAsia"/>
          <w:color w:val="auto"/>
          <w:sz w:val="24"/>
          <w:szCs w:val="24"/>
          <w:highlight w:val="none"/>
        </w:rPr>
        <w:t>二、(事项二)</w:t>
      </w:r>
      <w:bookmarkEnd w:id="214"/>
    </w:p>
    <w:p w14:paraId="1A48E023">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546F8E61">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30196D2D">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p>
    <w:p w14:paraId="2F1BD42A">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p>
    <w:p w14:paraId="7C574C0A">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p>
    <w:p w14:paraId="3BC12C2A">
      <w:pP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br w:type="page"/>
      </w:r>
    </w:p>
    <w:p w14:paraId="0BF0316A">
      <w:pPr>
        <w:jc w:val="center"/>
        <w:outlineLvl w:val="1"/>
        <w:rPr>
          <w:rFonts w:ascii="仿宋" w:hAnsi="仿宋" w:eastAsia="仿宋" w:cs="仿宋"/>
          <w:b/>
          <w:bCs/>
          <w:color w:val="auto"/>
          <w:sz w:val="32"/>
          <w:szCs w:val="44"/>
          <w:highlight w:val="none"/>
        </w:rPr>
      </w:pPr>
      <w:bookmarkStart w:id="215" w:name="_Toc1575"/>
      <w:bookmarkStart w:id="216" w:name="_Toc857"/>
      <w:r>
        <w:rPr>
          <w:rFonts w:hint="eastAsia" w:ascii="仿宋" w:hAnsi="仿宋" w:eastAsia="仿宋" w:cs="仿宋"/>
          <w:b/>
          <w:bCs/>
          <w:color w:val="auto"/>
          <w:sz w:val="32"/>
          <w:szCs w:val="44"/>
          <w:highlight w:val="none"/>
        </w:rPr>
        <w:t>质疑函范本</w:t>
      </w:r>
      <w:bookmarkEnd w:id="215"/>
      <w:bookmarkEnd w:id="216"/>
    </w:p>
    <w:p w14:paraId="525EF1CF">
      <w:pPr>
        <w:adjustRightInd w:val="0"/>
        <w:snapToGrid w:val="0"/>
        <w:spacing w:beforeLines="100" w:line="360" w:lineRule="auto"/>
        <w:rPr>
          <w:rFonts w:cs="仿宋" w:asciiTheme="minorEastAsia" w:hAnsiTheme="minorEastAsia" w:eastAsiaTheme="minorEastAsia"/>
          <w:b/>
          <w:bCs/>
          <w:color w:val="auto"/>
          <w:sz w:val="24"/>
          <w:szCs w:val="24"/>
          <w:highlight w:val="none"/>
        </w:rPr>
      </w:pPr>
      <w:bookmarkStart w:id="217" w:name="_Toc21381"/>
      <w:r>
        <w:rPr>
          <w:rFonts w:hint="eastAsia" w:cs="仿宋" w:asciiTheme="minorEastAsia" w:hAnsiTheme="minorEastAsia" w:eastAsiaTheme="minorEastAsia"/>
          <w:b/>
          <w:bCs/>
          <w:color w:val="auto"/>
          <w:sz w:val="24"/>
          <w:szCs w:val="24"/>
          <w:highlight w:val="none"/>
        </w:rPr>
        <w:t>一、质疑供应商基本信息</w:t>
      </w:r>
      <w:bookmarkEnd w:id="217"/>
    </w:p>
    <w:p w14:paraId="132D3807">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p>
    <w:p w14:paraId="7525C687">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地址：邮编：</w:t>
      </w:r>
    </w:p>
    <w:p w14:paraId="3C7ECB68">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联系人：联系电话：</w:t>
      </w:r>
    </w:p>
    <w:p w14:paraId="789BDA57">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p>
    <w:p w14:paraId="2F883CF1">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p>
    <w:p w14:paraId="4426BB73">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地址：邮编：</w:t>
      </w:r>
    </w:p>
    <w:p w14:paraId="640A66B5">
      <w:pPr>
        <w:adjustRightInd w:val="0"/>
        <w:snapToGrid w:val="0"/>
        <w:spacing w:line="360" w:lineRule="auto"/>
        <w:rPr>
          <w:rFonts w:cs="仿宋" w:asciiTheme="minorEastAsia" w:hAnsiTheme="minorEastAsia" w:eastAsiaTheme="minorEastAsia"/>
          <w:b/>
          <w:bCs/>
          <w:color w:val="auto"/>
          <w:sz w:val="24"/>
          <w:szCs w:val="24"/>
          <w:highlight w:val="none"/>
        </w:rPr>
      </w:pPr>
      <w:bookmarkStart w:id="218" w:name="_Toc28415"/>
      <w:r>
        <w:rPr>
          <w:rFonts w:hint="eastAsia" w:cs="仿宋" w:asciiTheme="minorEastAsia" w:hAnsiTheme="minorEastAsia" w:eastAsiaTheme="minorEastAsia"/>
          <w:b/>
          <w:bCs/>
          <w:color w:val="auto"/>
          <w:sz w:val="24"/>
          <w:szCs w:val="24"/>
          <w:highlight w:val="none"/>
        </w:rPr>
        <w:t>二、质疑项目基本情况</w:t>
      </w:r>
      <w:bookmarkEnd w:id="218"/>
    </w:p>
    <w:p w14:paraId="679BE605">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p>
    <w:p w14:paraId="248262B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质疑项目的编号：包号：</w:t>
      </w:r>
    </w:p>
    <w:p w14:paraId="43E3A7E7">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p>
    <w:p w14:paraId="015C5EC6">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p>
    <w:p w14:paraId="2C405022">
      <w:pPr>
        <w:adjustRightInd w:val="0"/>
        <w:snapToGrid w:val="0"/>
        <w:spacing w:line="360" w:lineRule="auto"/>
        <w:rPr>
          <w:rFonts w:cs="仿宋" w:asciiTheme="minorEastAsia" w:hAnsiTheme="minorEastAsia" w:eastAsiaTheme="minorEastAsia"/>
          <w:b/>
          <w:bCs/>
          <w:color w:val="auto"/>
          <w:sz w:val="24"/>
          <w:szCs w:val="24"/>
          <w:highlight w:val="none"/>
        </w:rPr>
      </w:pPr>
      <w:bookmarkStart w:id="219" w:name="_Toc19014"/>
      <w:r>
        <w:rPr>
          <w:rFonts w:hint="eastAsia" w:cs="仿宋" w:asciiTheme="minorEastAsia" w:hAnsiTheme="minorEastAsia" w:eastAsiaTheme="minorEastAsia"/>
          <w:b/>
          <w:bCs/>
          <w:color w:val="auto"/>
          <w:sz w:val="24"/>
          <w:szCs w:val="24"/>
          <w:highlight w:val="none"/>
        </w:rPr>
        <w:t>三、质疑事项具体内容</w:t>
      </w:r>
      <w:bookmarkEnd w:id="219"/>
    </w:p>
    <w:p w14:paraId="7FA339AC">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p>
    <w:p w14:paraId="7102BA6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p>
    <w:p w14:paraId="44B0E690">
      <w:pPr>
        <w:adjustRightInd w:val="0"/>
        <w:snapToGrid w:val="0"/>
        <w:spacing w:line="360" w:lineRule="auto"/>
        <w:rPr>
          <w:rFonts w:cs="仿宋" w:asciiTheme="minorEastAsia" w:hAnsiTheme="minorEastAsia" w:eastAsiaTheme="minorEastAsia"/>
          <w:color w:val="auto"/>
          <w:sz w:val="24"/>
          <w:szCs w:val="24"/>
          <w:highlight w:val="none"/>
        </w:rPr>
      </w:pPr>
    </w:p>
    <w:p w14:paraId="7D3EF8BA">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p>
    <w:p w14:paraId="638E4296">
      <w:pPr>
        <w:adjustRightInd w:val="0"/>
        <w:snapToGrid w:val="0"/>
        <w:spacing w:line="360" w:lineRule="auto"/>
        <w:rPr>
          <w:rFonts w:cs="仿宋" w:asciiTheme="minorEastAsia" w:hAnsiTheme="minorEastAsia" w:eastAsiaTheme="minorEastAsia"/>
          <w:color w:val="auto"/>
          <w:sz w:val="24"/>
          <w:szCs w:val="24"/>
          <w:highlight w:val="none"/>
          <w:u w:val="dotted"/>
        </w:rPr>
      </w:pPr>
    </w:p>
    <w:p w14:paraId="52B70A6A">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128496D7">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6E31F693">
      <w:pPr>
        <w:adjustRightInd w:val="0"/>
        <w:snapToGrid w:val="0"/>
        <w:spacing w:line="360" w:lineRule="auto"/>
        <w:rPr>
          <w:rFonts w:cs="仿宋" w:asciiTheme="minorEastAsia" w:hAnsiTheme="minorEastAsia" w:eastAsiaTheme="minorEastAsia"/>
          <w:b/>
          <w:bCs/>
          <w:color w:val="auto"/>
          <w:sz w:val="24"/>
          <w:szCs w:val="24"/>
          <w:highlight w:val="none"/>
        </w:rPr>
      </w:pPr>
      <w:bookmarkStart w:id="220" w:name="_Toc17919"/>
      <w:r>
        <w:rPr>
          <w:rFonts w:hint="eastAsia" w:cs="仿宋" w:asciiTheme="minorEastAsia" w:hAnsiTheme="minorEastAsia" w:eastAsiaTheme="minorEastAsia"/>
          <w:b/>
          <w:bCs/>
          <w:color w:val="auto"/>
          <w:sz w:val="24"/>
          <w:szCs w:val="24"/>
          <w:highlight w:val="none"/>
        </w:rPr>
        <w:t>四、与质疑事项相关的质疑请求</w:t>
      </w:r>
      <w:bookmarkEnd w:id="220"/>
    </w:p>
    <w:p w14:paraId="74EBF12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p>
    <w:p w14:paraId="18A38624">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66DD32D1">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5AF686E2">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2930299E">
      <w:pPr>
        <w:outlineLvl w:val="0"/>
        <w:rPr>
          <w:rFonts w:asciiTheme="minorEastAsia" w:hAnsiTheme="minorEastAsia" w:eastAsiaTheme="minorEastAsia"/>
          <w:b/>
          <w:color w:val="auto"/>
          <w:sz w:val="28"/>
          <w:szCs w:val="32"/>
          <w:highlight w:val="none"/>
        </w:rPr>
      </w:pPr>
      <w:bookmarkStart w:id="221" w:name="_Toc22239"/>
      <w:bookmarkStart w:id="222" w:name="_Toc9754"/>
      <w:r>
        <w:rPr>
          <w:rFonts w:hint="eastAsia" w:asciiTheme="minorEastAsia" w:hAnsiTheme="minorEastAsia" w:eastAsiaTheme="minorEastAsia"/>
          <w:b/>
          <w:color w:val="auto"/>
          <w:sz w:val="28"/>
          <w:szCs w:val="32"/>
          <w:highlight w:val="none"/>
        </w:rPr>
        <w:t>质疑函制作说明：</w:t>
      </w:r>
      <w:bookmarkEnd w:id="221"/>
      <w:bookmarkEnd w:id="222"/>
    </w:p>
    <w:p w14:paraId="7ADC860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755D0D3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5195A2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4197AF9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02E9D9A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6F474C1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68E8B82B">
      <w:pPr>
        <w:pStyle w:val="2"/>
        <w:spacing w:before="200" w:after="200" w:line="600" w:lineRule="exact"/>
        <w:jc w:val="center"/>
        <w:rPr>
          <w:rFonts w:ascii="黑体" w:hAnsi="黑体" w:eastAsia="黑体"/>
          <w:color w:val="auto"/>
          <w:sz w:val="28"/>
          <w:szCs w:val="28"/>
          <w:highlight w:val="none"/>
        </w:rPr>
      </w:pPr>
      <w:r>
        <w:rPr>
          <w:rFonts w:hint="eastAsia" w:asciiTheme="minorEastAsia" w:hAnsiTheme="minorEastAsia" w:eastAsiaTheme="minorEastAsia"/>
          <w:color w:val="auto"/>
          <w:sz w:val="24"/>
          <w:highlight w:val="none"/>
        </w:rPr>
        <w:br w:type="page"/>
      </w:r>
      <w:r>
        <w:rPr>
          <w:rFonts w:hint="eastAsia" w:ascii="黑体" w:hAnsi="黑体" w:eastAsia="黑体"/>
          <w:color w:val="auto"/>
          <w:sz w:val="36"/>
          <w:szCs w:val="28"/>
          <w:highlight w:val="none"/>
        </w:rPr>
        <w:t>附件1 关于联合惩戒失信行为加强信用查询管理的通知</w:t>
      </w:r>
    </w:p>
    <w:p w14:paraId="5CE5FBCC">
      <w:pPr>
        <w:adjustRightInd w:val="0"/>
        <w:snapToGrid w:val="0"/>
        <w:spacing w:line="560" w:lineRule="exact"/>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一、失信行为联合惩戒的范围和查询渠道</w:t>
      </w:r>
    </w:p>
    <w:p w14:paraId="651AE063">
      <w:pP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在我市公共资源交易活动中对存在下列失信行为的投标人、法定代表人及其项目经理（建造师）实施联合惩戒，禁止参与我市公共资源交易活动。</w:t>
      </w:r>
    </w:p>
    <w:p w14:paraId="5275D78E">
      <w:pPr>
        <w:adjustRightInd w:val="0"/>
        <w:snapToGrid w:val="0"/>
        <w:spacing w:line="560" w:lineRule="exact"/>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（一）工程建设项目</w:t>
      </w:r>
    </w:p>
    <w:p w14:paraId="091F09E0">
      <w:pP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1、“信用中国”网站（www.creditchina.gov.cn）查询以下失信行为：</w:t>
      </w:r>
    </w:p>
    <w:p w14:paraId="4D3B2000">
      <w:pP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①投标人被人民法院列入失信被执行人的；</w:t>
      </w:r>
    </w:p>
    <w:p w14:paraId="163FD420">
      <w:pP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②投标人被税务部门列入重大税收违法案件当事人的；</w:t>
      </w:r>
    </w:p>
    <w:p w14:paraId="44216100">
      <w:pP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③投标人被人力资源社会保障主管部门列入拖欠农民工工资“黑名单”的；</w:t>
      </w:r>
    </w:p>
    <w:p w14:paraId="4A3214CD">
      <w:pP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④在“信用中国”网站上披露的仍在公示期的严重失信行为的。</w:t>
      </w:r>
    </w:p>
    <w:p w14:paraId="7A918EF7">
      <w:pP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2、国家企业信用信息公示系统网站（</w:t>
      </w:r>
      <w:r>
        <w:rPr>
          <w:color w:val="auto"/>
          <w:highlight w:val="none"/>
        </w:rPr>
        <w:fldChar w:fldCharType="begin"/>
      </w:r>
      <w:r>
        <w:rPr>
          <w:color w:val="auto"/>
          <w:highlight w:val="none"/>
        </w:rPr>
        <w:instrText xml:space="preserve"> HYPERLINK "http://www.gsxt.gov.cn）查询" </w:instrText>
      </w:r>
      <w:r>
        <w:rPr>
          <w:color w:val="auto"/>
          <w:highlight w:val="none"/>
        </w:rPr>
        <w:fldChar w:fldCharType="separate"/>
      </w:r>
      <w:r>
        <w:rPr>
          <w:rFonts w:hint="eastAsia" w:ascii="仿宋_GB2312" w:hAnsi="宋体" w:eastAsia="仿宋_GB2312"/>
          <w:color w:val="auto"/>
          <w:sz w:val="28"/>
          <w:szCs w:val="28"/>
          <w:highlight w:val="none"/>
        </w:rPr>
        <w:t>www.gsxt.gov.cn）</w:t>
      </w:r>
      <w:r>
        <w:rPr>
          <w:rFonts w:hint="eastAsia" w:ascii="仿宋_GB2312" w:hAnsi="宋体" w:eastAsia="仿宋_GB2312"/>
          <w:color w:val="auto"/>
          <w:sz w:val="28"/>
          <w:szCs w:val="28"/>
          <w:highlight w:val="none"/>
        </w:rPr>
        <w:fldChar w:fldCharType="end"/>
      </w:r>
      <w:r>
        <w:rPr>
          <w:rFonts w:hint="eastAsia" w:ascii="仿宋_GB2312" w:hAnsi="宋体" w:eastAsia="仿宋_GB2312"/>
          <w:color w:val="auto"/>
          <w:sz w:val="28"/>
          <w:szCs w:val="28"/>
          <w:highlight w:val="none"/>
        </w:rPr>
        <w:t>查询以下失信行为：</w:t>
      </w:r>
    </w:p>
    <w:p w14:paraId="7867629D">
      <w:pP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①被市场监督管理部门列入经营异常名录或者严重违法企业名单的。</w:t>
      </w:r>
    </w:p>
    <w:p w14:paraId="2B711846">
      <w:pP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3、滁州市公共资源交易中心网站（http://ggzy.chuzhou.gov.cn/）查询以下失信行为：</w:t>
      </w:r>
    </w:p>
    <w:p w14:paraId="1F74F0F5">
      <w:pP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①被滁州市县两级公管部门取消在一定期限内的投标资格且在取消期限内的；</w:t>
      </w:r>
    </w:p>
    <w:p w14:paraId="00261D01">
      <w:pP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4、由竞争主体进行承诺，不进行现场网上信用查询的失信行为：</w:t>
      </w:r>
    </w:p>
    <w:p w14:paraId="7F34CD9F">
      <w:pPr>
        <w:adjustRightInd w:val="0"/>
        <w:snapToGrid w:val="0"/>
        <w:spacing w:line="560" w:lineRule="exact"/>
        <w:ind w:firstLine="560" w:firstLineChars="200"/>
        <w:rPr>
          <w:rFonts w:ascii="仿宋_GB2312" w:hAnsi="宋体" w:eastAsia="仿宋_GB2312" w:cs="楷体"/>
          <w:color w:val="auto"/>
          <w:sz w:val="28"/>
          <w:szCs w:val="28"/>
          <w:highlight w:val="none"/>
        </w:rPr>
      </w:pPr>
      <w:r>
        <w:rPr>
          <w:rFonts w:hint="eastAsia" w:ascii="仿宋_GB2312" w:hAnsi="宋体" w:eastAsia="仿宋_GB2312"/>
          <w:color w:val="auto"/>
          <w:sz w:val="28"/>
          <w:szCs w:val="28"/>
          <w:highlight w:val="none"/>
        </w:rPr>
        <w:t>①</w:t>
      </w:r>
      <w:r>
        <w:rPr>
          <w:rFonts w:hint="eastAsia" w:ascii="仿宋_GB2312" w:hAnsi="宋体" w:eastAsia="仿宋_GB2312" w:cs="楷体"/>
          <w:color w:val="auto"/>
          <w:sz w:val="28"/>
          <w:szCs w:val="28"/>
          <w:highlight w:val="none"/>
        </w:rPr>
        <w:t>前三年有行贿犯罪行为的单位和个人；</w:t>
      </w:r>
    </w:p>
    <w:p w14:paraId="0E1293F1">
      <w:pP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②被滁州市县两级各行业主管部门取消在一定期限内的投标资格且在取消期限内的；</w:t>
      </w:r>
    </w:p>
    <w:p w14:paraId="50954A3A">
      <w:pP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③因拖欠农民工工资被县级及以上有关行政主管部门限制投标资格且在限制期限内的；</w:t>
      </w:r>
    </w:p>
    <w:p w14:paraId="0CF43715">
      <w:pP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④被列入省级、市级农民工工资支付异常名录的施工企业，在限制其参加本项目投标的期限内的；列入县级异常名录的施工企业，在限制其参加本项目投标的期限内的。</w:t>
      </w:r>
    </w:p>
    <w:p w14:paraId="3E2874ED">
      <w:pPr>
        <w:adjustRightInd w:val="0"/>
        <w:snapToGrid w:val="0"/>
        <w:spacing w:line="560" w:lineRule="exact"/>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（二）政府采购项目</w:t>
      </w:r>
    </w:p>
    <w:p w14:paraId="7134178F">
      <w:pP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1、“信用中国”网站（www.creditchina.gov.cn）查询以下失信行为：</w:t>
      </w:r>
    </w:p>
    <w:p w14:paraId="006643FC">
      <w:pP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①投标人被人民法院列入失信被执行人的；</w:t>
      </w:r>
    </w:p>
    <w:p w14:paraId="1B56B0A9">
      <w:pP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②投标人被税务部门列入重大税收违法案件当事人的；</w:t>
      </w:r>
    </w:p>
    <w:p w14:paraId="0C637320">
      <w:pP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③在“信用中国”网站上披露的仍在公示期的严重失信行为的。</w:t>
      </w:r>
    </w:p>
    <w:p w14:paraId="787093CB">
      <w:pP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2、国家企业信用信息公示系统网站（</w:t>
      </w:r>
      <w:r>
        <w:rPr>
          <w:color w:val="auto"/>
          <w:highlight w:val="none"/>
        </w:rPr>
        <w:fldChar w:fldCharType="begin"/>
      </w:r>
      <w:r>
        <w:rPr>
          <w:color w:val="auto"/>
          <w:highlight w:val="none"/>
        </w:rPr>
        <w:instrText xml:space="preserve"> HYPERLINK "http://www.gsxt.gov.cn）查询" </w:instrText>
      </w:r>
      <w:r>
        <w:rPr>
          <w:color w:val="auto"/>
          <w:highlight w:val="none"/>
        </w:rPr>
        <w:fldChar w:fldCharType="separate"/>
      </w:r>
      <w:r>
        <w:rPr>
          <w:rFonts w:hint="eastAsia" w:ascii="仿宋_GB2312" w:hAnsi="宋体" w:eastAsia="仿宋_GB2312"/>
          <w:color w:val="auto"/>
          <w:sz w:val="28"/>
          <w:szCs w:val="28"/>
          <w:highlight w:val="none"/>
        </w:rPr>
        <w:t>www.gsxt.gov.cn）</w:t>
      </w:r>
      <w:r>
        <w:rPr>
          <w:rFonts w:hint="eastAsia" w:ascii="仿宋_GB2312" w:hAnsi="宋体" w:eastAsia="仿宋_GB2312"/>
          <w:color w:val="auto"/>
          <w:sz w:val="28"/>
          <w:szCs w:val="28"/>
          <w:highlight w:val="none"/>
        </w:rPr>
        <w:fldChar w:fldCharType="end"/>
      </w:r>
      <w:r>
        <w:rPr>
          <w:rFonts w:hint="eastAsia" w:ascii="仿宋_GB2312" w:hAnsi="宋体" w:eastAsia="仿宋_GB2312"/>
          <w:color w:val="auto"/>
          <w:sz w:val="28"/>
          <w:szCs w:val="28"/>
          <w:highlight w:val="none"/>
        </w:rPr>
        <w:t>查询以下失信行为：</w:t>
      </w:r>
    </w:p>
    <w:p w14:paraId="7F6DE8D4">
      <w:pP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①被市场监督管理部门列入经营异常名录或者严重违法企业名单的。</w:t>
      </w:r>
    </w:p>
    <w:p w14:paraId="13292A5E">
      <w:pP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3、中国政府采购网站（</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43"/>
          <w:rFonts w:hint="eastAsia" w:ascii="仿宋_GB2312" w:hAnsi="宋体" w:eastAsia="仿宋_GB2312"/>
          <w:color w:val="auto"/>
          <w:sz w:val="28"/>
          <w:szCs w:val="28"/>
          <w:highlight w:val="none"/>
        </w:rPr>
        <w:t>www.ccgp.gov.cn</w:t>
      </w:r>
      <w:r>
        <w:rPr>
          <w:rStyle w:val="43"/>
          <w:rFonts w:hint="eastAsia" w:ascii="仿宋_GB2312" w:hAnsi="宋体" w:eastAsia="仿宋_GB2312"/>
          <w:color w:val="auto"/>
          <w:sz w:val="28"/>
          <w:szCs w:val="28"/>
          <w:highlight w:val="none"/>
        </w:rPr>
        <w:fldChar w:fldCharType="end"/>
      </w:r>
      <w:r>
        <w:rPr>
          <w:rFonts w:hint="eastAsia" w:ascii="仿宋_GB2312" w:hAnsi="宋体" w:eastAsia="仿宋_GB2312"/>
          <w:color w:val="auto"/>
          <w:sz w:val="28"/>
          <w:szCs w:val="28"/>
          <w:highlight w:val="none"/>
        </w:rPr>
        <w:t>）查询以下失信行为：</w:t>
      </w:r>
    </w:p>
    <w:p w14:paraId="62FE5D68">
      <w:pPr>
        <w:adjustRightInd w:val="0"/>
        <w:snapToGrid w:val="0"/>
        <w:spacing w:line="560" w:lineRule="exact"/>
        <w:ind w:firstLine="560" w:firstLineChars="200"/>
        <w:rPr>
          <w:rFonts w:ascii="仿宋_GB2312" w:hAnsi="宋体" w:eastAsia="仿宋_GB2312" w:cs="楷体"/>
          <w:color w:val="auto"/>
          <w:sz w:val="28"/>
          <w:szCs w:val="28"/>
          <w:highlight w:val="none"/>
        </w:rPr>
      </w:pPr>
      <w:r>
        <w:rPr>
          <w:rFonts w:hint="eastAsia" w:ascii="仿宋_GB2312" w:hAnsi="宋体" w:eastAsia="仿宋_GB2312"/>
          <w:color w:val="auto"/>
          <w:sz w:val="28"/>
          <w:szCs w:val="28"/>
          <w:highlight w:val="none"/>
        </w:rPr>
        <w:t>①</w:t>
      </w:r>
      <w:r>
        <w:rPr>
          <w:rFonts w:hint="eastAsia" w:ascii="仿宋_GB2312" w:hAnsi="宋体" w:eastAsia="仿宋_GB2312" w:cs="楷体"/>
          <w:color w:val="auto"/>
          <w:sz w:val="28"/>
          <w:szCs w:val="28"/>
          <w:highlight w:val="none"/>
        </w:rPr>
        <w:t>政府采购严重违法失信行为</w:t>
      </w:r>
    </w:p>
    <w:p w14:paraId="3BE389EC">
      <w:pP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4、由竞争主体进行承诺，不进行现场网上信用查询的失信行为：</w:t>
      </w:r>
    </w:p>
    <w:p w14:paraId="6A6A47CB">
      <w:pP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①</w:t>
      </w:r>
      <w:r>
        <w:rPr>
          <w:rFonts w:hint="eastAsia" w:ascii="仿宋_GB2312" w:hAnsi="宋体" w:eastAsia="仿宋_GB2312" w:cs="楷体"/>
          <w:color w:val="auto"/>
          <w:sz w:val="28"/>
          <w:szCs w:val="28"/>
          <w:highlight w:val="none"/>
        </w:rPr>
        <w:t>前三年有行贿犯罪行为的单位和个人</w:t>
      </w:r>
      <w:r>
        <w:rPr>
          <w:rFonts w:hint="eastAsia" w:ascii="仿宋_GB2312" w:hAnsi="宋体" w:eastAsia="仿宋_GB2312"/>
          <w:color w:val="auto"/>
          <w:sz w:val="28"/>
          <w:szCs w:val="28"/>
          <w:highlight w:val="none"/>
        </w:rPr>
        <w:t>。</w:t>
      </w:r>
    </w:p>
    <w:p w14:paraId="4D07E854">
      <w:pPr>
        <w:adjustRightInd w:val="0"/>
        <w:snapToGrid w:val="0"/>
        <w:spacing w:line="560" w:lineRule="exact"/>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二、在开评标活动中的查询程序</w:t>
      </w:r>
    </w:p>
    <w:p w14:paraId="6D5E20E1">
      <w:pP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5D3C92CD">
      <w:pP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06139D22">
      <w:pP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3、项目单位及其委托的代理机构应当做好信用查询结果截图和记录留存。</w:t>
      </w:r>
    </w:p>
    <w:p w14:paraId="6815A7F8">
      <w:pPr>
        <w:adjustRightInd w:val="0"/>
        <w:snapToGrid w:val="0"/>
        <w:spacing w:line="560" w:lineRule="exact"/>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三、相关要求</w:t>
      </w:r>
    </w:p>
    <w:p w14:paraId="7E4E1C62">
      <w:pP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1、参与公共资源交易活动的竞争主体根据上述范围查询的内容进行自查并承诺，出具《诚信投标承诺书》（诚信投标承诺书包括但不限于上述自查并承诺内容）并注明承诺日期（投标截止时间前5日内）。</w:t>
      </w:r>
    </w:p>
    <w:p w14:paraId="43135610">
      <w:pP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50084C5F">
      <w:pPr>
        <w:wordWrap w:val="0"/>
        <w:adjustRightInd w:val="0"/>
        <w:snapToGrid w:val="0"/>
        <w:spacing w:line="560" w:lineRule="exact"/>
        <w:ind w:firstLine="560" w:firstLineChars="200"/>
        <w:rPr>
          <w:color w:val="auto"/>
          <w:highlight w:val="none"/>
        </w:rPr>
      </w:pPr>
      <w:r>
        <w:rPr>
          <w:rFonts w:hint="eastAsia" w:ascii="仿宋_GB2312" w:hAnsi="宋体" w:eastAsia="仿宋_GB2312"/>
          <w:color w:val="auto"/>
          <w:sz w:val="28"/>
          <w:szCs w:val="28"/>
          <w:highlight w:val="none"/>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color w:val="auto"/>
          <w:highlight w:val="none"/>
        </w:rPr>
        <w:fldChar w:fldCharType="begin"/>
      </w:r>
      <w:r>
        <w:rPr>
          <w:color w:val="auto"/>
          <w:highlight w:val="none"/>
        </w:rPr>
        <w:instrText xml:space="preserve"> HYPERLINK "https://credit.ah.gov.cn/xinyong-fuwu/xvbahv/index.html" </w:instrText>
      </w:r>
      <w:r>
        <w:rPr>
          <w:color w:val="auto"/>
          <w:highlight w:val="none"/>
        </w:rPr>
        <w:fldChar w:fldCharType="separate"/>
      </w:r>
      <w:r>
        <w:rPr>
          <w:rStyle w:val="43"/>
          <w:rFonts w:hint="eastAsia" w:ascii="仿宋_GB2312" w:hAnsi="宋体" w:eastAsia="仿宋_GB2312"/>
          <w:color w:val="auto"/>
          <w:sz w:val="28"/>
          <w:szCs w:val="28"/>
          <w:highlight w:val="none"/>
        </w:rPr>
        <w:t>https://credit.ah.gov.cn/xinyong-fuwu/xvbahv/index.html</w:t>
      </w:r>
      <w:r>
        <w:rPr>
          <w:rStyle w:val="43"/>
          <w:rFonts w:hint="eastAsia" w:ascii="仿宋_GB2312" w:hAnsi="宋体" w:eastAsia="仿宋_GB2312"/>
          <w:color w:val="auto"/>
          <w:sz w:val="28"/>
          <w:szCs w:val="28"/>
          <w:highlight w:val="none"/>
        </w:rPr>
        <w:fldChar w:fldCharType="end"/>
      </w:r>
      <w:r>
        <w:rPr>
          <w:rFonts w:hint="eastAsia" w:ascii="仿宋_GB2312" w:hAnsi="宋体" w:eastAsia="仿宋_GB2312"/>
          <w:color w:val="auto"/>
          <w:sz w:val="28"/>
          <w:szCs w:val="28"/>
          <w:highlight w:val="none"/>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2B65BBE8">
      <w:pPr>
        <w:adjustRightInd w:val="0"/>
        <w:snapToGrid w:val="0"/>
        <w:spacing w:line="560" w:lineRule="exact"/>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2、“信用中国”查询的严重失信行为判定依据为各行业主管部门下发的联合惩戒文件中规定的行为（按附件2执行）。</w:t>
      </w:r>
    </w:p>
    <w:p w14:paraId="0A43A7BE">
      <w:pP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3、资格预审的项目以递交资格预审申请文件截止时间查询为准；资格后审的项目以递交投标文件截止时间查询为准。</w:t>
      </w:r>
    </w:p>
    <w:p w14:paraId="55166E0F">
      <w:pPr>
        <w:adjustRightInd w:val="0"/>
        <w:snapToGrid w:val="0"/>
        <w:spacing w:line="560" w:lineRule="exact"/>
        <w:rPr>
          <w:color w:val="auto"/>
          <w:highlight w:val="none"/>
        </w:rPr>
      </w:pPr>
    </w:p>
    <w:p w14:paraId="42F8F9E6">
      <w:pPr>
        <w:pStyle w:val="32"/>
        <w:rPr>
          <w:color w:val="auto"/>
          <w:highlight w:val="none"/>
        </w:rPr>
      </w:pPr>
    </w:p>
    <w:p w14:paraId="47A99630">
      <w:pPr>
        <w:rPr>
          <w:color w:val="auto"/>
          <w:highlight w:val="none"/>
        </w:rPr>
      </w:pPr>
    </w:p>
    <w:p w14:paraId="5B6C9D26">
      <w:pPr>
        <w:pStyle w:val="32"/>
        <w:ind w:firstLine="0" w:firstLineChars="0"/>
        <w:rPr>
          <w:color w:val="auto"/>
          <w:highlight w:val="none"/>
        </w:rPr>
      </w:pPr>
    </w:p>
    <w:p w14:paraId="5581ED7D">
      <w:pPr>
        <w:rPr>
          <w:color w:val="auto"/>
          <w:highlight w:val="none"/>
        </w:rPr>
      </w:pPr>
    </w:p>
    <w:p w14:paraId="50FE61FB">
      <w:pPr>
        <w:pStyle w:val="32"/>
        <w:rPr>
          <w:color w:val="auto"/>
          <w:highlight w:val="none"/>
        </w:rPr>
      </w:pPr>
    </w:p>
    <w:p w14:paraId="5648003E">
      <w:pPr>
        <w:rPr>
          <w:color w:val="auto"/>
          <w:highlight w:val="none"/>
        </w:rPr>
      </w:pPr>
    </w:p>
    <w:p w14:paraId="2CF59BD7">
      <w:pPr>
        <w:pStyle w:val="32"/>
        <w:rPr>
          <w:color w:val="auto"/>
          <w:highlight w:val="none"/>
        </w:rPr>
      </w:pPr>
    </w:p>
    <w:p w14:paraId="2207C801">
      <w:pPr>
        <w:rPr>
          <w:color w:val="auto"/>
          <w:highlight w:val="none"/>
        </w:rPr>
      </w:pPr>
    </w:p>
    <w:p w14:paraId="57E9DF3D">
      <w:pPr>
        <w:pStyle w:val="32"/>
        <w:rPr>
          <w:color w:val="auto"/>
          <w:highlight w:val="none"/>
        </w:rPr>
      </w:pPr>
    </w:p>
    <w:p w14:paraId="6B24F3DD">
      <w:pPr>
        <w:rPr>
          <w:color w:val="auto"/>
          <w:highlight w:val="none"/>
        </w:rPr>
      </w:pPr>
    </w:p>
    <w:p w14:paraId="64611189">
      <w:pPr>
        <w:pStyle w:val="32"/>
        <w:ind w:firstLine="0" w:firstLineChars="0"/>
        <w:rPr>
          <w:color w:val="auto"/>
          <w:highlight w:val="none"/>
        </w:rPr>
      </w:pPr>
    </w:p>
    <w:p w14:paraId="6179CEDB">
      <w:pPr>
        <w:rPr>
          <w:color w:val="auto"/>
          <w:highlight w:val="none"/>
        </w:rPr>
      </w:pPr>
    </w:p>
    <w:p w14:paraId="67C10EF1">
      <w:pPr>
        <w:pStyle w:val="32"/>
        <w:rPr>
          <w:color w:val="auto"/>
          <w:highlight w:val="none"/>
        </w:rPr>
      </w:pPr>
    </w:p>
    <w:p w14:paraId="6CDEC47A">
      <w:pPr>
        <w:pStyle w:val="2"/>
        <w:spacing w:before="200" w:after="200" w:line="600" w:lineRule="exact"/>
        <w:jc w:val="center"/>
        <w:rPr>
          <w:rFonts w:ascii="黑体" w:hAnsi="黑体" w:eastAsia="黑体"/>
          <w:color w:val="auto"/>
          <w:sz w:val="36"/>
          <w:szCs w:val="28"/>
          <w:highlight w:val="none"/>
        </w:rPr>
      </w:pPr>
      <w:bookmarkStart w:id="223" w:name="_Toc95223549"/>
    </w:p>
    <w:p w14:paraId="1B68927F">
      <w:pPr>
        <w:rPr>
          <w:color w:val="auto"/>
          <w:highlight w:val="none"/>
        </w:rPr>
      </w:pPr>
    </w:p>
    <w:p w14:paraId="09F961F7">
      <w:pPr>
        <w:pStyle w:val="2"/>
        <w:spacing w:before="200" w:after="200" w:line="600" w:lineRule="exact"/>
        <w:jc w:val="center"/>
        <w:rPr>
          <w:rFonts w:ascii="黑体" w:hAnsi="黑体" w:eastAsia="黑体"/>
          <w:color w:val="auto"/>
          <w:sz w:val="36"/>
          <w:szCs w:val="28"/>
          <w:highlight w:val="none"/>
        </w:rPr>
      </w:pPr>
      <w:r>
        <w:rPr>
          <w:rFonts w:hint="eastAsia" w:ascii="黑体" w:hAnsi="黑体" w:eastAsia="黑体"/>
          <w:color w:val="auto"/>
          <w:sz w:val="36"/>
          <w:szCs w:val="28"/>
          <w:highlight w:val="none"/>
        </w:rPr>
        <w:t>附件2 “信用中国”查询的严重失信行为类别及判定依据</w:t>
      </w:r>
      <w:bookmarkEnd w:id="223"/>
    </w:p>
    <w:p w14:paraId="0C889C8D">
      <w:pPr>
        <w:adjustRightInd w:val="0"/>
        <w:snapToGrid w:val="0"/>
        <w:spacing w:line="560" w:lineRule="exact"/>
        <w:ind w:firstLine="645"/>
        <w:jc w:val="left"/>
        <w:rPr>
          <w:rFonts w:ascii="仿宋_GB2312" w:hAnsi="宋体" w:eastAsia="仿宋_GB2312"/>
          <w:color w:val="auto"/>
          <w:sz w:val="28"/>
          <w:szCs w:val="28"/>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28"/>
          <w:szCs w:val="28"/>
          <w:highlight w:val="none"/>
        </w:rPr>
        <w:t>信用中国”查询的严重失信行为判定依据为各行业主管部门下发的联合惩戒文件中规定的行为。下面将部分类别的严重失信行为列举如下：</w:t>
      </w:r>
    </w:p>
    <w:p w14:paraId="654E561A">
      <w:pPr>
        <w:adjustRightInd w:val="0"/>
        <w:snapToGrid w:val="0"/>
        <w:spacing w:line="560" w:lineRule="exact"/>
        <w:ind w:firstLine="645"/>
        <w:jc w:val="left"/>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一、安全生产领域严重失信行为：</w:t>
      </w:r>
    </w:p>
    <w:p w14:paraId="38F680C6">
      <w:pPr>
        <w:adjustRightInd w:val="0"/>
        <w:snapToGrid w:val="0"/>
        <w:spacing w:line="560" w:lineRule="exact"/>
        <w:ind w:firstLine="645"/>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（一）发生较大及以上生产安全责任事故，或1年内累计发生3起及以上造成人员死亡的一般生产安全责任事故的；</w:t>
      </w:r>
    </w:p>
    <w:p w14:paraId="2CD31B22">
      <w:pPr>
        <w:adjustRightInd w:val="0"/>
        <w:snapToGrid w:val="0"/>
        <w:spacing w:line="560" w:lineRule="exact"/>
        <w:ind w:firstLine="645"/>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（二）未按规定取得安全生产许可，擅自开展生产经营建设活动的；</w:t>
      </w:r>
    </w:p>
    <w:p w14:paraId="56ABB0B7">
      <w:pPr>
        <w:adjustRightInd w:val="0"/>
        <w:snapToGrid w:val="0"/>
        <w:spacing w:line="560" w:lineRule="exact"/>
        <w:ind w:firstLine="645"/>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（三）发现重大生产安全事故隐患，或职业病危害严重超标，不及时整改，仍组织从业人员冒险作业的；</w:t>
      </w:r>
    </w:p>
    <w:p w14:paraId="32BFE831">
      <w:pPr>
        <w:adjustRightInd w:val="0"/>
        <w:snapToGrid w:val="0"/>
        <w:spacing w:line="560" w:lineRule="exact"/>
        <w:ind w:firstLine="645"/>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（四）采取隐蔽、欺骗或阻碍等方式逃避、对抗安全监管监察的;</w:t>
      </w:r>
    </w:p>
    <w:p w14:paraId="25811E42">
      <w:pPr>
        <w:adjustRightInd w:val="0"/>
        <w:snapToGrid w:val="0"/>
        <w:spacing w:line="560" w:lineRule="exact"/>
        <w:ind w:firstLine="645"/>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（五）被责令停产停业整顿，仍然从事生产经营建设活动的；</w:t>
      </w:r>
    </w:p>
    <w:p w14:paraId="4550B84B">
      <w:pPr>
        <w:adjustRightInd w:val="0"/>
        <w:snapToGrid w:val="0"/>
        <w:spacing w:line="560" w:lineRule="exact"/>
        <w:ind w:firstLine="645"/>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（六）瞒报、谎报、迟报生产安全事故的；</w:t>
      </w:r>
    </w:p>
    <w:p w14:paraId="3AC8DA9B">
      <w:pPr>
        <w:adjustRightInd w:val="0"/>
        <w:snapToGrid w:val="0"/>
        <w:spacing w:line="560" w:lineRule="exact"/>
        <w:ind w:firstLine="645"/>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（七）矿山、危险化学品、金属冶炼等高危行业建设项目安全设施未经验收合格即投入生产和使用的；</w:t>
      </w:r>
    </w:p>
    <w:p w14:paraId="116ADA7E">
      <w:pPr>
        <w:adjustRightInd w:val="0"/>
        <w:snapToGrid w:val="0"/>
        <w:spacing w:line="560" w:lineRule="exact"/>
        <w:ind w:firstLine="645"/>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（八）矿山生产经营单位存在超层越界开采、以探代采行为的；</w:t>
      </w:r>
    </w:p>
    <w:p w14:paraId="1B80BFDF">
      <w:pPr>
        <w:adjustRightInd w:val="0"/>
        <w:snapToGrid w:val="0"/>
        <w:spacing w:line="560" w:lineRule="exact"/>
        <w:ind w:firstLine="645"/>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（九）发生事故后，故意破坏事故现场，伪造有关证据资料，妨碍、对抗事故调查，或主要负责人逃逸的；</w:t>
      </w:r>
    </w:p>
    <w:p w14:paraId="4448D232">
      <w:pPr>
        <w:adjustRightInd w:val="0"/>
        <w:snapToGrid w:val="0"/>
        <w:spacing w:line="560" w:lineRule="exact"/>
        <w:ind w:firstLine="645"/>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（十）安全生产和职业健康技术服务机构出具虚假报告或证明，违规转让或出借资质的。</w:t>
      </w:r>
    </w:p>
    <w:p w14:paraId="19ABABED">
      <w:pPr>
        <w:adjustRightInd w:val="0"/>
        <w:snapToGrid w:val="0"/>
        <w:spacing w:line="560" w:lineRule="exact"/>
        <w:ind w:firstLine="645"/>
        <w:jc w:val="left"/>
        <w:rPr>
          <w:rFonts w:ascii="仿宋_GB2312" w:eastAsia="仿宋_GB2312"/>
          <w:b/>
          <w:color w:val="auto"/>
          <w:sz w:val="28"/>
          <w:szCs w:val="28"/>
          <w:highlight w:val="none"/>
        </w:rPr>
      </w:pPr>
      <w:r>
        <w:rPr>
          <w:rFonts w:hint="eastAsia" w:ascii="仿宋_GB2312" w:hAnsi="宋体" w:eastAsia="仿宋_GB2312"/>
          <w:b/>
          <w:color w:val="auto"/>
          <w:sz w:val="28"/>
          <w:szCs w:val="28"/>
          <w:highlight w:val="none"/>
        </w:rPr>
        <w:t>依据：《对安全生产领域失信行为开展联合惩戒的实施办法》</w:t>
      </w:r>
      <w:r>
        <w:rPr>
          <w:rFonts w:hint="eastAsia" w:ascii="仿宋_GB2312" w:eastAsia="仿宋_GB2312"/>
          <w:b/>
          <w:color w:val="auto"/>
          <w:sz w:val="28"/>
          <w:szCs w:val="28"/>
          <w:highlight w:val="none"/>
        </w:rPr>
        <w:t>（安监总办〔2017〕49号）第二条</w:t>
      </w:r>
    </w:p>
    <w:p w14:paraId="0F599068">
      <w:pPr>
        <w:adjustRightInd w:val="0"/>
        <w:snapToGrid w:val="0"/>
        <w:spacing w:line="560" w:lineRule="exact"/>
        <w:ind w:firstLine="645"/>
        <w:jc w:val="left"/>
        <w:rPr>
          <w:rFonts w:ascii="仿宋_GB2312" w:hAnsi="宋体" w:eastAsia="仿宋_GB2312"/>
          <w:b/>
          <w:color w:val="auto"/>
          <w:sz w:val="28"/>
          <w:szCs w:val="28"/>
          <w:highlight w:val="none"/>
        </w:rPr>
      </w:pPr>
    </w:p>
    <w:p w14:paraId="12FDE872">
      <w:pPr>
        <w:adjustRightInd w:val="0"/>
        <w:snapToGrid w:val="0"/>
        <w:spacing w:line="560" w:lineRule="exact"/>
        <w:ind w:firstLine="645"/>
        <w:jc w:val="left"/>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二、环境保护领域严重失信行为：</w:t>
      </w:r>
    </w:p>
    <w:p w14:paraId="302CFAAA">
      <w:pPr>
        <w:adjustRightInd w:val="0"/>
        <w:snapToGrid w:val="0"/>
        <w:spacing w:line="560" w:lineRule="exact"/>
        <w:ind w:firstLine="645"/>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（一）因为环境违法构成</w:t>
      </w:r>
      <w:r>
        <w:rPr>
          <w:color w:val="auto"/>
          <w:highlight w:val="none"/>
        </w:rPr>
        <w:fldChar w:fldCharType="begin"/>
      </w:r>
      <w:r>
        <w:rPr>
          <w:color w:val="auto"/>
          <w:highlight w:val="none"/>
        </w:rPr>
        <w:instrText xml:space="preserve"> HYPERLINK "https://baike.sogou.com/m/fullLemma?lid=10403954&amp;g_ut=3" \t "https://baike.sogou.com/m/_blank" </w:instrText>
      </w:r>
      <w:r>
        <w:rPr>
          <w:color w:val="auto"/>
          <w:highlight w:val="none"/>
        </w:rPr>
        <w:fldChar w:fldCharType="separate"/>
      </w:r>
      <w:r>
        <w:rPr>
          <w:rFonts w:hint="eastAsia" w:ascii="仿宋_GB2312" w:hAnsi="宋体" w:eastAsia="仿宋_GB2312"/>
          <w:color w:val="auto"/>
          <w:sz w:val="28"/>
          <w:szCs w:val="28"/>
          <w:highlight w:val="none"/>
        </w:rPr>
        <w:t>环境犯罪</w:t>
      </w:r>
      <w:r>
        <w:rPr>
          <w:rFonts w:hint="eastAsia" w:ascii="仿宋_GB2312" w:hAnsi="宋体" w:eastAsia="仿宋_GB2312"/>
          <w:color w:val="auto"/>
          <w:sz w:val="28"/>
          <w:szCs w:val="28"/>
          <w:highlight w:val="none"/>
        </w:rPr>
        <w:fldChar w:fldCharType="end"/>
      </w:r>
      <w:r>
        <w:rPr>
          <w:rFonts w:hint="eastAsia" w:ascii="仿宋_GB2312" w:hAnsi="宋体" w:eastAsia="仿宋_GB2312"/>
          <w:color w:val="auto"/>
          <w:sz w:val="28"/>
          <w:szCs w:val="28"/>
          <w:highlight w:val="none"/>
        </w:rPr>
        <w:t>的；</w:t>
      </w:r>
    </w:p>
    <w:p w14:paraId="7E7364B3">
      <w:pPr>
        <w:adjustRightInd w:val="0"/>
        <w:snapToGrid w:val="0"/>
        <w:spacing w:line="560" w:lineRule="exact"/>
        <w:ind w:firstLine="645"/>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（二）</w:t>
      </w:r>
      <w:r>
        <w:rPr>
          <w:color w:val="auto"/>
          <w:highlight w:val="none"/>
        </w:rPr>
        <w:fldChar w:fldCharType="begin"/>
      </w:r>
      <w:r>
        <w:rPr>
          <w:color w:val="auto"/>
          <w:highlight w:val="none"/>
        </w:rPr>
        <w:instrText xml:space="preserve"> HYPERLINK "https://baike.sogou.com/m/fullLemma?lid=76033123&amp;g_ut=3" \t "https://baike.sogou.com/m/_blank" </w:instrText>
      </w:r>
      <w:r>
        <w:rPr>
          <w:color w:val="auto"/>
          <w:highlight w:val="none"/>
        </w:rPr>
        <w:fldChar w:fldCharType="separate"/>
      </w:r>
      <w:r>
        <w:rPr>
          <w:rFonts w:hint="eastAsia" w:ascii="仿宋_GB2312" w:hAnsi="宋体" w:eastAsia="仿宋_GB2312"/>
          <w:color w:val="auto"/>
          <w:sz w:val="28"/>
          <w:szCs w:val="28"/>
          <w:highlight w:val="none"/>
        </w:rPr>
        <w:t>建设项目环境影响评价</w:t>
      </w:r>
      <w:r>
        <w:rPr>
          <w:rFonts w:hint="eastAsia" w:ascii="仿宋_GB2312" w:hAnsi="宋体" w:eastAsia="仿宋_GB2312"/>
          <w:color w:val="auto"/>
          <w:sz w:val="28"/>
          <w:szCs w:val="28"/>
          <w:highlight w:val="none"/>
        </w:rPr>
        <w:fldChar w:fldCharType="end"/>
      </w:r>
      <w:r>
        <w:rPr>
          <w:rFonts w:hint="eastAsia" w:ascii="仿宋_GB2312" w:hAnsi="宋体" w:eastAsia="仿宋_GB2312"/>
          <w:color w:val="auto"/>
          <w:sz w:val="28"/>
          <w:szCs w:val="28"/>
          <w:highlight w:val="none"/>
        </w:rPr>
        <w:t>文件未按规定通过审批，擅自开工建设的；</w:t>
      </w:r>
    </w:p>
    <w:p w14:paraId="3FE3F018">
      <w:pPr>
        <w:adjustRightInd w:val="0"/>
        <w:snapToGrid w:val="0"/>
        <w:spacing w:line="560" w:lineRule="exact"/>
        <w:ind w:firstLine="645"/>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（三）建设项目环保设施未建成、环保措施未落实、未通过</w:t>
      </w:r>
      <w:r>
        <w:rPr>
          <w:color w:val="auto"/>
          <w:highlight w:val="none"/>
        </w:rPr>
        <w:fldChar w:fldCharType="begin"/>
      </w:r>
      <w:r>
        <w:rPr>
          <w:color w:val="auto"/>
          <w:highlight w:val="none"/>
        </w:rPr>
        <w:instrText xml:space="preserve"> HYPERLINK "https://baike.sogou.com/m/fullLemma?lid=6470550&amp;g_ut=3" \t "https://baike.sogou.com/m/_blank" </w:instrText>
      </w:r>
      <w:r>
        <w:rPr>
          <w:color w:val="auto"/>
          <w:highlight w:val="none"/>
        </w:rPr>
        <w:fldChar w:fldCharType="separate"/>
      </w:r>
      <w:r>
        <w:rPr>
          <w:rFonts w:hint="eastAsia" w:ascii="仿宋_GB2312" w:hAnsi="宋体" w:eastAsia="仿宋_GB2312"/>
          <w:color w:val="auto"/>
          <w:sz w:val="28"/>
          <w:szCs w:val="28"/>
          <w:highlight w:val="none"/>
        </w:rPr>
        <w:t>竣工环保验收</w:t>
      </w:r>
      <w:r>
        <w:rPr>
          <w:rFonts w:hint="eastAsia" w:ascii="仿宋_GB2312" w:hAnsi="宋体" w:eastAsia="仿宋_GB2312"/>
          <w:color w:val="auto"/>
          <w:sz w:val="28"/>
          <w:szCs w:val="28"/>
          <w:highlight w:val="none"/>
        </w:rPr>
        <w:fldChar w:fldCharType="end"/>
      </w:r>
      <w:r>
        <w:rPr>
          <w:rFonts w:hint="eastAsia" w:ascii="仿宋_GB2312" w:hAnsi="宋体" w:eastAsia="仿宋_GB2312"/>
          <w:color w:val="auto"/>
          <w:sz w:val="28"/>
          <w:szCs w:val="28"/>
          <w:highlight w:val="none"/>
        </w:rPr>
        <w:t>或者验收不合格，主体工程正式投入生产或者使用的；</w:t>
      </w:r>
    </w:p>
    <w:p w14:paraId="02675137">
      <w:pPr>
        <w:adjustRightInd w:val="0"/>
        <w:snapToGrid w:val="0"/>
        <w:spacing w:line="560" w:lineRule="exact"/>
        <w:ind w:firstLine="645"/>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（四）建设项目性质、规模、地点、采用的生产工艺或者防治污染、防止生态破坏的措施发生重大变动，未重新报批环境影响评价文件，擅自投入生产或者使用的；</w:t>
      </w:r>
    </w:p>
    <w:p w14:paraId="48358806">
      <w:pPr>
        <w:adjustRightInd w:val="0"/>
        <w:snapToGrid w:val="0"/>
        <w:spacing w:line="560" w:lineRule="exact"/>
        <w:ind w:firstLine="645"/>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（五）主要污染物排放总量超过控制指标的；</w:t>
      </w:r>
    </w:p>
    <w:p w14:paraId="31951526">
      <w:pPr>
        <w:adjustRightInd w:val="0"/>
        <w:snapToGrid w:val="0"/>
        <w:spacing w:line="560" w:lineRule="exact"/>
        <w:ind w:firstLine="645"/>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（六）私设暗管或者利用</w:t>
      </w:r>
      <w:r>
        <w:rPr>
          <w:color w:val="auto"/>
          <w:highlight w:val="none"/>
        </w:rPr>
        <w:fldChar w:fldCharType="begin"/>
      </w:r>
      <w:r>
        <w:rPr>
          <w:color w:val="auto"/>
          <w:highlight w:val="none"/>
        </w:rPr>
        <w:instrText xml:space="preserve"> HYPERLINK "https://baike.sogou.com/m/fullLemma?lid=41657319&amp;g_ut=3" \t "https://baike.sogou.com/m/_blank" </w:instrText>
      </w:r>
      <w:r>
        <w:rPr>
          <w:color w:val="auto"/>
          <w:highlight w:val="none"/>
        </w:rPr>
        <w:fldChar w:fldCharType="separate"/>
      </w:r>
      <w:r>
        <w:rPr>
          <w:rFonts w:hint="eastAsia" w:ascii="仿宋_GB2312" w:hAnsi="宋体" w:eastAsia="仿宋_GB2312"/>
          <w:color w:val="auto"/>
          <w:sz w:val="28"/>
          <w:szCs w:val="28"/>
          <w:highlight w:val="none"/>
        </w:rPr>
        <w:t>渗井</w:t>
      </w:r>
      <w:r>
        <w:rPr>
          <w:rFonts w:hint="eastAsia" w:ascii="仿宋_GB2312" w:hAnsi="宋体" w:eastAsia="仿宋_GB2312"/>
          <w:color w:val="auto"/>
          <w:sz w:val="28"/>
          <w:szCs w:val="28"/>
          <w:highlight w:val="none"/>
        </w:rPr>
        <w:fldChar w:fldCharType="end"/>
      </w:r>
      <w:r>
        <w:rPr>
          <w:rFonts w:hint="eastAsia" w:ascii="仿宋_GB2312" w:hAnsi="宋体" w:eastAsia="仿宋_GB2312"/>
          <w:color w:val="auto"/>
          <w:sz w:val="28"/>
          <w:szCs w:val="28"/>
          <w:highlight w:val="none"/>
        </w:rPr>
        <w:t>、渗坑、裂隙、溶洞等排放、倾倒、处置水污染物，或者通过私设旁路排放</w:t>
      </w:r>
      <w:r>
        <w:rPr>
          <w:color w:val="auto"/>
          <w:highlight w:val="none"/>
        </w:rPr>
        <w:fldChar w:fldCharType="begin"/>
      </w:r>
      <w:r>
        <w:rPr>
          <w:color w:val="auto"/>
          <w:highlight w:val="none"/>
        </w:rPr>
        <w:instrText xml:space="preserve"> HYPERLINK "https://baike.sogou.com/m/fullLemma?lid=7758328&amp;g_ut=3" \t "https://baike.sogou.com/m/_blank" </w:instrText>
      </w:r>
      <w:r>
        <w:rPr>
          <w:color w:val="auto"/>
          <w:highlight w:val="none"/>
        </w:rPr>
        <w:fldChar w:fldCharType="separate"/>
      </w:r>
      <w:r>
        <w:rPr>
          <w:rFonts w:hint="eastAsia" w:ascii="仿宋_GB2312" w:hAnsi="宋体" w:eastAsia="仿宋_GB2312"/>
          <w:color w:val="auto"/>
          <w:sz w:val="28"/>
          <w:szCs w:val="28"/>
          <w:highlight w:val="none"/>
        </w:rPr>
        <w:t>大气污染物</w:t>
      </w:r>
      <w:r>
        <w:rPr>
          <w:rFonts w:hint="eastAsia" w:ascii="仿宋_GB2312" w:hAnsi="宋体" w:eastAsia="仿宋_GB2312"/>
          <w:color w:val="auto"/>
          <w:sz w:val="28"/>
          <w:szCs w:val="28"/>
          <w:highlight w:val="none"/>
        </w:rPr>
        <w:fldChar w:fldCharType="end"/>
      </w:r>
      <w:r>
        <w:rPr>
          <w:rFonts w:hint="eastAsia" w:ascii="仿宋_GB2312" w:hAnsi="宋体" w:eastAsia="仿宋_GB2312"/>
          <w:color w:val="auto"/>
          <w:sz w:val="28"/>
          <w:szCs w:val="28"/>
          <w:highlight w:val="none"/>
        </w:rPr>
        <w:t>的；</w:t>
      </w:r>
    </w:p>
    <w:p w14:paraId="1E71A53B">
      <w:pPr>
        <w:adjustRightInd w:val="0"/>
        <w:snapToGrid w:val="0"/>
        <w:spacing w:line="560" w:lineRule="exact"/>
        <w:ind w:firstLine="645"/>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（七）非法排放、倾倒、处置危险废物，或者向无</w:t>
      </w:r>
      <w:r>
        <w:rPr>
          <w:color w:val="auto"/>
          <w:highlight w:val="none"/>
        </w:rPr>
        <w:fldChar w:fldCharType="begin"/>
      </w:r>
      <w:r>
        <w:rPr>
          <w:color w:val="auto"/>
          <w:highlight w:val="none"/>
        </w:rPr>
        <w:instrText xml:space="preserve"> HYPERLINK "https://baike.sogou.com/m/fullLemma?lid=5923292&amp;g_ut=3" \t "https://baike.sogou.com/m/_blank" </w:instrText>
      </w:r>
      <w:r>
        <w:rPr>
          <w:color w:val="auto"/>
          <w:highlight w:val="none"/>
        </w:rPr>
        <w:fldChar w:fldCharType="separate"/>
      </w:r>
      <w:r>
        <w:rPr>
          <w:rFonts w:hint="eastAsia" w:ascii="仿宋_GB2312" w:hAnsi="宋体" w:eastAsia="仿宋_GB2312"/>
          <w:color w:val="auto"/>
          <w:sz w:val="28"/>
          <w:szCs w:val="28"/>
          <w:highlight w:val="none"/>
        </w:rPr>
        <w:t>经营许可证</w:t>
      </w:r>
      <w:r>
        <w:rPr>
          <w:rFonts w:hint="eastAsia" w:ascii="仿宋_GB2312" w:hAnsi="宋体" w:eastAsia="仿宋_GB2312"/>
          <w:color w:val="auto"/>
          <w:sz w:val="28"/>
          <w:szCs w:val="28"/>
          <w:highlight w:val="none"/>
        </w:rPr>
        <w:fldChar w:fldCharType="end"/>
      </w:r>
      <w:r>
        <w:rPr>
          <w:rFonts w:hint="eastAsia" w:ascii="仿宋_GB2312" w:hAnsi="宋体" w:eastAsia="仿宋_GB2312"/>
          <w:color w:val="auto"/>
          <w:sz w:val="28"/>
          <w:szCs w:val="28"/>
          <w:highlight w:val="none"/>
        </w:rPr>
        <w:t>或者超出经营许可范围的单位或个人提供或者委托其收集、贮存、利用、处置危险废物的；</w:t>
      </w:r>
    </w:p>
    <w:p w14:paraId="1FF6B0E3">
      <w:pPr>
        <w:adjustRightInd w:val="0"/>
        <w:snapToGrid w:val="0"/>
        <w:spacing w:line="560" w:lineRule="exact"/>
        <w:ind w:firstLine="645"/>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（八）</w:t>
      </w:r>
      <w:r>
        <w:rPr>
          <w:color w:val="auto"/>
          <w:highlight w:val="none"/>
        </w:rPr>
        <w:fldChar w:fldCharType="begin"/>
      </w:r>
      <w:r>
        <w:rPr>
          <w:color w:val="auto"/>
          <w:highlight w:val="none"/>
        </w:rPr>
        <w:instrText xml:space="preserve"> HYPERLINK "https://baike.sogou.com/m/fullLemma?lid=167759803&amp;g_ut=3" \t "https://baike.sogou.com/m/_blank" </w:instrText>
      </w:r>
      <w:r>
        <w:rPr>
          <w:color w:val="auto"/>
          <w:highlight w:val="none"/>
        </w:rPr>
        <w:fldChar w:fldCharType="separate"/>
      </w:r>
      <w:r>
        <w:rPr>
          <w:rFonts w:hint="eastAsia" w:ascii="仿宋_GB2312" w:hAnsi="宋体" w:eastAsia="仿宋_GB2312"/>
          <w:color w:val="auto"/>
          <w:sz w:val="28"/>
          <w:szCs w:val="28"/>
          <w:highlight w:val="none"/>
        </w:rPr>
        <w:t>环境违法行为</w:t>
      </w:r>
      <w:r>
        <w:rPr>
          <w:rFonts w:hint="eastAsia" w:ascii="仿宋_GB2312" w:hAnsi="宋体" w:eastAsia="仿宋_GB2312"/>
          <w:color w:val="auto"/>
          <w:sz w:val="28"/>
          <w:szCs w:val="28"/>
          <w:highlight w:val="none"/>
        </w:rPr>
        <w:fldChar w:fldCharType="end"/>
      </w:r>
      <w:r>
        <w:rPr>
          <w:rFonts w:hint="eastAsia" w:ascii="仿宋_GB2312" w:hAnsi="宋体" w:eastAsia="仿宋_GB2312"/>
          <w:color w:val="auto"/>
          <w:sz w:val="28"/>
          <w:szCs w:val="28"/>
          <w:highlight w:val="none"/>
        </w:rPr>
        <w:t>造成集中式生活饮用水水源取水中断的；</w:t>
      </w:r>
    </w:p>
    <w:p w14:paraId="01B1F03E">
      <w:pPr>
        <w:adjustRightInd w:val="0"/>
        <w:snapToGrid w:val="0"/>
        <w:spacing w:line="560" w:lineRule="exact"/>
        <w:ind w:firstLine="645"/>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（九）环境违法行为对生活饮用水水源保护区、自然保护区、</w:t>
      </w:r>
      <w:r>
        <w:rPr>
          <w:color w:val="auto"/>
          <w:highlight w:val="none"/>
        </w:rPr>
        <w:fldChar w:fldCharType="begin"/>
      </w:r>
      <w:r>
        <w:rPr>
          <w:color w:val="auto"/>
          <w:highlight w:val="none"/>
        </w:rPr>
        <w:instrText xml:space="preserve"> HYPERLINK "https://baike.sogou.com/m/fullLemma?lid=155199213&amp;g_ut=3" \t "https://baike.sogou.com/m/_blank" </w:instrText>
      </w:r>
      <w:r>
        <w:rPr>
          <w:color w:val="auto"/>
          <w:highlight w:val="none"/>
        </w:rPr>
        <w:fldChar w:fldCharType="separate"/>
      </w:r>
      <w:r>
        <w:rPr>
          <w:rFonts w:hint="eastAsia" w:ascii="仿宋_GB2312" w:hAnsi="宋体" w:eastAsia="仿宋_GB2312"/>
          <w:color w:val="auto"/>
          <w:sz w:val="28"/>
          <w:szCs w:val="28"/>
          <w:highlight w:val="none"/>
        </w:rPr>
        <w:t>国家重点生态功能区</w:t>
      </w:r>
      <w:r>
        <w:rPr>
          <w:rFonts w:hint="eastAsia" w:ascii="仿宋_GB2312" w:hAnsi="宋体" w:eastAsia="仿宋_GB2312"/>
          <w:color w:val="auto"/>
          <w:sz w:val="28"/>
          <w:szCs w:val="28"/>
          <w:highlight w:val="none"/>
        </w:rPr>
        <w:fldChar w:fldCharType="end"/>
      </w:r>
      <w:r>
        <w:rPr>
          <w:rFonts w:hint="eastAsia" w:ascii="仿宋_GB2312" w:hAnsi="宋体" w:eastAsia="仿宋_GB2312"/>
          <w:color w:val="auto"/>
          <w:sz w:val="28"/>
          <w:szCs w:val="28"/>
          <w:highlight w:val="none"/>
        </w:rPr>
        <w:t>、风景名胜区、居住功能区、</w:t>
      </w:r>
      <w:r>
        <w:rPr>
          <w:color w:val="auto"/>
          <w:highlight w:val="none"/>
        </w:rPr>
        <w:fldChar w:fldCharType="begin"/>
      </w:r>
      <w:r>
        <w:rPr>
          <w:color w:val="auto"/>
          <w:highlight w:val="none"/>
        </w:rPr>
        <w:instrText xml:space="preserve"> HYPERLINK "https://baike.sogou.com/m/fullLemma?lid=7757164&amp;g_ut=3" \t "https://baike.sogou.com/m/_blank" </w:instrText>
      </w:r>
      <w:r>
        <w:rPr>
          <w:color w:val="auto"/>
          <w:highlight w:val="none"/>
        </w:rPr>
        <w:fldChar w:fldCharType="separate"/>
      </w:r>
      <w:r>
        <w:rPr>
          <w:rFonts w:hint="eastAsia" w:ascii="仿宋_GB2312" w:hAnsi="宋体" w:eastAsia="仿宋_GB2312"/>
          <w:color w:val="auto"/>
          <w:sz w:val="28"/>
          <w:szCs w:val="28"/>
          <w:highlight w:val="none"/>
        </w:rPr>
        <w:t>基本农田保护区</w:t>
      </w:r>
      <w:r>
        <w:rPr>
          <w:rFonts w:hint="eastAsia" w:ascii="仿宋_GB2312" w:hAnsi="宋体" w:eastAsia="仿宋_GB2312"/>
          <w:color w:val="auto"/>
          <w:sz w:val="28"/>
          <w:szCs w:val="28"/>
          <w:highlight w:val="none"/>
        </w:rPr>
        <w:fldChar w:fldCharType="end"/>
      </w:r>
      <w:r>
        <w:rPr>
          <w:rFonts w:hint="eastAsia" w:ascii="仿宋_GB2312" w:hAnsi="宋体" w:eastAsia="仿宋_GB2312"/>
          <w:color w:val="auto"/>
          <w:sz w:val="28"/>
          <w:szCs w:val="28"/>
          <w:highlight w:val="none"/>
        </w:rPr>
        <w:t>等环境敏感区造成重大不利影响的；</w:t>
      </w:r>
    </w:p>
    <w:p w14:paraId="29658760">
      <w:pPr>
        <w:adjustRightInd w:val="0"/>
        <w:snapToGrid w:val="0"/>
        <w:spacing w:line="560" w:lineRule="exact"/>
        <w:ind w:firstLine="645"/>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（十）违法从事自然资源开发、交通基础设施建设，以及其他开发建设活动，造成严重生态破坏的；</w:t>
      </w:r>
    </w:p>
    <w:p w14:paraId="108D0DFC">
      <w:pPr>
        <w:adjustRightInd w:val="0"/>
        <w:snapToGrid w:val="0"/>
        <w:spacing w:line="560" w:lineRule="exact"/>
        <w:ind w:firstLine="645"/>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（十一）发生较大及以上突发环境事件的；</w:t>
      </w:r>
    </w:p>
    <w:p w14:paraId="1EDB9F4A">
      <w:pPr>
        <w:adjustRightInd w:val="0"/>
        <w:snapToGrid w:val="0"/>
        <w:spacing w:line="560" w:lineRule="exact"/>
        <w:ind w:firstLine="645"/>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（十二）被环保部门挂牌督办，整改逾期未完成的；</w:t>
      </w:r>
    </w:p>
    <w:p w14:paraId="14A1DE66">
      <w:pPr>
        <w:adjustRightInd w:val="0"/>
        <w:snapToGrid w:val="0"/>
        <w:spacing w:line="560" w:lineRule="exact"/>
        <w:ind w:firstLine="645"/>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（十三）以暴力、威胁等方式拒绝、阻挠环保部门工作人员现场检查的；</w:t>
      </w:r>
    </w:p>
    <w:p w14:paraId="7F022BD9">
      <w:pPr>
        <w:adjustRightInd w:val="0"/>
        <w:snapToGrid w:val="0"/>
        <w:spacing w:line="560" w:lineRule="exact"/>
        <w:ind w:firstLine="645"/>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（十四）违反重污染天气应急预案有关规定，对重污染天气响应不力的。</w:t>
      </w:r>
    </w:p>
    <w:p w14:paraId="0F6D754C">
      <w:pPr>
        <w:adjustRightInd w:val="0"/>
        <w:snapToGrid w:val="0"/>
        <w:spacing w:line="560" w:lineRule="exact"/>
        <w:ind w:firstLine="645"/>
        <w:jc w:val="left"/>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依据：《关于对环境保护领域失信生产经营单位及其有关人员开展联合惩戒的合作备忘录》、《企业环境信用评价办法（试行）》（环发〔2013〕150号）</w:t>
      </w:r>
    </w:p>
    <w:p w14:paraId="325A7ADA">
      <w:pPr>
        <w:adjustRightInd w:val="0"/>
        <w:snapToGrid w:val="0"/>
        <w:spacing w:line="560" w:lineRule="exact"/>
        <w:ind w:firstLine="645"/>
        <w:jc w:val="left"/>
        <w:rPr>
          <w:rFonts w:ascii="仿宋_GB2312" w:hAnsi="宋体" w:eastAsia="仿宋_GB2312"/>
          <w:b/>
          <w:color w:val="auto"/>
          <w:sz w:val="28"/>
          <w:szCs w:val="28"/>
          <w:highlight w:val="none"/>
        </w:rPr>
      </w:pPr>
    </w:p>
    <w:p w14:paraId="65005701">
      <w:pPr>
        <w:adjustRightInd w:val="0"/>
        <w:snapToGrid w:val="0"/>
        <w:spacing w:line="560" w:lineRule="exact"/>
        <w:ind w:firstLine="645"/>
        <w:jc w:val="left"/>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三、</w:t>
      </w:r>
      <w:r>
        <w:rPr>
          <w:rFonts w:hint="eastAsia" w:ascii="仿宋_GB2312" w:hAnsi="宋体" w:eastAsia="仿宋_GB2312"/>
          <w:b/>
          <w:bCs/>
          <w:color w:val="auto"/>
          <w:sz w:val="28"/>
          <w:szCs w:val="28"/>
          <w:highlight w:val="none"/>
        </w:rPr>
        <w:t>公共资源交易领域严重失信行为</w:t>
      </w:r>
    </w:p>
    <w:p w14:paraId="5C50AE1E">
      <w:pPr>
        <w:adjustRightInd w:val="0"/>
        <w:snapToGrid w:val="0"/>
        <w:spacing w:line="560" w:lineRule="exact"/>
        <w:ind w:firstLine="64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（一）违反法律规定，必须进行招标的项目而不招标的，将必须进行招标的项目化整为零或者以其他任何方式规避招标的； </w:t>
      </w:r>
    </w:p>
    <w:p w14:paraId="71C3EE82">
      <w:pPr>
        <w:adjustRightInd w:val="0"/>
        <w:snapToGrid w:val="0"/>
        <w:spacing w:line="560" w:lineRule="exact"/>
        <w:ind w:firstLine="64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（二）招标代理机构违反法律规定，泄露应当保密的与招标投标活动有关的情况和资料的，或者与招标人、投标人串通损害 国家利益、社会公共利益或者他人合法权益的；</w:t>
      </w:r>
    </w:p>
    <w:p w14:paraId="39A15712">
      <w:pPr>
        <w:adjustRightInd w:val="0"/>
        <w:snapToGrid w:val="0"/>
        <w:spacing w:line="560" w:lineRule="exact"/>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（三）招标人以不合理的条件限制或者排斥潜在投标人的，对潜在投标人实行歧视待遇的，强制要求投标人组成联合体共同 投标的，或者限制投标人之间竞争的；</w:t>
      </w:r>
    </w:p>
    <w:p w14:paraId="63E3D255">
      <w:pPr>
        <w:adjustRightInd w:val="0"/>
        <w:snapToGrid w:val="0"/>
        <w:spacing w:line="560" w:lineRule="exact"/>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（四）依法必须进行招标的项目的招标人向他人透露已获取招标文件的潜在投标人的名称、数量或者可能影响公平竞争的有 关招标投标的其他情况的，或者泄露标底的；</w:t>
      </w:r>
    </w:p>
    <w:p w14:paraId="6EB3C7B2">
      <w:pPr>
        <w:adjustRightInd w:val="0"/>
        <w:snapToGrid w:val="0"/>
        <w:spacing w:line="560" w:lineRule="exact"/>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（五）投标人相互串通投标或者与招标人串通投标的，投标人以向招标人或者评标委员会成员行贿的手段谋取中标的； </w:t>
      </w:r>
    </w:p>
    <w:p w14:paraId="6069273E">
      <w:pPr>
        <w:adjustRightInd w:val="0"/>
        <w:snapToGrid w:val="0"/>
        <w:spacing w:line="560" w:lineRule="exact"/>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（六）投标人以他人名义投标或者以其他方式弄虚作假，骗取中标的；</w:t>
      </w:r>
    </w:p>
    <w:p w14:paraId="0FFFAAF1">
      <w:pPr>
        <w:adjustRightInd w:val="0"/>
        <w:snapToGrid w:val="0"/>
        <w:spacing w:line="560" w:lineRule="exact"/>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（七）依法必须进行招标的项目，招标人违反法律规定，与投标人就投标价格、投标方案等实质性内容进行谈判的；</w:t>
      </w:r>
    </w:p>
    <w:p w14:paraId="49B4A16D">
      <w:pPr>
        <w:adjustRightInd w:val="0"/>
        <w:snapToGrid w:val="0"/>
        <w:spacing w:line="560" w:lineRule="exact"/>
        <w:ind w:firstLine="64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326D50D6">
      <w:pPr>
        <w:adjustRightInd w:val="0"/>
        <w:snapToGrid w:val="0"/>
        <w:spacing w:line="560" w:lineRule="exact"/>
        <w:ind w:firstLine="64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（九）招标人在评标委员会依法推荐的中标候选人以外确定中标人的，依法必须进行招标的项目在所有投标被评标委员会否 决后自行确定中标人的； </w:t>
      </w:r>
    </w:p>
    <w:p w14:paraId="3F6A6B5E">
      <w:pPr>
        <w:adjustRightInd w:val="0"/>
        <w:snapToGrid w:val="0"/>
        <w:spacing w:line="560" w:lineRule="exact"/>
        <w:ind w:firstLine="64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（十）中标人将中标项目转让给他人的，将中标项目肢解后分别转让给他人的，违反法律规定将中标项目的部分主体、关键 性工作分包给他人的，或者分包人再次分包的； </w:t>
      </w:r>
    </w:p>
    <w:p w14:paraId="2339F581">
      <w:pPr>
        <w:adjustRightInd w:val="0"/>
        <w:snapToGrid w:val="0"/>
        <w:spacing w:line="560" w:lineRule="exact"/>
        <w:ind w:firstLine="64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（十一）招标人与中标人不按照招标文件和中标人的投标文件订立合同的，或者招标人、中标人订立背离合同实质性内容的 协议的； </w:t>
      </w:r>
    </w:p>
    <w:p w14:paraId="0CFD199E">
      <w:pPr>
        <w:adjustRightInd w:val="0"/>
        <w:snapToGrid w:val="0"/>
        <w:spacing w:line="560" w:lineRule="exact"/>
        <w:ind w:firstLine="64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（十二）中标人不按照与招标人订立的合同履行义务，情节严重的； </w:t>
      </w:r>
    </w:p>
    <w:p w14:paraId="57F98285">
      <w:pPr>
        <w:adjustRightInd w:val="0"/>
        <w:snapToGrid w:val="0"/>
        <w:spacing w:line="560" w:lineRule="exact"/>
        <w:ind w:firstLine="64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0D3BA161">
      <w:pPr>
        <w:adjustRightInd w:val="0"/>
        <w:snapToGrid w:val="0"/>
        <w:spacing w:line="560" w:lineRule="exact"/>
        <w:ind w:firstLine="64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31A96888">
      <w:pPr>
        <w:adjustRightInd w:val="0"/>
        <w:snapToGrid w:val="0"/>
        <w:spacing w:line="560" w:lineRule="exact"/>
        <w:ind w:firstLine="64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（十五）采购人对应当实行集中采购的政府采购项目，不委托集中采购机构实行集中采购的； </w:t>
      </w:r>
    </w:p>
    <w:p w14:paraId="21B0E254">
      <w:pPr>
        <w:adjustRightInd w:val="0"/>
        <w:snapToGrid w:val="0"/>
        <w:spacing w:line="560" w:lineRule="exact"/>
        <w:ind w:firstLine="64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（十六）采购人、采购代理机构违反法律规定隐匿、销毁应当保存的采购文件或者伪造、变造采购文件的； </w:t>
      </w:r>
    </w:p>
    <w:p w14:paraId="618052E0">
      <w:pPr>
        <w:adjustRightInd w:val="0"/>
        <w:snapToGrid w:val="0"/>
        <w:spacing w:line="560" w:lineRule="exact"/>
        <w:ind w:firstLine="64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7D394AC1">
      <w:pPr>
        <w:adjustRightInd w:val="0"/>
        <w:snapToGrid w:val="0"/>
        <w:spacing w:line="560" w:lineRule="exact"/>
        <w:ind w:left="141" w:leftChars="67" w:firstLine="420" w:firstLineChars="15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（十八）疫苗生产企业向县级疾病预防控制机构以外的单位或者个人销售第二类疫苗的； </w:t>
      </w:r>
    </w:p>
    <w:p w14:paraId="0853AC5C">
      <w:pPr>
        <w:adjustRightInd w:val="0"/>
        <w:snapToGrid w:val="0"/>
        <w:spacing w:line="560" w:lineRule="exact"/>
        <w:ind w:left="141" w:leftChars="67" w:firstLine="420" w:firstLineChars="150"/>
        <w:jc w:val="left"/>
        <w:rPr>
          <w:rFonts w:ascii="仿宋_GB2312" w:hAnsi="宋体" w:eastAsia="仿宋_GB2312"/>
          <w:color w:val="auto"/>
          <w:sz w:val="28"/>
          <w:szCs w:val="28"/>
          <w:highlight w:val="none"/>
        </w:rPr>
      </w:pPr>
      <w:r>
        <w:rPr>
          <w:rFonts w:hint="eastAsia" w:ascii="仿宋_GB2312" w:eastAsia="仿宋_GB2312"/>
          <w:color w:val="auto"/>
          <w:sz w:val="28"/>
          <w:szCs w:val="28"/>
          <w:highlight w:val="none"/>
        </w:rPr>
        <w:t>（十九）存在其他违反公共资源交易法律法规行为的。</w:t>
      </w:r>
    </w:p>
    <w:p w14:paraId="677A47DF">
      <w:pPr>
        <w:adjustRightInd w:val="0"/>
        <w:snapToGrid w:val="0"/>
        <w:spacing w:line="560" w:lineRule="exact"/>
        <w:ind w:firstLine="894" w:firstLineChars="318"/>
        <w:jc w:val="left"/>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依据：《关于对公共资源交易领域严重失信主体开展联合惩戒的备忘录》（发改法规〔2018〕457号）</w:t>
      </w:r>
    </w:p>
    <w:p w14:paraId="63896EF7">
      <w:pPr>
        <w:adjustRightInd w:val="0"/>
        <w:snapToGrid w:val="0"/>
        <w:spacing w:line="560" w:lineRule="exact"/>
        <w:ind w:firstLine="645"/>
        <w:jc w:val="left"/>
        <w:rPr>
          <w:rFonts w:ascii="仿宋_GB2312" w:hAnsi="宋体" w:eastAsia="仿宋_GB2312"/>
          <w:color w:val="auto"/>
          <w:sz w:val="28"/>
          <w:szCs w:val="28"/>
          <w:highlight w:val="none"/>
        </w:rPr>
      </w:pPr>
    </w:p>
    <w:p w14:paraId="50DDF622">
      <w:pPr>
        <w:adjustRightInd w:val="0"/>
        <w:snapToGrid w:val="0"/>
        <w:spacing w:line="560" w:lineRule="exact"/>
        <w:ind w:firstLine="645"/>
        <w:jc w:val="left"/>
        <w:rPr>
          <w:rFonts w:ascii="仿宋_GB2312" w:hAnsi="宋体" w:eastAsia="仿宋_GB2312"/>
          <w:b/>
          <w:bCs/>
          <w:color w:val="auto"/>
          <w:sz w:val="28"/>
          <w:szCs w:val="28"/>
          <w:highlight w:val="none"/>
        </w:rPr>
      </w:pPr>
      <w:r>
        <w:rPr>
          <w:rFonts w:hint="eastAsia" w:ascii="仿宋_GB2312" w:hAnsi="宋体" w:eastAsia="仿宋_GB2312"/>
          <w:b/>
          <w:color w:val="auto"/>
          <w:sz w:val="28"/>
          <w:szCs w:val="28"/>
          <w:highlight w:val="none"/>
        </w:rPr>
        <w:t>四、</w:t>
      </w:r>
      <w:r>
        <w:rPr>
          <w:rFonts w:hint="eastAsia" w:ascii="仿宋_GB2312" w:hAnsi="宋体" w:eastAsia="仿宋_GB2312"/>
          <w:b/>
          <w:bCs/>
          <w:color w:val="auto"/>
          <w:sz w:val="28"/>
          <w:szCs w:val="28"/>
          <w:highlight w:val="none"/>
        </w:rPr>
        <w:t>社会保险领域严重失信行为</w:t>
      </w:r>
    </w:p>
    <w:p w14:paraId="3639B14A">
      <w:pPr>
        <w:adjustRightInd w:val="0"/>
        <w:snapToGrid w:val="0"/>
        <w:spacing w:line="560" w:lineRule="exact"/>
        <w:ind w:left="141" w:leftChars="67" w:firstLine="420" w:firstLineChars="15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（一）用人单位未按相关规定参加社会保险且拒不整改的； </w:t>
      </w:r>
    </w:p>
    <w:p w14:paraId="6D911A14">
      <w:pPr>
        <w:adjustRightInd w:val="0"/>
        <w:snapToGrid w:val="0"/>
        <w:spacing w:line="560" w:lineRule="exact"/>
        <w:ind w:left="141" w:leftChars="67" w:firstLine="420" w:firstLineChars="15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（二）用人单位未如实申报社会保险缴费基数且拒不整改的； </w:t>
      </w:r>
    </w:p>
    <w:p w14:paraId="16F64129">
      <w:pPr>
        <w:adjustRightInd w:val="0"/>
        <w:snapToGrid w:val="0"/>
        <w:spacing w:line="560" w:lineRule="exact"/>
        <w:ind w:left="141" w:leftChars="67" w:firstLine="420" w:firstLineChars="15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（三）应缴纳社会保险费却拒不缴纳的； </w:t>
      </w:r>
    </w:p>
    <w:p w14:paraId="1C74E83C">
      <w:pPr>
        <w:adjustRightInd w:val="0"/>
        <w:snapToGrid w:val="0"/>
        <w:spacing w:line="560" w:lineRule="exact"/>
        <w:ind w:left="141" w:leftChars="67" w:firstLine="420" w:firstLineChars="15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（四）隐匿、转移、侵占、挪用社会保险费款、基金或者违规投资运营的；</w:t>
      </w:r>
    </w:p>
    <w:p w14:paraId="3B6FAF7A">
      <w:pPr>
        <w:adjustRightInd w:val="0"/>
        <w:snapToGrid w:val="0"/>
        <w:spacing w:line="560" w:lineRule="exact"/>
        <w:ind w:left="141" w:leftChars="67" w:firstLine="420" w:firstLineChars="15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（五）以欺诈、伪造证明材料或者其他手段参加、申报社会保险和骗取社会保险基金支出或社会保险待遇的； </w:t>
      </w:r>
    </w:p>
    <w:p w14:paraId="300A2516">
      <w:pPr>
        <w:adjustRightInd w:val="0"/>
        <w:snapToGrid w:val="0"/>
        <w:spacing w:line="560" w:lineRule="exact"/>
        <w:ind w:left="141" w:leftChars="67" w:firstLine="420" w:firstLineChars="15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（六）非法获取、出售或变相交易社会保险个人权益数据的； </w:t>
      </w:r>
    </w:p>
    <w:p w14:paraId="2185A85C">
      <w:pPr>
        <w:adjustRightInd w:val="0"/>
        <w:snapToGrid w:val="0"/>
        <w:spacing w:line="560" w:lineRule="exact"/>
        <w:ind w:left="141" w:leftChars="67" w:firstLine="420" w:firstLineChars="15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（七）社会保险服务机构违反服务协议或相关规定的； </w:t>
      </w:r>
    </w:p>
    <w:p w14:paraId="0421F469">
      <w:pPr>
        <w:adjustRightInd w:val="0"/>
        <w:snapToGrid w:val="0"/>
        <w:spacing w:line="560" w:lineRule="exact"/>
        <w:ind w:left="141" w:leftChars="67" w:firstLine="420" w:firstLineChars="15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（八）拒绝协助社会保险行政部门、经办机构对事故和问题进 行调查核实的；拒绝接受或协助税务部门对社会保险实施监督检查， 不如实提供与社会保险相关各项资料的； </w:t>
      </w:r>
    </w:p>
    <w:p w14:paraId="3387811E">
      <w:pPr>
        <w:adjustRightInd w:val="0"/>
        <w:snapToGrid w:val="0"/>
        <w:spacing w:line="560" w:lineRule="exact"/>
        <w:ind w:left="141" w:leftChars="67" w:firstLine="420" w:firstLineChars="15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（九）其他违反法律法规规定的。</w:t>
      </w:r>
    </w:p>
    <w:p w14:paraId="1093C1D1">
      <w:pPr>
        <w:adjustRightInd w:val="0"/>
        <w:snapToGrid w:val="0"/>
        <w:spacing w:line="560" w:lineRule="exact"/>
        <w:ind w:firstLine="551" w:firstLineChars="196"/>
        <w:jc w:val="left"/>
        <w:rPr>
          <w:rFonts w:ascii="仿宋_GB2312" w:eastAsia="仿宋_GB2312"/>
          <w:color w:val="auto"/>
          <w:sz w:val="28"/>
          <w:szCs w:val="28"/>
          <w:highlight w:val="none"/>
        </w:rPr>
      </w:pPr>
      <w:r>
        <w:rPr>
          <w:rFonts w:hint="eastAsia" w:ascii="仿宋_GB2312" w:eastAsia="仿宋_GB2312"/>
          <w:b/>
          <w:color w:val="auto"/>
          <w:sz w:val="28"/>
          <w:szCs w:val="28"/>
          <w:highlight w:val="none"/>
        </w:rPr>
        <w:t>依据：《关于对社会保险领域严重失信企业及其有关人员实施联合惩戒的合作备忘录》（发改财金〔2018〕1704号）</w:t>
      </w:r>
    </w:p>
    <w:p w14:paraId="5A3AE17C">
      <w:pPr>
        <w:adjustRightInd w:val="0"/>
        <w:snapToGrid w:val="0"/>
        <w:spacing w:line="560" w:lineRule="exact"/>
        <w:jc w:val="left"/>
        <w:rPr>
          <w:rFonts w:ascii="仿宋_GB2312" w:hAnsi="宋体" w:eastAsia="仿宋_GB2312"/>
          <w:color w:val="auto"/>
          <w:sz w:val="28"/>
          <w:szCs w:val="28"/>
          <w:highlight w:val="none"/>
        </w:rPr>
      </w:pPr>
    </w:p>
    <w:p w14:paraId="50214D55">
      <w:pPr>
        <w:adjustRightInd w:val="0"/>
        <w:snapToGrid w:val="0"/>
        <w:spacing w:line="560" w:lineRule="exact"/>
        <w:ind w:firstLine="562" w:firstLineChars="200"/>
        <w:jc w:val="left"/>
        <w:rPr>
          <w:rFonts w:ascii="仿宋_GB2312" w:hAnsi="宋体" w:eastAsia="仿宋_GB2312"/>
          <w:b/>
          <w:bCs/>
          <w:color w:val="auto"/>
          <w:sz w:val="28"/>
          <w:szCs w:val="28"/>
          <w:highlight w:val="none"/>
        </w:rPr>
      </w:pPr>
      <w:r>
        <w:rPr>
          <w:rFonts w:hint="eastAsia" w:ascii="仿宋_GB2312" w:hAnsi="宋体" w:eastAsia="仿宋_GB2312"/>
          <w:b/>
          <w:color w:val="auto"/>
          <w:sz w:val="28"/>
          <w:szCs w:val="28"/>
          <w:highlight w:val="none"/>
        </w:rPr>
        <w:t>五、建筑市场领域</w:t>
      </w:r>
      <w:r>
        <w:rPr>
          <w:rFonts w:hint="eastAsia" w:ascii="仿宋_GB2312" w:hAnsi="宋体" w:eastAsia="仿宋_GB2312"/>
          <w:b/>
          <w:bCs/>
          <w:color w:val="auto"/>
          <w:sz w:val="28"/>
          <w:szCs w:val="28"/>
          <w:highlight w:val="none"/>
        </w:rPr>
        <w:t>严重失信行为</w:t>
      </w:r>
    </w:p>
    <w:p w14:paraId="59B9B786">
      <w:pPr>
        <w:adjustRightInd w:val="0"/>
        <w:snapToGrid w:val="0"/>
        <w:spacing w:line="560" w:lineRule="exact"/>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（一）利用虚假材料、以欺骗手段取得企业资质的；</w:t>
      </w:r>
    </w:p>
    <w:p w14:paraId="49019941">
      <w:pPr>
        <w:adjustRightInd w:val="0"/>
        <w:snapToGrid w:val="0"/>
        <w:spacing w:line="560" w:lineRule="exact"/>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（二）发生转包、出借资质，受到行政处罚的；</w:t>
      </w:r>
    </w:p>
    <w:p w14:paraId="25B1C486">
      <w:pPr>
        <w:adjustRightInd w:val="0"/>
        <w:snapToGrid w:val="0"/>
        <w:spacing w:line="560" w:lineRule="exact"/>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（三）发生重大及以上工程质量安全事故，或1年内累计发生2次及以上较大工程质量安全事故，或发生性质恶劣、危害性严重、社会影响大的较大工程质量安全事故，受到行政处罚的；</w:t>
      </w:r>
    </w:p>
    <w:p w14:paraId="49306567">
      <w:pPr>
        <w:adjustRightInd w:val="0"/>
        <w:snapToGrid w:val="0"/>
        <w:spacing w:line="560" w:lineRule="exact"/>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（四）经法院判决或仲裁机构裁决，认定为拖欠工程款,且拒不履行生效法律文书确定的义务的。</w:t>
      </w:r>
    </w:p>
    <w:p w14:paraId="01F592C3">
      <w:pPr>
        <w:adjustRightInd w:val="0"/>
        <w:snapToGrid w:val="0"/>
        <w:spacing w:line="560" w:lineRule="exact"/>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各级住房城乡建设主管部门应当参照建筑市场主体“黑名单”，对被人力资源社会保障行政部门列入拖欠农民工工资“黑名单”的建筑市场各方主体加强监管。</w:t>
      </w:r>
    </w:p>
    <w:p w14:paraId="2CCE79CB">
      <w:pPr>
        <w:ind w:firstLine="562" w:firstLineChars="200"/>
        <w:jc w:val="left"/>
        <w:rPr>
          <w:rFonts w:ascii="宋体" w:hAnsi="宋体"/>
          <w:color w:val="auto"/>
          <w:sz w:val="28"/>
          <w:szCs w:val="28"/>
          <w:highlight w:val="none"/>
        </w:rPr>
      </w:pPr>
      <w:r>
        <w:rPr>
          <w:rFonts w:hint="eastAsia" w:ascii="仿宋_GB2312" w:eastAsia="仿宋_GB2312"/>
          <w:b/>
          <w:color w:val="auto"/>
          <w:sz w:val="28"/>
          <w:szCs w:val="28"/>
          <w:highlight w:val="none"/>
        </w:rPr>
        <w:t>依据：《建筑市场信用管理暂行办法》（建市〔2017〕241号）</w:t>
      </w:r>
    </w:p>
    <w:p w14:paraId="0991C598">
      <w:pPr>
        <w:adjustRightInd w:val="0"/>
        <w:snapToGrid w:val="0"/>
        <w:spacing w:line="560" w:lineRule="exact"/>
        <w:rPr>
          <w:rFonts w:ascii="仿宋_GB2312" w:hAnsi="宋体" w:eastAsia="仿宋_GB2312"/>
          <w:b/>
          <w:color w:val="auto"/>
          <w:sz w:val="28"/>
          <w:szCs w:val="28"/>
          <w:highlight w:val="none"/>
        </w:rPr>
      </w:pPr>
    </w:p>
    <w:p w14:paraId="78D1CDC7">
      <w:pPr>
        <w:adjustRightInd w:val="0"/>
        <w:snapToGrid w:val="0"/>
        <w:spacing w:line="560" w:lineRule="exact"/>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六、政府采购严重失信行为</w:t>
      </w:r>
    </w:p>
    <w:p w14:paraId="5D8298C3">
      <w:pPr>
        <w:adjustRightInd w:val="0"/>
        <w:snapToGrid w:val="0"/>
        <w:spacing w:line="560" w:lineRule="exact"/>
        <w:ind w:firstLine="615"/>
        <w:rPr>
          <w:rFonts w:ascii="仿宋_GB2312" w:eastAsia="仿宋_GB2312"/>
          <w:color w:val="auto"/>
          <w:sz w:val="28"/>
          <w:szCs w:val="28"/>
          <w:highlight w:val="none"/>
        </w:rPr>
      </w:pPr>
      <w:r>
        <w:rPr>
          <w:rFonts w:hint="eastAsia" w:ascii="仿宋_GB2312" w:eastAsia="仿宋_GB2312"/>
          <w:color w:val="auto"/>
          <w:sz w:val="28"/>
          <w:szCs w:val="28"/>
          <w:highlight w:val="none"/>
        </w:rPr>
        <w:t>供应商、采购代理机构在三年内受到财政部门作出下列情形之一的行政处罚，列入政府采购严重违法失信行为记录名单。</w:t>
      </w:r>
    </w:p>
    <w:p w14:paraId="4E1F3AF4">
      <w:pPr>
        <w:adjustRightInd w:val="0"/>
        <w:snapToGrid w:val="0"/>
        <w:spacing w:line="560" w:lineRule="exact"/>
        <w:ind w:firstLine="615"/>
        <w:rPr>
          <w:rFonts w:ascii="仿宋_GB2312" w:eastAsia="仿宋_GB2312"/>
          <w:color w:val="auto"/>
          <w:sz w:val="28"/>
          <w:szCs w:val="28"/>
          <w:highlight w:val="none"/>
        </w:rPr>
      </w:pPr>
      <w:r>
        <w:rPr>
          <w:rFonts w:hint="eastAsia" w:ascii="仿宋_GB2312" w:eastAsia="仿宋_GB2312"/>
          <w:color w:val="auto"/>
          <w:sz w:val="28"/>
          <w:szCs w:val="28"/>
          <w:highlight w:val="none"/>
        </w:rPr>
        <w:t>　　（一）三万元以上罚款；</w:t>
      </w:r>
    </w:p>
    <w:p w14:paraId="1DC907E9">
      <w:pPr>
        <w:adjustRightInd w:val="0"/>
        <w:snapToGrid w:val="0"/>
        <w:spacing w:line="560" w:lineRule="exact"/>
        <w:ind w:firstLine="615"/>
        <w:rPr>
          <w:rFonts w:ascii="仿宋_GB2312" w:eastAsia="仿宋_GB2312"/>
          <w:color w:val="auto"/>
          <w:sz w:val="28"/>
          <w:szCs w:val="28"/>
          <w:highlight w:val="none"/>
        </w:rPr>
      </w:pPr>
      <w:r>
        <w:rPr>
          <w:rFonts w:hint="eastAsia" w:ascii="仿宋_GB2312" w:eastAsia="仿宋_GB2312"/>
          <w:color w:val="auto"/>
          <w:sz w:val="28"/>
          <w:szCs w:val="28"/>
          <w:highlight w:val="none"/>
        </w:rPr>
        <w:t>　　（二）在一至三年内禁止参加政府采购活动（处罚期限届满的除外）；</w:t>
      </w:r>
    </w:p>
    <w:p w14:paraId="187060A8">
      <w:pPr>
        <w:adjustRightInd w:val="0"/>
        <w:snapToGrid w:val="0"/>
        <w:spacing w:line="560" w:lineRule="exact"/>
        <w:ind w:firstLine="615"/>
        <w:rPr>
          <w:rFonts w:ascii="仿宋_GB2312" w:eastAsia="仿宋_GB2312"/>
          <w:color w:val="auto"/>
          <w:sz w:val="28"/>
          <w:szCs w:val="28"/>
          <w:highlight w:val="none"/>
        </w:rPr>
      </w:pPr>
      <w:r>
        <w:rPr>
          <w:rFonts w:hint="eastAsia" w:ascii="仿宋_GB2312" w:eastAsia="仿宋_GB2312"/>
          <w:color w:val="auto"/>
          <w:sz w:val="28"/>
          <w:szCs w:val="28"/>
          <w:highlight w:val="none"/>
        </w:rPr>
        <w:t>　　（三）在一至三年内禁止代理政府采购业务（处罚期限届满的除外）；</w:t>
      </w:r>
    </w:p>
    <w:p w14:paraId="2977AAAD">
      <w:pPr>
        <w:adjustRightInd w:val="0"/>
        <w:snapToGrid w:val="0"/>
        <w:spacing w:line="560" w:lineRule="exact"/>
        <w:ind w:firstLine="615"/>
        <w:rPr>
          <w:rFonts w:ascii="仿宋_GB2312" w:eastAsia="仿宋_GB2312"/>
          <w:color w:val="auto"/>
          <w:sz w:val="28"/>
          <w:szCs w:val="28"/>
          <w:highlight w:val="none"/>
        </w:rPr>
      </w:pPr>
      <w:r>
        <w:rPr>
          <w:rFonts w:hint="eastAsia" w:ascii="仿宋_GB2312" w:hAnsi="宋体" w:eastAsia="仿宋_GB2312"/>
          <w:color w:val="auto"/>
          <w:sz w:val="28"/>
          <w:szCs w:val="28"/>
          <w:highlight w:val="none"/>
        </w:rPr>
        <w:t xml:space="preserve">　 </w:t>
      </w:r>
      <w:r>
        <w:rPr>
          <w:rFonts w:hint="eastAsia" w:ascii="仿宋_GB2312" w:eastAsia="仿宋_GB2312"/>
          <w:color w:val="auto"/>
          <w:sz w:val="28"/>
          <w:szCs w:val="28"/>
          <w:highlight w:val="none"/>
        </w:rPr>
        <w:t>（四）撤销政府采购代理机构资格（仅针对《政府采购法》第78条修改前作出的处罚决定）。</w:t>
      </w:r>
    </w:p>
    <w:p w14:paraId="7CC1C4B3">
      <w:pPr>
        <w:adjustRightInd w:val="0"/>
        <w:snapToGrid w:val="0"/>
        <w:spacing w:line="560" w:lineRule="exact"/>
        <w:ind w:firstLine="562" w:firstLineChars="200"/>
        <w:jc w:val="left"/>
        <w:rPr>
          <w:rFonts w:ascii="仿宋_GB2312" w:eastAsia="仿宋_GB2312"/>
          <w:b/>
          <w:color w:val="auto"/>
          <w:sz w:val="28"/>
          <w:szCs w:val="28"/>
          <w:highlight w:val="none"/>
        </w:rPr>
      </w:pPr>
      <w:r>
        <w:rPr>
          <w:rFonts w:hint="eastAsia" w:ascii="仿宋_GB2312" w:eastAsia="仿宋_GB2312"/>
          <w:b/>
          <w:color w:val="auto"/>
          <w:sz w:val="28"/>
          <w:szCs w:val="28"/>
          <w:highlight w:val="none"/>
        </w:rPr>
        <w:t>依据：《关于报送政府采购严重违法失信行为信息记录的通知》</w:t>
      </w:r>
      <w:r>
        <w:rPr>
          <w:b/>
          <w:color w:val="auto"/>
          <w:sz w:val="28"/>
          <w:szCs w:val="28"/>
          <w:highlight w:val="none"/>
        </w:rPr>
        <w:t>（</w:t>
      </w:r>
      <w:r>
        <w:rPr>
          <w:rFonts w:hint="eastAsia"/>
          <w:b/>
          <w:color w:val="auto"/>
          <w:sz w:val="28"/>
          <w:szCs w:val="28"/>
          <w:highlight w:val="none"/>
        </w:rPr>
        <w:t>财办库〔</w:t>
      </w:r>
      <w:r>
        <w:rPr>
          <w:b/>
          <w:color w:val="auto"/>
          <w:sz w:val="28"/>
          <w:szCs w:val="28"/>
          <w:highlight w:val="none"/>
        </w:rPr>
        <w:t>201</w:t>
      </w:r>
      <w:r>
        <w:rPr>
          <w:rFonts w:hint="eastAsia"/>
          <w:b/>
          <w:color w:val="auto"/>
          <w:sz w:val="28"/>
          <w:szCs w:val="28"/>
          <w:highlight w:val="none"/>
        </w:rPr>
        <w:t>4〕526</w:t>
      </w:r>
      <w:r>
        <w:rPr>
          <w:b/>
          <w:color w:val="auto"/>
          <w:sz w:val="28"/>
          <w:szCs w:val="28"/>
          <w:highlight w:val="none"/>
        </w:rPr>
        <w:t>号）</w:t>
      </w:r>
    </w:p>
    <w:p w14:paraId="18E5F05B">
      <w:pPr>
        <w:adjustRightInd w:val="0"/>
        <w:snapToGrid w:val="0"/>
        <w:spacing w:line="560" w:lineRule="exact"/>
        <w:ind w:firstLine="562" w:firstLineChars="200"/>
        <w:rPr>
          <w:rFonts w:ascii="仿宋_GB2312" w:hAnsi="宋体" w:eastAsia="仿宋_GB2312"/>
          <w:b/>
          <w:color w:val="auto"/>
          <w:sz w:val="28"/>
          <w:szCs w:val="28"/>
          <w:highlight w:val="none"/>
        </w:rPr>
      </w:pPr>
    </w:p>
    <w:p w14:paraId="0F16673D">
      <w:pPr>
        <w:adjustRightInd w:val="0"/>
        <w:snapToGrid w:val="0"/>
        <w:spacing w:line="560" w:lineRule="exact"/>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七、水利建设领域严重失信行为</w:t>
      </w:r>
    </w:p>
    <w:p w14:paraId="786501C1">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（一）1年内不良行为记录累计扣分达到20分的；</w:t>
      </w:r>
    </w:p>
    <w:p w14:paraId="08F3A881">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（二）"重点关注名单"公开期满后仍不整改的；</w:t>
      </w:r>
    </w:p>
    <w:p w14:paraId="37ADD2B1">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（三）存在以下严重危害人民群众身体健康、生命安全和工程质量，以及特别严重违规行为之一的：</w:t>
      </w:r>
    </w:p>
    <w:p w14:paraId="7A420D23">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1.发生重大、特大质量或安全事故，并负有直接责任的；</w:t>
      </w:r>
    </w:p>
    <w:p w14:paraId="2D853BFB">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2.在单位公开信息、工程相关技术成果和工程建设过程中隐瞒真实情况、弄虚作假，提供虚假材料，谋取不正当利益的；</w:t>
      </w:r>
    </w:p>
    <w:p w14:paraId="18044FAD">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3.违反有关法律、法规、规章、政策、技术标准、设计文件、合同等有关规定开展工作造成的工程质量问题，经处理后仍影响工程正常使用或减少工程使用寿命的；</w:t>
      </w:r>
    </w:p>
    <w:p w14:paraId="3A3A3A50">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4.违反规定施工，造成生态环境严重破坏且拒不修复的；</w:t>
      </w:r>
    </w:p>
    <w:p w14:paraId="3E742336">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5.被证实恶意制造工程质量缺陷或质量隐患的；</w:t>
      </w:r>
    </w:p>
    <w:p w14:paraId="6D48C91E">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6.其他违反法律法规，造成严重后果或社会危害较大的。</w:t>
      </w:r>
    </w:p>
    <w:p w14:paraId="3E1E1211">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（四）存在以下严重破坏市场公平竞争秩序和社会正常秩序行为之一的：</w:t>
      </w:r>
    </w:p>
    <w:p w14:paraId="37F2FDFC">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1.不按合同约定，恶意拖欠承包人项目款的；</w:t>
      </w:r>
    </w:p>
    <w:p w14:paraId="3FA8B90D">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2.隐瞒有关情况或者提供虚假材料申请资质的，在全国水利建设市场监管服务平台公开虚假信息的，以欺骗、贿赂等不正当手段取得资质等级证书的；</w:t>
      </w:r>
    </w:p>
    <w:p w14:paraId="08D70071">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3.出借、借用资质证书,允许他人以本单位名义或借用他人名义等弄虚作假方式承揽业务的；</w:t>
      </w:r>
    </w:p>
    <w:p w14:paraId="68ED2A63">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4.未取得相应资质或超越资质证书核定范围、营业范围承揽业务的；</w:t>
      </w:r>
    </w:p>
    <w:p w14:paraId="1C1881CD">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5.操纵招标过程，谋取不正当利益的；</w:t>
      </w:r>
    </w:p>
    <w:p w14:paraId="2395D83A">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6.与招标人或投标人串通投标的；</w:t>
      </w:r>
    </w:p>
    <w:p w14:paraId="17A0673A">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7.以向招标人或评标委员会成员行贿的手段谋取中标的；</w:t>
      </w:r>
    </w:p>
    <w:p w14:paraId="65EF9567">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8.中标后，无正当理由不签订合同的；</w:t>
      </w:r>
    </w:p>
    <w:p w14:paraId="1A3CD6FF">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9.转包或违法分包所承揽业务的；</w:t>
      </w:r>
    </w:p>
    <w:p w14:paraId="421AC184">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10.弄虚作假，以欺诈手段降低工程或设备质量的；</w:t>
      </w:r>
    </w:p>
    <w:p w14:paraId="3EF7D05A">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11.单位行贿、受贿，受到刑事处罚的；</w:t>
      </w:r>
    </w:p>
    <w:p w14:paraId="38B19FD1">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12.逃税骗税、恶意逃废债务的；</w:t>
      </w:r>
    </w:p>
    <w:p w14:paraId="0DF97E6D">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13.参与非法集资，受到刑事处罚的；</w:t>
      </w:r>
    </w:p>
    <w:p w14:paraId="1C5BDAE4">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14.在签订、履行合同过程中，存在合同欺诈行为，受到刑事处罚的；</w:t>
      </w:r>
    </w:p>
    <w:p w14:paraId="7D1C9080">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15.虚构工程项目，套取资金的；</w:t>
      </w:r>
    </w:p>
    <w:p w14:paraId="35079BC0">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16.克扣、无故拖欠农民工工资报酬，数额达到认定拒不支付劳动报酬罪数额标准的；</w:t>
      </w:r>
    </w:p>
    <w:p w14:paraId="78C532B0">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17.发生社会公共事件，影响较大，并负有直接责任的。</w:t>
      </w:r>
    </w:p>
    <w:p w14:paraId="5922B59B">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（五）存在以下拒不履行法定义务，严重影响司法机关、行政机关公信力行为之一的：</w:t>
      </w:r>
    </w:p>
    <w:p w14:paraId="538DCC4F">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1.发生事故拒绝接受调查或拒绝提供有关资料的；</w:t>
      </w:r>
    </w:p>
    <w:p w14:paraId="3B94863B">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2.拒不执行生效的行政处罚决定的；</w:t>
      </w:r>
    </w:p>
    <w:p w14:paraId="6B78765C">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3.拒不执行仲裁、法院判决结果的。</w:t>
      </w:r>
    </w:p>
    <w:p w14:paraId="41C09EA7">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（六）被相关联合惩戒部门列入"黑名单"，符合联合惩戒措施的。</w:t>
      </w:r>
    </w:p>
    <w:p w14:paraId="1D97B111">
      <w:pPr>
        <w:adjustRightInd w:val="0"/>
        <w:snapToGrid w:val="0"/>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生产建设项目水土保持市场主体"黑名单"列入标准见《水利建设市场主体信用信息管理办法》附件。</w:t>
      </w:r>
    </w:p>
    <w:p w14:paraId="4CD0FA24">
      <w:pPr>
        <w:adjustRightInd w:val="0"/>
        <w:snapToGrid w:val="0"/>
        <w:spacing w:line="560" w:lineRule="exact"/>
        <w:ind w:firstLine="615"/>
        <w:rPr>
          <w:rFonts w:ascii="仿宋_GB2312" w:eastAsia="仿宋_GB2312"/>
          <w:color w:val="auto"/>
          <w:sz w:val="28"/>
          <w:szCs w:val="28"/>
          <w:highlight w:val="none"/>
        </w:rPr>
      </w:pPr>
      <w:r>
        <w:rPr>
          <w:rFonts w:hint="eastAsia" w:ascii="仿宋_GB2312" w:eastAsia="仿宋_GB2312"/>
          <w:color w:val="auto"/>
          <w:sz w:val="28"/>
          <w:szCs w:val="28"/>
          <w:highlight w:val="none"/>
        </w:rPr>
        <w:t>依据：《水利建设市场主体信用评价管理办法》水建设〔2019〕307号、《水利建设市场主体信用信息管理办法》水建设〔2019〕306号</w:t>
      </w:r>
    </w:p>
    <w:p w14:paraId="21C43A1E">
      <w:pPr>
        <w:rPr>
          <w:rFonts w:ascii="仿宋_GB2312" w:hAnsi="宋体" w:eastAsia="仿宋_GB2312"/>
          <w:b/>
          <w:color w:val="auto"/>
          <w:sz w:val="32"/>
          <w:szCs w:val="32"/>
          <w:highlight w:val="none"/>
        </w:rPr>
      </w:pPr>
      <w:r>
        <w:rPr>
          <w:rFonts w:hint="eastAsia" w:ascii="仿宋_GB2312" w:hAnsi="宋体" w:eastAsia="仿宋_GB2312"/>
          <w:b/>
          <w:color w:val="auto"/>
          <w:sz w:val="28"/>
          <w:szCs w:val="28"/>
          <w:highlight w:val="none"/>
        </w:rPr>
        <w:t>未列出的其他类别严重失信行为，由招标人（代理机构）根据各类别行业主管部门下发的联合惩戒文件进行判</w:t>
      </w:r>
      <w:r>
        <w:rPr>
          <w:rFonts w:hint="eastAsia" w:ascii="仿宋_GB2312" w:hAnsi="宋体" w:eastAsia="仿宋_GB2312"/>
          <w:b/>
          <w:color w:val="auto"/>
          <w:sz w:val="32"/>
          <w:szCs w:val="32"/>
          <w:highlight w:val="none"/>
        </w:rPr>
        <w:t>断。</w:t>
      </w:r>
    </w:p>
    <w:p w14:paraId="1F62ED88">
      <w:pPr>
        <w:rPr>
          <w:color w:val="auto"/>
          <w:highlight w:val="none"/>
        </w:rPr>
      </w:pPr>
    </w:p>
    <w:sectPr>
      <w:headerReference r:id="rId5" w:type="default"/>
      <w:footerReference r:id="rId6" w:type="default"/>
      <w:pgSz w:w="11906" w:h="16838"/>
      <w:pgMar w:top="1440" w:right="1633" w:bottom="1440" w:left="1633"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ctionIcon ! important">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SourceHanSansCN-Regular">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60248">
    <w:pPr>
      <w:pStyle w:val="23"/>
      <w:tabs>
        <w:tab w:val="left" w:pos="7350"/>
      </w:tabs>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F460B">
    <w:pPr>
      <w:pStyle w:val="2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66C92E">
                          <w:pPr>
                            <w:pStyle w:val="2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7C66C92E">
                    <w:pPr>
                      <w:pStyle w:val="2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17910">
    <w:pPr>
      <w:pStyle w:val="24"/>
      <w:pBdr>
        <w:bottom w:val="none" w:color="auto" w:sz="0" w:space="1"/>
      </w:pBdr>
      <w:jc w:val="left"/>
      <w:rPr>
        <w:rFonts w:asciiTheme="minorEastAsia" w:hAnsiTheme="minorEastAsia"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BC331">
    <w:pPr>
      <w:pStyle w:val="24"/>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9817F"/>
    <w:multiLevelType w:val="singleLevel"/>
    <w:tmpl w:val="1CE9817F"/>
    <w:lvl w:ilvl="0" w:tentative="0">
      <w:start w:val="6"/>
      <w:numFmt w:val="chineseCounting"/>
      <w:suff w:val="space"/>
      <w:lvlText w:val="第%1章"/>
      <w:lvlJc w:val="left"/>
      <w:rPr>
        <w:rFonts w:hint="eastAsia"/>
      </w:rPr>
    </w:lvl>
  </w:abstractNum>
  <w:abstractNum w:abstractNumId="1">
    <w:nsid w:val="2A064A37"/>
    <w:multiLevelType w:val="singleLevel"/>
    <w:tmpl w:val="2A064A37"/>
    <w:lvl w:ilvl="0" w:tentative="0">
      <w:start w:val="3"/>
      <w:numFmt w:val="chineseCounting"/>
      <w:suff w:val="space"/>
      <w:lvlText w:val="第%1章"/>
      <w:lvlJc w:val="left"/>
      <w:rPr>
        <w:rFonts w:hint="eastAsia"/>
      </w:rPr>
    </w:lvl>
  </w:abstractNum>
  <w:abstractNum w:abstractNumId="2">
    <w:nsid w:val="3256FCC9"/>
    <w:multiLevelType w:val="singleLevel"/>
    <w:tmpl w:val="3256FCC9"/>
    <w:lvl w:ilvl="0" w:tentative="0">
      <w:start w:val="8"/>
      <w:numFmt w:val="decimal"/>
      <w:lvlText w:val="%1."/>
      <w:lvlJc w:val="left"/>
      <w:pPr>
        <w:tabs>
          <w:tab w:val="left" w:pos="312"/>
        </w:tabs>
      </w:pPr>
    </w:lvl>
  </w:abstractNum>
  <w:abstractNum w:abstractNumId="3">
    <w:nsid w:val="46C141E5"/>
    <w:multiLevelType w:val="singleLevel"/>
    <w:tmpl w:val="46C141E5"/>
    <w:lvl w:ilvl="0" w:tentative="0">
      <w:start w:val="3"/>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lMTg4ODQ2ZDM1MGFlZDcxNjMyMTljYjhlNTA5OGMifQ=="/>
    <w:docVar w:name="KSO_WPS_MARK_KEY" w:val="e816610a-0a8e-4bcd-8a34-cae36f09e229"/>
  </w:docVars>
  <w:rsids>
    <w:rsidRoot w:val="00276BA1"/>
    <w:rsid w:val="0000043F"/>
    <w:rsid w:val="00003F56"/>
    <w:rsid w:val="000049DA"/>
    <w:rsid w:val="00004F40"/>
    <w:rsid w:val="000056B7"/>
    <w:rsid w:val="00012A13"/>
    <w:rsid w:val="000131F7"/>
    <w:rsid w:val="00013B38"/>
    <w:rsid w:val="00016B6C"/>
    <w:rsid w:val="00017D40"/>
    <w:rsid w:val="00017EC7"/>
    <w:rsid w:val="00020B57"/>
    <w:rsid w:val="00026768"/>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25FC"/>
    <w:rsid w:val="000942BA"/>
    <w:rsid w:val="00094D41"/>
    <w:rsid w:val="00097CB9"/>
    <w:rsid w:val="000A3569"/>
    <w:rsid w:val="000A4640"/>
    <w:rsid w:val="000A4943"/>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0F7B24"/>
    <w:rsid w:val="00100B0F"/>
    <w:rsid w:val="0010187C"/>
    <w:rsid w:val="001037E3"/>
    <w:rsid w:val="00106AE1"/>
    <w:rsid w:val="00110911"/>
    <w:rsid w:val="00113042"/>
    <w:rsid w:val="00116A70"/>
    <w:rsid w:val="0012143A"/>
    <w:rsid w:val="001222C6"/>
    <w:rsid w:val="00126A7B"/>
    <w:rsid w:val="001303BB"/>
    <w:rsid w:val="00136D80"/>
    <w:rsid w:val="00137C7C"/>
    <w:rsid w:val="00140687"/>
    <w:rsid w:val="00141707"/>
    <w:rsid w:val="00142AAF"/>
    <w:rsid w:val="00143940"/>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601E"/>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A7F45"/>
    <w:rsid w:val="001B21DF"/>
    <w:rsid w:val="001B2A54"/>
    <w:rsid w:val="001B5014"/>
    <w:rsid w:val="001B501E"/>
    <w:rsid w:val="001B7327"/>
    <w:rsid w:val="001C1409"/>
    <w:rsid w:val="001C67F2"/>
    <w:rsid w:val="001D4358"/>
    <w:rsid w:val="001D457B"/>
    <w:rsid w:val="001D53B4"/>
    <w:rsid w:val="001D7FD1"/>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6810"/>
    <w:rsid w:val="00260860"/>
    <w:rsid w:val="00260B94"/>
    <w:rsid w:val="00264F2E"/>
    <w:rsid w:val="00267521"/>
    <w:rsid w:val="00271245"/>
    <w:rsid w:val="00272CB9"/>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93C"/>
    <w:rsid w:val="002B6D27"/>
    <w:rsid w:val="002C3776"/>
    <w:rsid w:val="002C4BA9"/>
    <w:rsid w:val="002D1258"/>
    <w:rsid w:val="002D128A"/>
    <w:rsid w:val="002D2965"/>
    <w:rsid w:val="002D3D02"/>
    <w:rsid w:val="002D4CB5"/>
    <w:rsid w:val="002D684B"/>
    <w:rsid w:val="002E3B26"/>
    <w:rsid w:val="002E4AB8"/>
    <w:rsid w:val="002F092B"/>
    <w:rsid w:val="002F298D"/>
    <w:rsid w:val="002F5981"/>
    <w:rsid w:val="002F72EE"/>
    <w:rsid w:val="00310070"/>
    <w:rsid w:val="003110EC"/>
    <w:rsid w:val="00313029"/>
    <w:rsid w:val="00324D38"/>
    <w:rsid w:val="00327C92"/>
    <w:rsid w:val="0033245B"/>
    <w:rsid w:val="00333292"/>
    <w:rsid w:val="003344E7"/>
    <w:rsid w:val="0033580B"/>
    <w:rsid w:val="0033628B"/>
    <w:rsid w:val="003365E7"/>
    <w:rsid w:val="003374F8"/>
    <w:rsid w:val="003378D5"/>
    <w:rsid w:val="003419E9"/>
    <w:rsid w:val="003447AE"/>
    <w:rsid w:val="003473D7"/>
    <w:rsid w:val="00351AC8"/>
    <w:rsid w:val="00353075"/>
    <w:rsid w:val="00363E02"/>
    <w:rsid w:val="00367834"/>
    <w:rsid w:val="00373A96"/>
    <w:rsid w:val="003826C2"/>
    <w:rsid w:val="00383728"/>
    <w:rsid w:val="00383B8D"/>
    <w:rsid w:val="00391586"/>
    <w:rsid w:val="00394128"/>
    <w:rsid w:val="003947A4"/>
    <w:rsid w:val="00395235"/>
    <w:rsid w:val="0039561A"/>
    <w:rsid w:val="00397C7D"/>
    <w:rsid w:val="003A004F"/>
    <w:rsid w:val="003A20B5"/>
    <w:rsid w:val="003B4130"/>
    <w:rsid w:val="003B65AB"/>
    <w:rsid w:val="003B67D3"/>
    <w:rsid w:val="003B6C76"/>
    <w:rsid w:val="003B715B"/>
    <w:rsid w:val="003C4630"/>
    <w:rsid w:val="003D1D14"/>
    <w:rsid w:val="003D6C7C"/>
    <w:rsid w:val="003D6EFB"/>
    <w:rsid w:val="003D7E52"/>
    <w:rsid w:val="003E1F34"/>
    <w:rsid w:val="003E25C6"/>
    <w:rsid w:val="003E6BEB"/>
    <w:rsid w:val="003F145B"/>
    <w:rsid w:val="003F2122"/>
    <w:rsid w:val="003F326A"/>
    <w:rsid w:val="004011AA"/>
    <w:rsid w:val="0040202C"/>
    <w:rsid w:val="00406508"/>
    <w:rsid w:val="0041456E"/>
    <w:rsid w:val="00414F7E"/>
    <w:rsid w:val="004164F8"/>
    <w:rsid w:val="00416830"/>
    <w:rsid w:val="00417FD0"/>
    <w:rsid w:val="00420B7F"/>
    <w:rsid w:val="004234BA"/>
    <w:rsid w:val="0042488B"/>
    <w:rsid w:val="00427732"/>
    <w:rsid w:val="004427B7"/>
    <w:rsid w:val="0044349F"/>
    <w:rsid w:val="00445F1F"/>
    <w:rsid w:val="00451F60"/>
    <w:rsid w:val="00452BB2"/>
    <w:rsid w:val="00453527"/>
    <w:rsid w:val="00455467"/>
    <w:rsid w:val="0045656D"/>
    <w:rsid w:val="004578E0"/>
    <w:rsid w:val="00462D98"/>
    <w:rsid w:val="004700D9"/>
    <w:rsid w:val="00472A44"/>
    <w:rsid w:val="00473A89"/>
    <w:rsid w:val="004745C6"/>
    <w:rsid w:val="00474D3B"/>
    <w:rsid w:val="00475899"/>
    <w:rsid w:val="004802A8"/>
    <w:rsid w:val="00482C78"/>
    <w:rsid w:val="004874AE"/>
    <w:rsid w:val="00492E2B"/>
    <w:rsid w:val="00494D24"/>
    <w:rsid w:val="004951D1"/>
    <w:rsid w:val="00496CB9"/>
    <w:rsid w:val="004A27D0"/>
    <w:rsid w:val="004A4D67"/>
    <w:rsid w:val="004A6A90"/>
    <w:rsid w:val="004A6FD2"/>
    <w:rsid w:val="004B2D4C"/>
    <w:rsid w:val="004C7378"/>
    <w:rsid w:val="004D1030"/>
    <w:rsid w:val="004D3D4B"/>
    <w:rsid w:val="004D5498"/>
    <w:rsid w:val="004D66A5"/>
    <w:rsid w:val="004D6B00"/>
    <w:rsid w:val="004D7951"/>
    <w:rsid w:val="004E0AE0"/>
    <w:rsid w:val="004E1D50"/>
    <w:rsid w:val="004E502F"/>
    <w:rsid w:val="004E6C6A"/>
    <w:rsid w:val="004F0396"/>
    <w:rsid w:val="00501382"/>
    <w:rsid w:val="00501E26"/>
    <w:rsid w:val="00503E2F"/>
    <w:rsid w:val="005054B9"/>
    <w:rsid w:val="00506E4F"/>
    <w:rsid w:val="00510798"/>
    <w:rsid w:val="005146A9"/>
    <w:rsid w:val="00514ED8"/>
    <w:rsid w:val="00515F12"/>
    <w:rsid w:val="00522B2E"/>
    <w:rsid w:val="00524A11"/>
    <w:rsid w:val="00525BEE"/>
    <w:rsid w:val="00527768"/>
    <w:rsid w:val="005327FB"/>
    <w:rsid w:val="00533FCA"/>
    <w:rsid w:val="0053524C"/>
    <w:rsid w:val="00541C0B"/>
    <w:rsid w:val="0054317E"/>
    <w:rsid w:val="00544C2A"/>
    <w:rsid w:val="00546D49"/>
    <w:rsid w:val="005512EB"/>
    <w:rsid w:val="00556D4C"/>
    <w:rsid w:val="005614B4"/>
    <w:rsid w:val="005616B5"/>
    <w:rsid w:val="00571315"/>
    <w:rsid w:val="0057573B"/>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038CC"/>
    <w:rsid w:val="00610A66"/>
    <w:rsid w:val="00613177"/>
    <w:rsid w:val="00613F7C"/>
    <w:rsid w:val="00614BF2"/>
    <w:rsid w:val="0061618E"/>
    <w:rsid w:val="00620560"/>
    <w:rsid w:val="006208CB"/>
    <w:rsid w:val="006224B8"/>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1F12"/>
    <w:rsid w:val="00662EE8"/>
    <w:rsid w:val="00663813"/>
    <w:rsid w:val="00663C3B"/>
    <w:rsid w:val="00664AFD"/>
    <w:rsid w:val="00667567"/>
    <w:rsid w:val="006737B6"/>
    <w:rsid w:val="0067391A"/>
    <w:rsid w:val="00674173"/>
    <w:rsid w:val="00674602"/>
    <w:rsid w:val="0067535A"/>
    <w:rsid w:val="00683CA0"/>
    <w:rsid w:val="00690CD9"/>
    <w:rsid w:val="00690DB1"/>
    <w:rsid w:val="00693404"/>
    <w:rsid w:val="006953D9"/>
    <w:rsid w:val="00697FE9"/>
    <w:rsid w:val="006A5FEE"/>
    <w:rsid w:val="006B1242"/>
    <w:rsid w:val="006B1DBC"/>
    <w:rsid w:val="006B61B3"/>
    <w:rsid w:val="006B63B7"/>
    <w:rsid w:val="006B7D9A"/>
    <w:rsid w:val="006C06D9"/>
    <w:rsid w:val="006C464F"/>
    <w:rsid w:val="006C4FF8"/>
    <w:rsid w:val="006C5716"/>
    <w:rsid w:val="006C74A9"/>
    <w:rsid w:val="006D07DE"/>
    <w:rsid w:val="006D394E"/>
    <w:rsid w:val="006E06D9"/>
    <w:rsid w:val="006E1D40"/>
    <w:rsid w:val="006E2E1F"/>
    <w:rsid w:val="006E4BE8"/>
    <w:rsid w:val="006F5FFF"/>
    <w:rsid w:val="006F6E33"/>
    <w:rsid w:val="006F7AF3"/>
    <w:rsid w:val="007024AD"/>
    <w:rsid w:val="00702CF1"/>
    <w:rsid w:val="00703635"/>
    <w:rsid w:val="007054AA"/>
    <w:rsid w:val="00706D4B"/>
    <w:rsid w:val="00707B8C"/>
    <w:rsid w:val="00710804"/>
    <w:rsid w:val="0071110A"/>
    <w:rsid w:val="00711FC6"/>
    <w:rsid w:val="007130B1"/>
    <w:rsid w:val="00715071"/>
    <w:rsid w:val="0072140F"/>
    <w:rsid w:val="007231E9"/>
    <w:rsid w:val="00727C59"/>
    <w:rsid w:val="00734E5D"/>
    <w:rsid w:val="00735AF1"/>
    <w:rsid w:val="00736013"/>
    <w:rsid w:val="00737661"/>
    <w:rsid w:val="00753D83"/>
    <w:rsid w:val="00755D75"/>
    <w:rsid w:val="00756245"/>
    <w:rsid w:val="0076130F"/>
    <w:rsid w:val="00761662"/>
    <w:rsid w:val="00764043"/>
    <w:rsid w:val="007757CF"/>
    <w:rsid w:val="00776FFC"/>
    <w:rsid w:val="0078128F"/>
    <w:rsid w:val="0078683C"/>
    <w:rsid w:val="00790EDB"/>
    <w:rsid w:val="00791538"/>
    <w:rsid w:val="007918F0"/>
    <w:rsid w:val="00791CD5"/>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7E5E4A"/>
    <w:rsid w:val="007F5C72"/>
    <w:rsid w:val="00801028"/>
    <w:rsid w:val="00802CE2"/>
    <w:rsid w:val="00803793"/>
    <w:rsid w:val="008043CA"/>
    <w:rsid w:val="00805C0F"/>
    <w:rsid w:val="0080643F"/>
    <w:rsid w:val="00814052"/>
    <w:rsid w:val="008149FD"/>
    <w:rsid w:val="00817A01"/>
    <w:rsid w:val="0082083B"/>
    <w:rsid w:val="00824F21"/>
    <w:rsid w:val="0082500C"/>
    <w:rsid w:val="00825E35"/>
    <w:rsid w:val="0083320B"/>
    <w:rsid w:val="008334F8"/>
    <w:rsid w:val="008341AA"/>
    <w:rsid w:val="00835D8E"/>
    <w:rsid w:val="008372F6"/>
    <w:rsid w:val="008377CA"/>
    <w:rsid w:val="00844D03"/>
    <w:rsid w:val="00847B0F"/>
    <w:rsid w:val="00847DBC"/>
    <w:rsid w:val="00852994"/>
    <w:rsid w:val="00873D89"/>
    <w:rsid w:val="00876659"/>
    <w:rsid w:val="00876677"/>
    <w:rsid w:val="0087734C"/>
    <w:rsid w:val="008812EE"/>
    <w:rsid w:val="00882141"/>
    <w:rsid w:val="00887E3B"/>
    <w:rsid w:val="008922A8"/>
    <w:rsid w:val="00895728"/>
    <w:rsid w:val="00895BD5"/>
    <w:rsid w:val="0089742B"/>
    <w:rsid w:val="008A16C4"/>
    <w:rsid w:val="008A6FED"/>
    <w:rsid w:val="008B39C5"/>
    <w:rsid w:val="008B51AA"/>
    <w:rsid w:val="008B5AE0"/>
    <w:rsid w:val="008B7932"/>
    <w:rsid w:val="008C4704"/>
    <w:rsid w:val="008C67F2"/>
    <w:rsid w:val="008D064A"/>
    <w:rsid w:val="008D0FDB"/>
    <w:rsid w:val="008D2B0F"/>
    <w:rsid w:val="008D30BC"/>
    <w:rsid w:val="008D4BC4"/>
    <w:rsid w:val="008E449E"/>
    <w:rsid w:val="008E7062"/>
    <w:rsid w:val="008F187F"/>
    <w:rsid w:val="008F402F"/>
    <w:rsid w:val="008F55FA"/>
    <w:rsid w:val="008F5CEE"/>
    <w:rsid w:val="008F613F"/>
    <w:rsid w:val="008F76E8"/>
    <w:rsid w:val="008F7CD0"/>
    <w:rsid w:val="00902902"/>
    <w:rsid w:val="00902A4B"/>
    <w:rsid w:val="009078A1"/>
    <w:rsid w:val="00911E9C"/>
    <w:rsid w:val="00915083"/>
    <w:rsid w:val="00917405"/>
    <w:rsid w:val="00920035"/>
    <w:rsid w:val="00920F7C"/>
    <w:rsid w:val="00922958"/>
    <w:rsid w:val="00934CAE"/>
    <w:rsid w:val="00941272"/>
    <w:rsid w:val="0094257D"/>
    <w:rsid w:val="00942F60"/>
    <w:rsid w:val="0095211B"/>
    <w:rsid w:val="0095467C"/>
    <w:rsid w:val="00954A61"/>
    <w:rsid w:val="00955C6F"/>
    <w:rsid w:val="00966C7B"/>
    <w:rsid w:val="009701DC"/>
    <w:rsid w:val="009715D8"/>
    <w:rsid w:val="00976F32"/>
    <w:rsid w:val="00980D0D"/>
    <w:rsid w:val="00985C4B"/>
    <w:rsid w:val="00994568"/>
    <w:rsid w:val="00995BF9"/>
    <w:rsid w:val="00997C3C"/>
    <w:rsid w:val="009A0CAF"/>
    <w:rsid w:val="009A1474"/>
    <w:rsid w:val="009A2207"/>
    <w:rsid w:val="009A5147"/>
    <w:rsid w:val="009A74C4"/>
    <w:rsid w:val="009B02D2"/>
    <w:rsid w:val="009B6C42"/>
    <w:rsid w:val="009B6CC2"/>
    <w:rsid w:val="009D31F7"/>
    <w:rsid w:val="009D32C2"/>
    <w:rsid w:val="009D50DB"/>
    <w:rsid w:val="009D72A0"/>
    <w:rsid w:val="009D7989"/>
    <w:rsid w:val="009E3A0A"/>
    <w:rsid w:val="009E452D"/>
    <w:rsid w:val="009F26D4"/>
    <w:rsid w:val="009F3E91"/>
    <w:rsid w:val="009F6AFD"/>
    <w:rsid w:val="009F6CE7"/>
    <w:rsid w:val="009F7D7D"/>
    <w:rsid w:val="00A01670"/>
    <w:rsid w:val="00A1499B"/>
    <w:rsid w:val="00A20879"/>
    <w:rsid w:val="00A20AFC"/>
    <w:rsid w:val="00A23E47"/>
    <w:rsid w:val="00A314C2"/>
    <w:rsid w:val="00A43B9C"/>
    <w:rsid w:val="00A53155"/>
    <w:rsid w:val="00A546B5"/>
    <w:rsid w:val="00A566C5"/>
    <w:rsid w:val="00A56FFA"/>
    <w:rsid w:val="00A577AE"/>
    <w:rsid w:val="00A61D4E"/>
    <w:rsid w:val="00A63E86"/>
    <w:rsid w:val="00A65A1C"/>
    <w:rsid w:val="00A757C3"/>
    <w:rsid w:val="00A75E5B"/>
    <w:rsid w:val="00A7684A"/>
    <w:rsid w:val="00A80B42"/>
    <w:rsid w:val="00A82AED"/>
    <w:rsid w:val="00A83B69"/>
    <w:rsid w:val="00A86533"/>
    <w:rsid w:val="00A9176A"/>
    <w:rsid w:val="00A91CA2"/>
    <w:rsid w:val="00A92FB8"/>
    <w:rsid w:val="00A93B2F"/>
    <w:rsid w:val="00A948F1"/>
    <w:rsid w:val="00AA1D7D"/>
    <w:rsid w:val="00AA7525"/>
    <w:rsid w:val="00AB0EA9"/>
    <w:rsid w:val="00AB139D"/>
    <w:rsid w:val="00AB2C46"/>
    <w:rsid w:val="00AB3EFB"/>
    <w:rsid w:val="00AB5EF7"/>
    <w:rsid w:val="00AB6862"/>
    <w:rsid w:val="00AC0B05"/>
    <w:rsid w:val="00AC763F"/>
    <w:rsid w:val="00AD079A"/>
    <w:rsid w:val="00AD1890"/>
    <w:rsid w:val="00AE2149"/>
    <w:rsid w:val="00AE33AE"/>
    <w:rsid w:val="00AE3785"/>
    <w:rsid w:val="00AE3F91"/>
    <w:rsid w:val="00AE452F"/>
    <w:rsid w:val="00AE76E6"/>
    <w:rsid w:val="00B00ACC"/>
    <w:rsid w:val="00B02A45"/>
    <w:rsid w:val="00B039E3"/>
    <w:rsid w:val="00B043C1"/>
    <w:rsid w:val="00B122AC"/>
    <w:rsid w:val="00B22838"/>
    <w:rsid w:val="00B27D52"/>
    <w:rsid w:val="00B32BC1"/>
    <w:rsid w:val="00B33E95"/>
    <w:rsid w:val="00B34EE1"/>
    <w:rsid w:val="00B35B5E"/>
    <w:rsid w:val="00B36871"/>
    <w:rsid w:val="00B3720B"/>
    <w:rsid w:val="00B40EE3"/>
    <w:rsid w:val="00B4535A"/>
    <w:rsid w:val="00B55271"/>
    <w:rsid w:val="00B5558A"/>
    <w:rsid w:val="00B56513"/>
    <w:rsid w:val="00B56B2E"/>
    <w:rsid w:val="00B56D57"/>
    <w:rsid w:val="00B63031"/>
    <w:rsid w:val="00B64376"/>
    <w:rsid w:val="00B71533"/>
    <w:rsid w:val="00B7157A"/>
    <w:rsid w:val="00B73B2A"/>
    <w:rsid w:val="00B7401F"/>
    <w:rsid w:val="00B806A7"/>
    <w:rsid w:val="00B806C3"/>
    <w:rsid w:val="00B838F5"/>
    <w:rsid w:val="00B84FCA"/>
    <w:rsid w:val="00B877BA"/>
    <w:rsid w:val="00B9089F"/>
    <w:rsid w:val="00B91AEE"/>
    <w:rsid w:val="00B931D5"/>
    <w:rsid w:val="00B94F71"/>
    <w:rsid w:val="00B95F5A"/>
    <w:rsid w:val="00B96EAD"/>
    <w:rsid w:val="00BA22AF"/>
    <w:rsid w:val="00BA4121"/>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D6D98"/>
    <w:rsid w:val="00BE3B54"/>
    <w:rsid w:val="00BF376F"/>
    <w:rsid w:val="00BF46A6"/>
    <w:rsid w:val="00BF5AE0"/>
    <w:rsid w:val="00BF62CF"/>
    <w:rsid w:val="00BF6B98"/>
    <w:rsid w:val="00BF73D6"/>
    <w:rsid w:val="00C01467"/>
    <w:rsid w:val="00C06545"/>
    <w:rsid w:val="00C1161C"/>
    <w:rsid w:val="00C134EE"/>
    <w:rsid w:val="00C17F66"/>
    <w:rsid w:val="00C220FC"/>
    <w:rsid w:val="00C23C86"/>
    <w:rsid w:val="00C24DFA"/>
    <w:rsid w:val="00C314B9"/>
    <w:rsid w:val="00C35561"/>
    <w:rsid w:val="00C4202A"/>
    <w:rsid w:val="00C4211F"/>
    <w:rsid w:val="00C445D3"/>
    <w:rsid w:val="00C46A36"/>
    <w:rsid w:val="00C47037"/>
    <w:rsid w:val="00C53625"/>
    <w:rsid w:val="00C5649E"/>
    <w:rsid w:val="00C602C1"/>
    <w:rsid w:val="00C60C6D"/>
    <w:rsid w:val="00C61C98"/>
    <w:rsid w:val="00C63FC0"/>
    <w:rsid w:val="00C66392"/>
    <w:rsid w:val="00C74C5E"/>
    <w:rsid w:val="00C77487"/>
    <w:rsid w:val="00C77C9A"/>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0EF6"/>
    <w:rsid w:val="00CE2486"/>
    <w:rsid w:val="00CE4913"/>
    <w:rsid w:val="00CE66BD"/>
    <w:rsid w:val="00CF0671"/>
    <w:rsid w:val="00CF44AD"/>
    <w:rsid w:val="00CF4FC0"/>
    <w:rsid w:val="00CF7642"/>
    <w:rsid w:val="00D00717"/>
    <w:rsid w:val="00D03909"/>
    <w:rsid w:val="00D1072F"/>
    <w:rsid w:val="00D108A5"/>
    <w:rsid w:val="00D131F9"/>
    <w:rsid w:val="00D14585"/>
    <w:rsid w:val="00D20EFF"/>
    <w:rsid w:val="00D30F1B"/>
    <w:rsid w:val="00D30FC0"/>
    <w:rsid w:val="00D34F0D"/>
    <w:rsid w:val="00D3516E"/>
    <w:rsid w:val="00D36FE8"/>
    <w:rsid w:val="00D4064C"/>
    <w:rsid w:val="00D47F9F"/>
    <w:rsid w:val="00D50E65"/>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3ADD"/>
    <w:rsid w:val="00D853B5"/>
    <w:rsid w:val="00D86779"/>
    <w:rsid w:val="00D86EE1"/>
    <w:rsid w:val="00D9120E"/>
    <w:rsid w:val="00D913B1"/>
    <w:rsid w:val="00D93793"/>
    <w:rsid w:val="00D96126"/>
    <w:rsid w:val="00DB0C4C"/>
    <w:rsid w:val="00DB3F2F"/>
    <w:rsid w:val="00DB4B1C"/>
    <w:rsid w:val="00DB5085"/>
    <w:rsid w:val="00DB7706"/>
    <w:rsid w:val="00DC1062"/>
    <w:rsid w:val="00DC132C"/>
    <w:rsid w:val="00DC774B"/>
    <w:rsid w:val="00DD0DA9"/>
    <w:rsid w:val="00DD43F0"/>
    <w:rsid w:val="00DD44DE"/>
    <w:rsid w:val="00DD4C46"/>
    <w:rsid w:val="00DE09AB"/>
    <w:rsid w:val="00DE168E"/>
    <w:rsid w:val="00DE4A3F"/>
    <w:rsid w:val="00DE4E53"/>
    <w:rsid w:val="00DE7AE9"/>
    <w:rsid w:val="00DF4367"/>
    <w:rsid w:val="00E0574A"/>
    <w:rsid w:val="00E113BD"/>
    <w:rsid w:val="00E1243D"/>
    <w:rsid w:val="00E12588"/>
    <w:rsid w:val="00E12742"/>
    <w:rsid w:val="00E12E4A"/>
    <w:rsid w:val="00E146D4"/>
    <w:rsid w:val="00E20976"/>
    <w:rsid w:val="00E22079"/>
    <w:rsid w:val="00E22B44"/>
    <w:rsid w:val="00E236D8"/>
    <w:rsid w:val="00E30ACD"/>
    <w:rsid w:val="00E3184B"/>
    <w:rsid w:val="00E32735"/>
    <w:rsid w:val="00E40670"/>
    <w:rsid w:val="00E5391D"/>
    <w:rsid w:val="00E544E5"/>
    <w:rsid w:val="00E6033F"/>
    <w:rsid w:val="00E61364"/>
    <w:rsid w:val="00E66E36"/>
    <w:rsid w:val="00E6781E"/>
    <w:rsid w:val="00E702ED"/>
    <w:rsid w:val="00E705CC"/>
    <w:rsid w:val="00E709A4"/>
    <w:rsid w:val="00E72C29"/>
    <w:rsid w:val="00E73822"/>
    <w:rsid w:val="00E772DB"/>
    <w:rsid w:val="00E8418F"/>
    <w:rsid w:val="00E86012"/>
    <w:rsid w:val="00E86BAB"/>
    <w:rsid w:val="00E901A1"/>
    <w:rsid w:val="00E94E10"/>
    <w:rsid w:val="00E954BD"/>
    <w:rsid w:val="00E96743"/>
    <w:rsid w:val="00E96A42"/>
    <w:rsid w:val="00EA0A36"/>
    <w:rsid w:val="00EA49C5"/>
    <w:rsid w:val="00EB1C1C"/>
    <w:rsid w:val="00EB5027"/>
    <w:rsid w:val="00EB73C2"/>
    <w:rsid w:val="00EC1836"/>
    <w:rsid w:val="00EC3990"/>
    <w:rsid w:val="00EC484B"/>
    <w:rsid w:val="00ED15FA"/>
    <w:rsid w:val="00ED1E00"/>
    <w:rsid w:val="00EE228F"/>
    <w:rsid w:val="00EE238D"/>
    <w:rsid w:val="00EE6E9A"/>
    <w:rsid w:val="00EF0BF1"/>
    <w:rsid w:val="00EF27DA"/>
    <w:rsid w:val="00EF2AC4"/>
    <w:rsid w:val="00EF397E"/>
    <w:rsid w:val="00EF5228"/>
    <w:rsid w:val="00F02771"/>
    <w:rsid w:val="00F06F68"/>
    <w:rsid w:val="00F10B01"/>
    <w:rsid w:val="00F129B9"/>
    <w:rsid w:val="00F1332D"/>
    <w:rsid w:val="00F1534B"/>
    <w:rsid w:val="00F1713B"/>
    <w:rsid w:val="00F212CB"/>
    <w:rsid w:val="00F23C7D"/>
    <w:rsid w:val="00F243DB"/>
    <w:rsid w:val="00F24C2D"/>
    <w:rsid w:val="00F24F1B"/>
    <w:rsid w:val="00F253D4"/>
    <w:rsid w:val="00F27356"/>
    <w:rsid w:val="00F31A2C"/>
    <w:rsid w:val="00F32A81"/>
    <w:rsid w:val="00F40B69"/>
    <w:rsid w:val="00F46998"/>
    <w:rsid w:val="00F47100"/>
    <w:rsid w:val="00F5382D"/>
    <w:rsid w:val="00F53D9C"/>
    <w:rsid w:val="00F5462B"/>
    <w:rsid w:val="00F56073"/>
    <w:rsid w:val="00F634AD"/>
    <w:rsid w:val="00F63677"/>
    <w:rsid w:val="00F63ABE"/>
    <w:rsid w:val="00F72EE6"/>
    <w:rsid w:val="00F7338A"/>
    <w:rsid w:val="00F75B81"/>
    <w:rsid w:val="00F804C4"/>
    <w:rsid w:val="00F805CC"/>
    <w:rsid w:val="00F82F83"/>
    <w:rsid w:val="00F832E5"/>
    <w:rsid w:val="00F90F40"/>
    <w:rsid w:val="00F9187D"/>
    <w:rsid w:val="00F92B30"/>
    <w:rsid w:val="00F933B9"/>
    <w:rsid w:val="00F94674"/>
    <w:rsid w:val="00F94919"/>
    <w:rsid w:val="00F94A59"/>
    <w:rsid w:val="00FA25B6"/>
    <w:rsid w:val="00FA2FAF"/>
    <w:rsid w:val="00FA5CCF"/>
    <w:rsid w:val="00FA64B1"/>
    <w:rsid w:val="00FA70F3"/>
    <w:rsid w:val="00FA71CD"/>
    <w:rsid w:val="00FA7FC5"/>
    <w:rsid w:val="00FB0453"/>
    <w:rsid w:val="00FB0C07"/>
    <w:rsid w:val="00FB298D"/>
    <w:rsid w:val="00FC1439"/>
    <w:rsid w:val="00FC3706"/>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2F73"/>
    <w:rsid w:val="00FF44E0"/>
    <w:rsid w:val="00FF4CB6"/>
    <w:rsid w:val="00FF5834"/>
    <w:rsid w:val="00FF6C72"/>
    <w:rsid w:val="010D427B"/>
    <w:rsid w:val="017C6D0A"/>
    <w:rsid w:val="01BA73E4"/>
    <w:rsid w:val="01D84625"/>
    <w:rsid w:val="02092C94"/>
    <w:rsid w:val="02105DD0"/>
    <w:rsid w:val="0214602E"/>
    <w:rsid w:val="022278B2"/>
    <w:rsid w:val="02661E94"/>
    <w:rsid w:val="02810A7C"/>
    <w:rsid w:val="0288005D"/>
    <w:rsid w:val="02B20C36"/>
    <w:rsid w:val="02B50726"/>
    <w:rsid w:val="02D87D3E"/>
    <w:rsid w:val="02EC7E74"/>
    <w:rsid w:val="03327FC8"/>
    <w:rsid w:val="03466855"/>
    <w:rsid w:val="03486B27"/>
    <w:rsid w:val="035644BB"/>
    <w:rsid w:val="037C1244"/>
    <w:rsid w:val="039D18E6"/>
    <w:rsid w:val="03A10CAA"/>
    <w:rsid w:val="03A2514E"/>
    <w:rsid w:val="03B57815"/>
    <w:rsid w:val="03B72484"/>
    <w:rsid w:val="03D472D2"/>
    <w:rsid w:val="03E272F9"/>
    <w:rsid w:val="03FB6A30"/>
    <w:rsid w:val="040A094E"/>
    <w:rsid w:val="042518DB"/>
    <w:rsid w:val="047D26D2"/>
    <w:rsid w:val="048C3708"/>
    <w:rsid w:val="049727D9"/>
    <w:rsid w:val="04B54A0D"/>
    <w:rsid w:val="04B771C9"/>
    <w:rsid w:val="04D74983"/>
    <w:rsid w:val="04DC4690"/>
    <w:rsid w:val="04DD2F90"/>
    <w:rsid w:val="04E36C96"/>
    <w:rsid w:val="04EA6DAD"/>
    <w:rsid w:val="05006DAE"/>
    <w:rsid w:val="056800F4"/>
    <w:rsid w:val="056F201D"/>
    <w:rsid w:val="05A0746B"/>
    <w:rsid w:val="05A90B68"/>
    <w:rsid w:val="05B13426"/>
    <w:rsid w:val="05B664D4"/>
    <w:rsid w:val="05C70E9C"/>
    <w:rsid w:val="05F6352F"/>
    <w:rsid w:val="06014716"/>
    <w:rsid w:val="06471FDD"/>
    <w:rsid w:val="06565D7C"/>
    <w:rsid w:val="06677F89"/>
    <w:rsid w:val="06AC1E40"/>
    <w:rsid w:val="06C90C44"/>
    <w:rsid w:val="06DE46EF"/>
    <w:rsid w:val="07076C01"/>
    <w:rsid w:val="071C12AC"/>
    <w:rsid w:val="074C09BA"/>
    <w:rsid w:val="074E231E"/>
    <w:rsid w:val="07612C2A"/>
    <w:rsid w:val="07697D31"/>
    <w:rsid w:val="07A934B3"/>
    <w:rsid w:val="08B15E54"/>
    <w:rsid w:val="08B177D1"/>
    <w:rsid w:val="08B51480"/>
    <w:rsid w:val="08BA6A96"/>
    <w:rsid w:val="08BE0866"/>
    <w:rsid w:val="08C07E24"/>
    <w:rsid w:val="08C77405"/>
    <w:rsid w:val="08DA13A0"/>
    <w:rsid w:val="091837BC"/>
    <w:rsid w:val="0972111F"/>
    <w:rsid w:val="0980799C"/>
    <w:rsid w:val="099C263F"/>
    <w:rsid w:val="099F7A3A"/>
    <w:rsid w:val="09D11FA7"/>
    <w:rsid w:val="09F61D50"/>
    <w:rsid w:val="0A0F6376"/>
    <w:rsid w:val="0A353CEA"/>
    <w:rsid w:val="0A5922DF"/>
    <w:rsid w:val="0A6A18DB"/>
    <w:rsid w:val="0AB94B2B"/>
    <w:rsid w:val="0AD53615"/>
    <w:rsid w:val="0ADD1BA9"/>
    <w:rsid w:val="0AE07845"/>
    <w:rsid w:val="0AE61DC4"/>
    <w:rsid w:val="0AEF3828"/>
    <w:rsid w:val="0AF77D07"/>
    <w:rsid w:val="0B057AEF"/>
    <w:rsid w:val="0B1D50BA"/>
    <w:rsid w:val="0B487B78"/>
    <w:rsid w:val="0B6E5FE8"/>
    <w:rsid w:val="0B84338B"/>
    <w:rsid w:val="0BAC2AF2"/>
    <w:rsid w:val="0BB023D2"/>
    <w:rsid w:val="0BBB665B"/>
    <w:rsid w:val="0BC96ABA"/>
    <w:rsid w:val="0BD336A2"/>
    <w:rsid w:val="0BF00A21"/>
    <w:rsid w:val="0BFC01A3"/>
    <w:rsid w:val="0C05627A"/>
    <w:rsid w:val="0C0B585A"/>
    <w:rsid w:val="0C3D65CA"/>
    <w:rsid w:val="0C566AD6"/>
    <w:rsid w:val="0C590374"/>
    <w:rsid w:val="0CA37841"/>
    <w:rsid w:val="0CB7664E"/>
    <w:rsid w:val="0CCF6888"/>
    <w:rsid w:val="0CEC11E8"/>
    <w:rsid w:val="0D154674"/>
    <w:rsid w:val="0D1C1E0B"/>
    <w:rsid w:val="0D336E17"/>
    <w:rsid w:val="0D4234FE"/>
    <w:rsid w:val="0D4E431D"/>
    <w:rsid w:val="0D5F19BA"/>
    <w:rsid w:val="0DA57240"/>
    <w:rsid w:val="0DAD0977"/>
    <w:rsid w:val="0DC65EDD"/>
    <w:rsid w:val="0DDB277F"/>
    <w:rsid w:val="0E042561"/>
    <w:rsid w:val="0E2826F4"/>
    <w:rsid w:val="0E55371B"/>
    <w:rsid w:val="0E5857DD"/>
    <w:rsid w:val="0E5E74D3"/>
    <w:rsid w:val="0E79794F"/>
    <w:rsid w:val="0E816EC5"/>
    <w:rsid w:val="0E864017"/>
    <w:rsid w:val="0E924011"/>
    <w:rsid w:val="0EA87391"/>
    <w:rsid w:val="0EEA6FC1"/>
    <w:rsid w:val="0EF23960"/>
    <w:rsid w:val="0EF75115"/>
    <w:rsid w:val="0EFA4090"/>
    <w:rsid w:val="0F17479B"/>
    <w:rsid w:val="0F396B78"/>
    <w:rsid w:val="0F6E6D3D"/>
    <w:rsid w:val="0F7D6A6F"/>
    <w:rsid w:val="0F841BAC"/>
    <w:rsid w:val="0F954485"/>
    <w:rsid w:val="0FB87DF5"/>
    <w:rsid w:val="0FBF344F"/>
    <w:rsid w:val="0FC621C4"/>
    <w:rsid w:val="0FDC314E"/>
    <w:rsid w:val="0FE95224"/>
    <w:rsid w:val="1004447E"/>
    <w:rsid w:val="102579CB"/>
    <w:rsid w:val="104A6951"/>
    <w:rsid w:val="10505F32"/>
    <w:rsid w:val="105A27E6"/>
    <w:rsid w:val="105F0804"/>
    <w:rsid w:val="106D43EE"/>
    <w:rsid w:val="10725EA8"/>
    <w:rsid w:val="107324CB"/>
    <w:rsid w:val="10A67900"/>
    <w:rsid w:val="10B82B7E"/>
    <w:rsid w:val="10CB462E"/>
    <w:rsid w:val="10EC17B7"/>
    <w:rsid w:val="112453F4"/>
    <w:rsid w:val="112C4C4A"/>
    <w:rsid w:val="11382C4E"/>
    <w:rsid w:val="11435E26"/>
    <w:rsid w:val="115630D4"/>
    <w:rsid w:val="118E0AC0"/>
    <w:rsid w:val="119B0711"/>
    <w:rsid w:val="11D062EE"/>
    <w:rsid w:val="11D24E50"/>
    <w:rsid w:val="11F01048"/>
    <w:rsid w:val="120C7DE3"/>
    <w:rsid w:val="120D2DE4"/>
    <w:rsid w:val="12197477"/>
    <w:rsid w:val="12200B5E"/>
    <w:rsid w:val="1238653B"/>
    <w:rsid w:val="12521AED"/>
    <w:rsid w:val="12665599"/>
    <w:rsid w:val="12971BF6"/>
    <w:rsid w:val="12972845"/>
    <w:rsid w:val="129A7DEF"/>
    <w:rsid w:val="12A12EEA"/>
    <w:rsid w:val="12B471BD"/>
    <w:rsid w:val="12BE27B4"/>
    <w:rsid w:val="12D06EB6"/>
    <w:rsid w:val="12D50275"/>
    <w:rsid w:val="12D544CC"/>
    <w:rsid w:val="13070551"/>
    <w:rsid w:val="130D399B"/>
    <w:rsid w:val="13182D37"/>
    <w:rsid w:val="131C5AEC"/>
    <w:rsid w:val="1332191F"/>
    <w:rsid w:val="133236CD"/>
    <w:rsid w:val="13587E2C"/>
    <w:rsid w:val="135B2C24"/>
    <w:rsid w:val="13675A6C"/>
    <w:rsid w:val="13983E78"/>
    <w:rsid w:val="13B14F39"/>
    <w:rsid w:val="13C702B9"/>
    <w:rsid w:val="13DE0994"/>
    <w:rsid w:val="13F37300"/>
    <w:rsid w:val="13F84916"/>
    <w:rsid w:val="1413346E"/>
    <w:rsid w:val="141F5D3B"/>
    <w:rsid w:val="14270E79"/>
    <w:rsid w:val="142B4CEC"/>
    <w:rsid w:val="1466407E"/>
    <w:rsid w:val="146D70F1"/>
    <w:rsid w:val="147E16A4"/>
    <w:rsid w:val="14834E28"/>
    <w:rsid w:val="14887A48"/>
    <w:rsid w:val="148E7D65"/>
    <w:rsid w:val="14B46A8F"/>
    <w:rsid w:val="14BB35BA"/>
    <w:rsid w:val="151D4243"/>
    <w:rsid w:val="15231BF9"/>
    <w:rsid w:val="15326E68"/>
    <w:rsid w:val="153674A4"/>
    <w:rsid w:val="153D4CD7"/>
    <w:rsid w:val="15417840"/>
    <w:rsid w:val="15691286"/>
    <w:rsid w:val="1584174B"/>
    <w:rsid w:val="159643E7"/>
    <w:rsid w:val="15A46B04"/>
    <w:rsid w:val="15F51D61"/>
    <w:rsid w:val="163C6781"/>
    <w:rsid w:val="166D2F25"/>
    <w:rsid w:val="16754781"/>
    <w:rsid w:val="16A34589"/>
    <w:rsid w:val="16BF171B"/>
    <w:rsid w:val="1734012D"/>
    <w:rsid w:val="173E2BA8"/>
    <w:rsid w:val="174D5F53"/>
    <w:rsid w:val="17563169"/>
    <w:rsid w:val="17604CAC"/>
    <w:rsid w:val="176A5B87"/>
    <w:rsid w:val="177C760C"/>
    <w:rsid w:val="179F5278"/>
    <w:rsid w:val="17A728DB"/>
    <w:rsid w:val="17CF3BE0"/>
    <w:rsid w:val="17D66D1D"/>
    <w:rsid w:val="17E1094F"/>
    <w:rsid w:val="17F35B20"/>
    <w:rsid w:val="182A7068"/>
    <w:rsid w:val="1833416F"/>
    <w:rsid w:val="184C0317"/>
    <w:rsid w:val="18702CCD"/>
    <w:rsid w:val="18A24E51"/>
    <w:rsid w:val="18B23848"/>
    <w:rsid w:val="18CB084B"/>
    <w:rsid w:val="18ED08AB"/>
    <w:rsid w:val="19397834"/>
    <w:rsid w:val="1948578F"/>
    <w:rsid w:val="19666ACC"/>
    <w:rsid w:val="19BE7B35"/>
    <w:rsid w:val="19DE1DB2"/>
    <w:rsid w:val="19EA6AAF"/>
    <w:rsid w:val="19F734ED"/>
    <w:rsid w:val="1A0C2197"/>
    <w:rsid w:val="1A0E05FD"/>
    <w:rsid w:val="1A2774F9"/>
    <w:rsid w:val="1A3B68AA"/>
    <w:rsid w:val="1A3E1C1E"/>
    <w:rsid w:val="1A516B2E"/>
    <w:rsid w:val="1A6C3968"/>
    <w:rsid w:val="1A840CB2"/>
    <w:rsid w:val="1A9940AD"/>
    <w:rsid w:val="1A9E3253"/>
    <w:rsid w:val="1AC07834"/>
    <w:rsid w:val="1AEB2ADF"/>
    <w:rsid w:val="1B1D634E"/>
    <w:rsid w:val="1B3721C8"/>
    <w:rsid w:val="1B544B28"/>
    <w:rsid w:val="1B747324"/>
    <w:rsid w:val="1BB452D5"/>
    <w:rsid w:val="1BB90E2F"/>
    <w:rsid w:val="1BD619E1"/>
    <w:rsid w:val="1BDC3FB1"/>
    <w:rsid w:val="1BFD6F6E"/>
    <w:rsid w:val="1C141836"/>
    <w:rsid w:val="1C1E39C9"/>
    <w:rsid w:val="1C1F5136"/>
    <w:rsid w:val="1C330BE1"/>
    <w:rsid w:val="1C5841A4"/>
    <w:rsid w:val="1C705992"/>
    <w:rsid w:val="1C713A03"/>
    <w:rsid w:val="1CA76068"/>
    <w:rsid w:val="1CB25FAA"/>
    <w:rsid w:val="1CCE5013"/>
    <w:rsid w:val="1CF33FB1"/>
    <w:rsid w:val="1CF77E61"/>
    <w:rsid w:val="1D1D719C"/>
    <w:rsid w:val="1D1E3640"/>
    <w:rsid w:val="1D216541"/>
    <w:rsid w:val="1D4330A6"/>
    <w:rsid w:val="1D4872E9"/>
    <w:rsid w:val="1D813BCE"/>
    <w:rsid w:val="1D8D6BE8"/>
    <w:rsid w:val="1DB02D9D"/>
    <w:rsid w:val="1DB47B00"/>
    <w:rsid w:val="1DC67833"/>
    <w:rsid w:val="1DD106B2"/>
    <w:rsid w:val="1DDD3AAF"/>
    <w:rsid w:val="1E2E78B2"/>
    <w:rsid w:val="1E4A3FC0"/>
    <w:rsid w:val="1E51534F"/>
    <w:rsid w:val="1E53330A"/>
    <w:rsid w:val="1E5F5593"/>
    <w:rsid w:val="1E6B6A14"/>
    <w:rsid w:val="1E6C3F37"/>
    <w:rsid w:val="1E6F76A4"/>
    <w:rsid w:val="1E805C34"/>
    <w:rsid w:val="1E890F8D"/>
    <w:rsid w:val="1EBA6164"/>
    <w:rsid w:val="1EC32B6A"/>
    <w:rsid w:val="1EE77A61"/>
    <w:rsid w:val="1EE937D9"/>
    <w:rsid w:val="1EFC175F"/>
    <w:rsid w:val="1F0028D1"/>
    <w:rsid w:val="1F1840BF"/>
    <w:rsid w:val="1F5171D1"/>
    <w:rsid w:val="1F703EFB"/>
    <w:rsid w:val="1F7F5EEC"/>
    <w:rsid w:val="1F8359DC"/>
    <w:rsid w:val="1F86611C"/>
    <w:rsid w:val="1F9129E6"/>
    <w:rsid w:val="1FA37E2C"/>
    <w:rsid w:val="1FA47700"/>
    <w:rsid w:val="1FCB7383"/>
    <w:rsid w:val="1FD75D28"/>
    <w:rsid w:val="1FEA5A5B"/>
    <w:rsid w:val="20174376"/>
    <w:rsid w:val="20550D9A"/>
    <w:rsid w:val="20857532"/>
    <w:rsid w:val="20B9542D"/>
    <w:rsid w:val="20F36B91"/>
    <w:rsid w:val="21714B53"/>
    <w:rsid w:val="218B028E"/>
    <w:rsid w:val="218E2416"/>
    <w:rsid w:val="2198776E"/>
    <w:rsid w:val="219D5641"/>
    <w:rsid w:val="21C33D3D"/>
    <w:rsid w:val="21CB5418"/>
    <w:rsid w:val="21E4134F"/>
    <w:rsid w:val="21F20222"/>
    <w:rsid w:val="220628F4"/>
    <w:rsid w:val="22105521"/>
    <w:rsid w:val="22145011"/>
    <w:rsid w:val="221C3EC6"/>
    <w:rsid w:val="22390411"/>
    <w:rsid w:val="224D407F"/>
    <w:rsid w:val="224E718C"/>
    <w:rsid w:val="224F334D"/>
    <w:rsid w:val="226915FE"/>
    <w:rsid w:val="226D1CE6"/>
    <w:rsid w:val="22AF0896"/>
    <w:rsid w:val="22B40B8E"/>
    <w:rsid w:val="22CC1E58"/>
    <w:rsid w:val="22E14C32"/>
    <w:rsid w:val="22F03260"/>
    <w:rsid w:val="22F33859"/>
    <w:rsid w:val="23406563"/>
    <w:rsid w:val="2349376D"/>
    <w:rsid w:val="23831FF5"/>
    <w:rsid w:val="23843AD1"/>
    <w:rsid w:val="238719D6"/>
    <w:rsid w:val="23A423C5"/>
    <w:rsid w:val="23AE2087"/>
    <w:rsid w:val="23F06E26"/>
    <w:rsid w:val="23FB65EB"/>
    <w:rsid w:val="24082954"/>
    <w:rsid w:val="24172B97"/>
    <w:rsid w:val="2418246B"/>
    <w:rsid w:val="242552B4"/>
    <w:rsid w:val="244A2F6C"/>
    <w:rsid w:val="24883A94"/>
    <w:rsid w:val="24967F5F"/>
    <w:rsid w:val="24B97929"/>
    <w:rsid w:val="24BA2895"/>
    <w:rsid w:val="2520252D"/>
    <w:rsid w:val="25585215"/>
    <w:rsid w:val="259811BE"/>
    <w:rsid w:val="25A74283"/>
    <w:rsid w:val="25D85F35"/>
    <w:rsid w:val="25DC7BF4"/>
    <w:rsid w:val="25DD571A"/>
    <w:rsid w:val="25E44CFA"/>
    <w:rsid w:val="25FB5532"/>
    <w:rsid w:val="260D24A3"/>
    <w:rsid w:val="26163BC1"/>
    <w:rsid w:val="26263565"/>
    <w:rsid w:val="262A4E03"/>
    <w:rsid w:val="263B66B8"/>
    <w:rsid w:val="26604277"/>
    <w:rsid w:val="267E57F4"/>
    <w:rsid w:val="26CB0BA0"/>
    <w:rsid w:val="26CD1C32"/>
    <w:rsid w:val="26D46B1D"/>
    <w:rsid w:val="26F7280B"/>
    <w:rsid w:val="270A0791"/>
    <w:rsid w:val="27221F7E"/>
    <w:rsid w:val="27886455"/>
    <w:rsid w:val="27AB1F74"/>
    <w:rsid w:val="27C44DE4"/>
    <w:rsid w:val="27C70430"/>
    <w:rsid w:val="27C941A8"/>
    <w:rsid w:val="27FC457D"/>
    <w:rsid w:val="285F40CA"/>
    <w:rsid w:val="28712CB3"/>
    <w:rsid w:val="28846321"/>
    <w:rsid w:val="28B05368"/>
    <w:rsid w:val="28C01ECB"/>
    <w:rsid w:val="28EC3ECC"/>
    <w:rsid w:val="29233D8C"/>
    <w:rsid w:val="2983667C"/>
    <w:rsid w:val="29BA46F0"/>
    <w:rsid w:val="29BF71E3"/>
    <w:rsid w:val="29D15596"/>
    <w:rsid w:val="29DA067B"/>
    <w:rsid w:val="29EC0622"/>
    <w:rsid w:val="29F31B73"/>
    <w:rsid w:val="29F51284"/>
    <w:rsid w:val="2A064107"/>
    <w:rsid w:val="2A1262DA"/>
    <w:rsid w:val="2A127B63"/>
    <w:rsid w:val="2A3F0751"/>
    <w:rsid w:val="2A41096D"/>
    <w:rsid w:val="2A536497"/>
    <w:rsid w:val="2A720B27"/>
    <w:rsid w:val="2A7F27ED"/>
    <w:rsid w:val="2A8F792B"/>
    <w:rsid w:val="2AA8279A"/>
    <w:rsid w:val="2AAA4765"/>
    <w:rsid w:val="2AAF5EB5"/>
    <w:rsid w:val="2AB32EED"/>
    <w:rsid w:val="2ABC48AC"/>
    <w:rsid w:val="2AC21606"/>
    <w:rsid w:val="2ADC367D"/>
    <w:rsid w:val="2AEF3F25"/>
    <w:rsid w:val="2AF63C5E"/>
    <w:rsid w:val="2AFA0B1C"/>
    <w:rsid w:val="2B19248A"/>
    <w:rsid w:val="2B2C517A"/>
    <w:rsid w:val="2B2E3048"/>
    <w:rsid w:val="2B7E7608"/>
    <w:rsid w:val="2B7F04E9"/>
    <w:rsid w:val="2BBA1A67"/>
    <w:rsid w:val="2BDD46C6"/>
    <w:rsid w:val="2BE75544"/>
    <w:rsid w:val="2C02412C"/>
    <w:rsid w:val="2C305555"/>
    <w:rsid w:val="2C406A34"/>
    <w:rsid w:val="2C477D91"/>
    <w:rsid w:val="2C66290D"/>
    <w:rsid w:val="2C6B7FFF"/>
    <w:rsid w:val="2C8F37CB"/>
    <w:rsid w:val="2C903B14"/>
    <w:rsid w:val="2C907580"/>
    <w:rsid w:val="2C9A21B9"/>
    <w:rsid w:val="2C9C00DD"/>
    <w:rsid w:val="2CA70DC9"/>
    <w:rsid w:val="2CC601A2"/>
    <w:rsid w:val="2CE20523"/>
    <w:rsid w:val="2CE43832"/>
    <w:rsid w:val="2D085772"/>
    <w:rsid w:val="2D496D68"/>
    <w:rsid w:val="2D4F6EFD"/>
    <w:rsid w:val="2D7B23E8"/>
    <w:rsid w:val="2D88240F"/>
    <w:rsid w:val="2D9A7FBB"/>
    <w:rsid w:val="2D9C4911"/>
    <w:rsid w:val="2DA059AB"/>
    <w:rsid w:val="2DCE2518"/>
    <w:rsid w:val="2DFB0E33"/>
    <w:rsid w:val="2E0F48DF"/>
    <w:rsid w:val="2E19750B"/>
    <w:rsid w:val="2E6609A2"/>
    <w:rsid w:val="2E6672CB"/>
    <w:rsid w:val="2E7A48DE"/>
    <w:rsid w:val="2EDC3ED8"/>
    <w:rsid w:val="2EE67D35"/>
    <w:rsid w:val="2EED2E72"/>
    <w:rsid w:val="2EF04710"/>
    <w:rsid w:val="2F1321AD"/>
    <w:rsid w:val="2F2D046C"/>
    <w:rsid w:val="2F5B5A43"/>
    <w:rsid w:val="2F6351B4"/>
    <w:rsid w:val="2F7B1AD6"/>
    <w:rsid w:val="2FA554FB"/>
    <w:rsid w:val="2FA63021"/>
    <w:rsid w:val="2FAA2B11"/>
    <w:rsid w:val="2FAA48BF"/>
    <w:rsid w:val="2FB92D54"/>
    <w:rsid w:val="2FCF199E"/>
    <w:rsid w:val="2FFD70E5"/>
    <w:rsid w:val="30027430"/>
    <w:rsid w:val="30422D49"/>
    <w:rsid w:val="30483E83"/>
    <w:rsid w:val="30A74659"/>
    <w:rsid w:val="30AA0E97"/>
    <w:rsid w:val="30DD6F16"/>
    <w:rsid w:val="30F71D86"/>
    <w:rsid w:val="30FA018F"/>
    <w:rsid w:val="313905F0"/>
    <w:rsid w:val="31480833"/>
    <w:rsid w:val="318D6246"/>
    <w:rsid w:val="31AF440F"/>
    <w:rsid w:val="31B9703B"/>
    <w:rsid w:val="31BB2DB3"/>
    <w:rsid w:val="31DB5204"/>
    <w:rsid w:val="31E16592"/>
    <w:rsid w:val="31EC7411"/>
    <w:rsid w:val="31FB560C"/>
    <w:rsid w:val="32193F7E"/>
    <w:rsid w:val="323679B1"/>
    <w:rsid w:val="326C3C50"/>
    <w:rsid w:val="327F64D7"/>
    <w:rsid w:val="327F7066"/>
    <w:rsid w:val="32D35509"/>
    <w:rsid w:val="33022C64"/>
    <w:rsid w:val="330A0480"/>
    <w:rsid w:val="334E4CD8"/>
    <w:rsid w:val="33B95A18"/>
    <w:rsid w:val="33CB74FA"/>
    <w:rsid w:val="33DC5263"/>
    <w:rsid w:val="33EE1C04"/>
    <w:rsid w:val="341E587B"/>
    <w:rsid w:val="343C0775"/>
    <w:rsid w:val="34762628"/>
    <w:rsid w:val="347F27BE"/>
    <w:rsid w:val="34936269"/>
    <w:rsid w:val="34AA76A9"/>
    <w:rsid w:val="34C06933"/>
    <w:rsid w:val="356C50EC"/>
    <w:rsid w:val="357B08F4"/>
    <w:rsid w:val="35887450"/>
    <w:rsid w:val="35B5220F"/>
    <w:rsid w:val="35D5640E"/>
    <w:rsid w:val="35D94150"/>
    <w:rsid w:val="360D5BA8"/>
    <w:rsid w:val="361108CD"/>
    <w:rsid w:val="366753DC"/>
    <w:rsid w:val="36701E43"/>
    <w:rsid w:val="36721EAF"/>
    <w:rsid w:val="368D53CF"/>
    <w:rsid w:val="36A94A04"/>
    <w:rsid w:val="36D067BB"/>
    <w:rsid w:val="36FA437E"/>
    <w:rsid w:val="3700166C"/>
    <w:rsid w:val="3727617F"/>
    <w:rsid w:val="375969FE"/>
    <w:rsid w:val="377C4333"/>
    <w:rsid w:val="37EF1A09"/>
    <w:rsid w:val="37FE221A"/>
    <w:rsid w:val="38694EE9"/>
    <w:rsid w:val="38735A0D"/>
    <w:rsid w:val="38883C0B"/>
    <w:rsid w:val="391D4DBE"/>
    <w:rsid w:val="391F631E"/>
    <w:rsid w:val="39205BF2"/>
    <w:rsid w:val="395064D7"/>
    <w:rsid w:val="39552058"/>
    <w:rsid w:val="395E08E9"/>
    <w:rsid w:val="39754190"/>
    <w:rsid w:val="39B70553"/>
    <w:rsid w:val="39CE1AF2"/>
    <w:rsid w:val="3A1C285D"/>
    <w:rsid w:val="3A4724A4"/>
    <w:rsid w:val="3A5A5133"/>
    <w:rsid w:val="3A833CEA"/>
    <w:rsid w:val="3A8920C9"/>
    <w:rsid w:val="3AA46459"/>
    <w:rsid w:val="3B1B48C3"/>
    <w:rsid w:val="3B21605C"/>
    <w:rsid w:val="3B365CC9"/>
    <w:rsid w:val="3B384E25"/>
    <w:rsid w:val="3B7D37CF"/>
    <w:rsid w:val="3B8701AA"/>
    <w:rsid w:val="3B96663F"/>
    <w:rsid w:val="3B9A7B88"/>
    <w:rsid w:val="3BB110B2"/>
    <w:rsid w:val="3BC114FF"/>
    <w:rsid w:val="3BFB3CDC"/>
    <w:rsid w:val="3C14387D"/>
    <w:rsid w:val="3C2660C6"/>
    <w:rsid w:val="3C664263"/>
    <w:rsid w:val="3CA932D1"/>
    <w:rsid w:val="3CD948F5"/>
    <w:rsid w:val="3D0C0967"/>
    <w:rsid w:val="3D193084"/>
    <w:rsid w:val="3D2637DD"/>
    <w:rsid w:val="3D2C7AC8"/>
    <w:rsid w:val="3D5A3DC8"/>
    <w:rsid w:val="3D657141"/>
    <w:rsid w:val="3D762955"/>
    <w:rsid w:val="3D7E2419"/>
    <w:rsid w:val="3D855D12"/>
    <w:rsid w:val="3D860968"/>
    <w:rsid w:val="3D8B42FF"/>
    <w:rsid w:val="3D8C02DD"/>
    <w:rsid w:val="3DC20089"/>
    <w:rsid w:val="3DE47B36"/>
    <w:rsid w:val="3DE7502E"/>
    <w:rsid w:val="3DF36A6E"/>
    <w:rsid w:val="3DF40091"/>
    <w:rsid w:val="3E2C4BE1"/>
    <w:rsid w:val="3E42660A"/>
    <w:rsid w:val="3E5C76CC"/>
    <w:rsid w:val="3E6738C1"/>
    <w:rsid w:val="3E676891"/>
    <w:rsid w:val="3EC15781"/>
    <w:rsid w:val="3EC3774B"/>
    <w:rsid w:val="3EFB0C93"/>
    <w:rsid w:val="3F1138E1"/>
    <w:rsid w:val="3F19639E"/>
    <w:rsid w:val="3F1E2BD3"/>
    <w:rsid w:val="3F217143"/>
    <w:rsid w:val="3F473ED8"/>
    <w:rsid w:val="3F620D12"/>
    <w:rsid w:val="3F792F1E"/>
    <w:rsid w:val="3F903A5F"/>
    <w:rsid w:val="3FAE3F57"/>
    <w:rsid w:val="3FE67B95"/>
    <w:rsid w:val="3FF12096"/>
    <w:rsid w:val="3FFD6C8D"/>
    <w:rsid w:val="40056037"/>
    <w:rsid w:val="400C5122"/>
    <w:rsid w:val="4012777A"/>
    <w:rsid w:val="40824826"/>
    <w:rsid w:val="40B27A77"/>
    <w:rsid w:val="40BF21D1"/>
    <w:rsid w:val="40E63923"/>
    <w:rsid w:val="40F36F47"/>
    <w:rsid w:val="40FD4018"/>
    <w:rsid w:val="41326E0A"/>
    <w:rsid w:val="415C79E3"/>
    <w:rsid w:val="416A0352"/>
    <w:rsid w:val="419F7014"/>
    <w:rsid w:val="41AB7285"/>
    <w:rsid w:val="41B11ADD"/>
    <w:rsid w:val="41BF72A0"/>
    <w:rsid w:val="41D812A1"/>
    <w:rsid w:val="421B33FA"/>
    <w:rsid w:val="421E6D3F"/>
    <w:rsid w:val="423544BC"/>
    <w:rsid w:val="423A7D24"/>
    <w:rsid w:val="428B4A24"/>
    <w:rsid w:val="429A4C67"/>
    <w:rsid w:val="42AE7254"/>
    <w:rsid w:val="42B443F4"/>
    <w:rsid w:val="42B54B4C"/>
    <w:rsid w:val="42B71375"/>
    <w:rsid w:val="42F43FD4"/>
    <w:rsid w:val="432509D4"/>
    <w:rsid w:val="43486471"/>
    <w:rsid w:val="435B2648"/>
    <w:rsid w:val="43884ABF"/>
    <w:rsid w:val="43A91E5B"/>
    <w:rsid w:val="43AF258B"/>
    <w:rsid w:val="43C65CEF"/>
    <w:rsid w:val="440A59C8"/>
    <w:rsid w:val="443B699C"/>
    <w:rsid w:val="44496945"/>
    <w:rsid w:val="4467501D"/>
    <w:rsid w:val="44804307"/>
    <w:rsid w:val="449776B0"/>
    <w:rsid w:val="44A17BEF"/>
    <w:rsid w:val="44BC3308"/>
    <w:rsid w:val="44C91833"/>
    <w:rsid w:val="44F87390"/>
    <w:rsid w:val="45010FCD"/>
    <w:rsid w:val="454223F1"/>
    <w:rsid w:val="455A06DD"/>
    <w:rsid w:val="4562065D"/>
    <w:rsid w:val="457C0654"/>
    <w:rsid w:val="45A73923"/>
    <w:rsid w:val="45B150B1"/>
    <w:rsid w:val="45BA48DB"/>
    <w:rsid w:val="45CF64FF"/>
    <w:rsid w:val="45FF375F"/>
    <w:rsid w:val="4618037D"/>
    <w:rsid w:val="46366A55"/>
    <w:rsid w:val="463A3650"/>
    <w:rsid w:val="463B050F"/>
    <w:rsid w:val="465E7E41"/>
    <w:rsid w:val="4670640B"/>
    <w:rsid w:val="46794B93"/>
    <w:rsid w:val="469F0116"/>
    <w:rsid w:val="46B502C1"/>
    <w:rsid w:val="46BA58D8"/>
    <w:rsid w:val="46BA7686"/>
    <w:rsid w:val="46E464B1"/>
    <w:rsid w:val="46F67293"/>
    <w:rsid w:val="471F127F"/>
    <w:rsid w:val="475259B7"/>
    <w:rsid w:val="475F1FDB"/>
    <w:rsid w:val="4770243A"/>
    <w:rsid w:val="4786426F"/>
    <w:rsid w:val="47943513"/>
    <w:rsid w:val="47A143A2"/>
    <w:rsid w:val="47C562E2"/>
    <w:rsid w:val="47D06A35"/>
    <w:rsid w:val="47F768EB"/>
    <w:rsid w:val="483C19AD"/>
    <w:rsid w:val="484658EF"/>
    <w:rsid w:val="48831CF9"/>
    <w:rsid w:val="489E4954"/>
    <w:rsid w:val="48A074BC"/>
    <w:rsid w:val="48D553B1"/>
    <w:rsid w:val="48DA400F"/>
    <w:rsid w:val="4908245F"/>
    <w:rsid w:val="493059DD"/>
    <w:rsid w:val="49566D69"/>
    <w:rsid w:val="495B2572"/>
    <w:rsid w:val="4989333F"/>
    <w:rsid w:val="499E328F"/>
    <w:rsid w:val="49A165B8"/>
    <w:rsid w:val="49AF3823"/>
    <w:rsid w:val="49B1408D"/>
    <w:rsid w:val="49CE55E8"/>
    <w:rsid w:val="49E50BF2"/>
    <w:rsid w:val="49ED20A7"/>
    <w:rsid w:val="4A1D0657"/>
    <w:rsid w:val="4A503882"/>
    <w:rsid w:val="4A642260"/>
    <w:rsid w:val="4A7D37EE"/>
    <w:rsid w:val="4A7D4FD2"/>
    <w:rsid w:val="4A913C9A"/>
    <w:rsid w:val="4AA04DE4"/>
    <w:rsid w:val="4AA46683"/>
    <w:rsid w:val="4AA523FB"/>
    <w:rsid w:val="4ACC3E2B"/>
    <w:rsid w:val="4AE22D2F"/>
    <w:rsid w:val="4AE611A0"/>
    <w:rsid w:val="4AFB201B"/>
    <w:rsid w:val="4B1F5B47"/>
    <w:rsid w:val="4B1F62B5"/>
    <w:rsid w:val="4B1F70AC"/>
    <w:rsid w:val="4B240F94"/>
    <w:rsid w:val="4B386AE5"/>
    <w:rsid w:val="4B474E94"/>
    <w:rsid w:val="4B553E21"/>
    <w:rsid w:val="4B774E60"/>
    <w:rsid w:val="4B810772"/>
    <w:rsid w:val="4BA75287"/>
    <w:rsid w:val="4BD10964"/>
    <w:rsid w:val="4BE17463"/>
    <w:rsid w:val="4BEA27BB"/>
    <w:rsid w:val="4BED70D6"/>
    <w:rsid w:val="4C264E5A"/>
    <w:rsid w:val="4C3B3017"/>
    <w:rsid w:val="4C3C565C"/>
    <w:rsid w:val="4C475CA7"/>
    <w:rsid w:val="4C76404F"/>
    <w:rsid w:val="4C7C718B"/>
    <w:rsid w:val="4C8C247F"/>
    <w:rsid w:val="4CCC79C7"/>
    <w:rsid w:val="4CD86AB8"/>
    <w:rsid w:val="4D135D42"/>
    <w:rsid w:val="4D551EB6"/>
    <w:rsid w:val="4D7555C7"/>
    <w:rsid w:val="4D761E2D"/>
    <w:rsid w:val="4D7F0CE1"/>
    <w:rsid w:val="4D9F1383"/>
    <w:rsid w:val="4DAB41CC"/>
    <w:rsid w:val="4DB82445"/>
    <w:rsid w:val="4DC64B62"/>
    <w:rsid w:val="4DE4323A"/>
    <w:rsid w:val="4DF07E31"/>
    <w:rsid w:val="4DF53699"/>
    <w:rsid w:val="4E025E2A"/>
    <w:rsid w:val="4E3F600C"/>
    <w:rsid w:val="4E410A31"/>
    <w:rsid w:val="4E7E62F6"/>
    <w:rsid w:val="4EA824BA"/>
    <w:rsid w:val="4EAE6DA0"/>
    <w:rsid w:val="4EC45545"/>
    <w:rsid w:val="4EC46966"/>
    <w:rsid w:val="4EFB4CDF"/>
    <w:rsid w:val="4F1418FD"/>
    <w:rsid w:val="4F4026F2"/>
    <w:rsid w:val="4F652159"/>
    <w:rsid w:val="4F754A92"/>
    <w:rsid w:val="4F934E4D"/>
    <w:rsid w:val="4FCC3F86"/>
    <w:rsid w:val="4FD037EF"/>
    <w:rsid w:val="5016514B"/>
    <w:rsid w:val="502857C7"/>
    <w:rsid w:val="502A762A"/>
    <w:rsid w:val="503264DF"/>
    <w:rsid w:val="50476D3D"/>
    <w:rsid w:val="506A3ECB"/>
    <w:rsid w:val="507408A5"/>
    <w:rsid w:val="50827466"/>
    <w:rsid w:val="508B47E9"/>
    <w:rsid w:val="50970A38"/>
    <w:rsid w:val="50B74C36"/>
    <w:rsid w:val="50D70E34"/>
    <w:rsid w:val="50FE4613"/>
    <w:rsid w:val="511659A4"/>
    <w:rsid w:val="513242BC"/>
    <w:rsid w:val="513444D8"/>
    <w:rsid w:val="51387C20"/>
    <w:rsid w:val="51493AE0"/>
    <w:rsid w:val="516B49A4"/>
    <w:rsid w:val="51A30E13"/>
    <w:rsid w:val="51C465B9"/>
    <w:rsid w:val="51CB1C78"/>
    <w:rsid w:val="51E732F9"/>
    <w:rsid w:val="51FD6A51"/>
    <w:rsid w:val="52304CA0"/>
    <w:rsid w:val="523227C6"/>
    <w:rsid w:val="5245699D"/>
    <w:rsid w:val="52592449"/>
    <w:rsid w:val="526B680A"/>
    <w:rsid w:val="52952D55"/>
    <w:rsid w:val="52AF2069"/>
    <w:rsid w:val="52B92EE7"/>
    <w:rsid w:val="52E565D0"/>
    <w:rsid w:val="52EA30A1"/>
    <w:rsid w:val="53105470"/>
    <w:rsid w:val="53150D15"/>
    <w:rsid w:val="53250E4F"/>
    <w:rsid w:val="5352083E"/>
    <w:rsid w:val="53650979"/>
    <w:rsid w:val="537D4124"/>
    <w:rsid w:val="539B3EAD"/>
    <w:rsid w:val="541A5D30"/>
    <w:rsid w:val="54817A35"/>
    <w:rsid w:val="549239F0"/>
    <w:rsid w:val="54A83213"/>
    <w:rsid w:val="54B6421E"/>
    <w:rsid w:val="54BA4CF5"/>
    <w:rsid w:val="54D33D77"/>
    <w:rsid w:val="54EA6AA5"/>
    <w:rsid w:val="54F55D2D"/>
    <w:rsid w:val="54FC355F"/>
    <w:rsid w:val="54FE4BE1"/>
    <w:rsid w:val="55110DB9"/>
    <w:rsid w:val="55287EB0"/>
    <w:rsid w:val="552B174F"/>
    <w:rsid w:val="55392A77"/>
    <w:rsid w:val="553E632F"/>
    <w:rsid w:val="55480552"/>
    <w:rsid w:val="555E7D76"/>
    <w:rsid w:val="55F068CD"/>
    <w:rsid w:val="56085F72"/>
    <w:rsid w:val="56431446"/>
    <w:rsid w:val="56442F77"/>
    <w:rsid w:val="5647080A"/>
    <w:rsid w:val="56494937"/>
    <w:rsid w:val="56576C9F"/>
    <w:rsid w:val="56635CD9"/>
    <w:rsid w:val="566C3136"/>
    <w:rsid w:val="566F4E48"/>
    <w:rsid w:val="568D04F2"/>
    <w:rsid w:val="56AD68BF"/>
    <w:rsid w:val="56BD217A"/>
    <w:rsid w:val="56EA7B13"/>
    <w:rsid w:val="571921A6"/>
    <w:rsid w:val="57201787"/>
    <w:rsid w:val="57603931"/>
    <w:rsid w:val="57770C7B"/>
    <w:rsid w:val="577E46FF"/>
    <w:rsid w:val="579637F7"/>
    <w:rsid w:val="57AF6667"/>
    <w:rsid w:val="57B3200D"/>
    <w:rsid w:val="57BB1298"/>
    <w:rsid w:val="57D42C12"/>
    <w:rsid w:val="57F87BFC"/>
    <w:rsid w:val="580D371C"/>
    <w:rsid w:val="58150BC0"/>
    <w:rsid w:val="582708F3"/>
    <w:rsid w:val="58693734"/>
    <w:rsid w:val="588D6DD7"/>
    <w:rsid w:val="588E0972"/>
    <w:rsid w:val="58BD236E"/>
    <w:rsid w:val="5919249F"/>
    <w:rsid w:val="5923464B"/>
    <w:rsid w:val="59246BE1"/>
    <w:rsid w:val="592503CD"/>
    <w:rsid w:val="592D6A4E"/>
    <w:rsid w:val="59372DB8"/>
    <w:rsid w:val="595474C6"/>
    <w:rsid w:val="596A0A97"/>
    <w:rsid w:val="59871F22"/>
    <w:rsid w:val="598F33C1"/>
    <w:rsid w:val="59971F55"/>
    <w:rsid w:val="59FA242A"/>
    <w:rsid w:val="59FE5684"/>
    <w:rsid w:val="5A272E2C"/>
    <w:rsid w:val="5A290952"/>
    <w:rsid w:val="5A3C31FC"/>
    <w:rsid w:val="5A3F0176"/>
    <w:rsid w:val="5A526582"/>
    <w:rsid w:val="5A5C6F3F"/>
    <w:rsid w:val="5A5F5C77"/>
    <w:rsid w:val="5A76346C"/>
    <w:rsid w:val="5A7A7400"/>
    <w:rsid w:val="5A801613"/>
    <w:rsid w:val="5A9B264C"/>
    <w:rsid w:val="5AA61FA3"/>
    <w:rsid w:val="5AC661A1"/>
    <w:rsid w:val="5AE20B01"/>
    <w:rsid w:val="5AF400FB"/>
    <w:rsid w:val="5B5A324E"/>
    <w:rsid w:val="5B5F11CE"/>
    <w:rsid w:val="5B7A2D2A"/>
    <w:rsid w:val="5BAF30D9"/>
    <w:rsid w:val="5BBE39CD"/>
    <w:rsid w:val="5BC11A60"/>
    <w:rsid w:val="5BD82844"/>
    <w:rsid w:val="5C142F3C"/>
    <w:rsid w:val="5C4C26D6"/>
    <w:rsid w:val="5C603AE6"/>
    <w:rsid w:val="5C6B0413"/>
    <w:rsid w:val="5C7A4D54"/>
    <w:rsid w:val="5C7D6D34"/>
    <w:rsid w:val="5CBC120F"/>
    <w:rsid w:val="5CD23B73"/>
    <w:rsid w:val="5CD5091E"/>
    <w:rsid w:val="5D1F603D"/>
    <w:rsid w:val="5D3F4EC1"/>
    <w:rsid w:val="5D6121B1"/>
    <w:rsid w:val="5D69550A"/>
    <w:rsid w:val="5D9C143B"/>
    <w:rsid w:val="5DA64647"/>
    <w:rsid w:val="5DB56D8D"/>
    <w:rsid w:val="5DC619D5"/>
    <w:rsid w:val="5DD961EC"/>
    <w:rsid w:val="5DDB01B6"/>
    <w:rsid w:val="5DDE30AB"/>
    <w:rsid w:val="5E4F4700"/>
    <w:rsid w:val="5EB17168"/>
    <w:rsid w:val="5EF85ED4"/>
    <w:rsid w:val="5EFB03E4"/>
    <w:rsid w:val="5EFC4888"/>
    <w:rsid w:val="5F127819"/>
    <w:rsid w:val="5F3B334F"/>
    <w:rsid w:val="5F416AD5"/>
    <w:rsid w:val="5F443B39"/>
    <w:rsid w:val="5F63752A"/>
    <w:rsid w:val="5F78088A"/>
    <w:rsid w:val="5F84662B"/>
    <w:rsid w:val="5FA56CCD"/>
    <w:rsid w:val="5FBC3C39"/>
    <w:rsid w:val="5FBE38EB"/>
    <w:rsid w:val="5FF466EA"/>
    <w:rsid w:val="5FFE462F"/>
    <w:rsid w:val="600C3474"/>
    <w:rsid w:val="6054424F"/>
    <w:rsid w:val="60956D42"/>
    <w:rsid w:val="609E54CA"/>
    <w:rsid w:val="60E25095"/>
    <w:rsid w:val="60F1503F"/>
    <w:rsid w:val="60FB3D82"/>
    <w:rsid w:val="61025188"/>
    <w:rsid w:val="61057D5F"/>
    <w:rsid w:val="611D2893"/>
    <w:rsid w:val="6137242E"/>
    <w:rsid w:val="614D4977"/>
    <w:rsid w:val="617670F5"/>
    <w:rsid w:val="617F70AA"/>
    <w:rsid w:val="618A490E"/>
    <w:rsid w:val="619964DB"/>
    <w:rsid w:val="61CB22EF"/>
    <w:rsid w:val="61CD42B9"/>
    <w:rsid w:val="6224009F"/>
    <w:rsid w:val="623F3C58"/>
    <w:rsid w:val="62516C98"/>
    <w:rsid w:val="62571DD5"/>
    <w:rsid w:val="62685DCB"/>
    <w:rsid w:val="627B3D15"/>
    <w:rsid w:val="62A52B40"/>
    <w:rsid w:val="62C37C92"/>
    <w:rsid w:val="62D034A2"/>
    <w:rsid w:val="62D460A8"/>
    <w:rsid w:val="62D578C9"/>
    <w:rsid w:val="630E2DDB"/>
    <w:rsid w:val="631101D6"/>
    <w:rsid w:val="631F7BF8"/>
    <w:rsid w:val="635A392B"/>
    <w:rsid w:val="63C60FC0"/>
    <w:rsid w:val="63CF256B"/>
    <w:rsid w:val="63E61662"/>
    <w:rsid w:val="63FE2FD4"/>
    <w:rsid w:val="6402419A"/>
    <w:rsid w:val="64033FC2"/>
    <w:rsid w:val="64117FAB"/>
    <w:rsid w:val="641461CF"/>
    <w:rsid w:val="641A006D"/>
    <w:rsid w:val="642D55A9"/>
    <w:rsid w:val="643F0D73"/>
    <w:rsid w:val="645C36D2"/>
    <w:rsid w:val="646A2293"/>
    <w:rsid w:val="646B505F"/>
    <w:rsid w:val="647540C9"/>
    <w:rsid w:val="647803AE"/>
    <w:rsid w:val="64816785"/>
    <w:rsid w:val="648D3BB0"/>
    <w:rsid w:val="64963088"/>
    <w:rsid w:val="649E1F3D"/>
    <w:rsid w:val="64BA3D7A"/>
    <w:rsid w:val="64F179BC"/>
    <w:rsid w:val="6509385A"/>
    <w:rsid w:val="65222B6E"/>
    <w:rsid w:val="65273CE0"/>
    <w:rsid w:val="653F54CE"/>
    <w:rsid w:val="65636E69"/>
    <w:rsid w:val="65650D00"/>
    <w:rsid w:val="65A92947"/>
    <w:rsid w:val="65C94C55"/>
    <w:rsid w:val="65CE0600"/>
    <w:rsid w:val="665704D3"/>
    <w:rsid w:val="66660838"/>
    <w:rsid w:val="6686712D"/>
    <w:rsid w:val="669E4476"/>
    <w:rsid w:val="66BD7ED9"/>
    <w:rsid w:val="66EE1F4E"/>
    <w:rsid w:val="66F2031E"/>
    <w:rsid w:val="670B14F0"/>
    <w:rsid w:val="671E1113"/>
    <w:rsid w:val="673148E2"/>
    <w:rsid w:val="675445CD"/>
    <w:rsid w:val="67851192"/>
    <w:rsid w:val="67BD293C"/>
    <w:rsid w:val="67C065A4"/>
    <w:rsid w:val="67D04DBA"/>
    <w:rsid w:val="67D359C9"/>
    <w:rsid w:val="67F13C92"/>
    <w:rsid w:val="68242759"/>
    <w:rsid w:val="685748DD"/>
    <w:rsid w:val="68607DBB"/>
    <w:rsid w:val="6865349E"/>
    <w:rsid w:val="68BA4E6C"/>
    <w:rsid w:val="68D6231D"/>
    <w:rsid w:val="68F93BE6"/>
    <w:rsid w:val="68FE36DD"/>
    <w:rsid w:val="690129BE"/>
    <w:rsid w:val="694E60FC"/>
    <w:rsid w:val="694F7CAA"/>
    <w:rsid w:val="695D23C7"/>
    <w:rsid w:val="69643755"/>
    <w:rsid w:val="69AD360D"/>
    <w:rsid w:val="69C81DCE"/>
    <w:rsid w:val="69CA13F4"/>
    <w:rsid w:val="69D07420"/>
    <w:rsid w:val="69E91EAC"/>
    <w:rsid w:val="69EF4042"/>
    <w:rsid w:val="6A022F6E"/>
    <w:rsid w:val="6A025EBD"/>
    <w:rsid w:val="6A1143FF"/>
    <w:rsid w:val="6A1A0F4D"/>
    <w:rsid w:val="6A2B4273"/>
    <w:rsid w:val="6A3038AE"/>
    <w:rsid w:val="6A3C1FDC"/>
    <w:rsid w:val="6A5F554C"/>
    <w:rsid w:val="6A681023"/>
    <w:rsid w:val="6A7C687C"/>
    <w:rsid w:val="6A9679C4"/>
    <w:rsid w:val="6AC80207"/>
    <w:rsid w:val="6AD93CCF"/>
    <w:rsid w:val="6ADF0EEB"/>
    <w:rsid w:val="6B10467C"/>
    <w:rsid w:val="6B2D401B"/>
    <w:rsid w:val="6B482C03"/>
    <w:rsid w:val="6B773B50"/>
    <w:rsid w:val="6B99345E"/>
    <w:rsid w:val="6BC54253"/>
    <w:rsid w:val="6BC73622"/>
    <w:rsid w:val="6BF670AD"/>
    <w:rsid w:val="6C0B726A"/>
    <w:rsid w:val="6C0C59DE"/>
    <w:rsid w:val="6C133381"/>
    <w:rsid w:val="6C410A63"/>
    <w:rsid w:val="6C4A35E0"/>
    <w:rsid w:val="6C4E4249"/>
    <w:rsid w:val="6C671521"/>
    <w:rsid w:val="6C675CE6"/>
    <w:rsid w:val="6C700663"/>
    <w:rsid w:val="6C7D2D3C"/>
    <w:rsid w:val="6C895281"/>
    <w:rsid w:val="6CA94E0B"/>
    <w:rsid w:val="6CE158BA"/>
    <w:rsid w:val="6CEF35AF"/>
    <w:rsid w:val="6CF272CA"/>
    <w:rsid w:val="6CF672D1"/>
    <w:rsid w:val="6CFA2A47"/>
    <w:rsid w:val="6CFE7A1D"/>
    <w:rsid w:val="6D25144D"/>
    <w:rsid w:val="6D4573FA"/>
    <w:rsid w:val="6D4F4321"/>
    <w:rsid w:val="6D54783A"/>
    <w:rsid w:val="6D793547"/>
    <w:rsid w:val="6D8F2D6B"/>
    <w:rsid w:val="6DE95E22"/>
    <w:rsid w:val="6DFF7360"/>
    <w:rsid w:val="6E1264AD"/>
    <w:rsid w:val="6E3D6323"/>
    <w:rsid w:val="6E3E3ABC"/>
    <w:rsid w:val="6E737F96"/>
    <w:rsid w:val="6E7A5F73"/>
    <w:rsid w:val="6E82467D"/>
    <w:rsid w:val="6E890338"/>
    <w:rsid w:val="6EC96F5A"/>
    <w:rsid w:val="6EDC453B"/>
    <w:rsid w:val="6EEF1D13"/>
    <w:rsid w:val="6F086931"/>
    <w:rsid w:val="6F1B2B08"/>
    <w:rsid w:val="6F2B0871"/>
    <w:rsid w:val="6F2E3798"/>
    <w:rsid w:val="6F5C0AC0"/>
    <w:rsid w:val="6F63625D"/>
    <w:rsid w:val="6F7044D6"/>
    <w:rsid w:val="6F857F81"/>
    <w:rsid w:val="6F8B7B20"/>
    <w:rsid w:val="6FD73643"/>
    <w:rsid w:val="6FD74228"/>
    <w:rsid w:val="7003534A"/>
    <w:rsid w:val="700A0487"/>
    <w:rsid w:val="70187047"/>
    <w:rsid w:val="701C1F22"/>
    <w:rsid w:val="702B124D"/>
    <w:rsid w:val="7055204A"/>
    <w:rsid w:val="706032E0"/>
    <w:rsid w:val="70B825D8"/>
    <w:rsid w:val="70C431ED"/>
    <w:rsid w:val="70F76C5D"/>
    <w:rsid w:val="70F829D5"/>
    <w:rsid w:val="70FE5EDF"/>
    <w:rsid w:val="71025602"/>
    <w:rsid w:val="71120675"/>
    <w:rsid w:val="711C2B67"/>
    <w:rsid w:val="711D243B"/>
    <w:rsid w:val="711D41EA"/>
    <w:rsid w:val="71213150"/>
    <w:rsid w:val="71267542"/>
    <w:rsid w:val="712A5284"/>
    <w:rsid w:val="71633091"/>
    <w:rsid w:val="71812492"/>
    <w:rsid w:val="718D75C1"/>
    <w:rsid w:val="71A60683"/>
    <w:rsid w:val="71A87F57"/>
    <w:rsid w:val="71AC18C9"/>
    <w:rsid w:val="71B5509D"/>
    <w:rsid w:val="71D00463"/>
    <w:rsid w:val="71D22FAF"/>
    <w:rsid w:val="71D7083C"/>
    <w:rsid w:val="71FE04BF"/>
    <w:rsid w:val="72077982"/>
    <w:rsid w:val="72350A93"/>
    <w:rsid w:val="72435ED2"/>
    <w:rsid w:val="725E7BFA"/>
    <w:rsid w:val="72620A4E"/>
    <w:rsid w:val="726522EC"/>
    <w:rsid w:val="72693B8A"/>
    <w:rsid w:val="72B64083"/>
    <w:rsid w:val="72F35B4A"/>
    <w:rsid w:val="72F5541E"/>
    <w:rsid w:val="72FE4FC5"/>
    <w:rsid w:val="73081CA5"/>
    <w:rsid w:val="73306456"/>
    <w:rsid w:val="736305DA"/>
    <w:rsid w:val="737F73DD"/>
    <w:rsid w:val="73832A2A"/>
    <w:rsid w:val="73B15AAE"/>
    <w:rsid w:val="73BC031A"/>
    <w:rsid w:val="73CB43D1"/>
    <w:rsid w:val="73CC1052"/>
    <w:rsid w:val="73EF00BF"/>
    <w:rsid w:val="73F2195D"/>
    <w:rsid w:val="73F676A0"/>
    <w:rsid w:val="740873D3"/>
    <w:rsid w:val="7420471D"/>
    <w:rsid w:val="744C72C0"/>
    <w:rsid w:val="74545B7C"/>
    <w:rsid w:val="747D56CB"/>
    <w:rsid w:val="7487762D"/>
    <w:rsid w:val="749F2380"/>
    <w:rsid w:val="74C0380A"/>
    <w:rsid w:val="75385498"/>
    <w:rsid w:val="75596138"/>
    <w:rsid w:val="75C37A55"/>
    <w:rsid w:val="762027B2"/>
    <w:rsid w:val="7662296E"/>
    <w:rsid w:val="766D79C1"/>
    <w:rsid w:val="766F5B43"/>
    <w:rsid w:val="768014A2"/>
    <w:rsid w:val="769962BD"/>
    <w:rsid w:val="76A71125"/>
    <w:rsid w:val="76B92C06"/>
    <w:rsid w:val="76BC207F"/>
    <w:rsid w:val="76DB492B"/>
    <w:rsid w:val="76EB4904"/>
    <w:rsid w:val="76FD0D45"/>
    <w:rsid w:val="77212C85"/>
    <w:rsid w:val="775D17E4"/>
    <w:rsid w:val="775D3592"/>
    <w:rsid w:val="77664B3C"/>
    <w:rsid w:val="777378F5"/>
    <w:rsid w:val="777A2D3C"/>
    <w:rsid w:val="778F2F2F"/>
    <w:rsid w:val="779A2A38"/>
    <w:rsid w:val="77A47C68"/>
    <w:rsid w:val="77B41AFA"/>
    <w:rsid w:val="77D01FB6"/>
    <w:rsid w:val="77D7644A"/>
    <w:rsid w:val="77F9150C"/>
    <w:rsid w:val="780B56E4"/>
    <w:rsid w:val="781E78C9"/>
    <w:rsid w:val="783562BD"/>
    <w:rsid w:val="7851759A"/>
    <w:rsid w:val="785250C1"/>
    <w:rsid w:val="78537BEA"/>
    <w:rsid w:val="78586E35"/>
    <w:rsid w:val="78713799"/>
    <w:rsid w:val="787B0173"/>
    <w:rsid w:val="78B11DE7"/>
    <w:rsid w:val="78B123B4"/>
    <w:rsid w:val="78C0202A"/>
    <w:rsid w:val="78D43D28"/>
    <w:rsid w:val="78DB6E64"/>
    <w:rsid w:val="78FB12B4"/>
    <w:rsid w:val="79074B81"/>
    <w:rsid w:val="794F0939"/>
    <w:rsid w:val="7955459F"/>
    <w:rsid w:val="79AF0FCA"/>
    <w:rsid w:val="79B853F7"/>
    <w:rsid w:val="79EF2560"/>
    <w:rsid w:val="7A1E3EC5"/>
    <w:rsid w:val="7A272363"/>
    <w:rsid w:val="7A3F7BFB"/>
    <w:rsid w:val="7A5B64AE"/>
    <w:rsid w:val="7A5F20A1"/>
    <w:rsid w:val="7A772BBC"/>
    <w:rsid w:val="7A903C7E"/>
    <w:rsid w:val="7AE2272C"/>
    <w:rsid w:val="7AEC5358"/>
    <w:rsid w:val="7AF9279C"/>
    <w:rsid w:val="7B226FCC"/>
    <w:rsid w:val="7B7F441F"/>
    <w:rsid w:val="7B98103C"/>
    <w:rsid w:val="7BAF1E48"/>
    <w:rsid w:val="7BB776A4"/>
    <w:rsid w:val="7BB840B1"/>
    <w:rsid w:val="7BC9569A"/>
    <w:rsid w:val="7BE67FFA"/>
    <w:rsid w:val="7BF0147A"/>
    <w:rsid w:val="7C2823C0"/>
    <w:rsid w:val="7C333FF5"/>
    <w:rsid w:val="7C39281F"/>
    <w:rsid w:val="7C4804C1"/>
    <w:rsid w:val="7C4C3414"/>
    <w:rsid w:val="7C653614"/>
    <w:rsid w:val="7C6F7FEF"/>
    <w:rsid w:val="7C7171B7"/>
    <w:rsid w:val="7C9E2682"/>
    <w:rsid w:val="7CA63DDC"/>
    <w:rsid w:val="7CAE3B15"/>
    <w:rsid w:val="7CBA3A3F"/>
    <w:rsid w:val="7CBB3234"/>
    <w:rsid w:val="7CC51958"/>
    <w:rsid w:val="7CCA189C"/>
    <w:rsid w:val="7CE00EED"/>
    <w:rsid w:val="7CEC40B6"/>
    <w:rsid w:val="7D2E5047"/>
    <w:rsid w:val="7D2E7EAA"/>
    <w:rsid w:val="7D4D49B8"/>
    <w:rsid w:val="7D666903"/>
    <w:rsid w:val="7D726BC1"/>
    <w:rsid w:val="7DC51E91"/>
    <w:rsid w:val="7DCF4ABD"/>
    <w:rsid w:val="7DD30A52"/>
    <w:rsid w:val="7DDF2F52"/>
    <w:rsid w:val="7DE247F1"/>
    <w:rsid w:val="7DF612B7"/>
    <w:rsid w:val="7E064983"/>
    <w:rsid w:val="7E156974"/>
    <w:rsid w:val="7E2936C3"/>
    <w:rsid w:val="7E2E365C"/>
    <w:rsid w:val="7E3037AE"/>
    <w:rsid w:val="7E4234E1"/>
    <w:rsid w:val="7E6411B9"/>
    <w:rsid w:val="7E6C330C"/>
    <w:rsid w:val="7E751B09"/>
    <w:rsid w:val="7E7960D8"/>
    <w:rsid w:val="7EBA4B37"/>
    <w:rsid w:val="7EC42148"/>
    <w:rsid w:val="7F0569E9"/>
    <w:rsid w:val="7F58348A"/>
    <w:rsid w:val="7F721BA4"/>
    <w:rsid w:val="7F9F0D72"/>
    <w:rsid w:val="7FBA5A25"/>
    <w:rsid w:val="7FC06DB4"/>
    <w:rsid w:val="7FD23434"/>
    <w:rsid w:val="7FE8721A"/>
    <w:rsid w:val="7FE934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qFormat="1" w:unhideWhenUsed="0" w:uiPriority="39" w:semiHidden="0"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8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95"/>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7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75"/>
    <w:qFormat/>
    <w:uiPriority w:val="0"/>
    <w:pPr>
      <w:keepNext/>
      <w:keepLines/>
      <w:spacing w:before="280" w:after="290" w:line="376" w:lineRule="auto"/>
      <w:outlineLvl w:val="3"/>
    </w:pPr>
    <w:rPr>
      <w:b/>
      <w:bCs/>
      <w:sz w:val="28"/>
      <w:szCs w:val="28"/>
    </w:rPr>
  </w:style>
  <w:style w:type="paragraph" w:styleId="6">
    <w:name w:val="heading 5"/>
    <w:basedOn w:val="1"/>
    <w:next w:val="1"/>
    <w:unhideWhenUsed/>
    <w:qFormat/>
    <w:uiPriority w:val="0"/>
    <w:pPr>
      <w:keepNext/>
      <w:keepLines/>
      <w:spacing w:before="280" w:after="290" w:line="376" w:lineRule="auto"/>
      <w:outlineLvl w:val="4"/>
    </w:pPr>
    <w:rPr>
      <w:b/>
      <w:bCs/>
      <w:sz w:val="28"/>
      <w:szCs w:val="28"/>
    </w:rPr>
  </w:style>
  <w:style w:type="paragraph" w:styleId="7">
    <w:name w:val="heading 6"/>
    <w:basedOn w:val="1"/>
    <w:next w:val="1"/>
    <w:unhideWhenUsed/>
    <w:qFormat/>
    <w:uiPriority w:val="0"/>
    <w:pPr>
      <w:keepNext/>
      <w:keepLines/>
      <w:spacing w:before="240" w:after="64" w:line="320" w:lineRule="auto"/>
      <w:outlineLvl w:val="5"/>
    </w:pPr>
    <w:rPr>
      <w:rFonts w:ascii="等线 Light" w:hAnsi="等线 Light" w:eastAsia="等线 Light" w:cs="Times New Roman"/>
      <w:b/>
      <w:bCs/>
      <w:sz w:val="24"/>
      <w:szCs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qFormat/>
    <w:uiPriority w:val="39"/>
    <w:pPr>
      <w:ind w:left="1260"/>
      <w:jc w:val="left"/>
    </w:pPr>
    <w:rPr>
      <w:sz w:val="18"/>
      <w:szCs w:val="18"/>
    </w:rPr>
  </w:style>
  <w:style w:type="paragraph" w:styleId="9">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10">
    <w:name w:val="caption"/>
    <w:basedOn w:val="1"/>
    <w:next w:val="1"/>
    <w:qFormat/>
    <w:uiPriority w:val="99"/>
    <w:pPr>
      <w:spacing w:after="120"/>
      <w:jc w:val="center"/>
    </w:pPr>
    <w:rPr>
      <w:rFonts w:ascii="Times New Roman" w:hAnsi="Times New Roman" w:eastAsia="黑体"/>
      <w:b/>
      <w:sz w:val="24"/>
    </w:rPr>
  </w:style>
  <w:style w:type="paragraph" w:styleId="11">
    <w:name w:val="Document Map"/>
    <w:basedOn w:val="1"/>
    <w:next w:val="1"/>
    <w:qFormat/>
    <w:uiPriority w:val="0"/>
    <w:rPr>
      <w:rFonts w:ascii="宋体" w:hAnsi="Times New Roman" w:eastAsia="宋体" w:cs="Times New Roman"/>
      <w:sz w:val="18"/>
      <w:szCs w:val="18"/>
    </w:rPr>
  </w:style>
  <w:style w:type="paragraph" w:styleId="12">
    <w:name w:val="annotation text"/>
    <w:basedOn w:val="1"/>
    <w:link w:val="67"/>
    <w:qFormat/>
    <w:uiPriority w:val="0"/>
    <w:pPr>
      <w:jc w:val="left"/>
    </w:pPr>
    <w:rPr>
      <w:rFonts w:ascii="Arial" w:hAnsi="Arial" w:eastAsia="黑体" w:cs="Arial"/>
    </w:rPr>
  </w:style>
  <w:style w:type="paragraph" w:styleId="13">
    <w:name w:val="Body Text"/>
    <w:basedOn w:val="1"/>
    <w:qFormat/>
    <w:uiPriority w:val="0"/>
    <w:pPr>
      <w:spacing w:after="120"/>
    </w:pPr>
    <w:rPr>
      <w:rFonts w:ascii="@微软简标宋" w:hAnsi="@微软简标宋" w:eastAsia="@微软简标宋" w:cs="@微软简标宋"/>
      <w:szCs w:val="24"/>
      <w:lang w:val="zh-CN"/>
    </w:rPr>
  </w:style>
  <w:style w:type="paragraph" w:styleId="14">
    <w:name w:val="Body Text Indent"/>
    <w:basedOn w:val="1"/>
    <w:next w:val="15"/>
    <w:qFormat/>
    <w:uiPriority w:val="0"/>
    <w:pPr>
      <w:spacing w:after="120"/>
      <w:ind w:left="200" w:leftChars="200"/>
    </w:pPr>
  </w:style>
  <w:style w:type="paragraph" w:styleId="15">
    <w:name w:val="envelope return"/>
    <w:basedOn w:val="1"/>
    <w:next w:val="8"/>
    <w:qFormat/>
    <w:uiPriority w:val="0"/>
    <w:pPr>
      <w:snapToGrid w:val="0"/>
    </w:pPr>
    <w:rPr>
      <w:rFonts w:ascii="Arial" w:hAnsi="Arial"/>
    </w:rPr>
  </w:style>
  <w:style w:type="paragraph" w:styleId="16">
    <w:name w:val="List 2"/>
    <w:basedOn w:val="1"/>
    <w:qFormat/>
    <w:uiPriority w:val="0"/>
    <w:pPr>
      <w:ind w:left="100" w:leftChars="200" w:hanging="200" w:hangingChars="200"/>
    </w:pPr>
  </w:style>
  <w:style w:type="paragraph" w:styleId="17">
    <w:name w:val="Block Text"/>
    <w:basedOn w:val="1"/>
    <w:qFormat/>
    <w:uiPriority w:val="0"/>
    <w:rPr>
      <w:rFonts w:eastAsia="宋体"/>
    </w:rPr>
  </w:style>
  <w:style w:type="paragraph" w:styleId="18">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9">
    <w:name w:val="Plain Text"/>
    <w:basedOn w:val="1"/>
    <w:link w:val="57"/>
    <w:qFormat/>
    <w:uiPriority w:val="99"/>
    <w:rPr>
      <w:rFonts w:ascii="宋体" w:hAnsi="Courier New" w:eastAsiaTheme="minorEastAsia" w:cstheme="minorBidi"/>
      <w:szCs w:val="22"/>
    </w:rPr>
  </w:style>
  <w:style w:type="paragraph" w:styleId="20">
    <w:name w:val="toc 8"/>
    <w:basedOn w:val="1"/>
    <w:next w:val="1"/>
    <w:qFormat/>
    <w:uiPriority w:val="39"/>
    <w:pPr>
      <w:ind w:left="1470"/>
      <w:jc w:val="left"/>
    </w:pPr>
    <w:rPr>
      <w:rFonts w:ascii="Times New Roman" w:hAnsi="Times New Roman"/>
      <w:sz w:val="18"/>
      <w:szCs w:val="18"/>
    </w:rPr>
  </w:style>
  <w:style w:type="paragraph" w:styleId="21">
    <w:name w:val="Date"/>
    <w:basedOn w:val="1"/>
    <w:next w:val="1"/>
    <w:link w:val="64"/>
    <w:qFormat/>
    <w:uiPriority w:val="0"/>
    <w:rPr>
      <w:rFonts w:ascii="Arial" w:hAnsi="Arial" w:eastAsia="宋体" w:cs="Arial"/>
      <w:b/>
      <w:sz w:val="28"/>
    </w:rPr>
  </w:style>
  <w:style w:type="paragraph" w:styleId="22">
    <w:name w:val="Balloon Text"/>
    <w:basedOn w:val="1"/>
    <w:link w:val="51"/>
    <w:semiHidden/>
    <w:unhideWhenUsed/>
    <w:qFormat/>
    <w:uiPriority w:val="99"/>
    <w:rPr>
      <w:sz w:val="18"/>
      <w:szCs w:val="18"/>
    </w:rPr>
  </w:style>
  <w:style w:type="paragraph" w:styleId="23">
    <w:name w:val="footer"/>
    <w:basedOn w:val="1"/>
    <w:link w:val="56"/>
    <w:unhideWhenUsed/>
    <w:qFormat/>
    <w:uiPriority w:val="99"/>
    <w:pPr>
      <w:tabs>
        <w:tab w:val="center" w:pos="4153"/>
        <w:tab w:val="right" w:pos="8306"/>
      </w:tabs>
      <w:snapToGrid w:val="0"/>
      <w:jc w:val="left"/>
    </w:pPr>
    <w:rPr>
      <w:sz w:val="18"/>
      <w:szCs w:val="18"/>
    </w:rPr>
  </w:style>
  <w:style w:type="paragraph" w:styleId="24">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6">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7">
    <w:name w:val="Body Text 2"/>
    <w:basedOn w:val="1"/>
    <w:autoRedefine/>
    <w:unhideWhenUsed/>
    <w:qFormat/>
    <w:uiPriority w:val="99"/>
    <w:pPr>
      <w:spacing w:after="120" w:line="480" w:lineRule="auto"/>
    </w:pPr>
  </w:style>
  <w:style w:type="paragraph" w:styleId="28">
    <w:name w:val="Normal (Web)"/>
    <w:basedOn w:val="1"/>
    <w:autoRedefine/>
    <w:qFormat/>
    <w:uiPriority w:val="0"/>
    <w:pPr>
      <w:spacing w:before="100" w:beforeAutospacing="1" w:after="100" w:afterAutospacing="1"/>
      <w:jc w:val="left"/>
    </w:pPr>
    <w:rPr>
      <w:rFonts w:cs="Times New Roman"/>
      <w:kern w:val="0"/>
      <w:sz w:val="24"/>
    </w:rPr>
  </w:style>
  <w:style w:type="paragraph" w:styleId="29">
    <w:name w:val="index 1"/>
    <w:basedOn w:val="1"/>
    <w:next w:val="1"/>
    <w:autoRedefine/>
    <w:qFormat/>
    <w:uiPriority w:val="0"/>
    <w:pPr>
      <w:jc w:val="center"/>
    </w:pPr>
    <w:rPr>
      <w:rFonts w:ascii="Arial" w:hAnsi="Arial" w:eastAsia="Arial" w:cs="Arial"/>
      <w:b/>
      <w:bCs/>
      <w:sz w:val="28"/>
    </w:rPr>
  </w:style>
  <w:style w:type="paragraph" w:styleId="30">
    <w:name w:val="annotation subject"/>
    <w:basedOn w:val="12"/>
    <w:next w:val="12"/>
    <w:link w:val="78"/>
    <w:autoRedefine/>
    <w:semiHidden/>
    <w:unhideWhenUsed/>
    <w:qFormat/>
    <w:uiPriority w:val="99"/>
    <w:rPr>
      <w:rFonts w:ascii="@仿宋_GB2312" w:hAnsi="@仿宋_GB2312" w:eastAsia="@仿宋_GB2312" w:cs="@仿宋_GB2312"/>
      <w:b/>
      <w:bCs/>
    </w:rPr>
  </w:style>
  <w:style w:type="paragraph" w:styleId="31">
    <w:name w:val="Body Text First Indent"/>
    <w:basedOn w:val="13"/>
    <w:autoRedefine/>
    <w:unhideWhenUsed/>
    <w:qFormat/>
    <w:uiPriority w:val="99"/>
    <w:pPr>
      <w:ind w:firstLine="420" w:firstLineChars="100"/>
    </w:pPr>
  </w:style>
  <w:style w:type="paragraph" w:styleId="32">
    <w:name w:val="Body Text First Indent 2"/>
    <w:basedOn w:val="14"/>
    <w:next w:val="1"/>
    <w:autoRedefine/>
    <w:qFormat/>
    <w:uiPriority w:val="0"/>
    <w:pPr>
      <w:ind w:left="0" w:leftChars="0" w:firstLine="420" w:firstLineChars="200"/>
    </w:pPr>
  </w:style>
  <w:style w:type="table" w:styleId="34">
    <w:name w:val="Table Grid"/>
    <w:basedOn w:val="33"/>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rPr>
  </w:style>
  <w:style w:type="character" w:styleId="37">
    <w:name w:val="FollowedHyperlink"/>
    <w:basedOn w:val="35"/>
    <w:autoRedefine/>
    <w:semiHidden/>
    <w:unhideWhenUsed/>
    <w:qFormat/>
    <w:uiPriority w:val="99"/>
    <w:rPr>
      <w:color w:val="5C5C5C"/>
      <w:u w:val="none"/>
    </w:rPr>
  </w:style>
  <w:style w:type="character" w:styleId="38">
    <w:name w:val="Emphasis"/>
    <w:basedOn w:val="35"/>
    <w:autoRedefine/>
    <w:qFormat/>
    <w:uiPriority w:val="20"/>
    <w:rPr>
      <w:b/>
      <w:bCs/>
    </w:rPr>
  </w:style>
  <w:style w:type="character" w:styleId="39">
    <w:name w:val="HTML Definition"/>
    <w:basedOn w:val="35"/>
    <w:autoRedefine/>
    <w:semiHidden/>
    <w:unhideWhenUsed/>
    <w:qFormat/>
    <w:uiPriority w:val="99"/>
  </w:style>
  <w:style w:type="character" w:styleId="40">
    <w:name w:val="HTML Typewriter"/>
    <w:basedOn w:val="35"/>
    <w:autoRedefine/>
    <w:semiHidden/>
    <w:unhideWhenUsed/>
    <w:qFormat/>
    <w:uiPriority w:val="99"/>
    <w:rPr>
      <w:rFonts w:hint="default" w:ascii="monospace" w:hAnsi="monospace" w:eastAsia="monospace" w:cs="monospace"/>
      <w:sz w:val="20"/>
    </w:rPr>
  </w:style>
  <w:style w:type="character" w:styleId="41">
    <w:name w:val="HTML Acronym"/>
    <w:basedOn w:val="35"/>
    <w:autoRedefine/>
    <w:semiHidden/>
    <w:unhideWhenUsed/>
    <w:qFormat/>
    <w:uiPriority w:val="99"/>
    <w:rPr>
      <w:rFonts w:ascii="ActionIcon ! important" w:hAnsi="ActionIcon ! important" w:eastAsia="ActionIcon ! important" w:cs="ActionIcon ! important"/>
      <w:color w:val="D6D6D6"/>
      <w:sz w:val="24"/>
      <w:szCs w:val="24"/>
    </w:rPr>
  </w:style>
  <w:style w:type="character" w:styleId="42">
    <w:name w:val="HTML Variable"/>
    <w:basedOn w:val="35"/>
    <w:autoRedefine/>
    <w:semiHidden/>
    <w:unhideWhenUsed/>
    <w:qFormat/>
    <w:uiPriority w:val="99"/>
  </w:style>
  <w:style w:type="character" w:styleId="43">
    <w:name w:val="Hyperlink"/>
    <w:basedOn w:val="35"/>
    <w:autoRedefine/>
    <w:unhideWhenUsed/>
    <w:qFormat/>
    <w:uiPriority w:val="99"/>
    <w:rPr>
      <w:color w:val="0000FF" w:themeColor="hyperlink"/>
      <w:u w:val="single"/>
      <w14:textFill>
        <w14:solidFill>
          <w14:schemeClr w14:val="hlink"/>
        </w14:solidFill>
      </w14:textFill>
    </w:rPr>
  </w:style>
  <w:style w:type="character" w:styleId="44">
    <w:name w:val="HTML Code"/>
    <w:basedOn w:val="35"/>
    <w:autoRedefine/>
    <w:semiHidden/>
    <w:unhideWhenUsed/>
    <w:qFormat/>
    <w:uiPriority w:val="99"/>
    <w:rPr>
      <w:rFonts w:hint="default" w:ascii="monospace" w:hAnsi="monospace" w:eastAsia="monospace" w:cs="monospace"/>
      <w:sz w:val="20"/>
    </w:rPr>
  </w:style>
  <w:style w:type="character" w:styleId="45">
    <w:name w:val="annotation reference"/>
    <w:basedOn w:val="35"/>
    <w:autoRedefine/>
    <w:semiHidden/>
    <w:unhideWhenUsed/>
    <w:qFormat/>
    <w:uiPriority w:val="99"/>
    <w:rPr>
      <w:sz w:val="21"/>
      <w:szCs w:val="21"/>
    </w:rPr>
  </w:style>
  <w:style w:type="character" w:styleId="46">
    <w:name w:val="HTML Cite"/>
    <w:basedOn w:val="35"/>
    <w:autoRedefine/>
    <w:semiHidden/>
    <w:unhideWhenUsed/>
    <w:qFormat/>
    <w:uiPriority w:val="99"/>
  </w:style>
  <w:style w:type="character" w:styleId="47">
    <w:name w:val="HTML Keyboard"/>
    <w:basedOn w:val="35"/>
    <w:autoRedefine/>
    <w:semiHidden/>
    <w:unhideWhenUsed/>
    <w:qFormat/>
    <w:uiPriority w:val="99"/>
    <w:rPr>
      <w:rFonts w:ascii="monospace" w:hAnsi="monospace" w:eastAsia="monospace" w:cs="monospace"/>
      <w:sz w:val="20"/>
    </w:rPr>
  </w:style>
  <w:style w:type="character" w:styleId="48">
    <w:name w:val="HTML Sample"/>
    <w:basedOn w:val="35"/>
    <w:autoRedefine/>
    <w:semiHidden/>
    <w:unhideWhenUsed/>
    <w:qFormat/>
    <w:uiPriority w:val="99"/>
    <w:rPr>
      <w:rFonts w:hint="default" w:ascii="monospace" w:hAnsi="monospace" w:eastAsia="monospace" w:cs="monospace"/>
    </w:rPr>
  </w:style>
  <w:style w:type="paragraph" w:customStyle="1" w:styleId="49">
    <w:name w:val="_Style 2"/>
    <w:basedOn w:val="2"/>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50">
    <w:name w:val="正文文字 8"/>
    <w:basedOn w:val="1"/>
    <w:next w:val="1"/>
    <w:autoRedefine/>
    <w:qFormat/>
    <w:uiPriority w:val="0"/>
    <w:pPr>
      <w:ind w:left="240"/>
    </w:pPr>
    <w:rPr>
      <w:sz w:val="16"/>
    </w:rPr>
  </w:style>
  <w:style w:type="character" w:customStyle="1" w:styleId="51">
    <w:name w:val="批注框文本 Char"/>
    <w:basedOn w:val="35"/>
    <w:link w:val="22"/>
    <w:autoRedefine/>
    <w:semiHidden/>
    <w:qFormat/>
    <w:uiPriority w:val="99"/>
    <w:rPr>
      <w:rFonts w:ascii="@仿宋_GB2312" w:hAnsi="@仿宋_GB2312" w:eastAsia="@仿宋_GB2312" w:cs="@仿宋_GB2312"/>
      <w:sz w:val="18"/>
      <w:szCs w:val="18"/>
    </w:rPr>
  </w:style>
  <w:style w:type="paragraph" w:customStyle="1" w:styleId="52">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53">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54">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55">
    <w:name w:val="页眉 Char"/>
    <w:basedOn w:val="35"/>
    <w:link w:val="24"/>
    <w:autoRedefine/>
    <w:qFormat/>
    <w:uiPriority w:val="99"/>
    <w:rPr>
      <w:rFonts w:ascii="@仿宋_GB2312" w:hAnsi="@仿宋_GB2312" w:eastAsia="@仿宋_GB2312" w:cs="@仿宋_GB2312"/>
      <w:sz w:val="18"/>
      <w:szCs w:val="18"/>
    </w:rPr>
  </w:style>
  <w:style w:type="character" w:customStyle="1" w:styleId="56">
    <w:name w:val="页脚 Char"/>
    <w:basedOn w:val="35"/>
    <w:link w:val="23"/>
    <w:autoRedefine/>
    <w:qFormat/>
    <w:uiPriority w:val="99"/>
    <w:rPr>
      <w:rFonts w:ascii="@仿宋_GB2312" w:hAnsi="@仿宋_GB2312" w:eastAsia="@仿宋_GB2312" w:cs="@仿宋_GB2312"/>
      <w:sz w:val="18"/>
      <w:szCs w:val="18"/>
    </w:rPr>
  </w:style>
  <w:style w:type="character" w:customStyle="1" w:styleId="57">
    <w:name w:val="纯文本 Char"/>
    <w:link w:val="19"/>
    <w:autoRedefine/>
    <w:qFormat/>
    <w:uiPriority w:val="0"/>
    <w:rPr>
      <w:rFonts w:ascii="宋体" w:hAnsi="Courier New"/>
    </w:rPr>
  </w:style>
  <w:style w:type="character" w:customStyle="1" w:styleId="58">
    <w:name w:val="纯文本 字符1"/>
    <w:basedOn w:val="35"/>
    <w:autoRedefine/>
    <w:semiHidden/>
    <w:qFormat/>
    <w:uiPriority w:val="99"/>
    <w:rPr>
      <w:rFonts w:hAnsi="Courier New" w:cs="Courier New" w:asciiTheme="minorEastAsia"/>
      <w:szCs w:val="20"/>
    </w:rPr>
  </w:style>
  <w:style w:type="character" w:customStyle="1" w:styleId="59">
    <w:name w:val="未处理的提及1"/>
    <w:basedOn w:val="35"/>
    <w:autoRedefine/>
    <w:semiHidden/>
    <w:unhideWhenUsed/>
    <w:qFormat/>
    <w:uiPriority w:val="99"/>
    <w:rPr>
      <w:color w:val="605E5C"/>
      <w:shd w:val="clear" w:color="auto" w:fill="E1DFDD"/>
    </w:rPr>
  </w:style>
  <w:style w:type="paragraph" w:styleId="60">
    <w:name w:val="List Paragraph"/>
    <w:basedOn w:val="1"/>
    <w:autoRedefine/>
    <w:qFormat/>
    <w:uiPriority w:val="34"/>
    <w:pPr>
      <w:ind w:firstLine="420" w:firstLineChars="200"/>
    </w:pPr>
  </w:style>
  <w:style w:type="paragraph" w:customStyle="1" w:styleId="61">
    <w:name w:val="Char Char Char Char Char Char Char1 Char"/>
    <w:basedOn w:val="1"/>
    <w:autoRedefine/>
    <w:qFormat/>
    <w:uiPriority w:val="0"/>
    <w:rPr>
      <w:rFonts w:ascii="Arial" w:hAnsi="Arial" w:eastAsia="宋体" w:cs="Arial"/>
      <w:sz w:val="24"/>
    </w:rPr>
  </w:style>
  <w:style w:type="table" w:customStyle="1" w:styleId="62">
    <w:name w:val="网格表 1 浅色1"/>
    <w:basedOn w:val="33"/>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63">
    <w:name w:val="日期 字符"/>
    <w:basedOn w:val="35"/>
    <w:autoRedefine/>
    <w:semiHidden/>
    <w:qFormat/>
    <w:uiPriority w:val="99"/>
    <w:rPr>
      <w:rFonts w:ascii="@仿宋_GB2312" w:hAnsi="@仿宋_GB2312" w:eastAsia="@仿宋_GB2312" w:cs="@仿宋_GB2312"/>
      <w:szCs w:val="20"/>
    </w:rPr>
  </w:style>
  <w:style w:type="character" w:customStyle="1" w:styleId="64">
    <w:name w:val="日期 Char"/>
    <w:link w:val="21"/>
    <w:autoRedefine/>
    <w:qFormat/>
    <w:uiPriority w:val="0"/>
    <w:rPr>
      <w:rFonts w:ascii="Arial" w:hAnsi="Arial" w:eastAsia="宋体" w:cs="Arial"/>
      <w:b/>
      <w:sz w:val="28"/>
      <w:szCs w:val="20"/>
    </w:rPr>
  </w:style>
  <w:style w:type="character" w:customStyle="1" w:styleId="65">
    <w:name w:val="纯文本 Char1"/>
    <w:autoRedefine/>
    <w:qFormat/>
    <w:locked/>
    <w:uiPriority w:val="99"/>
    <w:rPr>
      <w:rFonts w:ascii="Arial" w:hAnsi="Arial" w:eastAsia="Arial"/>
      <w:kern w:val="2"/>
      <w:sz w:val="21"/>
      <w:lang w:val="en-US" w:eastAsia="zh-CN" w:bidi="ar-SA"/>
    </w:rPr>
  </w:style>
  <w:style w:type="character" w:customStyle="1" w:styleId="66">
    <w:name w:val="批注文字 Char"/>
    <w:basedOn w:val="35"/>
    <w:autoRedefine/>
    <w:semiHidden/>
    <w:qFormat/>
    <w:uiPriority w:val="99"/>
    <w:rPr>
      <w:rFonts w:ascii="@仿宋_GB2312" w:hAnsi="@仿宋_GB2312" w:eastAsia="@仿宋_GB2312" w:cs="@仿宋_GB2312"/>
      <w:szCs w:val="20"/>
    </w:rPr>
  </w:style>
  <w:style w:type="character" w:customStyle="1" w:styleId="67">
    <w:name w:val="批注文字 Char1"/>
    <w:link w:val="12"/>
    <w:autoRedefine/>
    <w:qFormat/>
    <w:uiPriority w:val="0"/>
    <w:rPr>
      <w:rFonts w:ascii="Arial" w:hAnsi="Arial" w:eastAsia="黑体" w:cs="Arial"/>
      <w:szCs w:val="20"/>
    </w:rPr>
  </w:style>
  <w:style w:type="character" w:customStyle="1" w:styleId="68">
    <w:name w:val="标题 1 Char"/>
    <w:basedOn w:val="35"/>
    <w:autoRedefine/>
    <w:qFormat/>
    <w:uiPriority w:val="9"/>
    <w:rPr>
      <w:rFonts w:ascii="@仿宋_GB2312" w:hAnsi="@仿宋_GB2312" w:eastAsia="@仿宋_GB2312" w:cs="@仿宋_GB2312"/>
      <w:b/>
      <w:bCs/>
      <w:kern w:val="44"/>
      <w:sz w:val="44"/>
      <w:szCs w:val="44"/>
    </w:rPr>
  </w:style>
  <w:style w:type="paragraph" w:customStyle="1" w:styleId="69">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70">
    <w:name w:val="标题 3 Char"/>
    <w:basedOn w:val="35"/>
    <w:link w:val="4"/>
    <w:autoRedefine/>
    <w:semiHidden/>
    <w:qFormat/>
    <w:uiPriority w:val="9"/>
    <w:rPr>
      <w:rFonts w:ascii="@仿宋_GB2312" w:hAnsi="@仿宋_GB2312" w:eastAsia="@仿宋_GB2312" w:cs="@仿宋_GB2312"/>
      <w:b/>
      <w:bCs/>
      <w:sz w:val="32"/>
      <w:szCs w:val="32"/>
    </w:rPr>
  </w:style>
  <w:style w:type="character" w:customStyle="1" w:styleId="71">
    <w:name w:val="fontstyle01"/>
    <w:basedOn w:val="35"/>
    <w:autoRedefine/>
    <w:qFormat/>
    <w:uiPriority w:val="0"/>
    <w:rPr>
      <w:rFonts w:hint="eastAsia" w:ascii="宋体" w:hAnsi="宋体" w:eastAsia="宋体"/>
      <w:color w:val="000000"/>
      <w:sz w:val="22"/>
      <w:szCs w:val="22"/>
    </w:rPr>
  </w:style>
  <w:style w:type="character" w:customStyle="1" w:styleId="72">
    <w:name w:val="fontstyle21"/>
    <w:basedOn w:val="35"/>
    <w:autoRedefine/>
    <w:qFormat/>
    <w:uiPriority w:val="0"/>
    <w:rPr>
      <w:rFonts w:hint="default" w:ascii="TimesNewRomanPSMT" w:hAnsi="TimesNewRomanPSMT"/>
      <w:color w:val="000000"/>
      <w:sz w:val="22"/>
      <w:szCs w:val="22"/>
    </w:rPr>
  </w:style>
  <w:style w:type="character" w:customStyle="1" w:styleId="73">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74">
    <w:name w:val="标题 4 字符"/>
    <w:basedOn w:val="35"/>
    <w:autoRedefine/>
    <w:semiHidden/>
    <w:qFormat/>
    <w:uiPriority w:val="9"/>
    <w:rPr>
      <w:rFonts w:asciiTheme="majorHAnsi" w:hAnsiTheme="majorHAnsi" w:eastAsiaTheme="majorEastAsia" w:cstheme="majorBidi"/>
      <w:b/>
      <w:bCs/>
      <w:sz w:val="28"/>
      <w:szCs w:val="28"/>
    </w:rPr>
  </w:style>
  <w:style w:type="character" w:customStyle="1" w:styleId="75">
    <w:name w:val="标题 4 Char1"/>
    <w:link w:val="5"/>
    <w:autoRedefine/>
    <w:qFormat/>
    <w:uiPriority w:val="0"/>
    <w:rPr>
      <w:rFonts w:ascii="@仿宋_GB2312" w:hAnsi="@仿宋_GB2312" w:eastAsia="@仿宋_GB2312" w:cs="@仿宋_GB2312"/>
      <w:b/>
      <w:bCs/>
      <w:sz w:val="28"/>
      <w:szCs w:val="28"/>
    </w:rPr>
  </w:style>
  <w:style w:type="character" w:customStyle="1" w:styleId="76">
    <w:name w:val="标题 4 Char"/>
    <w:autoRedefine/>
    <w:qFormat/>
    <w:uiPriority w:val="0"/>
    <w:rPr>
      <w:rFonts w:ascii="Arial" w:hAnsi="Arial" w:eastAsia="Arial"/>
      <w:b/>
      <w:bCs/>
      <w:kern w:val="2"/>
      <w:sz w:val="28"/>
      <w:szCs w:val="28"/>
      <w:lang w:val="en-US" w:eastAsia="zh-CN" w:bidi="ar-SA"/>
    </w:rPr>
  </w:style>
  <w:style w:type="table" w:customStyle="1" w:styleId="77">
    <w:name w:val="网格型1"/>
    <w:basedOn w:val="3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8">
    <w:name w:val="批注主题 Char"/>
    <w:basedOn w:val="67"/>
    <w:link w:val="30"/>
    <w:autoRedefine/>
    <w:semiHidden/>
    <w:qFormat/>
    <w:uiPriority w:val="99"/>
    <w:rPr>
      <w:rFonts w:ascii="@仿宋_GB2312" w:hAnsi="@仿宋_GB2312" w:eastAsia="@仿宋_GB2312" w:cs="@仿宋_GB2312"/>
      <w:b/>
      <w:bCs/>
      <w:szCs w:val="20"/>
    </w:rPr>
  </w:style>
  <w:style w:type="table" w:customStyle="1" w:styleId="79">
    <w:name w:val="Table Normal"/>
    <w:autoRedefine/>
    <w:semiHidden/>
    <w:unhideWhenUsed/>
    <w:qFormat/>
    <w:uiPriority w:val="0"/>
    <w:tblPr>
      <w:tblCellMar>
        <w:top w:w="0" w:type="dxa"/>
        <w:left w:w="0" w:type="dxa"/>
        <w:bottom w:w="0" w:type="dxa"/>
        <w:right w:w="0" w:type="dxa"/>
      </w:tblCellMar>
    </w:tblPr>
  </w:style>
  <w:style w:type="paragraph" w:customStyle="1" w:styleId="80">
    <w:name w:val="Table Text"/>
    <w:basedOn w:val="1"/>
    <w:autoRedefine/>
    <w:semiHidden/>
    <w:qFormat/>
    <w:uiPriority w:val="0"/>
    <w:rPr>
      <w:rFonts w:ascii="Arial" w:hAnsi="Arial" w:eastAsia="Arial" w:cs="Arial"/>
      <w:szCs w:val="21"/>
      <w:lang w:eastAsia="en-US"/>
    </w:rPr>
  </w:style>
  <w:style w:type="paragraph" w:customStyle="1" w:styleId="81">
    <w:name w:val="Table Paragraph"/>
    <w:basedOn w:val="1"/>
    <w:autoRedefine/>
    <w:qFormat/>
    <w:uiPriority w:val="0"/>
    <w:rPr>
      <w:rFonts w:ascii="宋体" w:hAnsi="宋体" w:eastAsia="宋体" w:cs="宋体"/>
      <w:lang w:val="zh-CN" w:bidi="zh-CN"/>
    </w:rPr>
  </w:style>
  <w:style w:type="character" w:customStyle="1" w:styleId="82">
    <w:name w:val="font31"/>
    <w:basedOn w:val="35"/>
    <w:autoRedefine/>
    <w:qFormat/>
    <w:uiPriority w:val="0"/>
    <w:rPr>
      <w:rFonts w:ascii="微软雅黑" w:hAnsi="微软雅黑" w:eastAsia="微软雅黑" w:cs="微软雅黑"/>
      <w:color w:val="000000"/>
      <w:sz w:val="24"/>
      <w:szCs w:val="24"/>
      <w:u w:val="none"/>
    </w:rPr>
  </w:style>
  <w:style w:type="character" w:customStyle="1" w:styleId="83">
    <w:name w:val="font41"/>
    <w:basedOn w:val="35"/>
    <w:autoRedefine/>
    <w:qFormat/>
    <w:uiPriority w:val="0"/>
    <w:rPr>
      <w:rFonts w:ascii="Calibri" w:hAnsi="Calibri" w:cs="Calibri"/>
      <w:color w:val="000000"/>
      <w:sz w:val="24"/>
      <w:szCs w:val="24"/>
      <w:u w:val="none"/>
    </w:rPr>
  </w:style>
  <w:style w:type="character" w:customStyle="1" w:styleId="84">
    <w:name w:val="标题 1 Char1"/>
    <w:link w:val="2"/>
    <w:autoRedefine/>
    <w:qFormat/>
    <w:uiPriority w:val="9"/>
    <w:rPr>
      <w:b/>
      <w:bCs/>
      <w:kern w:val="44"/>
      <w:sz w:val="44"/>
      <w:szCs w:val="44"/>
    </w:rPr>
  </w:style>
  <w:style w:type="paragraph" w:customStyle="1" w:styleId="85">
    <w:name w:val="Other|1"/>
    <w:basedOn w:val="1"/>
    <w:autoRedefine/>
    <w:qFormat/>
    <w:uiPriority w:val="0"/>
    <w:rPr>
      <w:rFonts w:ascii="宋体" w:hAnsi="宋体" w:eastAsia="宋体" w:cs="宋体"/>
      <w:sz w:val="19"/>
      <w:szCs w:val="19"/>
      <w:lang w:val="zh-TW" w:eastAsia="zh-TW" w:bidi="zh-TW"/>
    </w:rPr>
  </w:style>
  <w:style w:type="paragraph" w:customStyle="1" w:styleId="86">
    <w:name w:val="纯文本1"/>
    <w:basedOn w:val="1"/>
    <w:autoRedefine/>
    <w:qFormat/>
    <w:uiPriority w:val="0"/>
    <w:pPr>
      <w:adjustRightInd w:val="0"/>
    </w:pPr>
    <w:rPr>
      <w:rFonts w:ascii="宋体" w:hAnsi="Courier New" w:eastAsia="楷体_GB2312"/>
      <w:sz w:val="26"/>
    </w:rPr>
  </w:style>
  <w:style w:type="paragraph" w:customStyle="1" w:styleId="87">
    <w:name w:val="正文 New"/>
    <w:next w:val="88"/>
    <w:autoRedefine/>
    <w:qFormat/>
    <w:uiPriority w:val="0"/>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paragraph" w:customStyle="1" w:styleId="88">
    <w:name w:val="正文缩进1"/>
    <w:basedOn w:val="1"/>
    <w:next w:val="11"/>
    <w:autoRedefine/>
    <w:qFormat/>
    <w:uiPriority w:val="0"/>
    <w:pPr>
      <w:spacing w:line="360" w:lineRule="atLeast"/>
      <w:ind w:firstLine="482"/>
    </w:pPr>
    <w:rPr>
      <w:rFonts w:ascii="Times New Roman" w:eastAsia="宋体"/>
      <w:sz w:val="24"/>
    </w:rPr>
  </w:style>
  <w:style w:type="paragraph" w:customStyle="1" w:styleId="89">
    <w:name w:val="_Style 3"/>
    <w:basedOn w:val="1"/>
    <w:autoRedefine/>
    <w:qFormat/>
    <w:uiPriority w:val="0"/>
    <w:pPr>
      <w:ind w:firstLine="420" w:firstLineChars="200"/>
    </w:pPr>
    <w:rPr>
      <w:sz w:val="20"/>
    </w:rPr>
  </w:style>
  <w:style w:type="paragraph" w:customStyle="1" w:styleId="90">
    <w:name w:val="xl25"/>
    <w:basedOn w:val="1"/>
    <w:autoRedefine/>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character" w:customStyle="1" w:styleId="91">
    <w:name w:val="hover"/>
    <w:basedOn w:val="35"/>
    <w:autoRedefine/>
    <w:qFormat/>
    <w:uiPriority w:val="0"/>
    <w:rPr>
      <w:color w:val="2590EB"/>
      <w:shd w:val="clear" w:color="auto" w:fill="E9F4FD"/>
    </w:rPr>
  </w:style>
  <w:style w:type="character" w:customStyle="1" w:styleId="92">
    <w:name w:val="hover1"/>
    <w:basedOn w:val="35"/>
    <w:autoRedefine/>
    <w:qFormat/>
    <w:uiPriority w:val="0"/>
    <w:rPr>
      <w:color w:val="2590EB"/>
    </w:rPr>
  </w:style>
  <w:style w:type="character" w:customStyle="1" w:styleId="93">
    <w:name w:val="hover2"/>
    <w:basedOn w:val="35"/>
    <w:autoRedefine/>
    <w:qFormat/>
    <w:uiPriority w:val="0"/>
    <w:rPr>
      <w:color w:val="2590EB"/>
    </w:rPr>
  </w:style>
  <w:style w:type="character" w:customStyle="1" w:styleId="94">
    <w:name w:val="hover3"/>
    <w:basedOn w:val="35"/>
    <w:autoRedefine/>
    <w:qFormat/>
    <w:uiPriority w:val="0"/>
  </w:style>
  <w:style w:type="character" w:customStyle="1" w:styleId="95">
    <w:name w:val="标题 2 Char"/>
    <w:basedOn w:val="35"/>
    <w:link w:val="3"/>
    <w:autoRedefine/>
    <w:qFormat/>
    <w:uiPriority w:val="0"/>
    <w:rPr>
      <w:rFonts w:ascii="等线 Light" w:hAnsi="等线 Light" w:eastAsia="等线 Light" w:cs="Times New Roman"/>
      <w:b/>
      <w:bCs/>
      <w:kern w:val="2"/>
      <w:sz w:val="32"/>
      <w:szCs w:val="32"/>
    </w:rPr>
  </w:style>
  <w:style w:type="character" w:customStyle="1" w:styleId="96">
    <w:name w:val="hover4"/>
    <w:basedOn w:val="35"/>
    <w:autoRedefine/>
    <w:qFormat/>
    <w:uiPriority w:val="0"/>
  </w:style>
  <w:style w:type="character" w:customStyle="1" w:styleId="97">
    <w:name w:val="font21"/>
    <w:basedOn w:val="35"/>
    <w:autoRedefine/>
    <w:qFormat/>
    <w:uiPriority w:val="0"/>
    <w:rPr>
      <w:rFonts w:hint="default" w:ascii="Times New Roman" w:hAnsi="Times New Roman" w:cs="Times New Roman"/>
      <w:color w:val="000000"/>
      <w:sz w:val="24"/>
      <w:szCs w:val="24"/>
      <w:u w:val="none"/>
    </w:rPr>
  </w:style>
  <w:style w:type="character" w:customStyle="1" w:styleId="98">
    <w:name w:val="font11"/>
    <w:basedOn w:val="35"/>
    <w:autoRedefine/>
    <w:qFormat/>
    <w:uiPriority w:val="0"/>
    <w:rPr>
      <w:rFonts w:hint="eastAsia" w:ascii="宋体" w:hAnsi="宋体" w:eastAsia="宋体" w:cs="宋体"/>
      <w:color w:val="000000"/>
      <w:sz w:val="24"/>
      <w:szCs w:val="24"/>
      <w:u w:val="none"/>
    </w:rPr>
  </w:style>
  <w:style w:type="character" w:customStyle="1" w:styleId="99">
    <w:name w:val="font01"/>
    <w:basedOn w:val="35"/>
    <w:autoRedefine/>
    <w:qFormat/>
    <w:uiPriority w:val="0"/>
    <w:rPr>
      <w:rFonts w:hint="eastAsia" w:ascii="宋体" w:hAnsi="宋体" w:eastAsia="宋体" w:cs="宋体"/>
      <w:color w:val="000000"/>
      <w:sz w:val="22"/>
      <w:szCs w:val="22"/>
      <w:u w:val="none"/>
    </w:rPr>
  </w:style>
  <w:style w:type="character" w:customStyle="1" w:styleId="100">
    <w:name w:val="font71"/>
    <w:basedOn w:val="35"/>
    <w:autoRedefine/>
    <w:qFormat/>
    <w:uiPriority w:val="0"/>
    <w:rPr>
      <w:rFonts w:hint="default" w:ascii="Times New Roman" w:hAnsi="Times New Roman" w:cs="Times New Roman"/>
      <w:color w:val="000000"/>
      <w:sz w:val="22"/>
      <w:szCs w:val="22"/>
      <w:u w:val="none"/>
    </w:rPr>
  </w:style>
  <w:style w:type="character" w:customStyle="1" w:styleId="101">
    <w:name w:val="font51"/>
    <w:basedOn w:val="35"/>
    <w:autoRedefine/>
    <w:qFormat/>
    <w:uiPriority w:val="0"/>
    <w:rPr>
      <w:rFonts w:ascii="黑体" w:hAnsi="宋体" w:eastAsia="黑体" w:cs="黑体"/>
      <w:color w:val="000000"/>
      <w:sz w:val="21"/>
      <w:szCs w:val="21"/>
      <w:u w:val="none"/>
    </w:rPr>
  </w:style>
  <w:style w:type="paragraph" w:customStyle="1" w:styleId="102">
    <w:name w:val="l正文"/>
    <w:autoRedefine/>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103">
    <w:name w:val="focus4"/>
    <w:basedOn w:val="35"/>
    <w:autoRedefine/>
    <w:qFormat/>
    <w:uiPriority w:val="0"/>
  </w:style>
  <w:style w:type="character" w:customStyle="1" w:styleId="104">
    <w:name w:val="tmpztreemove_arrow"/>
    <w:basedOn w:val="35"/>
    <w:autoRedefine/>
    <w:qFormat/>
    <w:uiPriority w:val="0"/>
  </w:style>
  <w:style w:type="character" w:customStyle="1" w:styleId="105">
    <w:name w:val="button"/>
    <w:basedOn w:val="35"/>
    <w:autoRedefine/>
    <w:qFormat/>
    <w:uiPriority w:val="0"/>
  </w:style>
  <w:style w:type="character" w:customStyle="1" w:styleId="106">
    <w:name w:val="txt15"/>
    <w:basedOn w:val="35"/>
    <w:autoRedefine/>
    <w:qFormat/>
    <w:uiPriority w:val="0"/>
    <w:rPr>
      <w:color w:val="C0C0C0"/>
    </w:rPr>
  </w:style>
  <w:style w:type="character" w:customStyle="1" w:styleId="107">
    <w:name w:val="first-child1"/>
    <w:basedOn w:val="35"/>
    <w:autoRedefine/>
    <w:qFormat/>
    <w:uiPriority w:val="0"/>
  </w:style>
  <w:style w:type="character" w:customStyle="1" w:styleId="108">
    <w:name w:val="split11"/>
    <w:basedOn w:val="35"/>
    <w:autoRedefine/>
    <w:qFormat/>
    <w:uiPriority w:val="0"/>
    <w:rPr>
      <w:color w:val="C50001"/>
      <w:sz w:val="21"/>
      <w:szCs w:val="21"/>
    </w:rPr>
  </w:style>
  <w:style w:type="character" w:customStyle="1" w:styleId="109">
    <w:name w:val="focus"/>
    <w:basedOn w:val="35"/>
    <w:autoRedefine/>
    <w:qFormat/>
    <w:uiPriority w:val="0"/>
  </w:style>
  <w:style w:type="character" w:customStyle="1" w:styleId="110">
    <w:name w:val="txt17"/>
    <w:basedOn w:val="35"/>
    <w:autoRedefine/>
    <w:qFormat/>
    <w:uiPriority w:val="0"/>
    <w:rPr>
      <w:color w:val="C0C0C0"/>
    </w:rPr>
  </w:style>
  <w:style w:type="paragraph" w:customStyle="1" w:styleId="111">
    <w:name w:val="表格文字"/>
    <w:basedOn w:val="1"/>
    <w:autoRedefine/>
    <w:qFormat/>
    <w:uiPriority w:val="0"/>
    <w:pPr>
      <w:spacing w:before="25" w:after="25"/>
      <w:jc w:val="left"/>
    </w:pPr>
    <w:rPr>
      <w:bCs/>
      <w:spacing w:val="10"/>
      <w:kern w:val="0"/>
      <w:sz w:val="24"/>
    </w:rPr>
  </w:style>
  <w:style w:type="paragraph" w:customStyle="1" w:styleId="112">
    <w:name w:val="my正文"/>
    <w:basedOn w:val="1"/>
    <w:autoRedefine/>
    <w:qFormat/>
    <w:uiPriority w:val="0"/>
    <w:pPr>
      <w:ind w:firstLine="200"/>
    </w:pPr>
    <w:rPr>
      <w:rFonts w:ascii="仿宋_GB2312" w:hAnsiTheme="minorHAnsi" w:cstheme="minorBidi"/>
      <w:kern w:val="0"/>
      <w:szCs w:val="24"/>
    </w:rPr>
  </w:style>
  <w:style w:type="character" w:customStyle="1" w:styleId="113">
    <w:name w:val="NormalCharacter"/>
    <w:autoRedefine/>
    <w:semiHidden/>
    <w:qFormat/>
    <w:uiPriority w:val="0"/>
  </w:style>
  <w:style w:type="paragraph" w:customStyle="1" w:styleId="114">
    <w:name w:val="*正文"/>
    <w:basedOn w:val="1"/>
    <w:autoRedefine/>
    <w:qFormat/>
    <w:uiPriority w:val="0"/>
    <w:pPr>
      <w:widowControl/>
      <w:snapToGrid w:val="0"/>
      <w:ind w:firstLine="560"/>
      <w:jc w:val="left"/>
    </w:pPr>
    <w:rPr>
      <w:rFonts w:ascii="仿宋_GB2312"/>
      <w:color w:val="191919"/>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81</Pages>
  <Words>5761</Words>
  <Characters>6276</Characters>
  <Lines>335</Lines>
  <Paragraphs>94</Paragraphs>
  <TotalTime>1</TotalTime>
  <ScaleCrop>false</ScaleCrop>
  <LinksUpToDate>false</LinksUpToDate>
  <CharactersWithSpaces>6350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2025-03-13T07:25:00Z</dcterms:created>
  <dc:creator>Anakin</dc:creator>
  <cp:lastModifiedBy>假装坚强</cp:lastModifiedBy>
  <cp:lastPrinted>2025-03-21T01:20:00Z</cp:lastPrinted>
  <dcterms:modified xsi:type="dcterms:W3CDTF">2025-04-17T05:43:15Z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444A4AA8EF984A04A231686910926CE1_13</vt:lpwstr>
  </property>
  <property fmtid="{D5CDD505-2E9C-101B-9397-08002B2CF9AE}" pid="4" name="KSOTemplateDocerSaveRecord">
    <vt:lpwstr>eyJoZGlkIjoiOTg1YWYyNGM2NGRjN2MzMWNhY2JjOGJkYjIwOWYzZDQiLCJ1c2VySWQiOiIzNDU4MDg3NTkifQ==</vt:lpwstr>
  </property>
</Properties>
</file>