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闽江监狱机关食堂物资配送服务采购项目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CGXM-2025-350001-03198[2025]00556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[350001]GYG[GK]2025003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福建省闽江监狱</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福建广誉工程管理有限公司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福建广誉工程管理有限公司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闽江监狱机关食堂物资配送服务采购项目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CGXM-2025-350001-03198[2025]00556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[350001]GYG[GK]2025003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特定资格</w:t>
            </w:r>
          </w:p>
        </w:tc>
        <w:tc>
          <w:tcPr>
            <w:tcW w:type="dxa" w:w="4614"/>
          </w:tcPr>
          <w:p>
            <w:pPr>
              <w:pStyle w:val="null3"/>
              <w:jc w:val="both"/>
            </w:pPr>
            <w:r>
              <w:rPr>
                <w:rFonts w:ascii="仿宋_GB2312" w:hAnsi="仿宋_GB2312" w:cs="仿宋_GB2312" w:eastAsia="仿宋_GB2312"/>
              </w:rPr>
              <w:t>投标人须具备有效的《食品生产许可证》或《食品经营许可证》或《食品药品经营许可证》或《食品药品生产经营许可证》，须提供相关证件复印件。在投标截止时间前，如因国家政策调整，国家有关行政部门有新的食品经营销售方面规定的，应从其规定，但投标人须在投标文件中做出书面说明并附上有关制度规定予以佐证。</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所属行业划分为批发业。</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福建省闽江监狱</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福州市闽侯县南屿镇桐南村</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18259752065</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福建广誉工程管理有限公司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金山街道仓山万达广场C区3号楼15层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郑丽丽、翁晶、欧忠良</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0591-88032000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福建广誉工程管理有限公司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2,230,000.00</w:t>
      </w:r>
    </w:p>
    <w:p>
      <w:pPr>
        <w:pStyle w:val="null3"/>
        <w:jc w:val="left"/>
      </w:pPr>
      <w:r>
        <w:rPr>
          <w:rFonts w:ascii="仿宋_GB2312" w:hAnsi="仿宋_GB2312" w:cs="仿宋_GB2312" w:eastAsia="仿宋_GB2312"/>
        </w:rPr>
        <w:t>采购包最高限价（元）: 2,230,000.00</w:t>
      </w:r>
    </w:p>
    <w:p>
      <w:pPr>
        <w:pStyle w:val="null3"/>
        <w:jc w:val="left"/>
      </w:pPr>
      <w:r>
        <w:rPr>
          <w:rFonts w:ascii="仿宋_GB2312" w:hAnsi="仿宋_GB2312" w:cs="仿宋_GB2312" w:eastAsia="仿宋_GB2312"/>
        </w:rPr>
        <w:t>采购包保证金金额（元）: 22,300.00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闽江监狱机关食堂物资配送服务采购项目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2,230,000.00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批发业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闽江监狱机关食堂物资配送服务采购项目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闽江监狱机关食堂物资配送服务采购项目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闽江监狱机关食堂物资配送服务采购项目</w:t>
            </w:r>
          </w:p>
        </w:tc>
        <w:tc>
          <w:tcPr>
            <w:tcW w:type="dxa" w:w="2076"/>
          </w:tcPr>
          <w:p>
            <w:pPr>
              <w:pStyle w:val="null3"/>
              <w:jc w:val="left"/>
            </w:pPr>
            <w:r>
              <w:rPr>
                <w:rFonts w:ascii="仿宋_GB2312" w:hAnsi="仿宋_GB2312" w:cs="仿宋_GB2312" w:eastAsia="仿宋_GB2312"/>
              </w:rPr>
              <w:t>闽江监狱机关食堂物资配送服务采购项目</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中标候选人并列的，则按“价格部分”的得分高低排序；若投标人的评审得分相同且价格部分得分也相同的，则按“技术部分”的得分高低排序；若评审得分相同且价格部分与技术部分得分也相同的，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福建广誉工程管理有限公司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中标通知书规定的中标总金额作为收费的计算基数。②50(万元)含以下收费费率标准：1.0%；50-100（万）收费费率标准：0.9%，100-500（万）收费费率标准：0.5%；（2）招标代理服务费收取方式：中标人应在领取中标通知书的同时按规定的标准一次性向采购代理机构缴清招标代理服务费。 （3）招标代理服务费以银行转账、电汇、汇票或现金等付款方式。 （4）招标代理服务费缴交银行帐号： 开户名：福建广誉工程管理有限公司； 开户行：中国建设银行股份有限公司福州南江滨支行； 帐号：35050188630000000183。</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19.1本项目采购公告中合同包预算价为最高限价，投标人超过最高限价的报价为无效报价。根据《中华人民共和国价格法》第六条、第十八条规定，投标人依法有权自主制定属于市场调节的价格，有权根据企业的生产经营成本等自身情况和市场供求状况等外部因素自主定价。 19.2实质性要求和条件： 19.2.1信用记录查询及使用： (1)信用记录查询渠道及截止时点：采购代理机构将在投标截止时间截止后，评标工作结束前，通过“信用中国”网站(www.creditchina.gov.cn)、中国政府采购网(www.ccgp.gov.cn)查询投标人的信用记录。 (2)信用信息查询记录和证据留存的具体方式：采购代理机构将记录、打印各投标人的信用信息查询结果，与其他采购文件一并保存。 (3)信用信息的使用规则：依据《财政部关于在政府采购活动中查询及使用信用记录有关问题的通知》财库〔2016〕125号规定，对被列入失信被执行人、重大税收违法案件当事人名单、政府采购严重违法失信行为记录名单的投标人有下列情形之一，其投标文件在资格性检查中将被资格性审查小组视为资格性审查不合格： ①被列入“信用中国”网站(www.creditchina.gov.cn)中政府采购严重违法失信名单的； ②被列入中国政府采购网(www.ccgp.gov.cn)中政府采购严重违法失信行为信息记录的； ③属于《政府采购法》第二十二条的“重大违法记录”。19.2.2无效投标：以下为可能导致无效投标的条款，具体内容详见招标文件各章节，请各投标人认真查看对照。 (1)投标报价不符合投标人须知前附表第12项号19.1条款规定的。 (2)不符合投标人须知前附表第12项号19.3条款规定的。 (3)出现“评标方法和标准”无效投标规定的。 (4)出现第三章《投标人须知》无效投标规定的。 (5)出现第四章《资格审查与评标》无效投标规定的。 (6)出现第五章《招标内容及要求》无效投标规定的。 (7)明显不符合技术和服务要求的为无效响应。 (8)内容不全或关键字迹模糊、无法辨认的为无效响应。 19.3投标人必须对其投标文件中提供各种资料、说明的真实性负责。在评标过程中，如有发现投标人有为谋取中标而提供虚假资料欺骗采购人和评委的行为，将 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 19.4质疑与投诉 19.4.1质疑 19.4.1.1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 (1)对可以质疑的采购文件提出质疑的，为收到采购文件之日； (2)对采购过程提出质疑的，为各采购程序环节结束之日； (3)对成交结果提出质疑的，为成交结果公告期限届满之日。 19.4.1.2质疑函原件应采用下列方式提交：现场方式。（本招标文件中质疑函原件提交方式与此处不一致，以此处为准） 19.4.1.3接收质疑函的方式、联系部门、联系电话和通讯地址 (1)接收质疑函的方式：现场方式； (2)接收质疑函的联系部门：办公室； (3)接收质疑函的联系电话：0591-88032000； (4)接收质疑函的通讯地址：福州市仓山区金山街道仓山万达广场C区3号楼15层福建广誉工程管理有限公司。 19.4.2投诉 19.4.2.1根据《政府采购质疑和投诉办法》(财政部令第94号)第十八条规定，“投诉人投诉时,应当提交投诉书和必要的证明材料，并按照被投诉采购人、采购代理机构和与投诉事项有关的供应商数量提供投诉书的副本”。 根据《政府采购质疑和投诉办法》(财政部令第94号)第二十条规定，“供应商投诉的事项不得超出已质疑事项的范围，但基于质疑答复内容提出的投诉事项除外。” 19.5评标委员会将会对各投标人的价格合理性进行评估，根据《政府采购货物和服务招标投标管理办法》(财政部令第87号)第六十条的规定要求投标人在评标现场合理的时间内（接到通知的半小时内）提供书面说明，必要时还应要求其一并提交有关证明材料；投标人不能证明其报价合理性的，评标委员会应将其作为投标无效处理。建议投标人提前评估其报价的合理性，提早准备相应材料，以便出现上述情形时能在规定时间内提供。</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 b.在电子投标文件中，涉及“全称”、“单位负责人签字或盖章”和“投标人代表签字”的内容可使用打字录入方式完成。招标文件与此要求不一致的以此要求为准。 c.在电子投标文件中，若投标人在电子投标文件中涉及“加盖单位公章”的内容使用投标人的CA证书完成，加盖其单位公章，则出现无全称、或无单位负责人签字（或盖章）或投标人代表未签字等情形，不视为投标无效。招标文件与此要求不一致的以此要求为准。d.远程开标的规定：①本项目支持远程开标，投标人可通过远程线上参与开标，具体系统操作指南详见福建省政府采购网首页上相关操作手册。②本项目开标过程中解密操作时限为30分钟，远程签章的操作时限为10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⑤选择参加现场开标的，应由投标人代表在投标截止时间前到达开标地点并递交CA证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福建广誉工程管理有限公司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福建广誉工程管理有限公司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福建广誉工程管理有限公司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福建广誉工程管理有限公司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福建广誉工程管理有限公司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福建广誉工程管理有限公司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福建广誉工程管理有限公司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福建广誉工程管理有限公司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福建广誉工程管理有限公司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福建广誉工程管理有限公司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福建广誉工程管理有限公司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福建广誉工程管理有限公司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福建广誉工程管理有限公司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福建广誉工程管理有限公司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福建广誉工程管理有限公司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福建广誉工程管理有限公司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福建广誉工程管理有限公司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福建广誉工程管理有限公司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福建广誉工程管理有限公司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福建广誉工程管理有限公司</w:t>
      </w:r>
      <w:r>
        <w:rPr>
          <w:rFonts w:ascii="仿宋_GB2312" w:hAnsi="仿宋_GB2312" w:cs="仿宋_GB2312" w:eastAsia="仿宋_GB2312"/>
        </w:rPr>
        <w:t xml:space="preserve"> 提出询问， </w:t>
      </w:r>
      <w:r>
        <w:rPr>
          <w:rFonts w:ascii="仿宋_GB2312" w:hAnsi="仿宋_GB2312" w:cs="仿宋_GB2312" w:eastAsia="仿宋_GB2312"/>
        </w:rPr>
        <w:t>福建广誉工程管理有限公司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福建广誉工程管理有限公司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福建广誉工程管理有限公司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由福建广誉工程管理有限公司派出的工作人员至少1人，</w:t>
      </w:r>
      <w:r>
        <w:rPr>
          <w:rFonts w:ascii="仿宋_GB2312" w:hAnsi="仿宋_GB2312" w:cs="仿宋_GB2312" w:eastAsia="仿宋_GB2312"/>
        </w:rPr>
        <w:t>其余1人可为采购人代表或福建广誉工程管理有限公司的工作人员。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w:t>
            </w:r>
          </w:p>
        </w:tc>
        <w:tc>
          <w:tcPr>
            <w:tcW w:type="dxa" w:w="4614"/>
          </w:tcPr>
          <w:p>
            <w:pPr>
              <w:pStyle w:val="null3"/>
              <w:jc w:val="left"/>
            </w:pPr>
            <w:r>
              <w:rPr>
                <w:rFonts w:ascii="仿宋_GB2312" w:hAnsi="仿宋_GB2312" w:cs="仿宋_GB2312" w:eastAsia="仿宋_GB2312"/>
              </w:rPr>
              <w:t>投标人须具备有效的《食品生产许可证》或《食品经营许可证》或《食品药品经营许可证》或《食品药品生产经营许可证》，须提供相关证件复印件。在投标截止时间前，如因国家政策调整，国家有关行政部门有新的食品经营销售方面规定的，应从其规定，但投标人须在投标文件中做出书面说明并附上有关制度规定予以佐证。</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所属行业划分为批发业。</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资格及资信证明部分中不得出现报价部分的全部或部分的投标报价信息（或组成资料），否则视为投标无效。</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福建广誉工程管理有限公司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福建广誉工程管理有限公司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福建广誉工程管理有限公司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福建广誉工程管理有限公司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 2、不符合招标文件中规定的实质性要求和条件； 3、属于招标文件中规定的无效投标条款的情形； 4、属于招标文件规定的符合性检查不合格情形； 5、属于招标文件规定评标委员会应否决其投标的情形； 6、投标文件的技术部分中出现报价部分的全部或部分的投标报价信息(或组成资料)；7、 招标文件第五章“二、技术和服务要求”中内容出负偏离的，按无效投标处理。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 2、投标文件载明的招标项目交付时间超过招标文件规定或未载明招标项目交付时间的； 3、属于招标文件规定的符合性检查不合格情形； 4、不符合招标文件中规定的实质性要求和条件； 5、属于招标文件中规定的无效投标条款的情形； 6、属于招标文件规定评标委员会应否决其投标的情形； 7、投标文件的商务部分中出现报价部分的全部或部分的投标报价信息(或组成资料)； 8、招标文件第五章“三、商务条件”中内容出负偏离的，按无效投标处理。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报价不符合要求或超过最高限价的。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中标候选人并列的，则按“价格部分”的得分高低排序；若投标人的评审得分相同且价格部分得分也相同的，则按“技术部分”的得分高低排序；若评审得分相同且价格部分与技术部分得分也相同的，则采取随机抽取方式确定。</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价格项（F1×A1）满分为23.0000分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1、食品安全保障措施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食品安全保障措施情况(包含但不限于①食品来源；②存储；③包装；④日常检验等各环节)，由评委进行评分：涉及以上4个要点且内容详细具体、科学合理、针对性强、可实施性高、切合项目实际情况的得3分；涉及以上4个要点且部分内容具体、合理、针对性较强、可实施较高、较切合项目实际情况的得2.8分；内容存在缺漏但基本符合服务要求的的得2.6分；未提供的或者不满足本项目需求的不得分。</w:t>
            </w:r>
          </w:p>
        </w:tc>
      </w:tr>
      <w:tr>
        <w:tc>
          <w:tcPr>
            <w:tcW w:type="dxa" w:w="3322"/>
          </w:tcPr>
          <w:p>
            <w:pPr>
              <w:pStyle w:val="null3"/>
              <w:jc w:val="both"/>
            </w:pPr>
            <w:r>
              <w:rPr>
                <w:rFonts w:ascii="仿宋_GB2312" w:hAnsi="仿宋_GB2312" w:cs="仿宋_GB2312" w:eastAsia="仿宋_GB2312"/>
              </w:rPr>
              <w:t>2、配送方案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配送方案情况（包含但不限于①配送过程的卫生保洁、②配送车辆安排），由评委进行评分：涉及以上2个要点且内容详细具体、科学合理、针对性强、可实施性高、切合项目实际情况的得3分；涉及以上2个要点且部分内容具体、合理、针对性较强、可实施较高、较切合项目实际情况的得2.8分；内容存在缺漏但基本符合服务要求的的得2.6分；未提供的或者不满足本项目需求的不得分。</w:t>
            </w:r>
          </w:p>
        </w:tc>
      </w:tr>
      <w:tr>
        <w:tc>
          <w:tcPr>
            <w:tcW w:type="dxa" w:w="3322"/>
          </w:tcPr>
          <w:p>
            <w:pPr>
              <w:pStyle w:val="null3"/>
              <w:jc w:val="both"/>
            </w:pPr>
            <w:r>
              <w:rPr>
                <w:rFonts w:ascii="仿宋_GB2312" w:hAnsi="仿宋_GB2312" w:cs="仿宋_GB2312" w:eastAsia="仿宋_GB2312"/>
              </w:rPr>
              <w:t>3、应急方案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在自然灾害、停水、停电、传染性疾病、临时任务、重大节假日和大型活动时、考评、检查的应急方案（包括但不限于①应急预备措施、②应急预备流程、③应急预备内容、④应急预备方式等要点），由评委进行评分：涉及以上4个要点且内容详细具体、科学合理、针对性强、可实施性高、切合项目实际情况的得3分；涉及以上4个要点且部分内容具体、合理、针对性较强、可实施较高、较切合项目实际情况的得2.8分；内容存在缺漏但基本符合服务要求的的得2.6分；未提供的或者不满足本项目需求的不得分。</w:t>
            </w:r>
          </w:p>
        </w:tc>
      </w:tr>
      <w:tr>
        <w:tc>
          <w:tcPr>
            <w:tcW w:type="dxa" w:w="3322"/>
          </w:tcPr>
          <w:p>
            <w:pPr>
              <w:pStyle w:val="null3"/>
              <w:jc w:val="both"/>
            </w:pPr>
            <w:r>
              <w:rPr>
                <w:rFonts w:ascii="仿宋_GB2312" w:hAnsi="仿宋_GB2312" w:cs="仿宋_GB2312" w:eastAsia="仿宋_GB2312"/>
              </w:rPr>
              <w:t>4、仓储和贮藏能力情况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投入本项目的自有或租赁的仓储和贮藏能力情况进行评分：仓储和贮藏累计面积≥1000平方米的得3分;800平方米≤仓储和贮藏累计面积＜1000平方米的得2分；500平方米≤仓储和贮藏累计面积＜800平方米的得1分；仓储和贮藏累计面积500平方米以下不得分。①场地若为自有产权的，须提供有效产权证明；②场地若为租赁的须提供租赁合同（须包含场所地址）、合同期内任意一次租金转账凭证及对应发票复印件（且须提供在国家税务总局增值税发票查验平台上对该发票查验结果的截图)、地址定位截图、场地照片、并提供专项承诺函，承诺中标后，仓储和贮藏租赁合同有效期需延续到项目服期结束。（未提供完整材料不得分）</w:t>
            </w:r>
          </w:p>
        </w:tc>
      </w:tr>
      <w:tr>
        <w:tc>
          <w:tcPr>
            <w:tcW w:type="dxa" w:w="3322"/>
          </w:tcPr>
          <w:p>
            <w:pPr>
              <w:pStyle w:val="null3"/>
              <w:jc w:val="both"/>
            </w:pPr>
            <w:r>
              <w:rPr>
                <w:rFonts w:ascii="仿宋_GB2312" w:hAnsi="仿宋_GB2312" w:cs="仿宋_GB2312" w:eastAsia="仿宋_GB2312"/>
              </w:rPr>
              <w:t>5、保鲜库和冷冻库情况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投入本项目的自有或租赁的保鲜库和冷冻库累计容积情况打分：保鲜库和冷冻库累计容积≥300立方米的得3分；200立方米≤保鲜库和冷冻库累计容积＜300立方米的得2分；100立方米≤保鲜库和冷冻库累计容积＜200立方米的得1分，保鲜库和冷冻库累计面积100立方米以下不得分。①场地若为自有产权的，须提供保鲜库或冷冻库安装合同、保鲜库或冷冻库设备购置发票；②场地若为租赁的须提供租赁合同（须包含场所地址）、合同期内任意一次租金转账凭证及对应发票复印件（且须提供在国家税务总局增值税发票查验平台上对该发票查验结果的截图)、地址定位截图。（未提供完整材料不得分）</w:t>
            </w:r>
          </w:p>
        </w:tc>
      </w:tr>
      <w:tr>
        <w:tc>
          <w:tcPr>
            <w:tcW w:type="dxa" w:w="3322"/>
          </w:tcPr>
          <w:p>
            <w:pPr>
              <w:pStyle w:val="null3"/>
              <w:jc w:val="both"/>
            </w:pPr>
            <w:r>
              <w:rPr>
                <w:rFonts w:ascii="仿宋_GB2312" w:hAnsi="仿宋_GB2312" w:cs="仿宋_GB2312" w:eastAsia="仿宋_GB2312"/>
              </w:rPr>
              <w:t>6、保鲜库的管理制度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为保障食品安全，根据投标人针对本项目提供的对保鲜库的管理制度（包含但不限于：①设专人管理；②产品入库、出库管理制度；③外观和内里卫生、环境保障措施（如何保持清洁、卫生、空气流通、防潮、防火、防虫蛀，如何做到无鼠、无蝇、无虫、无灰尘等）；④如何严格把关“冰、霜、水、门、灯”；⑤库内食品管理制度；⑥职工日常使用保鲜库的规则等内容），由评委进行评分：涉及以上6个要点且内容详细具体、科学合理、针对性强、可实施性高、切合项目实际情况的得3分；涉及以上6个要点且部分内容具体、合理、针对性较强、可实施较高、较切合项目实际情况的得2.8分；内容存在缺漏但基本符合服务要求的的得2.6分；未提供的或者不满足本项目需求的不得分。</w:t>
            </w:r>
          </w:p>
        </w:tc>
      </w:tr>
      <w:tr>
        <w:tc>
          <w:tcPr>
            <w:tcW w:type="dxa" w:w="3322"/>
          </w:tcPr>
          <w:p>
            <w:pPr>
              <w:pStyle w:val="null3"/>
              <w:jc w:val="both"/>
            </w:pPr>
            <w:r>
              <w:rPr>
                <w:rFonts w:ascii="仿宋_GB2312" w:hAnsi="仿宋_GB2312" w:cs="仿宋_GB2312" w:eastAsia="仿宋_GB2312"/>
              </w:rPr>
              <w:t>7、食材安全检测报告</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自2024年1月1日至投标截止时间前送检食材（副食品类）合格检测报告，每提供一份本项目招标范围内副食品类检测报告的得1分，满分3分（同一产品有多份检测报告的，按一份计算）。须提供带有“CMA”标识检测报告复印件，否则不得分。</w:t>
            </w:r>
          </w:p>
        </w:tc>
      </w:tr>
      <w:tr>
        <w:tc>
          <w:tcPr>
            <w:tcW w:type="dxa" w:w="3322"/>
          </w:tcPr>
          <w:p>
            <w:pPr>
              <w:pStyle w:val="null3"/>
              <w:jc w:val="both"/>
            </w:pPr>
            <w:r>
              <w:rPr>
                <w:rFonts w:ascii="仿宋_GB2312" w:hAnsi="仿宋_GB2312" w:cs="仿宋_GB2312" w:eastAsia="仿宋_GB2312"/>
              </w:rPr>
              <w:t>8、食品安全检测设备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检验检疫设备和检测室情况，由评委进行评分，投标人具备（农药残留）相关检测设备和检测室，每提供一种符合要求的检测设备得1.5分，满分3分。①设备若为自有的，须提供检测设备清单、购置发票以及包含固定资产标志（标志应注明所有人、采购时间）的设备图片，设备发票购买方名称须与投标人一致，且须提供在国家税务总局增值税发票查验平台上对该发票查验结果的截图；②设备若为租赁的，须提供检测设备清单、租赁合同、合同期内转账凭证及对应发票复印件（且须提供在国家税务总局增值税发票查验平台上对该发票查验结果的截图）及设备图片。未提供或提供不齐全的对应部分均不得分。</w:t>
            </w:r>
          </w:p>
        </w:tc>
      </w:tr>
      <w:tr>
        <w:tc>
          <w:tcPr>
            <w:tcW w:type="dxa" w:w="3322"/>
          </w:tcPr>
          <w:p>
            <w:pPr>
              <w:pStyle w:val="null3"/>
              <w:jc w:val="both"/>
            </w:pPr>
            <w:r>
              <w:rPr>
                <w:rFonts w:ascii="仿宋_GB2312" w:hAnsi="仿宋_GB2312" w:cs="仿宋_GB2312" w:eastAsia="仿宋_GB2312"/>
              </w:rPr>
              <w:t>9、食品安全检测措施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检验检疫提供的食品安全检测措施(包含但不限于①进货检验检疫措施，②食品保管检验措施），由评委进行评分：涉及以上2个要点且内容详细具体、科学合理、针对性强、可实施性高、切合项目实际情况的得3分；涉及以上2个要点且部分内容具体、合理、针对性较强、可实施较高、较切合项目实际情况的得2.8分；内容存在缺漏但基本符合服务要求的的得2.6分；未提供的或者不满足本项目需求的不得分。</w:t>
            </w:r>
          </w:p>
        </w:tc>
      </w:tr>
      <w:tr>
        <w:tc>
          <w:tcPr>
            <w:tcW w:type="dxa" w:w="3322"/>
          </w:tcPr>
          <w:p>
            <w:pPr>
              <w:pStyle w:val="null3"/>
              <w:jc w:val="both"/>
            </w:pPr>
            <w:r>
              <w:rPr>
                <w:rFonts w:ascii="仿宋_GB2312" w:hAnsi="仿宋_GB2312" w:cs="仿宋_GB2312" w:eastAsia="仿宋_GB2312"/>
              </w:rPr>
              <w:t>10、配送车辆</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配备的配送的冷藏运输车（配备车辆必须是四轮或以上，具有冷藏功能）情况进行评分：在满足招标要求的基础上（1辆）每增加一辆加1分，满分4分。【须列表说明并提供下列证明材料：①若车辆为自有的，须提供车辆所有人为投标人名称的车辆行驶证、车辆登记证书、车辆照片（含车牌号、体现冷藏功能）；②若车辆为租赁的须提供车辆行驶证、车辆照片（含车牌号、体现冷藏功能）、租赁合同、双方租赁合同期内最新一次租金转账凭证及对应发票复印件及国家税务总局增值税发票查验平台上对该发票查验结果的截图。以上证明材料须在有效期内，材料未提供或提供不全的不得分】。</w:t>
            </w:r>
          </w:p>
        </w:tc>
      </w:tr>
      <w:tr>
        <w:tc>
          <w:tcPr>
            <w:tcW w:type="dxa" w:w="3322"/>
          </w:tcPr>
          <w:p>
            <w:pPr>
              <w:pStyle w:val="null3"/>
              <w:jc w:val="both"/>
            </w:pPr>
            <w:r>
              <w:rPr>
                <w:rFonts w:ascii="仿宋_GB2312" w:hAnsi="仿宋_GB2312" w:cs="仿宋_GB2312" w:eastAsia="仿宋_GB2312"/>
              </w:rPr>
              <w:t>11、项目拟配置人员： 食品安全总监</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配备食品安全总监的情况进行评分，投标人同时具备并提供以下完整资料的得2分：食品安全总监证书复印件及通过国家市场监督管理总局认证认可技术研究中心网站（www.cascoedu.org.cn）查询记录的有效截图、有效期内的健康证复印件、身份证复印件、投标截止时间前六个月（不含投标截止时间当月）中任一个月由投标人为其依法缴纳社会保险的证明材料，未提供或提供不全的不得分。本评分项人员不得与其他评分项人员重复得分。</w:t>
            </w:r>
          </w:p>
        </w:tc>
      </w:tr>
      <w:tr>
        <w:tc>
          <w:tcPr>
            <w:tcW w:type="dxa" w:w="3322"/>
          </w:tcPr>
          <w:p>
            <w:pPr>
              <w:pStyle w:val="null3"/>
              <w:jc w:val="both"/>
            </w:pPr>
            <w:r>
              <w:rPr>
                <w:rFonts w:ascii="仿宋_GB2312" w:hAnsi="仿宋_GB2312" w:cs="仿宋_GB2312" w:eastAsia="仿宋_GB2312"/>
              </w:rPr>
              <w:t>12、项目拟配置人员： 食品安全管理师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配备的食品安全管理师的情况进行评分，投标人同时具备并提供以下完整资料的得2分：食品安全管理师证书复印件及通过国家市场监督管理总局认证认可技术研究中心网站（www.cascoedu.org.cn）查询记录的有效截图、有效期内的健康证复印件、身份证复印件、投标截止时间前六个月（不含投标截止时间当月）中任一个月由投标人为其依法缴纳社会保险的证明材料，未提供或提供不全的不得分。本评分项人员不得与其他评分项人员重复得分。</w:t>
            </w:r>
          </w:p>
        </w:tc>
      </w:tr>
      <w:tr>
        <w:tc>
          <w:tcPr>
            <w:tcW w:type="dxa" w:w="3322"/>
          </w:tcPr>
          <w:p>
            <w:pPr>
              <w:pStyle w:val="null3"/>
              <w:jc w:val="both"/>
            </w:pPr>
            <w:r>
              <w:rPr>
                <w:rFonts w:ascii="仿宋_GB2312" w:hAnsi="仿宋_GB2312" w:cs="仿宋_GB2312" w:eastAsia="仿宋_GB2312"/>
              </w:rPr>
              <w:t>13、项目拟配置人员： 食品安全检测人员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针对本项目配置的食品安全检测人员具有人力资源社会保障部门或其备案的用人单位（或社会培训评价组织）颁发的食品检验类的资格证书（或培训证书）的，每提供一名的得1.5分，满分3分。投标人须提供人员有效期内的健康证复印件、相关证书复印件及投标截止时间前六个月（不含投标截止时间的当月）中任一月份由投标人单位为其缴纳的社会保险凭据复印件【若投标人为投标截止时间的当月成立的，可提供依法缴纳社会保障资金承诺书（格式自拟）】。所有材料缺一不可，否则不得分，注：①若为人力资源社会保障部门备案的用人单位（或社会培训评价组织）颁发的培训证书的，须提供该证书在“技能人才评价证书全国联网查询系统（zscx.osta.org.cn 或 jndj.osta.org.cn）”查询截图及查询链接或提供该用人单位（或社会培训评价组织）的备案证明材料；②同一人员具有多本证书的不重复得分。本评分项人员不得与其他评分项人员重复得分。</w:t>
            </w:r>
          </w:p>
        </w:tc>
      </w:tr>
      <w:tr>
        <w:tc>
          <w:tcPr>
            <w:tcW w:type="dxa" w:w="3322"/>
          </w:tcPr>
          <w:p>
            <w:pPr>
              <w:pStyle w:val="null3"/>
              <w:jc w:val="both"/>
            </w:pPr>
            <w:r>
              <w:rPr>
                <w:rFonts w:ascii="仿宋_GB2312" w:hAnsi="仿宋_GB2312" w:cs="仿宋_GB2312" w:eastAsia="仿宋_GB2312"/>
              </w:rPr>
              <w:t>14、项目拟配置人员： 采购人员及分工情况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服务品质及正常履约的需要，根据投标人针对本项配置的采购人员配置、岗位分工情况由评标委员会进行评分，投入该项目采购人员≥3人的得3分；投入该项目采购人员2人的得2分，其余的不得分。【注：投标人须提供①投入本项目采购人员清单，清单内需体现人员分工情况；②同一人员兼职不同岗位的不重复得分；③由社保部门出具的投标截止前6个月（不含投标截止时间当月）中任意一个月投标人为该人员缴纳的社保证明材料；④该人员有效期内健康证复印件。未提供或提供不全的均不得分。】本评分项人员不得与其他评分项人员重复得分。</w:t>
            </w:r>
          </w:p>
        </w:tc>
      </w:tr>
      <w:tr>
        <w:tc>
          <w:tcPr>
            <w:tcW w:type="dxa" w:w="3322"/>
          </w:tcPr>
          <w:p>
            <w:pPr>
              <w:pStyle w:val="null3"/>
              <w:jc w:val="both"/>
            </w:pPr>
            <w:r>
              <w:rPr>
                <w:rFonts w:ascii="仿宋_GB2312" w:hAnsi="仿宋_GB2312" w:cs="仿宋_GB2312" w:eastAsia="仿宋_GB2312"/>
              </w:rPr>
              <w:t>15、项目拟配置人员： 拣配人员及分工情况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服务品质及正常履约的需要，根据投标人针对本项目配置的拣配人员配置、岗位分工情况由评标委员会进行评分，投入该项目拣配人员≥3人的得3分；投入该项目拣配人员2人的得2分，其余的不得分。【注：投标人须提供①投入本项目人员清单，清单内需体现人员分工情况；②同一人员兼职不同岗位的不重复得分；③由社保部门出具的投标截止前6个月（不含投标截止时间当月）中任意一个月投标人为该人员缴纳的社保证明材料；④该人员有效期内健康证复印件。未提供或提供不全的均不得分。】本评分项人员不得与其他评分项人员重复得分。</w:t>
            </w:r>
          </w:p>
        </w:tc>
      </w:tr>
      <w:tr>
        <w:tc>
          <w:tcPr>
            <w:tcW w:type="dxa" w:w="3322"/>
          </w:tcPr>
          <w:p>
            <w:pPr>
              <w:pStyle w:val="null3"/>
              <w:jc w:val="both"/>
            </w:pPr>
            <w:r>
              <w:rPr>
                <w:rFonts w:ascii="仿宋_GB2312" w:hAnsi="仿宋_GB2312" w:cs="仿宋_GB2312" w:eastAsia="仿宋_GB2312"/>
              </w:rPr>
              <w:t>16、项目拟配置人员： 配送人员及分工情况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服务品质及正常履约的需要，根据投标人针对本项目配置的配送人员配置、岗位分工情况由评标委员会进行评分，投入该项目配送人员≥3人的得3分；投入该项目配送人员2人的得2分，其余的不得分。【注：投标人须提供①拟投入本项目人员清单，清单内需体现人员分工情况；②同一人员兼职不同岗位的不重复得分；③由社保部门出具的投标截止前6个月（不含投标截止时间当月）中任意一个月投标人为该人员缴纳的社保证明材料；④该人员有效期内健康证复印件。未提供或提供不全的均不得分。】本评分项人员不得与其他评分项人员重复得分。</w:t>
            </w:r>
          </w:p>
        </w:tc>
      </w:tr>
      <w:tr>
        <w:tc>
          <w:tcPr>
            <w:tcW w:type="dxa" w:w="3322"/>
          </w:tcPr>
          <w:p>
            <w:pPr>
              <w:pStyle w:val="null3"/>
              <w:jc w:val="both"/>
            </w:pPr>
            <w:r>
              <w:rPr>
                <w:rFonts w:ascii="仿宋_GB2312" w:hAnsi="仿宋_GB2312" w:cs="仿宋_GB2312" w:eastAsia="仿宋_GB2312"/>
              </w:rPr>
              <w:t>17、货源保障情况： 蔬菜类食材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招标范围内蔬菜类食材的自有或长期合作（合同期一年及以上）种植基地情况进行评分：投标人每具有1个自有或长期合作种植基地的得3分，满分3分。①若为自有种植基地的，须提供有效产权证明，基地地址定位截图及基地实景彩图，否则不得分；②若为合作种植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c>
          <w:tcPr>
            <w:tcW w:type="dxa" w:w="3322"/>
          </w:tcPr>
          <w:p>
            <w:pPr>
              <w:pStyle w:val="null3"/>
              <w:jc w:val="both"/>
            </w:pPr>
            <w:r>
              <w:rPr>
                <w:rFonts w:ascii="仿宋_GB2312" w:hAnsi="仿宋_GB2312" w:cs="仿宋_GB2312" w:eastAsia="仿宋_GB2312"/>
              </w:rPr>
              <w:t>18、货源保障情况： 鲜肉类食材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招标范围内鲜肉类食材的自有或长期合作（合同期一年及以上）养殖基地情况进行评分：投标人每具有1个自有或长期合作养殖基地的得3分，满分3分。①若为自有养殖基地的，须提供有效产权证明，基地地址定位截图及基地实景彩图，否则不得分；②若为合作养殖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c>
          <w:tcPr>
            <w:tcW w:type="dxa" w:w="3322"/>
          </w:tcPr>
          <w:p>
            <w:pPr>
              <w:pStyle w:val="null3"/>
              <w:jc w:val="both"/>
            </w:pPr>
            <w:r>
              <w:rPr>
                <w:rFonts w:ascii="仿宋_GB2312" w:hAnsi="仿宋_GB2312" w:cs="仿宋_GB2312" w:eastAsia="仿宋_GB2312"/>
              </w:rPr>
              <w:t>19、货源保障情况： 水产类食材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招标范围内水产类食材的自有或长期合作（合同期一年及以上）养殖基地情况进行评分：投标人每具有1个自有或长期合作养殖基地的得3分，满分3分。①若为自有养殖基地的，须提供有效产权证明，基地地址定位截图及基地实景彩图，否则不得分；②若为合作养殖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c>
          <w:tcPr>
            <w:tcW w:type="dxa" w:w="3322"/>
          </w:tcPr>
          <w:p>
            <w:pPr>
              <w:pStyle w:val="null3"/>
              <w:jc w:val="both"/>
            </w:pPr>
            <w:r>
              <w:rPr>
                <w:rFonts w:ascii="仿宋_GB2312" w:hAnsi="仿宋_GB2312" w:cs="仿宋_GB2312" w:eastAsia="仿宋_GB2312"/>
              </w:rPr>
              <w:t>20、货源保障情况：冻品类食材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招标范围内冻品类食材的长期合作（合同期一年及以上）货源供应商情况进行评分：投标人每具有1家长期合作货源供应商的得3分，满分3分。须提供投标人与货源供应商签订的供货合同复印件（合同期一年及以上），合同期内转账凭证及对应发票复印件（且须提供在国家税务总局增值税发票查验平台上对该发票查验结果的截图)，否则不得分。</w:t>
            </w:r>
          </w:p>
        </w:tc>
      </w:tr>
      <w:tr>
        <w:tc>
          <w:tcPr>
            <w:tcW w:type="dxa" w:w="3322"/>
          </w:tcPr>
          <w:p>
            <w:pPr>
              <w:pStyle w:val="null3"/>
              <w:jc w:val="both"/>
            </w:pPr>
            <w:r>
              <w:rPr>
                <w:rFonts w:ascii="仿宋_GB2312" w:hAnsi="仿宋_GB2312" w:cs="仿宋_GB2312" w:eastAsia="仿宋_GB2312"/>
              </w:rPr>
              <w:t>21、货源保障情况: 水果类食材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招标范围内水果类食材的长期合作（合同期一年及以上）货源供应商情况进行评分：投标人每具有1家长期合作货源供应商的得3分，满分3分。须提供投标人与货源供应商签订的供货合同复印件（合同期一年及以上），合同期内转账凭证及对应发票复印件（且须提供在国家税务总局增值税发票查验平台上对该发票查验结果的截图)，否则不得分。</w:t>
            </w:r>
          </w:p>
        </w:tc>
      </w:tr>
      <w:tr>
        <w:tc>
          <w:tcPr>
            <w:tcW w:type="dxa" w:w="3322"/>
          </w:tcPr>
          <w:p>
            <w:pPr>
              <w:pStyle w:val="null3"/>
              <w:jc w:val="both"/>
            </w:pPr>
            <w:r>
              <w:rPr>
                <w:rFonts w:ascii="仿宋_GB2312" w:hAnsi="仿宋_GB2312" w:cs="仿宋_GB2312" w:eastAsia="仿宋_GB2312"/>
              </w:rPr>
              <w:t>22、大型公共卫生事件方案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人提供大型公共卫生事件工作方案（包含但不限于：①大型公共卫生事件人员管理；②大型公共卫生事件食材管理；③大型公共卫生事件场所管理；④大型公共卫生事件车辆管理；⑤大型公共卫生事件物资静置隔离；⑥如何保证大型公共卫生事件的应急处置措施等内容）进行评分：涉及以上6个要点且内容详细具体、科学合理、针对性强、可实施性高、切合项目实际情况的得3分；涉及以上6个要点且部分内容具体、合理、针对性较强、可实施较高、较切合项目实际情况的得2.8分；内容存在缺漏但基本符合服务要求的的得2.6分；未提供的或者不满足本项目需求的不得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2021年1月1日起至投标截止日期止（以合同签订日期为准），由投标人自身已完成的或正在履行中的与本次同类型业绩（副食品采购类或副食品配送服务类）情况进行评分，每提供一份业绩证明材料得1分，满分3分。注：投标人应如实提供业绩证明文件，每份业绩须同时提供①中标（成交）公告（提供相关网站中标（成交）公告的下载网页并注明网址）、②中标（成交）通知书复印件、③采购合同文本复印件、④已完成的提供能够证明该业绩项目已经采购人验收合格的相关证明文件复印件（正在履行的提供采购人满意度评价合格的证明材料复印件）。未提供或提供不全者不得分。评委会将保留要求投标人提供原件予以核查的权利；评标过程中如发现填报不实，本项不得分；合同履行过程中发现本项有虚假者，取消其中标资格，并追究相应的法律责任和进行相应的赔偿。</w:t>
            </w:r>
          </w:p>
        </w:tc>
      </w:tr>
      <w:tr>
        <w:tc>
          <w:tcPr>
            <w:tcW w:type="dxa" w:w="3322"/>
          </w:tcPr>
          <w:p>
            <w:pPr>
              <w:pStyle w:val="null3"/>
              <w:jc w:val="both"/>
            </w:pPr>
            <w:r>
              <w:rPr>
                <w:rFonts w:ascii="仿宋_GB2312" w:hAnsi="仿宋_GB2312" w:cs="仿宋_GB2312" w:eastAsia="仿宋_GB2312"/>
              </w:rPr>
              <w:t>2、满意度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2021年1月1日起至投标截止时间止（以合同签订日期为准），由投标人自身已完成的与本次同类型（副食品采购类或副食品配送服务类）业主满意度评价情况进行评分，每提供一份服务满意度评价证明材料（评价为满意或好或优或同等评价）的得1分,满分3分。须提供采购合同复印件、合同期内任意一次的付款凭证及满意度评价表，否则不得分。同一业主单位或其使用部门出具的满意度证明只计算一次。本项与“1、业绩”评分项同一项目的不重复计分。</w:t>
            </w:r>
          </w:p>
        </w:tc>
      </w:tr>
      <w:tr>
        <w:tc>
          <w:tcPr>
            <w:tcW w:type="dxa" w:w="3322"/>
          </w:tcPr>
          <w:p>
            <w:pPr>
              <w:pStyle w:val="null3"/>
              <w:jc w:val="both"/>
            </w:pPr>
            <w:r>
              <w:rPr>
                <w:rFonts w:ascii="仿宋_GB2312" w:hAnsi="仿宋_GB2312" w:cs="仿宋_GB2312" w:eastAsia="仿宋_GB2312"/>
              </w:rPr>
              <w:t>3、食品安全保险情况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副食品的食用安全问题，根据投标人购买所供应的副食品安全责任保险或承诺履行采购合同时购买所供应的副食品安全责任保险的情况进行评分，保额＞500万元的得3分，100万元≤保额≤500万元的得1.5分，其余不得分。注：投标人须提供有效的保险保单、发票复印件并承诺中标后，应标保额延续到本项目整个服务期结束，提供承诺函，格式自拟或提供承诺函（格式自拟），承诺为本项目购买所供应的副食品安全责任保险并明确保额且保险期限覆盖整个项目服务期，未按要求提供证明或承诺函的不得分。</w:t>
            </w:r>
          </w:p>
        </w:tc>
      </w:tr>
      <w:tr>
        <w:tc>
          <w:tcPr>
            <w:tcW w:type="dxa" w:w="3322"/>
          </w:tcPr>
          <w:p>
            <w:pPr>
              <w:pStyle w:val="null3"/>
              <w:jc w:val="both"/>
            </w:pPr>
            <w:r>
              <w:rPr>
                <w:rFonts w:ascii="仿宋_GB2312" w:hAnsi="仿宋_GB2312" w:cs="仿宋_GB2312" w:eastAsia="仿宋_GB2312"/>
              </w:rPr>
              <w:t>4、售后服务方案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售后服务方案（包含但不限于①应标货物的运输、装卸、配送、售后服务等安排计划；②设置服务热线，专人服务，专人跟踪；③服务需求响应时间、响应方式、④解决实际问题时效；⑤退换货服务承诺；⑥退换货措施和方法等），由评委进行评分：涉及以上6个要点且内容详细具体、科学合理、针对性强、可实施性高、切合项目实际情况的得3分；涉及以上6个要点且部分内容具体、合理、针对性较强、可实施较高、较切合项目实际情况的得2.7分；内容存在缺漏但基本符合服务要求的的得2.4分；未提供的或者不满足本项目需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依据《财政部关于印发关于在相关自由贸易试验区和自由贸易港开展推动解决政府采购异常低价问题试点工作的通知》的要求，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2.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3.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1、本项目为福建省闽江监狱机关食堂物资配送服务采购项目，项目采购预算金额223万元，项目时间一年或项目实际采购金额（223万元）使用完毕则项目终止。</w:t>
      </w:r>
    </w:p>
    <w:p>
      <w:pPr>
        <w:pStyle w:val="null3"/>
        <w:ind w:firstLine="482"/>
        <w:jc w:val="both"/>
      </w:pPr>
      <w:r>
        <w:rPr>
          <w:rFonts w:ascii="仿宋_GB2312" w:hAnsi="仿宋_GB2312" w:cs="仿宋_GB2312" w:eastAsia="仿宋_GB2312"/>
        </w:rPr>
        <w:t>2、食堂中所涉及的食材均在本项目的采购范围内，包含且不限于米面油、蛋类、新鲜肉类、鲜活水产品类及新鲜海鲜干货、新鲜瓜果蔬菜类、调味品、鲜奶及乳制品等，包含物资的采购、运输、售后等相关工作。</w:t>
      </w:r>
    </w:p>
    <w:p>
      <w:pPr>
        <w:pStyle w:val="null3"/>
        <w:ind w:firstLine="482"/>
        <w:jc w:val="both"/>
      </w:pPr>
      <w:r>
        <w:rPr>
          <w:rFonts w:ascii="仿宋_GB2312" w:hAnsi="仿宋_GB2312" w:cs="仿宋_GB2312" w:eastAsia="仿宋_GB2312"/>
        </w:rPr>
        <w:t>3、项目履约后当实际结算金额达到合同金额的50%时及80%时，中标人有义务告知采购人，并向采购人出具书面函件，若因未告知采购人以上事项，导致实际金额超出预算金额（即223万元），采购人将不支付超出预算金额的那部分货款，中标人需无条件配合。</w:t>
      </w:r>
    </w:p>
    <w:p>
      <w:pPr>
        <w:pStyle w:val="null3"/>
        <w:ind w:firstLine="482"/>
        <w:jc w:val="both"/>
      </w:pPr>
      <w:r>
        <w:rPr>
          <w:rFonts w:ascii="仿宋_GB2312" w:hAnsi="仿宋_GB2312" w:cs="仿宋_GB2312" w:eastAsia="仿宋_GB2312"/>
        </w:rPr>
        <w:t>4、供货期限届满或该项目实际采购金额达到该项目采购预算金额，但采购人尚未重新确定供货商的，中标人应无条件配合采购人直至新供应商进场。</w:t>
      </w:r>
    </w:p>
    <w:p>
      <w:pPr>
        <w:pStyle w:val="null3"/>
        <w:ind w:firstLine="482"/>
        <w:jc w:val="both"/>
      </w:pPr>
      <w:r>
        <w:rPr>
          <w:rFonts w:ascii="仿宋_GB2312" w:hAnsi="仿宋_GB2312" w:cs="仿宋_GB2312" w:eastAsia="仿宋_GB2312"/>
        </w:rPr>
        <w:t>5、投标人可按采购包投标，对同一采购包内所有品目号内容投标时必须完整。评审与授标以采购包为单位。</w:t>
      </w:r>
    </w:p>
    <w:p>
      <w:pPr>
        <w:pStyle w:val="null3"/>
        <w:ind w:firstLine="482"/>
        <w:jc w:val="both"/>
      </w:pPr>
      <w:r>
        <w:rPr>
          <w:rFonts w:ascii="仿宋_GB2312" w:hAnsi="仿宋_GB2312" w:cs="仿宋_GB2312" w:eastAsia="仿宋_GB2312"/>
        </w:rPr>
        <w:t>6、投标人报价应包含本项目所涉及到所有费用。还要考虑到合同中可能出现的索赔和变更。</w:t>
      </w:r>
    </w:p>
    <w:p>
      <w:pPr>
        <w:pStyle w:val="null3"/>
        <w:ind w:firstLine="482"/>
        <w:jc w:val="both"/>
      </w:pPr>
      <w:r>
        <w:rPr>
          <w:rFonts w:ascii="仿宋_GB2312" w:hAnsi="仿宋_GB2312" w:cs="仿宋_GB2312" w:eastAsia="仿宋_GB2312"/>
          <w:b/>
        </w:rPr>
        <w:t>7、以下“二、技术和服务要求”及“三、商务条件”中的内容均为不允许负偏离的实质性要求，负偏其投标无效。</w:t>
      </w:r>
    </w:p>
    <w:p>
      <w:pPr>
        <w:pStyle w:val="null3"/>
        <w:ind w:firstLine="482"/>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shd w:fill="FFFFFF" w:val="clear"/>
        </w:rPr>
        <w:t>1、报价方式及结算</w:t>
      </w:r>
    </w:p>
    <w:p>
      <w:pPr>
        <w:pStyle w:val="null3"/>
        <w:ind w:firstLine="480"/>
        <w:jc w:val="left"/>
      </w:pPr>
      <w:r>
        <w:rPr>
          <w:rFonts w:ascii="仿宋_GB2312" w:hAnsi="仿宋_GB2312" w:cs="仿宋_GB2312" w:eastAsia="仿宋_GB2312"/>
          <w:sz w:val="24"/>
        </w:rPr>
        <w:t>1.1本项目采用折扣系数报价（即投标人各品目号的折扣系数报价必须一致，不可出现有选择的报价）。因福建省政府采购网上公开信息系统无法进行折扣系数报价，故各投标人在投标客户端上填写的投标总价=240万元×折扣系数。举例说明：投标人所报折扣为9.6折，则折扣系数为0.96，系统上填写的投标总价为2400000×0.96=2304000元。</w:t>
      </w:r>
    </w:p>
    <w:p>
      <w:pPr>
        <w:pStyle w:val="null3"/>
        <w:ind w:firstLine="420"/>
        <w:jc w:val="left"/>
      </w:pPr>
      <w:r>
        <w:rPr>
          <w:rFonts w:ascii="仿宋_GB2312" w:hAnsi="仿宋_GB2312" w:cs="仿宋_GB2312" w:eastAsia="仿宋_GB2312"/>
          <w:sz w:val="24"/>
        </w:rPr>
        <w:t>1.2评标委员会推荐中标候选人后，将按照其所报的采购包投标总价÷240万元计算中标折扣系数，并以此中标折扣系数作为结算依据。举例说明：若中标候选人报价为190万元，则其中标折扣系数=1900000÷2400000=0.79166，折扣系数为79.1%折，小数点后第四位直接抹零。该中标折扣系数为“福建省闽江监狱机关食堂物资配送服务采购项目”的结算依据。</w:t>
      </w:r>
    </w:p>
    <w:p>
      <w:pPr>
        <w:pStyle w:val="null3"/>
        <w:spacing w:after="150"/>
        <w:ind w:firstLine="480"/>
        <w:jc w:val="left"/>
      </w:pPr>
      <w:r>
        <w:rPr>
          <w:rFonts w:ascii="仿宋_GB2312" w:hAnsi="仿宋_GB2312" w:cs="仿宋_GB2312" w:eastAsia="仿宋_GB2312"/>
          <w:sz w:val="24"/>
          <w:shd w:fill="FFFFFF" w:val="clear"/>
        </w:rPr>
        <w:t>1.3投标人的投标总价不作为中标金额，仅作为本项目价格评审的依据及物资单价折扣系数的计算依据，最终的合同金额为本项目的预算总价。</w:t>
      </w:r>
    </w:p>
    <w:p>
      <w:pPr>
        <w:pStyle w:val="null3"/>
        <w:spacing w:after="150"/>
        <w:ind w:firstLine="480"/>
        <w:jc w:val="left"/>
      </w:pPr>
      <w:r>
        <w:rPr>
          <w:rFonts w:ascii="仿宋_GB2312" w:hAnsi="仿宋_GB2312" w:cs="仿宋_GB2312" w:eastAsia="仿宋_GB2312"/>
          <w:sz w:val="24"/>
          <w:shd w:fill="FFFFFF" w:val="clear"/>
        </w:rPr>
        <w:t>1.4实际结算价=每种食品基准价单价×折扣系数×供货数量。</w:t>
      </w:r>
    </w:p>
    <w:p>
      <w:pPr>
        <w:pStyle w:val="null3"/>
        <w:ind w:firstLine="420"/>
        <w:jc w:val="left"/>
      </w:pPr>
      <w:r>
        <w:rPr>
          <w:rFonts w:ascii="仿宋_GB2312" w:hAnsi="仿宋_GB2312" w:cs="仿宋_GB2312" w:eastAsia="仿宋_GB2312"/>
          <w:sz w:val="24"/>
          <w:shd w:fill="FFFFFF" w:val="clear"/>
        </w:rPr>
        <w:t>1.4基准价来源：</w:t>
      </w:r>
    </w:p>
    <w:p>
      <w:pPr>
        <w:pStyle w:val="null3"/>
        <w:ind w:firstLine="465"/>
        <w:jc w:val="left"/>
      </w:pPr>
      <w:r>
        <w:rPr>
          <w:rFonts w:ascii="仿宋_GB2312" w:hAnsi="仿宋_GB2312" w:cs="仿宋_GB2312" w:eastAsia="仿宋_GB2312"/>
          <w:sz w:val="24"/>
          <w:shd w:fill="FFFFFF" w:val="clear"/>
        </w:rPr>
        <w:t>1.4.1采购人每一个采价周期前一月任选福州市区当地永辉超市进行采价，中标人需无条件配合采价。</w:t>
      </w:r>
    </w:p>
    <w:p>
      <w:pPr>
        <w:pStyle w:val="null3"/>
        <w:ind w:firstLine="465"/>
        <w:jc w:val="left"/>
      </w:pPr>
      <w:r>
        <w:rPr>
          <w:rFonts w:ascii="仿宋_GB2312" w:hAnsi="仿宋_GB2312" w:cs="仿宋_GB2312" w:eastAsia="仿宋_GB2312"/>
          <w:sz w:val="24"/>
          <w:shd w:fill="FFFFFF" w:val="clear"/>
        </w:rPr>
        <w:t>1.4.2生鲜类、蔬菜类、水产类、冻品类、大米、油、面粉及面制品、干货、调味品等所需使用的物资品类以两个月为一个采价周期（项目开始时的首月按当月所采价格作为当月及下两个月结算的依据，首月采价时间为合同签订后、实际供货前的任意天数（由采购人确定）），其余采价时间为每一个采价周期前一月的10日至20日，任意天数。以采购人和中标人双方组成3人（采购单位2人，采购单位也可多人）采价小组，按照采价小组所采价格作为后两个月结算的基准价，一家永辉超市无法采全价格的，再任选其他家永辉超市进行补采，或一家永辉超市无法采集到所需物品价格的，由采价小组共同签字确认，采购人可决定更换其他品牌超市进行采集价格。</w:t>
      </w:r>
    </w:p>
    <w:p>
      <w:pPr>
        <w:pStyle w:val="null3"/>
        <w:ind w:firstLine="465"/>
        <w:jc w:val="left"/>
      </w:pPr>
      <w:r>
        <w:rPr>
          <w:rFonts w:ascii="仿宋_GB2312" w:hAnsi="仿宋_GB2312" w:cs="仿宋_GB2312" w:eastAsia="仿宋_GB2312"/>
          <w:sz w:val="24"/>
          <w:shd w:fill="FFFFFF" w:val="clear"/>
        </w:rPr>
        <w:t>1.4.3未采价的物资导致没有结算依据的，采购人一律不予结算，中标人需以报告的形式自愿放弃，中标人需无条件配合。同时，对于未采价的物品，中标人有权拒绝向采购人送货。</w:t>
      </w:r>
    </w:p>
    <w:p>
      <w:pPr>
        <w:pStyle w:val="null3"/>
        <w:ind w:firstLine="465"/>
        <w:jc w:val="left"/>
      </w:pPr>
      <w:r>
        <w:rPr>
          <w:rFonts w:ascii="仿宋_GB2312" w:hAnsi="仿宋_GB2312" w:cs="仿宋_GB2312" w:eastAsia="仿宋_GB2312"/>
          <w:sz w:val="24"/>
          <w:b/>
          <w:shd w:fill="FFFFFF" w:val="clear"/>
        </w:rPr>
        <w:t>1.4.4中标人需单独承诺遇见超市促销商品价格比商品原价中标折后价更低时，采取价格就低原则，按照超市促销价进行结算，采价材料比对存在差额时，采取价格就低原则，否则投标无效。</w:t>
      </w:r>
      <w:r>
        <w:rPr>
          <w:rFonts w:ascii="仿宋_GB2312" w:hAnsi="仿宋_GB2312" w:cs="仿宋_GB2312" w:eastAsia="仿宋_GB2312"/>
          <w:sz w:val="24"/>
          <w:b/>
          <w:shd w:fill="FFFFFF" w:val="clear"/>
        </w:rPr>
        <w:t>（提供专项承诺函）</w:t>
      </w:r>
    </w:p>
    <w:p>
      <w:pPr>
        <w:pStyle w:val="null3"/>
        <w:ind w:firstLine="465"/>
        <w:jc w:val="left"/>
      </w:pPr>
      <w:r>
        <w:rPr>
          <w:rFonts w:ascii="仿宋_GB2312" w:hAnsi="仿宋_GB2312" w:cs="仿宋_GB2312" w:eastAsia="仿宋_GB2312"/>
          <w:sz w:val="24"/>
        </w:rPr>
        <w:t>2、采购、车辆、配送要求</w:t>
      </w:r>
    </w:p>
    <w:p>
      <w:pPr>
        <w:pStyle w:val="null3"/>
        <w:ind w:firstLine="465"/>
        <w:jc w:val="left"/>
      </w:pPr>
      <w:r>
        <w:rPr>
          <w:rFonts w:ascii="仿宋_GB2312" w:hAnsi="仿宋_GB2312" w:cs="仿宋_GB2312" w:eastAsia="仿宋_GB2312"/>
          <w:sz w:val="24"/>
        </w:rPr>
        <w:t>2.1、采购要求：</w:t>
      </w:r>
    </w:p>
    <w:p>
      <w:pPr>
        <w:pStyle w:val="null3"/>
        <w:ind w:firstLine="465"/>
        <w:jc w:val="left"/>
      </w:pPr>
      <w:r>
        <w:rPr>
          <w:rFonts w:ascii="仿宋_GB2312" w:hAnsi="仿宋_GB2312" w:cs="仿宋_GB2312" w:eastAsia="仿宋_GB2312"/>
          <w:sz w:val="24"/>
        </w:rPr>
        <w:t>采购人于每日</w:t>
      </w:r>
      <w:r>
        <w:rPr>
          <w:rFonts w:ascii="仿宋_GB2312" w:hAnsi="仿宋_GB2312" w:cs="仿宋_GB2312" w:eastAsia="仿宋_GB2312"/>
          <w:sz w:val="24"/>
        </w:rPr>
        <w:t>16：30时前向中标人报送第二日的采购清单，清单内容含品名、单位、数量及有关特别说明或要求。</w:t>
      </w:r>
    </w:p>
    <w:p>
      <w:pPr>
        <w:pStyle w:val="null3"/>
        <w:ind w:firstLine="465"/>
        <w:jc w:val="left"/>
      </w:pPr>
      <w:r>
        <w:rPr>
          <w:rFonts w:ascii="仿宋_GB2312" w:hAnsi="仿宋_GB2312" w:cs="仿宋_GB2312" w:eastAsia="仿宋_GB2312"/>
          <w:sz w:val="24"/>
        </w:rPr>
        <w:t>中标人必须于每日</w:t>
      </w:r>
      <w:r>
        <w:rPr>
          <w:rFonts w:ascii="仿宋_GB2312" w:hAnsi="仿宋_GB2312" w:cs="仿宋_GB2312" w:eastAsia="仿宋_GB2312"/>
          <w:sz w:val="24"/>
        </w:rPr>
        <w:t>7:30分将全部货品送达采购人指定地点（遇特殊情况，采购人需要提前送货到达时间时，中标人需无条件配合），所配送商品质量等不符合采购人要求的，采购人有权要求退换货，退换货需在2个小时内配送，中标人需无条件配合。</w:t>
      </w:r>
    </w:p>
    <w:p>
      <w:pPr>
        <w:pStyle w:val="null3"/>
        <w:ind w:firstLine="465"/>
        <w:jc w:val="left"/>
      </w:pPr>
      <w:r>
        <w:rPr>
          <w:rFonts w:ascii="仿宋_GB2312" w:hAnsi="仿宋_GB2312" w:cs="仿宋_GB2312" w:eastAsia="仿宋_GB2312"/>
          <w:sz w:val="24"/>
        </w:rPr>
        <w:t>2.2、配送要求：</w:t>
      </w:r>
    </w:p>
    <w:p>
      <w:pPr>
        <w:pStyle w:val="null3"/>
        <w:ind w:firstLine="465"/>
        <w:jc w:val="left"/>
      </w:pPr>
      <w:r>
        <w:rPr>
          <w:rFonts w:ascii="仿宋_GB2312" w:hAnsi="仿宋_GB2312" w:cs="仿宋_GB2312" w:eastAsia="仿宋_GB2312"/>
          <w:sz w:val="24"/>
        </w:rPr>
        <w:t>中标人无特殊情况不得延误配送时间，不能及时送达要当即与采购人联系，说明原因，特别是采购人遇特殊任务要求时，中标人应按采购人要求将物资及时配送到位，不得延误。如需应急补货，中标人必须在</w:t>
      </w:r>
      <w:r>
        <w:rPr>
          <w:rFonts w:ascii="仿宋_GB2312" w:hAnsi="仿宋_GB2312" w:cs="仿宋_GB2312" w:eastAsia="仿宋_GB2312"/>
          <w:sz w:val="24"/>
        </w:rPr>
        <w:t>2个小时内送达采购人指定的地点。</w:t>
      </w:r>
    </w:p>
    <w:p>
      <w:pPr>
        <w:pStyle w:val="null3"/>
        <w:ind w:firstLine="465"/>
        <w:jc w:val="left"/>
      </w:pPr>
      <w:r>
        <w:rPr>
          <w:rFonts w:ascii="仿宋_GB2312" w:hAnsi="仿宋_GB2312" w:cs="仿宋_GB2312" w:eastAsia="仿宋_GB2312"/>
          <w:sz w:val="24"/>
        </w:rPr>
        <w:t>2.3、车辆管理要求</w:t>
      </w:r>
    </w:p>
    <w:p>
      <w:pPr>
        <w:pStyle w:val="null3"/>
        <w:ind w:firstLine="465"/>
        <w:jc w:val="left"/>
      </w:pPr>
      <w:r>
        <w:rPr>
          <w:rFonts w:ascii="仿宋_GB2312" w:hAnsi="仿宋_GB2312" w:cs="仿宋_GB2312" w:eastAsia="仿宋_GB2312"/>
          <w:sz w:val="24"/>
        </w:rPr>
        <w:t>2.3.1、中标人须明确至少1名固定司机和1辆固定车辆(车牌号及送货人员名单应报采购人备案），中标人在接到采购人送货通知后，中标人的对接人员需24小时响应，及时处理采购人要求，按照采购人的要求送达所有产品。</w:t>
      </w:r>
    </w:p>
    <w:p>
      <w:pPr>
        <w:pStyle w:val="null3"/>
        <w:ind w:firstLine="465"/>
        <w:jc w:val="left"/>
      </w:pPr>
      <w:r>
        <w:rPr>
          <w:rFonts w:ascii="仿宋_GB2312" w:hAnsi="仿宋_GB2312" w:cs="仿宋_GB2312" w:eastAsia="仿宋_GB2312"/>
          <w:sz w:val="24"/>
        </w:rPr>
        <w:t>2.3.2、中标人提供的对接人员若不符合采购人要求，采购人有权要求中标人在2日内进行更换，如中标人需更换对接人员须提前十个工作日报备采购人同意后方可变更,合同期内中标人最多更换2次对接人员。</w:t>
      </w:r>
    </w:p>
    <w:p>
      <w:pPr>
        <w:pStyle w:val="null3"/>
        <w:ind w:firstLine="465"/>
        <w:jc w:val="left"/>
      </w:pPr>
      <w:r>
        <w:rPr>
          <w:rFonts w:ascii="仿宋_GB2312" w:hAnsi="仿宋_GB2312" w:cs="仿宋_GB2312" w:eastAsia="仿宋_GB2312"/>
          <w:sz w:val="24"/>
        </w:rPr>
        <w:t>2.3.3、投标人必须拥有正规合法的配送运输设备及车辆，并保证其配送运输车辆具备冷藏功能，确保所配送的物资保持新鲜优质，并具有与配送商品相匹配的冷藏、保温设备和容器、包装物，并保证所有用品用具符合行业配送要求及卫生标准且要定期消毒。</w:t>
      </w:r>
    </w:p>
    <w:p>
      <w:pPr>
        <w:pStyle w:val="null3"/>
        <w:ind w:firstLine="465"/>
        <w:jc w:val="left"/>
      </w:pPr>
      <w:r>
        <w:rPr>
          <w:rFonts w:ascii="仿宋_GB2312" w:hAnsi="仿宋_GB2312" w:cs="仿宋_GB2312" w:eastAsia="仿宋_GB2312"/>
          <w:sz w:val="24"/>
        </w:rPr>
        <w:t>2.3.4、运输车厢的内仓，包括地面、墙面和顶，应使用抗腐蚀、防潮、易清洁消毒的材料。</w:t>
      </w:r>
    </w:p>
    <w:p>
      <w:pPr>
        <w:pStyle w:val="null3"/>
        <w:ind w:firstLine="465"/>
        <w:jc w:val="left"/>
      </w:pPr>
      <w:r>
        <w:rPr>
          <w:rFonts w:ascii="仿宋_GB2312" w:hAnsi="仿宋_GB2312" w:cs="仿宋_GB2312" w:eastAsia="仿宋_GB2312"/>
          <w:sz w:val="24"/>
        </w:rPr>
        <w:t>2.3.5、车厢内应无不良气味、异味。</w:t>
      </w:r>
    </w:p>
    <w:p>
      <w:pPr>
        <w:pStyle w:val="null3"/>
        <w:ind w:firstLine="465"/>
        <w:jc w:val="left"/>
      </w:pPr>
      <w:r>
        <w:rPr>
          <w:rFonts w:ascii="仿宋_GB2312" w:hAnsi="仿宋_GB2312" w:cs="仿宋_GB2312" w:eastAsia="仿宋_GB2312"/>
          <w:sz w:val="24"/>
        </w:rPr>
        <w:t>2.3.6、冷藏、冷冻等食品应当有必要的保温设备并在整个运输过程中保持安全的冷藏、冷冻温度。特别是对于长途运输的食品，保证食品在运输全过程处于合适的温度范围。</w:t>
      </w:r>
    </w:p>
    <w:p>
      <w:pPr>
        <w:pStyle w:val="null3"/>
        <w:ind w:firstLine="465"/>
        <w:jc w:val="left"/>
      </w:pPr>
      <w:r>
        <w:rPr>
          <w:rFonts w:ascii="仿宋_GB2312" w:hAnsi="仿宋_GB2312" w:cs="仿宋_GB2312" w:eastAsia="仿宋_GB2312"/>
          <w:sz w:val="24"/>
        </w:rPr>
        <w:t>2.3.7、整个运输过程应科学合理，运输车辆应定期清洁，保持性能稳定，符合规定的温度要求，使运输食品处于恒定的环境中。</w:t>
      </w:r>
    </w:p>
    <w:p>
      <w:pPr>
        <w:pStyle w:val="null3"/>
        <w:ind w:firstLine="465"/>
        <w:jc w:val="left"/>
      </w:pPr>
      <w:r>
        <w:rPr>
          <w:rFonts w:ascii="仿宋_GB2312" w:hAnsi="仿宋_GB2312" w:cs="仿宋_GB2312" w:eastAsia="仿宋_GB2312"/>
          <w:sz w:val="24"/>
        </w:rPr>
        <w:t>2.3.8、对送货车辆要定期消毒，保持清洁，食品堆放科学合理，避免食品交叉污染，如对温度有要求的食品应确定食品的温度。</w:t>
      </w:r>
    </w:p>
    <w:p>
      <w:pPr>
        <w:pStyle w:val="null3"/>
        <w:ind w:firstLine="465"/>
        <w:jc w:val="left"/>
      </w:pPr>
      <w:r>
        <w:rPr>
          <w:rFonts w:ascii="仿宋_GB2312" w:hAnsi="仿宋_GB2312" w:cs="仿宋_GB2312" w:eastAsia="仿宋_GB2312"/>
          <w:sz w:val="24"/>
        </w:rPr>
        <w:t>2.3.9、严格落实消毒要求，对送货车辆的定期消毒制度，避免在运输过程中导致交叉感染，使所需物资安全性出现问题送货车辆应保持清洁，食品堆放科学合理，避免造成食品的交叉污染，如对温度有要求的食品应确定食品的温度，记录送货车辆温度，并记录存档。</w:t>
      </w:r>
    </w:p>
    <w:p>
      <w:pPr>
        <w:pStyle w:val="null3"/>
        <w:ind w:firstLine="465"/>
        <w:jc w:val="left"/>
      </w:pPr>
      <w:r>
        <w:rPr>
          <w:rFonts w:ascii="仿宋_GB2312" w:hAnsi="仿宋_GB2312" w:cs="仿宋_GB2312" w:eastAsia="仿宋_GB2312"/>
          <w:sz w:val="24"/>
        </w:rPr>
        <w:t>2.3.10、加工、配送场所要求：中标人应有一定面积配送中心，配送中心应有固定的、具备与配送商品相匹配的冷藏、保温设备食品仓储的场所。</w:t>
      </w:r>
    </w:p>
    <w:p>
      <w:pPr>
        <w:pStyle w:val="null3"/>
        <w:ind w:firstLine="465"/>
        <w:jc w:val="left"/>
      </w:pPr>
      <w:r>
        <w:rPr>
          <w:rFonts w:ascii="仿宋_GB2312" w:hAnsi="仿宋_GB2312" w:cs="仿宋_GB2312" w:eastAsia="仿宋_GB2312"/>
          <w:sz w:val="24"/>
        </w:rPr>
        <w:t>2.3.11、采购、加工、拣配、配送人员要求：中标人应有专业、稳定的采购、加工、拣配、配送团队，团队人员必须遵纪守法，无行贿犯罪记录，持健康证上岗，按规定着装，配带工作证，并做好保密工作。中标人所配备的团队人员需要更换的需要提前一周告知采购人并征得采购人同意后才能更换。</w:t>
      </w:r>
    </w:p>
    <w:p>
      <w:pPr>
        <w:pStyle w:val="null3"/>
      </w:pPr>
      <w:r>
        <w:rPr>
          <w:rFonts w:ascii="仿宋_GB2312" w:hAnsi="仿宋_GB2312" w:cs="仿宋_GB2312" w:eastAsia="仿宋_GB2312"/>
          <w:sz w:val="24"/>
        </w:rPr>
        <w:t>2.4 人员要求</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投标人需为本项目配置一名会计人员，确保核账清楚，钱款往来无误。</w:t>
      </w:r>
      <w:r>
        <w:rPr>
          <w:rFonts w:ascii="仿宋_GB2312" w:hAnsi="仿宋_GB2312" w:cs="仿宋_GB2312" w:eastAsia="仿宋_GB2312"/>
          <w:sz w:val="24"/>
          <w:b/>
        </w:rPr>
        <w:t>（此项须提供专项承诺函，格式自拟）</w:t>
      </w:r>
    </w:p>
    <w:p>
      <w:pPr>
        <w:pStyle w:val="null3"/>
      </w:pPr>
      <w:r>
        <w:rPr>
          <w:rFonts w:ascii="仿宋_GB2312" w:hAnsi="仿宋_GB2312" w:cs="仿宋_GB2312" w:eastAsia="仿宋_GB2312"/>
          <w:sz w:val="24"/>
        </w:rPr>
        <w:t>2.5 投标人须承诺中标后须加入市场监督管理局建立的食品安全“一品一码”可追溯体系平台，并将食品的产品合格证明录入台账。</w:t>
      </w:r>
      <w:r>
        <w:rPr>
          <w:rFonts w:ascii="仿宋_GB2312" w:hAnsi="仿宋_GB2312" w:cs="仿宋_GB2312" w:eastAsia="仿宋_GB2312"/>
          <w:sz w:val="24"/>
          <w:b/>
        </w:rPr>
        <w:t>（此项须提供专项承诺函，格式自拟）</w:t>
      </w:r>
    </w:p>
    <w:p>
      <w:pPr>
        <w:pStyle w:val="null3"/>
        <w:ind w:firstLine="240"/>
        <w:jc w:val="left"/>
      </w:pPr>
      <w:r>
        <w:rPr>
          <w:rFonts w:ascii="仿宋_GB2312" w:hAnsi="仿宋_GB2312" w:cs="仿宋_GB2312" w:eastAsia="仿宋_GB2312"/>
          <w:sz w:val="24"/>
          <w:shd w:fill="FFFFFF" w:val="clear"/>
        </w:rPr>
        <w:t>3、质量要求</w:t>
      </w:r>
    </w:p>
    <w:p>
      <w:pPr>
        <w:pStyle w:val="null3"/>
        <w:ind w:firstLine="480"/>
        <w:jc w:val="left"/>
      </w:pPr>
      <w:r>
        <w:rPr>
          <w:rFonts w:ascii="仿宋_GB2312" w:hAnsi="仿宋_GB2312" w:cs="仿宋_GB2312" w:eastAsia="仿宋_GB2312"/>
          <w:sz w:val="24"/>
          <w:shd w:fill="FFFFFF" w:val="clear"/>
        </w:rPr>
        <w:t>3.1、中标人提供物资品质应当不低于采价的永辉超市当日销售的同品牌同规格物资品质。中标人提供物品应当符合《中华人民共和国产品质量法》、《中华人民共和国食品安全法》规定，符合国家标准，行业标准高于国家标准的，以行业标准为质量标准。</w:t>
      </w:r>
    </w:p>
    <w:p>
      <w:pPr>
        <w:pStyle w:val="null3"/>
        <w:ind w:firstLine="480"/>
        <w:jc w:val="left"/>
      </w:pPr>
      <w:r>
        <w:rPr>
          <w:rFonts w:ascii="仿宋_GB2312" w:hAnsi="仿宋_GB2312" w:cs="仿宋_GB2312" w:eastAsia="仿宋_GB2312"/>
          <w:sz w:val="24"/>
          <w:shd w:fill="FFFFFF" w:val="clear"/>
        </w:rPr>
        <w:t>3.2、中标人所提供具有外包装的物资应当是原厂原包装，包装方式和包装质量应符合国家规定，物资包装破损率为零。产品如有标示产品保质期的，在送达采购人指定地点时剩余的保质期应在二分之一以上。</w:t>
      </w:r>
    </w:p>
    <w:p>
      <w:pPr>
        <w:pStyle w:val="null3"/>
        <w:ind w:firstLine="480"/>
        <w:jc w:val="left"/>
      </w:pPr>
      <w:r>
        <w:rPr>
          <w:rFonts w:ascii="仿宋_GB2312" w:hAnsi="仿宋_GB2312" w:cs="仿宋_GB2312" w:eastAsia="仿宋_GB2312"/>
          <w:sz w:val="24"/>
          <w:shd w:fill="FFFFFF" w:val="clear"/>
        </w:rPr>
        <w:t>3.3、中标人提供的物资应当符合食品卫生要求及国家标准，如无国家标准，按地方或行业标准执行，且不得低于采价超市的质量标准。采购生产、经营证明文件齐备，明确食品来源，并具有检验合格证明。严禁采购超过保质期限的食品。</w:t>
      </w:r>
    </w:p>
    <w:p>
      <w:pPr>
        <w:pStyle w:val="null3"/>
        <w:ind w:firstLine="480"/>
        <w:jc w:val="left"/>
      </w:pPr>
      <w:r>
        <w:rPr>
          <w:rFonts w:ascii="仿宋_GB2312" w:hAnsi="仿宋_GB2312" w:cs="仿宋_GB2312" w:eastAsia="仿宋_GB2312"/>
          <w:sz w:val="24"/>
          <w:shd w:fill="FFFFFF" w:val="clear"/>
        </w:rPr>
        <w:t>3.4、预包装货物包装必须符合国家规范，食品不得存放在有害、有毒的容器内，食品包装上必须使用原产地的标识，应注明：制造商名称和厂址、食品名称和重（容）量、生产日期和保质期限以及规格和SC认证书。</w:t>
      </w:r>
    </w:p>
    <w:p>
      <w:pPr>
        <w:pStyle w:val="null3"/>
        <w:ind w:firstLine="480"/>
        <w:jc w:val="left"/>
      </w:pPr>
      <w:r>
        <w:rPr>
          <w:rFonts w:ascii="仿宋_GB2312" w:hAnsi="仿宋_GB2312" w:cs="仿宋_GB2312" w:eastAsia="仿宋_GB2312"/>
          <w:sz w:val="24"/>
          <w:shd w:fill="FFFFFF" w:val="clear"/>
        </w:rPr>
        <w:t>3.5、中标人的货物质量还须符合采购人的订货清单要求的条件，如货物不符合本合同及招标文件的，采购人有权拒绝接受，中标人承担违约责任。</w:t>
      </w:r>
    </w:p>
    <w:p>
      <w:pPr>
        <w:pStyle w:val="null3"/>
        <w:ind w:firstLine="480"/>
        <w:jc w:val="left"/>
      </w:pPr>
      <w:r>
        <w:rPr>
          <w:rFonts w:ascii="仿宋_GB2312" w:hAnsi="仿宋_GB2312" w:cs="仿宋_GB2312" w:eastAsia="仿宋_GB2312"/>
          <w:sz w:val="24"/>
          <w:shd w:fill="FFFFFF" w:val="clear"/>
        </w:rPr>
        <w:t>3.6、中标人提供的食材应为非转基因食品，不得提供含有瘦肉精等不符合食品安全规定的食品。</w:t>
      </w:r>
    </w:p>
    <w:p>
      <w:pPr>
        <w:pStyle w:val="null3"/>
        <w:ind w:firstLine="480"/>
        <w:jc w:val="left"/>
      </w:pPr>
      <w:r>
        <w:rPr>
          <w:rFonts w:ascii="仿宋_GB2312" w:hAnsi="仿宋_GB2312" w:cs="仿宋_GB2312" w:eastAsia="仿宋_GB2312"/>
          <w:sz w:val="24"/>
          <w:shd w:fill="FFFFFF" w:val="clear"/>
        </w:rPr>
        <w:t>3.7、物资验收实行索证制度，确保可追溯来源。</w:t>
      </w:r>
    </w:p>
    <w:p>
      <w:pPr>
        <w:pStyle w:val="null3"/>
        <w:jc w:val="left"/>
      </w:pPr>
      <w:r>
        <w:rPr>
          <w:rFonts w:ascii="仿宋_GB2312" w:hAnsi="仿宋_GB2312" w:cs="仿宋_GB2312" w:eastAsia="仿宋_GB2312"/>
          <w:sz w:val="24"/>
          <w:shd w:fill="FFFFFF" w:val="clear"/>
        </w:rPr>
        <w:t>4、食材要求</w:t>
      </w:r>
    </w:p>
    <w:p>
      <w:pPr>
        <w:pStyle w:val="null3"/>
        <w:jc w:val="left"/>
      </w:pPr>
      <w:r>
        <w:rPr>
          <w:rFonts w:ascii="仿宋_GB2312" w:hAnsi="仿宋_GB2312" w:cs="仿宋_GB2312" w:eastAsia="仿宋_GB2312"/>
          <w:sz w:val="24"/>
          <w:shd w:fill="FFFFFF" w:val="clear"/>
        </w:rPr>
        <w:t>4.1、蔬菜类</w:t>
      </w:r>
    </w:p>
    <w:p>
      <w:pPr>
        <w:pStyle w:val="null3"/>
        <w:jc w:val="left"/>
      </w:pPr>
      <w:r>
        <w:rPr>
          <w:rFonts w:ascii="仿宋_GB2312" w:hAnsi="仿宋_GB2312" w:cs="仿宋_GB2312" w:eastAsia="仿宋_GB2312"/>
          <w:sz w:val="24"/>
          <w:shd w:fill="FFFFFF" w:val="clear"/>
        </w:rPr>
        <w:t>4.1.1 中标人提供的蔬菜应为无公害蔬菜，必须提供每批次相应的检验证明，不得造假，若造假，按终止合同处罚，没收履约保证金。无公害蔬菜主要指：无使用工业污染水质浇灌的蔬菜、无使用国家严禁使用的农药喷洒的蔬菜、使用农药后经必要的时间采摘的蔬菜。</w:t>
      </w:r>
    </w:p>
    <w:p>
      <w:pPr>
        <w:pStyle w:val="null3"/>
        <w:jc w:val="left"/>
      </w:pPr>
      <w:r>
        <w:rPr>
          <w:rFonts w:ascii="仿宋_GB2312" w:hAnsi="仿宋_GB2312" w:cs="仿宋_GB2312" w:eastAsia="仿宋_GB2312"/>
          <w:sz w:val="24"/>
          <w:shd w:fill="FFFFFF" w:val="clear"/>
        </w:rPr>
        <w:t>4.1.2 中标人提供的蔬菜的农药的残留量不得超过国家规定的标准。使用酶抑制率法，样品提取液对酶抑制率≥50%时，表示农药残留超标。每批次同品种蔬菜随机抽检一份样品，检测结果为合格的判断为合格。检测结果为不合格的，重新抽取两份样品进行重复检测，重检结果一个以上不合格的判断为不合格。</w:t>
      </w:r>
    </w:p>
    <w:p>
      <w:pPr>
        <w:pStyle w:val="null3"/>
        <w:jc w:val="left"/>
      </w:pPr>
      <w:r>
        <w:rPr>
          <w:rFonts w:ascii="仿宋_GB2312" w:hAnsi="仿宋_GB2312" w:cs="仿宋_GB2312" w:eastAsia="仿宋_GB2312"/>
          <w:sz w:val="24"/>
          <w:shd w:fill="FFFFFF" w:val="clear"/>
        </w:rPr>
        <w:t>4.1.3 中标人提供的蔬菜应当是新鲜、青嫩、干净、无杂质、无杂草、无黄叶、无老叶、无浸水泡水或注水。</w:t>
      </w:r>
    </w:p>
    <w:p>
      <w:pPr>
        <w:pStyle w:val="null3"/>
        <w:jc w:val="left"/>
      </w:pPr>
      <w:r>
        <w:rPr>
          <w:rFonts w:ascii="仿宋_GB2312" w:hAnsi="仿宋_GB2312" w:cs="仿宋_GB2312" w:eastAsia="仿宋_GB2312"/>
          <w:sz w:val="24"/>
          <w:shd w:fill="FFFFFF" w:val="clear"/>
        </w:rPr>
        <w:t>4.1.4 新鲜指各类蔬菜无腐烂、变质、无臭水伤味、无糟软状态，尤其是黄、绿豆芽、鲜菌类应保持应有的新鲜度。</w:t>
      </w:r>
    </w:p>
    <w:p>
      <w:pPr>
        <w:pStyle w:val="null3"/>
        <w:jc w:val="left"/>
      </w:pPr>
      <w:r>
        <w:rPr>
          <w:rFonts w:ascii="仿宋_GB2312" w:hAnsi="仿宋_GB2312" w:cs="仿宋_GB2312" w:eastAsia="仿宋_GB2312"/>
          <w:sz w:val="24"/>
          <w:shd w:fill="FFFFFF" w:val="clear"/>
        </w:rPr>
        <w:t>4.1.5 青嫩是指绝大多数蔬菜（除冬瓜、南瓜、金瓜外）不但青而且嫩:豆角类及葫芦瓜等要保持青色，外壳不能呈白色；茄子为紫色，其浅白色部分不能超过每根茄子长的五分之一；青菜类和白菜类的外叶折断时不能有丝相连不断连的现象；丝瓜、苦瓜等折而易断，籽嫩而不硬；鲜蒜叶子不黄，头部与杆部一般大小相同。</w:t>
      </w:r>
    </w:p>
    <w:p>
      <w:pPr>
        <w:pStyle w:val="null3"/>
        <w:jc w:val="left"/>
      </w:pPr>
      <w:r>
        <w:rPr>
          <w:rFonts w:ascii="仿宋_GB2312" w:hAnsi="仿宋_GB2312" w:cs="仿宋_GB2312" w:eastAsia="仿宋_GB2312"/>
          <w:sz w:val="24"/>
          <w:shd w:fill="FFFFFF" w:val="clear"/>
        </w:rPr>
        <w:t>4.1.6 干净、无杂质、无杂草泛指各类蔬菜，特别是根（块）茎类的蔬菜不能有泥巴，鲜蒜、香葱、洋葱等的根部要干净。</w:t>
      </w:r>
    </w:p>
    <w:p>
      <w:pPr>
        <w:pStyle w:val="null3"/>
        <w:jc w:val="left"/>
      </w:pPr>
      <w:r>
        <w:rPr>
          <w:rFonts w:ascii="仿宋_GB2312" w:hAnsi="仿宋_GB2312" w:cs="仿宋_GB2312" w:eastAsia="仿宋_GB2312"/>
          <w:sz w:val="24"/>
          <w:shd w:fill="FFFFFF" w:val="clear"/>
        </w:rPr>
        <w:t>4.1.7 无黄叶、老叶主要指青菜、白菜及部分调味品类蔬菜。青菜类要青，不能有黄叶，白菜类要见白，不能有老叶，花菜不能有青杆。鲜蒜、香葱等的杆部应当见白。无浸水、泡水或注水主要指白菜类（含花菜）、瓜果类、鲜菌类及根（块）茎类蔬菜不能浸水、泡水或注水。</w:t>
      </w:r>
    </w:p>
    <w:p>
      <w:pPr>
        <w:pStyle w:val="null3"/>
        <w:jc w:val="left"/>
      </w:pPr>
      <w:r>
        <w:rPr>
          <w:rFonts w:ascii="仿宋_GB2312" w:hAnsi="仿宋_GB2312" w:cs="仿宋_GB2312" w:eastAsia="仿宋_GB2312"/>
          <w:sz w:val="24"/>
          <w:shd w:fill="FFFFFF" w:val="clear"/>
        </w:rPr>
        <w:t>4.2、肉类</w:t>
      </w:r>
    </w:p>
    <w:p>
      <w:pPr>
        <w:pStyle w:val="null3"/>
        <w:jc w:val="left"/>
      </w:pPr>
      <w:r>
        <w:rPr>
          <w:rFonts w:ascii="仿宋_GB2312" w:hAnsi="仿宋_GB2312" w:cs="仿宋_GB2312" w:eastAsia="仿宋_GB2312"/>
          <w:sz w:val="24"/>
          <w:shd w:fill="FFFFFF" w:val="clear"/>
        </w:rPr>
        <w:t>4.2.1 中标人提供的肉类产品为在政府规定的屠宰场所屠杀的生鲜猪肉。</w:t>
      </w:r>
    </w:p>
    <w:p>
      <w:pPr>
        <w:pStyle w:val="null3"/>
        <w:jc w:val="left"/>
      </w:pPr>
      <w:r>
        <w:rPr>
          <w:rFonts w:ascii="仿宋_GB2312" w:hAnsi="仿宋_GB2312" w:cs="仿宋_GB2312" w:eastAsia="仿宋_GB2312"/>
          <w:sz w:val="24"/>
          <w:shd w:fill="FFFFFF" w:val="clear"/>
        </w:rPr>
        <w:t>4.2.2 产品应符合国家安全标准。产品非病死禽畜肉。</w:t>
      </w:r>
    </w:p>
    <w:p>
      <w:pPr>
        <w:pStyle w:val="null3"/>
        <w:jc w:val="left"/>
      </w:pPr>
      <w:r>
        <w:rPr>
          <w:rFonts w:ascii="仿宋_GB2312" w:hAnsi="仿宋_GB2312" w:cs="仿宋_GB2312" w:eastAsia="仿宋_GB2312"/>
          <w:sz w:val="24"/>
          <w:shd w:fill="FFFFFF" w:val="clear"/>
        </w:rPr>
        <w:t>4.2.3 不得向采购人提供“注水”禽畜肉、母猪肉。</w:t>
      </w:r>
    </w:p>
    <w:p>
      <w:pPr>
        <w:pStyle w:val="null3"/>
        <w:jc w:val="left"/>
      </w:pPr>
      <w:r>
        <w:rPr>
          <w:rFonts w:ascii="仿宋_GB2312" w:hAnsi="仿宋_GB2312" w:cs="仿宋_GB2312" w:eastAsia="仿宋_GB2312"/>
          <w:sz w:val="24"/>
          <w:shd w:fill="FFFFFF" w:val="clear"/>
        </w:rPr>
        <w:t>4.2.4 中标人提供的猪肉应经检验、检疫合格，必须提供每批次相应的检验、检疫证明。</w:t>
      </w:r>
    </w:p>
    <w:p>
      <w:pPr>
        <w:pStyle w:val="null3"/>
        <w:jc w:val="left"/>
      </w:pPr>
      <w:r>
        <w:rPr>
          <w:rFonts w:ascii="仿宋_GB2312" w:hAnsi="仿宋_GB2312" w:cs="仿宋_GB2312" w:eastAsia="仿宋_GB2312"/>
          <w:sz w:val="24"/>
          <w:shd w:fill="FFFFFF" w:val="clear"/>
        </w:rPr>
        <w:t>4.2.5 中标人在供货过程中提供的肉类不符合质量要求，并未能提供相应证明的，采购人有权取消其中标资格，终止合同并追究其违约责任。</w:t>
      </w:r>
    </w:p>
    <w:p>
      <w:pPr>
        <w:pStyle w:val="null3"/>
        <w:jc w:val="left"/>
      </w:pPr>
      <w:r>
        <w:rPr>
          <w:rFonts w:ascii="仿宋_GB2312" w:hAnsi="仿宋_GB2312" w:cs="仿宋_GB2312" w:eastAsia="仿宋_GB2312"/>
          <w:sz w:val="24"/>
          <w:shd w:fill="FFFFFF" w:val="clear"/>
        </w:rPr>
        <w:t>4.2.6 新鲜猪肉要求：脂肪洁白，肌肉有光泽，红色均匀，外表微干或微湿润，用手指压在瘦肉上的凹陷有能立即恢复，弹性好。新鲜猪肉产品供货时须提供当天检验局出具的检验合格报告。</w:t>
      </w:r>
    </w:p>
    <w:p>
      <w:pPr>
        <w:pStyle w:val="null3"/>
        <w:jc w:val="left"/>
      </w:pPr>
      <w:r>
        <w:rPr>
          <w:rFonts w:ascii="仿宋_GB2312" w:hAnsi="仿宋_GB2312" w:cs="仿宋_GB2312" w:eastAsia="仿宋_GB2312"/>
          <w:sz w:val="24"/>
          <w:shd w:fill="FFFFFF" w:val="clear"/>
        </w:rPr>
        <w:t>4.2.7 新鲜牛肉要求：肌肉有光泽、红色均匀稍暗，脂肪洁白或呈淡黄色；变质的肌肉无光泽，脂肪呈黄绿色。外表微干或有风干膜、不黏手、弹性好；具有新鲜牛肉味儿。新鲜牛肉产品供货时须提供当天检验局出具的检验合格报告。</w:t>
      </w:r>
    </w:p>
    <w:p>
      <w:pPr>
        <w:pStyle w:val="null3"/>
        <w:jc w:val="left"/>
      </w:pPr>
      <w:r>
        <w:rPr>
          <w:rFonts w:ascii="仿宋_GB2312" w:hAnsi="仿宋_GB2312" w:cs="仿宋_GB2312" w:eastAsia="仿宋_GB2312"/>
          <w:sz w:val="24"/>
          <w:shd w:fill="FFFFFF" w:val="clear"/>
        </w:rPr>
        <w:t>4.2.8 新鲜羊肉要求：肌肉有光泽，红色均匀，脂肪洁白或淡黄色，质坚硬而脆。有明显的羊肉膻味。一用手指按压后的凹陷，能立即恢复原状。外表微干或有风干的膜，不粘手。</w:t>
      </w:r>
    </w:p>
    <w:p>
      <w:pPr>
        <w:pStyle w:val="null3"/>
        <w:jc w:val="left"/>
      </w:pPr>
      <w:r>
        <w:rPr>
          <w:rFonts w:ascii="仿宋_GB2312" w:hAnsi="仿宋_GB2312" w:cs="仿宋_GB2312" w:eastAsia="仿宋_GB2312"/>
          <w:sz w:val="24"/>
          <w:shd w:fill="FFFFFF" w:val="clear"/>
        </w:rPr>
        <w:t>4.2.9 鲜禽肉要求：眼球饱满，晶体透亮，皮肤有光泽。</w:t>
      </w:r>
    </w:p>
    <w:p>
      <w:pPr>
        <w:pStyle w:val="null3"/>
        <w:jc w:val="left"/>
      </w:pPr>
      <w:r>
        <w:rPr>
          <w:rFonts w:ascii="仿宋_GB2312" w:hAnsi="仿宋_GB2312" w:cs="仿宋_GB2312" w:eastAsia="仿宋_GB2312"/>
          <w:sz w:val="24"/>
          <w:shd w:fill="FFFFFF" w:val="clear"/>
        </w:rPr>
        <w:t>4.3、鱼类及海鲜类</w:t>
      </w:r>
    </w:p>
    <w:p>
      <w:pPr>
        <w:pStyle w:val="null3"/>
        <w:jc w:val="left"/>
      </w:pPr>
      <w:r>
        <w:rPr>
          <w:rFonts w:ascii="仿宋_GB2312" w:hAnsi="仿宋_GB2312" w:cs="仿宋_GB2312" w:eastAsia="仿宋_GB2312"/>
          <w:sz w:val="24"/>
          <w:shd w:fill="FFFFFF" w:val="clear"/>
        </w:rPr>
        <w:t>4.3.1 除冰鲜鱼类，中标人所提供货物要求成活率100%，并提供相应的检验证明。</w:t>
      </w:r>
    </w:p>
    <w:p>
      <w:pPr>
        <w:pStyle w:val="null3"/>
        <w:jc w:val="left"/>
      </w:pPr>
      <w:r>
        <w:rPr>
          <w:rFonts w:ascii="仿宋_GB2312" w:hAnsi="仿宋_GB2312" w:cs="仿宋_GB2312" w:eastAsia="仿宋_GB2312"/>
          <w:sz w:val="24"/>
          <w:shd w:fill="FFFFFF" w:val="clear"/>
        </w:rPr>
        <w:t>4.3.2 体型：光洁健壮，无斑点、无畸形。</w:t>
      </w:r>
    </w:p>
    <w:p>
      <w:pPr>
        <w:pStyle w:val="null3"/>
        <w:jc w:val="left"/>
      </w:pPr>
      <w:r>
        <w:rPr>
          <w:rFonts w:ascii="仿宋_GB2312" w:hAnsi="仿宋_GB2312" w:cs="仿宋_GB2312" w:eastAsia="仿宋_GB2312"/>
          <w:sz w:val="24"/>
          <w:shd w:fill="FFFFFF" w:val="clear"/>
        </w:rPr>
        <w:t>4.3.3 规格要求：根据采购方的要求提供大小不同的鱼类。</w:t>
      </w:r>
    </w:p>
    <w:p>
      <w:pPr>
        <w:pStyle w:val="null3"/>
        <w:jc w:val="left"/>
      </w:pPr>
      <w:r>
        <w:rPr>
          <w:rFonts w:ascii="仿宋_GB2312" w:hAnsi="仿宋_GB2312" w:cs="仿宋_GB2312" w:eastAsia="仿宋_GB2312"/>
          <w:sz w:val="24"/>
          <w:shd w:fill="FFFFFF" w:val="clear"/>
        </w:rPr>
        <w:t>4.3.4 理化指标：无公害标准。卫生指标：无有害物质残留，无病害。</w:t>
      </w:r>
    </w:p>
    <w:p>
      <w:pPr>
        <w:pStyle w:val="null3"/>
        <w:jc w:val="left"/>
      </w:pPr>
      <w:r>
        <w:rPr>
          <w:rFonts w:ascii="仿宋_GB2312" w:hAnsi="仿宋_GB2312" w:cs="仿宋_GB2312" w:eastAsia="仿宋_GB2312"/>
          <w:sz w:val="24"/>
          <w:shd w:fill="FFFFFF" w:val="clear"/>
        </w:rPr>
        <w:t>4.3.5 鲜活水产品类：成活率100%，以淡水鱼、虾、蟹和咸水贝壳类为例：鱼、虾、蟹形体完整，能自主、正常游动或爬动，贝壳类为吐沙完毕的活贝，体内的肉会吐出来，用手指一碰，贝肉就会收进去；</w:t>
      </w:r>
    </w:p>
    <w:p>
      <w:pPr>
        <w:pStyle w:val="null3"/>
        <w:jc w:val="left"/>
      </w:pPr>
      <w:r>
        <w:rPr>
          <w:rFonts w:ascii="仿宋_GB2312" w:hAnsi="仿宋_GB2312" w:cs="仿宋_GB2312" w:eastAsia="仿宋_GB2312"/>
          <w:sz w:val="24"/>
          <w:shd w:fill="FFFFFF" w:val="clear"/>
        </w:rPr>
        <w:t>4.3.6 鳀鱼、秋刀鱼等海产品鱼类，允许为冰鲜，要求外表鲜艳、形体完整、无损伤、鳞片和外壳整齐、肌肉紧实有弹性，且鱼眼球清晰明亮、鱼鳃鲜红无异味，虾色青、皮亮、身硬、不活头、全尾，除了以上要求外还须外包装完好（如有），鱼体表层无干缩、油烧现象。必须保证其鲜活度符合人体食用安全标准和条件，不得添加或超标含有保鲜剂、反腐剂及其他有害人体健康的其他物质。</w:t>
      </w:r>
    </w:p>
    <w:p>
      <w:pPr>
        <w:pStyle w:val="null3"/>
        <w:jc w:val="left"/>
      </w:pPr>
      <w:r>
        <w:rPr>
          <w:rFonts w:ascii="仿宋_GB2312" w:hAnsi="仿宋_GB2312" w:cs="仿宋_GB2312" w:eastAsia="仿宋_GB2312"/>
          <w:sz w:val="24"/>
          <w:shd w:fill="FFFFFF" w:val="clear"/>
        </w:rPr>
        <w:t>4.3.7新鲜海鲜干货：需购自正规厂家，外包装有产品名称、制造商名称和地址或出产地、重（容）量、生产日期、保质期“ES”认证标志等标识，应有产品质量合格证明，产品鲜艳无发霉发臭现象。</w:t>
      </w:r>
    </w:p>
    <w:p>
      <w:pPr>
        <w:pStyle w:val="null3"/>
        <w:jc w:val="left"/>
      </w:pPr>
      <w:r>
        <w:rPr>
          <w:rFonts w:ascii="仿宋_GB2312" w:hAnsi="仿宋_GB2312" w:cs="仿宋_GB2312" w:eastAsia="仿宋_GB2312"/>
          <w:sz w:val="24"/>
          <w:shd w:fill="FFFFFF" w:val="clear"/>
        </w:rPr>
        <w:t>4.4、冻品</w:t>
      </w:r>
    </w:p>
    <w:p>
      <w:pPr>
        <w:pStyle w:val="null3"/>
        <w:jc w:val="left"/>
      </w:pPr>
      <w:r>
        <w:rPr>
          <w:rFonts w:ascii="仿宋_GB2312" w:hAnsi="仿宋_GB2312" w:cs="仿宋_GB2312" w:eastAsia="仿宋_GB2312"/>
          <w:sz w:val="24"/>
          <w:shd w:fill="FFFFFF" w:val="clear"/>
        </w:rPr>
        <w:t>4.4.1 中标人对供应的冻品须提供相应的检验证明；</w:t>
      </w:r>
    </w:p>
    <w:p>
      <w:pPr>
        <w:pStyle w:val="null3"/>
        <w:jc w:val="left"/>
      </w:pPr>
      <w:r>
        <w:rPr>
          <w:rFonts w:ascii="仿宋_GB2312" w:hAnsi="仿宋_GB2312" w:cs="仿宋_GB2312" w:eastAsia="仿宋_GB2312"/>
          <w:sz w:val="24"/>
          <w:shd w:fill="FFFFFF" w:val="clear"/>
        </w:rPr>
        <w:t>4.4.2 无血水、血污；无残骨、无伤斑、溃烂炎症；</w:t>
      </w:r>
    </w:p>
    <w:p>
      <w:pPr>
        <w:pStyle w:val="null3"/>
        <w:jc w:val="left"/>
      </w:pPr>
      <w:r>
        <w:rPr>
          <w:rFonts w:ascii="仿宋_GB2312" w:hAnsi="仿宋_GB2312" w:cs="仿宋_GB2312" w:eastAsia="仿宋_GB2312"/>
          <w:sz w:val="24"/>
          <w:shd w:fill="FFFFFF" w:val="clear"/>
        </w:rPr>
        <w:t>4.4.3 含水量整化冰后不高于5%；</w:t>
      </w:r>
    </w:p>
    <w:p>
      <w:pPr>
        <w:pStyle w:val="null3"/>
        <w:jc w:val="left"/>
      </w:pPr>
      <w:r>
        <w:rPr>
          <w:rFonts w:ascii="仿宋_GB2312" w:hAnsi="仿宋_GB2312" w:cs="仿宋_GB2312" w:eastAsia="仿宋_GB2312"/>
          <w:sz w:val="24"/>
          <w:shd w:fill="FFFFFF" w:val="clear"/>
        </w:rPr>
        <w:t>4.5、鱼类及水产类</w:t>
      </w:r>
    </w:p>
    <w:p>
      <w:pPr>
        <w:pStyle w:val="null3"/>
        <w:jc w:val="left"/>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鱼类及水产类除应满足不低于超市采价同品质、同规格等要求外，且需满足以下相关要求：</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830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冰鲜类</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品名</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要求</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规格（条）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肉鲳鱼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大鱿鱼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小红斑</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125g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竹甲鱼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350g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金线鱼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小赤棕鱼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红古鱼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1000g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白鲳鱼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黄翅鱼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大熟鱼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75g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缇鱼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马鲛鱼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白翅鱼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250g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金鲳鱼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沙尖鱼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75g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半边鱼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300g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池蛋鱼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350g</w:t>
            </w:r>
          </w:p>
        </w:tc>
      </w:tr>
      <w:tr>
        <w:tc>
          <w:tcPr>
            <w:tcW w:type="dxa" w:w="83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4"/>
                <w:shd w:fill="FFFFFF" w:val="clear"/>
              </w:rPr>
              <w:t>活鲜类</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品名</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要求</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规格（条）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河鳗</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1000g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小菜鲟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红鲢（头）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不高于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带肉不多于</w:t>
            </w:r>
            <w:r>
              <w:rPr>
                <w:rFonts w:ascii="仿宋_GB2312" w:hAnsi="仿宋_GB2312" w:cs="仿宋_GB2312" w:eastAsia="仿宋_GB2312"/>
                <w:sz w:val="24"/>
                <w:shd w:fill="FFFFFF" w:val="clear"/>
              </w:rPr>
              <w:t>2指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虾菇</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25g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三眼蟹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淡菜</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35g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花蛤</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草鱼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红鲟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200g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毛蟹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75g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鳊鱼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750g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公正蟹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草鲡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1000g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黄甲</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兰公蟹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包公鱼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红鲢</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黑虎虾</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25g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珍珠斑</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海鲫鱼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龙胆石斑鱼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春只</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桂花鱼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多宝鱼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白鲫鱼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350g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清江鱼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600g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非洲鲫鱼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彩云雕</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明虾</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淡水瓜</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鲍鱼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鲈鱼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花蟹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淡水虾</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25g</w:t>
            </w:r>
          </w:p>
        </w:tc>
      </w:tr>
      <w:tr>
        <w:tc>
          <w:tcPr>
            <w:tcW w:type="dxa" w:w="83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冻品类</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品名</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要求</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规格（条）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秋刀鱼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比目鱼头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200g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带鱼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黄鳗</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小黄鱼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60g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比目鱼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500g</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龙头鱼</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不低于</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75g</w:t>
            </w:r>
          </w:p>
        </w:tc>
      </w:tr>
    </w:tbl>
    <w:p>
      <w:pPr>
        <w:pStyle w:val="null3"/>
        <w:jc w:val="left"/>
      </w:pPr>
      <w:r>
        <w:rPr>
          <w:rFonts w:ascii="仿宋_GB2312" w:hAnsi="仿宋_GB2312" w:cs="仿宋_GB2312" w:eastAsia="仿宋_GB2312"/>
          <w:sz w:val="24"/>
          <w:shd w:fill="FFFFFF" w:val="clear"/>
        </w:rPr>
        <w:t>4.6、大米</w:t>
      </w:r>
    </w:p>
    <w:p>
      <w:pPr>
        <w:pStyle w:val="null3"/>
        <w:ind w:firstLine="480"/>
        <w:jc w:val="left"/>
      </w:pPr>
      <w:r>
        <w:rPr>
          <w:rFonts w:ascii="仿宋_GB2312" w:hAnsi="仿宋_GB2312" w:cs="仿宋_GB2312" w:eastAsia="仿宋_GB2312"/>
          <w:sz w:val="24"/>
          <w:shd w:fill="FFFFFF" w:val="clear"/>
        </w:rPr>
        <w:t>米粒色泽精白色或淡青白色，有光泽，呈半透明清澈饱满；米粒形态：呈长形或椭圆形，子粒均匀，组织紧密完整，有少量碎米，无霉变，无虫害，无杂质；气味：具有纯正的香味，无霉味、无腐败、无异味。</w:t>
      </w:r>
    </w:p>
    <w:p>
      <w:pPr>
        <w:pStyle w:val="null3"/>
        <w:jc w:val="left"/>
      </w:pPr>
      <w:r>
        <w:rPr>
          <w:rFonts w:ascii="仿宋_GB2312" w:hAnsi="仿宋_GB2312" w:cs="仿宋_GB2312" w:eastAsia="仿宋_GB2312"/>
          <w:sz w:val="24"/>
          <w:shd w:fill="FFFFFF" w:val="clear"/>
        </w:rPr>
        <w:t>4.7、调味品</w:t>
      </w:r>
    </w:p>
    <w:p>
      <w:pPr>
        <w:pStyle w:val="null3"/>
        <w:jc w:val="left"/>
      </w:pPr>
      <w:r>
        <w:rPr>
          <w:rFonts w:ascii="仿宋_GB2312" w:hAnsi="仿宋_GB2312" w:cs="仿宋_GB2312" w:eastAsia="仿宋_GB2312"/>
          <w:sz w:val="24"/>
          <w:shd w:fill="FFFFFF" w:val="clear"/>
        </w:rPr>
        <w:t>4.7.1 干散货外形完整均匀，色泽正常，有光泽，无腐烂、无变质、无变味、无霉变、无虫蛀、无杂质，不混合其他无效物资，不添加对人体健康有害物资，干货要求保证干性。</w:t>
      </w:r>
    </w:p>
    <w:p>
      <w:pPr>
        <w:pStyle w:val="null3"/>
        <w:jc w:val="left"/>
      </w:pPr>
      <w:r>
        <w:rPr>
          <w:rFonts w:ascii="仿宋_GB2312" w:hAnsi="仿宋_GB2312" w:cs="仿宋_GB2312" w:eastAsia="仿宋_GB2312"/>
          <w:sz w:val="24"/>
          <w:shd w:fill="FFFFFF" w:val="clear"/>
        </w:rPr>
        <w:t>4.7.2 酱油倒入无色杯子内，对光观看，其为红褐或棕褐色，有光亮。倒入白瓷碗中，汁粘稠度一致，再倒出时碗壁附着一层酱油。有香气，口尝有鲜味、咸味和甜味。</w:t>
      </w:r>
    </w:p>
    <w:p>
      <w:pPr>
        <w:pStyle w:val="null3"/>
        <w:jc w:val="left"/>
      </w:pPr>
      <w:r>
        <w:rPr>
          <w:rFonts w:ascii="仿宋_GB2312" w:hAnsi="仿宋_GB2312" w:cs="仿宋_GB2312" w:eastAsia="仿宋_GB2312"/>
          <w:sz w:val="24"/>
          <w:shd w:fill="FFFFFF" w:val="clear"/>
        </w:rPr>
        <w:t>4.7.3 食醋：具有应有色泽（如熏醋为棕红色或深褐色，白醋为无色透明），有光泽，香气（为熏醋、熏香醋共有），酸味柔和，回味绵长，浓度适当，无沉淀悬浮物及霉花浮膜。</w:t>
      </w:r>
    </w:p>
    <w:p>
      <w:pPr>
        <w:pStyle w:val="null3"/>
        <w:jc w:val="left"/>
      </w:pPr>
      <w:r>
        <w:rPr>
          <w:rFonts w:ascii="仿宋_GB2312" w:hAnsi="仿宋_GB2312" w:cs="仿宋_GB2312" w:eastAsia="仿宋_GB2312"/>
          <w:sz w:val="24"/>
          <w:shd w:fill="FFFFFF" w:val="clear"/>
        </w:rPr>
        <w:t>4.7.4 味精：放在舌头上，感到冰凉，味道鲜美，有鱼鲜味；从外观上看，颗粒形状一致，色洁白有光泽，颗粒松散。</w:t>
      </w:r>
    </w:p>
    <w:p>
      <w:pPr>
        <w:pStyle w:val="null3"/>
        <w:jc w:val="left"/>
      </w:pPr>
      <w:r>
        <w:rPr>
          <w:rFonts w:ascii="仿宋_GB2312" w:hAnsi="仿宋_GB2312" w:cs="仿宋_GB2312" w:eastAsia="仿宋_GB2312"/>
          <w:sz w:val="24"/>
          <w:shd w:fill="FFFFFF" w:val="clear"/>
        </w:rPr>
        <w:t>4.8、水果</w:t>
      </w:r>
    </w:p>
    <w:p>
      <w:pPr>
        <w:pStyle w:val="null3"/>
        <w:ind w:firstLine="480"/>
        <w:jc w:val="left"/>
      </w:pPr>
      <w:r>
        <w:rPr>
          <w:rFonts w:ascii="仿宋_GB2312" w:hAnsi="仿宋_GB2312" w:cs="仿宋_GB2312" w:eastAsia="仿宋_GB2312"/>
          <w:sz w:val="24"/>
          <w:shd w:fill="FFFFFF" w:val="clear"/>
        </w:rPr>
        <w:t>外表鲜艳有光泽、含水量较高，如果果肉结构少水发蔫，颜色变暗变淡、霉变、黑心、木渣等情形，则为不合格。</w:t>
      </w:r>
    </w:p>
    <w:p>
      <w:pPr>
        <w:pStyle w:val="null3"/>
        <w:jc w:val="left"/>
      </w:pPr>
      <w:r>
        <w:rPr>
          <w:rFonts w:ascii="仿宋_GB2312" w:hAnsi="仿宋_GB2312" w:cs="仿宋_GB2312" w:eastAsia="仿宋_GB2312"/>
          <w:sz w:val="24"/>
          <w:shd w:fill="FFFFFF" w:val="clear"/>
        </w:rPr>
        <w:t>4.9、食用油</w:t>
      </w:r>
    </w:p>
    <w:p>
      <w:pPr>
        <w:pStyle w:val="null3"/>
        <w:ind w:firstLine="480"/>
        <w:jc w:val="left"/>
      </w:pPr>
      <w:r>
        <w:rPr>
          <w:rFonts w:ascii="仿宋_GB2312" w:hAnsi="仿宋_GB2312" w:cs="仿宋_GB2312" w:eastAsia="仿宋_GB2312"/>
          <w:sz w:val="24"/>
          <w:shd w:fill="FFFFFF" w:val="clear"/>
        </w:rPr>
        <w:t>常温下外观清澈透明无悬浮物，气味纯正无异味，黄曲霉素不超过国家规定，禁止转基因物品作为原料，不含抗氧化剂，不混合其他无效物资，不添加对人体健康有害物资。</w:t>
      </w:r>
    </w:p>
    <w:p>
      <w:pPr>
        <w:pStyle w:val="null3"/>
        <w:jc w:val="left"/>
      </w:pPr>
      <w:r>
        <w:rPr>
          <w:rFonts w:ascii="仿宋_GB2312" w:hAnsi="仿宋_GB2312" w:cs="仿宋_GB2312" w:eastAsia="仿宋_GB2312"/>
          <w:sz w:val="24"/>
          <w:shd w:fill="FFFFFF" w:val="clear"/>
        </w:rPr>
        <w:t>4.10、蛋类</w:t>
      </w:r>
    </w:p>
    <w:p>
      <w:pPr>
        <w:pStyle w:val="null3"/>
        <w:ind w:firstLine="480"/>
        <w:jc w:val="left"/>
      </w:pPr>
      <w:r>
        <w:rPr>
          <w:rFonts w:ascii="仿宋_GB2312" w:hAnsi="仿宋_GB2312" w:cs="仿宋_GB2312" w:eastAsia="仿宋_GB2312"/>
          <w:sz w:val="24"/>
          <w:shd w:fill="FFFFFF" w:val="clear"/>
        </w:rPr>
        <w:t>蛋壳清洁完整，色泽鲜明，无破损、裂纹，无霉斑，灯光透视时，整个蛋呈桔黄色至橙红色，蛋黄不见或略见阴影，没有霉味、酸味、臭味等不良气味，打开后蛋黄凸起、完整、有韧性，蛋白澄清、透明、稀稠分明，无异味。</w:t>
      </w:r>
    </w:p>
    <w:p>
      <w:pPr>
        <w:pStyle w:val="null3"/>
        <w:spacing w:before="75" w:after="75"/>
        <w:jc w:val="left"/>
      </w:pPr>
      <w:r>
        <w:rPr>
          <w:rFonts w:ascii="仿宋_GB2312" w:hAnsi="仿宋_GB2312" w:cs="仿宋_GB2312" w:eastAsia="仿宋_GB2312"/>
          <w:sz w:val="24"/>
        </w:rPr>
        <w:t>5、食材相关要求</w:t>
      </w:r>
    </w:p>
    <w:p>
      <w:pPr>
        <w:pStyle w:val="null3"/>
        <w:spacing w:before="75" w:after="75"/>
        <w:jc w:val="left"/>
      </w:pPr>
      <w:r>
        <w:rPr>
          <w:rFonts w:ascii="仿宋_GB2312" w:hAnsi="仿宋_GB2312" w:cs="仿宋_GB2312" w:eastAsia="仿宋_GB2312"/>
          <w:sz w:val="24"/>
        </w:rPr>
        <w:t>5.1、中标人应保证日常配送供应的物资没有污染、变质、变形、过期、臭味等现象，符合各类食品卫生标准，符合《中华人民共和国食品安全法》及相关质量法规的规定。</w:t>
      </w:r>
    </w:p>
    <w:p>
      <w:pPr>
        <w:pStyle w:val="null3"/>
        <w:spacing w:before="75" w:after="75"/>
        <w:jc w:val="left"/>
      </w:pPr>
      <w:r>
        <w:rPr>
          <w:rFonts w:ascii="仿宋_GB2312" w:hAnsi="仿宋_GB2312" w:cs="仿宋_GB2312" w:eastAsia="仿宋_GB2312"/>
          <w:sz w:val="24"/>
        </w:rPr>
        <w:t>5.2、所有食材除需满足以上要求外，还需满足相关的国家、省市、行业标准，以及食品监督管理部门的要求。采购人有权要求查验物资追溯凭证，中标人应需按要求提供，如无法提供的视为食品质量不合格。</w:t>
      </w:r>
    </w:p>
    <w:p>
      <w:pPr>
        <w:pStyle w:val="null3"/>
        <w:spacing w:before="75" w:after="75"/>
        <w:jc w:val="left"/>
      </w:pPr>
      <w:r>
        <w:rPr>
          <w:rFonts w:ascii="仿宋_GB2312" w:hAnsi="仿宋_GB2312" w:cs="仿宋_GB2312" w:eastAsia="仿宋_GB2312"/>
          <w:sz w:val="24"/>
        </w:rPr>
        <w:t>5.3、采购人要求中标人提供物资相应检测报告时，必须无条件配合提供，如无法提供的，采购人拒绝收货，该违约行为视为退货一次，多次或情节严重的，采购人有权单方面终止合同，中标人需无条件配合接受。</w:t>
      </w:r>
    </w:p>
    <w:p>
      <w:pPr>
        <w:pStyle w:val="null3"/>
        <w:spacing w:before="75" w:after="75"/>
        <w:jc w:val="left"/>
      </w:pPr>
      <w:r>
        <w:rPr>
          <w:rFonts w:ascii="仿宋_GB2312" w:hAnsi="仿宋_GB2312" w:cs="仿宋_GB2312" w:eastAsia="仿宋_GB2312"/>
          <w:sz w:val="24"/>
        </w:rPr>
        <w:t>5.4、中标人物资应来源于正规渠道(蔬菜生产基地、定点屠宰厂等正规厂家)，调味品等应是永辉超市在售的正规商品，不得提供三无产品或假冒伪劣产品。</w:t>
      </w:r>
    </w:p>
    <w:p>
      <w:pPr>
        <w:pStyle w:val="null3"/>
        <w:spacing w:before="75" w:after="75"/>
        <w:jc w:val="left"/>
      </w:pPr>
      <w:r>
        <w:rPr>
          <w:rFonts w:ascii="仿宋_GB2312" w:hAnsi="仿宋_GB2312" w:cs="仿宋_GB2312" w:eastAsia="仿宋_GB2312"/>
          <w:sz w:val="24"/>
        </w:rPr>
        <w:t>5.5、所供肉类应经检验检疫部门查验合格，盖有卫生检验部门的蓝色图形检验印章，做到肉色新鲜、无腐败变质现象；蔬菜必须经农药检测，达到食品安全要求；中标人应拥有相应的农药残留检测器材和人员，坚持每日配送前检测，并做好24小时实物留样，向采购人提交检验报告，否则视为提供不合格物资。</w:t>
      </w:r>
    </w:p>
    <w:p>
      <w:pPr>
        <w:pStyle w:val="null3"/>
        <w:spacing w:before="75" w:after="75"/>
        <w:jc w:val="left"/>
      </w:pPr>
      <w:r>
        <w:rPr>
          <w:rFonts w:ascii="仿宋_GB2312" w:hAnsi="仿宋_GB2312" w:cs="仿宋_GB2312" w:eastAsia="仿宋_GB2312"/>
          <w:sz w:val="24"/>
        </w:rPr>
        <w:t>5.6、除冻品类外，中标人不得提供实际剩余保质期低于商品总保质期的二分之一的产品。</w:t>
      </w:r>
    </w:p>
    <w:p>
      <w:pPr>
        <w:pStyle w:val="null3"/>
        <w:spacing w:before="75" w:after="75"/>
        <w:jc w:val="left"/>
      </w:pPr>
      <w:r>
        <w:rPr>
          <w:rFonts w:ascii="仿宋_GB2312" w:hAnsi="仿宋_GB2312" w:cs="仿宋_GB2312" w:eastAsia="仿宋_GB2312"/>
          <w:sz w:val="24"/>
        </w:rPr>
        <w:t>5.7、中标人提供物资质量应当不低于采价的永辉超市当日销售的同品牌同规格物资质量。中标人提供物品应当符合《中华人民共和国产品质量法》、《中华人民共和国食品安全法》规定，符合国家标准，行业标准高于国家标准的，以行业标准为质量标准。</w:t>
      </w:r>
    </w:p>
    <w:p>
      <w:pPr>
        <w:pStyle w:val="null3"/>
        <w:spacing w:before="75" w:after="75"/>
        <w:jc w:val="left"/>
      </w:pPr>
      <w:r>
        <w:rPr>
          <w:rFonts w:ascii="仿宋_GB2312" w:hAnsi="仿宋_GB2312" w:cs="仿宋_GB2312" w:eastAsia="仿宋_GB2312"/>
          <w:sz w:val="24"/>
        </w:rPr>
        <w:t>5.8、中标人所提供具有外包装的物资应当是原厂原包装，包装方式和包装质量应符合国家规定，物资包装破损率为零。产品如有标示产品保质期的，在送达采购人指定地点时剩余的保质期应在二分之一以上，严禁采购超过保质期限的食品。</w:t>
      </w:r>
    </w:p>
    <w:p>
      <w:pPr>
        <w:pStyle w:val="null3"/>
        <w:spacing w:before="75" w:after="75"/>
        <w:jc w:val="left"/>
      </w:pPr>
      <w:r>
        <w:rPr>
          <w:rFonts w:ascii="仿宋_GB2312" w:hAnsi="仿宋_GB2312" w:cs="仿宋_GB2312" w:eastAsia="仿宋_GB2312"/>
          <w:sz w:val="24"/>
        </w:rPr>
        <w:t>5.9、预包装货物包装必须符合国家规范，食品不得存放在有害、有毒的容器内，食品包装上必须使用原产地的标识，应注明：制造商名称和厂址、食品名称和重（容）量、生产日期和保质期限以及规格和SC认证书。</w:t>
      </w:r>
    </w:p>
    <w:p>
      <w:pPr>
        <w:pStyle w:val="null3"/>
        <w:spacing w:before="75" w:after="75"/>
        <w:jc w:val="left"/>
      </w:pPr>
      <w:r>
        <w:rPr>
          <w:rFonts w:ascii="仿宋_GB2312" w:hAnsi="仿宋_GB2312" w:cs="仿宋_GB2312" w:eastAsia="仿宋_GB2312"/>
          <w:sz w:val="24"/>
        </w:rPr>
        <w:t>5.10、中标人的货物质量还须符合采购人的订货清单要求的条件，如货物不符合本合同及招标文件的，采购人有权拒绝接受，中标人承担违约责任。</w:t>
      </w:r>
    </w:p>
    <w:p>
      <w:pPr>
        <w:pStyle w:val="null3"/>
        <w:spacing w:before="75" w:after="75"/>
        <w:jc w:val="left"/>
      </w:pPr>
      <w:r>
        <w:rPr>
          <w:rFonts w:ascii="仿宋_GB2312" w:hAnsi="仿宋_GB2312" w:cs="仿宋_GB2312" w:eastAsia="仿宋_GB2312"/>
          <w:sz w:val="24"/>
        </w:rPr>
        <w:t>5.11、中标人提供的食材应为非转基因食品，不得提供含有瘦肉精等不符合食品安全规定的食品。</w:t>
      </w:r>
    </w:p>
    <w:p>
      <w:pPr>
        <w:pStyle w:val="null3"/>
        <w:spacing w:before="75" w:after="75"/>
        <w:jc w:val="left"/>
      </w:pPr>
      <w:r>
        <w:rPr>
          <w:rFonts w:ascii="仿宋_GB2312" w:hAnsi="仿宋_GB2312" w:cs="仿宋_GB2312" w:eastAsia="仿宋_GB2312"/>
          <w:sz w:val="24"/>
        </w:rPr>
        <w:t>6.质量异议处理</w:t>
      </w:r>
    </w:p>
    <w:p>
      <w:pPr>
        <w:pStyle w:val="null3"/>
        <w:spacing w:before="75" w:after="75"/>
        <w:jc w:val="left"/>
      </w:pPr>
      <w:r>
        <w:rPr>
          <w:rFonts w:ascii="仿宋_GB2312" w:hAnsi="仿宋_GB2312" w:cs="仿宋_GB2312" w:eastAsia="仿宋_GB2312"/>
          <w:sz w:val="24"/>
        </w:rPr>
        <w:t>6.1采购人有权对中标人供应的货物进行定期或不定期的抽样检验，采购人对有疑义的货物有权提取样品送具有检测资质的检测单位检测，抽检合格的检验费用由采购人支付，抽检不合格的检验费用由中标人支付。</w:t>
      </w:r>
    </w:p>
    <w:p>
      <w:pPr>
        <w:pStyle w:val="null3"/>
        <w:spacing w:before="75" w:after="75"/>
        <w:jc w:val="left"/>
      </w:pPr>
      <w:r>
        <w:rPr>
          <w:rFonts w:ascii="仿宋_GB2312" w:hAnsi="仿宋_GB2312" w:cs="仿宋_GB2312" w:eastAsia="仿宋_GB2312"/>
          <w:sz w:val="24"/>
        </w:rPr>
        <w:t>6.2采购人指定的管理人员认定中标人所送货物与采购人订单或合同要求不符时或货物送达之前被损坏，有权要求中标人退货或换货并给予中标人口头整改通知，若中标人有异议，应于接到采购人通知后1小时内书面（含电子文件）回复采购人并协商处理方式，否则将视为中标人对不符合质量要求的认定无异议，中标人应于2小时时间内退货或换货。</w:t>
      </w:r>
    </w:p>
    <w:p>
      <w:pPr>
        <w:pStyle w:val="null3"/>
        <w:spacing w:before="75" w:after="75"/>
        <w:jc w:val="left"/>
      </w:pPr>
      <w:r>
        <w:rPr>
          <w:rFonts w:ascii="仿宋_GB2312" w:hAnsi="仿宋_GB2312" w:cs="仿宋_GB2312" w:eastAsia="仿宋_GB2312"/>
          <w:sz w:val="24"/>
        </w:rPr>
        <w:t>6.3中标人对处理方式提出书面（含电子文件）异议的，由采购人相关负责人进行处理，若采购人无法最终认定货物质量的，双方均有权将提取样品送检测或鉴定，检测合格的的检验费用由采购人支付，检测不合格的即视为中标人提供的货物质量不符合要求，且检验费用由中标人支付。</w:t>
      </w:r>
    </w:p>
    <w:p>
      <w:pPr>
        <w:pStyle w:val="null3"/>
        <w:spacing w:before="75" w:after="75"/>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项目时间一年，或项目实际采购金额（223万元）使用完毕，则项目终止。具体起止时间以合同签订时间为准。实际开始供货时间，由采购人现有的物资配送服务采购合同的履行情况决定，根据采购人通知，按照采购人需求开始供货，中标人需无条件配合。</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福建省福州市闽侯县南屿镇桐南村浦头湾25#。</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验收合格后交付采购人使用。</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1、期次1，说明：按招标文件及合同规定，按供货批次逐次验收。</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每月结算一次，中标人完成当月供货订单后，于次月15日前凭正式发票和其它相关必要材料向采购人申请付款，采购人收到相关材料后经采购人各部门审核完成后办理支付手续，月结算起止日期以合同规定为准。采价品目的相关费用由中标人承担，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说明：为保证项目的顺利实施，本项目要求中标人提供履约保证金。履约保证金必须在签订合同前提交采购人，履约保证金为合同金额的10%，合同签订前以银行转账的形式向采购人缴交，不按时足额提交履约保证金的，采购人将取消其中标资格并没收投标保证金。 履约保证金将在中标人履行合同结束无未了事项的情况下，经中标人提出申请后予以无息退还。中标人中途退出或未履约合同给采购人造成损失的没收履约保证金。 （注：本项目为专门面向小微企业的政府采购项目，根据《福建省财政厅关于运用政府采购政策促进中小企业发展的通知》的规定，若本项目中标人为小微企业的，小微企业递交的履约保证金为8%）</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支付说明（招标文件与此点不一致的，以此点为准）：每月结算一次，中标人完成当月供货订单后，于次月15日前凭正式发票和其它相关必要材料向采购人申请付款，采购人收到相关材料后经采购人各部门审核完成后办理支付手续，月结算起止日期以合同规定为准。采价品目的相关费用由中标人承担。</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、违约责任与其它要求</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.1、违约责任</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中标人供货与采购计划误差5%以内的，按实际验收，超过采购计划5%的部分，采购人有权予以退回；不足采购计划95%的，由采购人决定是否需要即时补足。需即时补足而不能即时补足或中标人不按采购人采购的品种、规格、数量（物资采购计划量允许误差5%以内）供应物资出现不足的，中标人按该货物不足部分结算价的三倍向采购人支付违约金，违约金不足1000元的按1000元计算。（因物资品类较多，如遇实际需求数量较少的，允许误差超过5%，采购人有权视情形决定是否扣除违约金）</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1.2、中标人弄虚作假，以次充好，采购人有权退货并责令中标人更换合格货物。因中标人提供的物资验收不合格或供应不及时而出现货物供应短缺的，采购人有权至前述指定超市购买（对中标人造成的损失，采购人概不负责）。由采购人直接采购本批次的货物，所需的货款及一切费用由中标人承担。</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1.3、中标人以次充好每月累计退换货次数达到5次的，应当向采购人支付违约金人民币3000元，且每增加一次退换货情形，将在前一次支付的金额基础上增加1000元，若中标人弄虚作假，每出现一次，向采购人支付违约金人民币10000元，三次及以上的，终止合同，没收履约保证金。</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1.4、中标人在向采购人出具发票等相关凭证资料时，存在多开数量、金额、重复计算等相关情形时，该数量、金额、重复计算所对应的物资，不予结算，中标人书面报告自愿放弃。采购人有权视相关情形决定是否要求中标人支付违约金，违约金为该批物资价值的3倍，该违约金直接在货款中扣除。</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1.5、中标人提供包括但不限于的检验检疫合格证明、质检报告、原厂地证明等相关材料与本批次物资不符时，采购人将予以拒收，每少一项证明材料，应向采购人支付违约金1000元/次，符合其他违约责任的，须同时承担其他违约责任。</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1.6、中标人应无条件配合采购人采价，无故缺席，中途离场，阻挠采价，言语辱骂等，或采购人认定的其他不配合采价的情形，第一次违约金30000元，第二次违约金50000元，该笔违约金直接在履约保证金中扣除，中标人需在7日内将履约保证金补交完毕，第三次采购人有权立即终止合同，没收履约保证金，中标人还应承担赔偿责任（赔偿金额为：采购人终止与中标人合同之日起至采购人重新确定新供应商供货之日止的具体天数乘以中标人该项目供货期间每日平均销售额）。</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1.7、中标人应保证保量提供与超市采价一致的同品质、同品类、同品牌、同规格等商品。采购人在验收或核对报账资料过程中，发现中标人提供的商品与采价商品的品牌、包装、质量标准、品级等任何一项不符合采价标准的，该批物资不予结算。采购人视情形决定是否要求中标人支付该批物资3倍价值的违约金，违约金不足1000元的按1000元计算。该违约金直接在货款中扣除。</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1.8、中标人车辆及配送人员进入采购人单位必须遵守采购人规章制度，未遵守采购人要求的，每次违约金1000元。情节严重的，采购人有权终止合同，并没收全部履约保证金，履约保证金不足以弥补采购人损失的，采购人有权从未结货款中扣除。</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1.9、中标人非因不可抗力停止供货，经向采购人说明理由不予采信的，视为严重违约，采购人有权终止合同并没收全部履约保证金，另需中标人承担赔偿责任（赔偿金额为：采购人终止与中标人合同之日起至采购人重新确定新供应商供货之日止的具体天数乘以中标人该项目供货期间每日平均销售额）。</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.1.10、因中标人供应物资造成食物中毒，采购人一切经济损失包括但不限于人身健康、财产损失、律师费、诉讼费、保全费、鉴定费等，均由中标人承担违约和赔偿责任。</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1.11、本项目不允许中标人以任何名义或理由进行转包，中标人如将本合同业务转包或分包他人，采购人有权终止合同，并要求中标人支付预算金额30%的违约金，同时没收全部履约保证金。如履约保证金不能弥补中标人违约对采购人造成的损失的，中标人还需另行支付相应的赔偿。</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.1.12、中标人造成采购人在食用环节物资损失的，根据损失程度，赔偿采购人损失物资（本批次损失物资量）结算价的1-3倍，违约金不足1000元的按1000元计算，该违约金直接在货款中扣除。</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.1.13、中标人未按合同约定提供固定冷链配送车配送物资的，每次违约金3000元，该违约金直接在货款中扣除。</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1.14、中标人所有工作人员及车辆进入采购人区域应当遵守采购人规章制度及要求，如果发生为罪犯提供违禁品（如现金、毒品、酒类、刃具、淫秽书等）及进行其他交易等行为的，根据司法部“六个一律”规定，取消进入采购人区域资格，触犯法律的，移送有关部门依法处理。情节严重的，采购人有权终止合同，并没收全部履约保证金，履约保证金不足以弥补采购人损失的，采购人有权从未结货款中扣除。</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.1.15、中标人在履约过程中，违反相关条款约定的，采购人有权视情形决定是否要求中标人支付违约金，情节严重的，采购人有权单方面终止合同，并没收全部履约保证金，造成采购人损失，中标人需赔偿。</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.1.16、中标人造成采购人损失的，除支付违约金外，采购人有权从履约保证金及未结货款中直接扣除（履约保证金中标人五日内必须补齐），并保留进一步索赔的权利。</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.1.17、如遇国家法律、政策调整、上级管理部门颁布新规定或采采购人特殊情况，需要变更或终止本合同的，应书面通知中标人，采购人不承担违约责任。</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.2、其它要求</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.2.1 每批次供应物资品种及数量以采购人通知的采购计划为准，中标人确需调整配送食材的品种和数量，应当经采购人同意。</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.2.2 采购人在验收物资认为不合格拒收，对中标人所造成的损失，采购人概不负责。中标人应当依合同，按采购人的要求供应物资，中标人明确不送的，按未送物资合同价值的3倍给予赔偿。</w:t>
      </w:r>
    </w:p>
    <w:p>
      <w:pPr>
        <w:pStyle w:val="null3"/>
        <w:spacing w:before="75" w:after="75"/>
        <w:jc w:val="left"/>
      </w:pPr>
      <w:r>
        <w:rPr>
          <w:rFonts w:ascii="仿宋_GB2312" w:hAnsi="仿宋_GB2312" w:cs="仿宋_GB2312" w:eastAsia="仿宋_GB2312"/>
          <w:sz w:val="20"/>
        </w:rPr>
        <w:t>9</w:t>
      </w:r>
      <w:r>
        <w:rPr>
          <w:rFonts w:ascii="仿宋_GB2312" w:hAnsi="仿宋_GB2312" w:cs="仿宋_GB2312" w:eastAsia="仿宋_GB2312"/>
          <w:sz w:val="20"/>
        </w:rPr>
        <w:t>.2.3采购人不定期对中标人所提供的物资送至专门检验机构进行检验，如检验不合格，中标人应按合同价赔偿采购人损失物资(本批次不合格部分)价值的3倍，造成严重后果的，追究其法律责任。</w:t>
      </w:r>
    </w:p>
    <w:p>
      <w:pPr>
        <w:pStyle w:val="null3"/>
        <w:spacing w:before="75" w:after="75"/>
        <w:jc w:val="left"/>
      </w:pPr>
      <w:r>
        <w:rPr>
          <w:rFonts w:ascii="仿宋_GB2312" w:hAnsi="仿宋_GB2312" w:cs="仿宋_GB2312" w:eastAsia="仿宋_GB2312"/>
          <w:sz w:val="20"/>
        </w:rPr>
        <w:t>10</w:t>
      </w:r>
      <w:r>
        <w:rPr>
          <w:rFonts w:ascii="仿宋_GB2312" w:hAnsi="仿宋_GB2312" w:cs="仿宋_GB2312" w:eastAsia="仿宋_GB2312"/>
          <w:sz w:val="20"/>
        </w:rPr>
        <w:t>、违约终止合同</w:t>
      </w:r>
    </w:p>
    <w:p>
      <w:pPr>
        <w:pStyle w:val="null3"/>
        <w:spacing w:before="75" w:after="75"/>
        <w:jc w:val="left"/>
      </w:pPr>
      <w:r>
        <w:rPr>
          <w:rFonts w:ascii="仿宋_GB2312" w:hAnsi="仿宋_GB2312" w:cs="仿宋_GB2312" w:eastAsia="仿宋_GB2312"/>
          <w:sz w:val="20"/>
        </w:rPr>
        <w:t>10</w:t>
      </w:r>
      <w:r>
        <w:rPr>
          <w:rFonts w:ascii="仿宋_GB2312" w:hAnsi="仿宋_GB2312" w:cs="仿宋_GB2312" w:eastAsia="仿宋_GB2312"/>
          <w:sz w:val="20"/>
        </w:rPr>
        <w:t>.1.在合同履行期间，如遇国家法律、政策调整、上级管理部门颁布新规定或采购人特殊情况，继续履行合同将违反相关政策文件要求的，采购人须提前10日通知中标人终止合同，因此造成的合同终止采购人不承担违约责任。</w:t>
      </w:r>
    </w:p>
    <w:p>
      <w:pPr>
        <w:pStyle w:val="null3"/>
        <w:spacing w:before="75" w:after="75"/>
        <w:jc w:val="left"/>
      </w:pPr>
      <w:r>
        <w:rPr>
          <w:rFonts w:ascii="仿宋_GB2312" w:hAnsi="仿宋_GB2312" w:cs="仿宋_GB2312" w:eastAsia="仿宋_GB2312"/>
          <w:sz w:val="20"/>
        </w:rPr>
        <w:t>10</w:t>
      </w:r>
      <w:r>
        <w:rPr>
          <w:rFonts w:ascii="仿宋_GB2312" w:hAnsi="仿宋_GB2312" w:cs="仿宋_GB2312" w:eastAsia="仿宋_GB2312"/>
          <w:sz w:val="20"/>
        </w:rPr>
        <w:t>.2.有下列情形之一，采购人有权单方解除合同并不退还履约保证金，中标人还需向采购人支付本合同金额30%的违约金：</w:t>
      </w:r>
    </w:p>
    <w:p>
      <w:pPr>
        <w:pStyle w:val="null3"/>
        <w:spacing w:before="75" w:after="75"/>
        <w:jc w:val="left"/>
      </w:pPr>
      <w:r>
        <w:rPr>
          <w:rFonts w:ascii="仿宋_GB2312" w:hAnsi="仿宋_GB2312" w:cs="仿宋_GB2312" w:eastAsia="仿宋_GB2312"/>
          <w:sz w:val="20"/>
        </w:rPr>
        <w:t>（</w:t>
      </w:r>
      <w:r>
        <w:rPr>
          <w:rFonts w:ascii="仿宋_GB2312" w:hAnsi="仿宋_GB2312" w:cs="仿宋_GB2312" w:eastAsia="仿宋_GB2312"/>
          <w:sz w:val="20"/>
        </w:rPr>
        <w:t>1）本合同违约条款约定的情形</w:t>
      </w:r>
    </w:p>
    <w:p>
      <w:pPr>
        <w:pStyle w:val="null3"/>
        <w:spacing w:before="75" w:after="75"/>
        <w:jc w:val="left"/>
      </w:pPr>
      <w:r>
        <w:rPr>
          <w:rFonts w:ascii="仿宋_GB2312" w:hAnsi="仿宋_GB2312" w:cs="仿宋_GB2312" w:eastAsia="仿宋_GB2312"/>
          <w:sz w:val="20"/>
        </w:rPr>
        <w:t>（</w:t>
      </w:r>
      <w:r>
        <w:rPr>
          <w:rFonts w:ascii="仿宋_GB2312" w:hAnsi="仿宋_GB2312" w:cs="仿宋_GB2312" w:eastAsia="仿宋_GB2312"/>
          <w:sz w:val="20"/>
        </w:rPr>
        <w:t>2）中标人出现3次及以上无故迟延交货；</w:t>
      </w:r>
    </w:p>
    <w:p>
      <w:pPr>
        <w:pStyle w:val="null3"/>
        <w:spacing w:before="75" w:after="75"/>
        <w:jc w:val="left"/>
      </w:pPr>
      <w:r>
        <w:rPr>
          <w:rFonts w:ascii="仿宋_GB2312" w:hAnsi="仿宋_GB2312" w:cs="仿宋_GB2312" w:eastAsia="仿宋_GB2312"/>
          <w:sz w:val="20"/>
        </w:rPr>
        <w:t>（</w:t>
      </w:r>
      <w:r>
        <w:rPr>
          <w:rFonts w:ascii="仿宋_GB2312" w:hAnsi="仿宋_GB2312" w:cs="仿宋_GB2312" w:eastAsia="仿宋_GB2312"/>
          <w:sz w:val="20"/>
        </w:rPr>
        <w:t>3）货物质量不符合合同约定且拒绝退换货3次以上的；</w:t>
      </w:r>
    </w:p>
    <w:p>
      <w:pPr>
        <w:pStyle w:val="null3"/>
        <w:spacing w:before="75" w:after="75"/>
        <w:jc w:val="left"/>
      </w:pPr>
      <w:r>
        <w:rPr>
          <w:rFonts w:ascii="仿宋_GB2312" w:hAnsi="仿宋_GB2312" w:cs="仿宋_GB2312" w:eastAsia="仿宋_GB2312"/>
          <w:sz w:val="20"/>
        </w:rPr>
        <w:t>（</w:t>
      </w:r>
      <w:r>
        <w:rPr>
          <w:rFonts w:ascii="仿宋_GB2312" w:hAnsi="仿宋_GB2312" w:cs="仿宋_GB2312" w:eastAsia="仿宋_GB2312"/>
          <w:sz w:val="20"/>
        </w:rPr>
        <w:t>4）中标人无故拒绝履行本合同；</w:t>
      </w:r>
    </w:p>
    <w:p>
      <w:pPr>
        <w:pStyle w:val="null3"/>
        <w:spacing w:before="75" w:after="75"/>
        <w:jc w:val="left"/>
      </w:pPr>
      <w:r>
        <w:rPr>
          <w:rFonts w:ascii="仿宋_GB2312" w:hAnsi="仿宋_GB2312" w:cs="仿宋_GB2312" w:eastAsia="仿宋_GB2312"/>
          <w:sz w:val="20"/>
        </w:rPr>
        <w:t>违约金直接从采购人应支付中标人的货款中扣除，不足部分，中标人应自收到采购人通知之日起</w:t>
      </w:r>
      <w:r>
        <w:rPr>
          <w:rFonts w:ascii="仿宋_GB2312" w:hAnsi="仿宋_GB2312" w:cs="仿宋_GB2312" w:eastAsia="仿宋_GB2312"/>
          <w:sz w:val="20"/>
        </w:rPr>
        <w:t>5日内缴纳。</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、不可抗力</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.2.本合同中的不可抗力指不能预见、不能避免并不能克服的客观情况。包括但不限于：自然灾害如地震、台风、洪水、火灾；政府行为、法律规定或其适用的变化或者其他任何无法预见、避免或者控制的事件。</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、专利权及知识产权</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1、中标人提供的物资应符合国家知识产权法律、法规的规定且非假冒伪劣品；中标人还应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2、若中标人提供的物资不符合国家知识产权法律、法规的规定或被有关主管机关认定为假冒伪劣品，则中标人中标资格将被取消；采购人还将按照有关法律、法规和规章的规定进行处理。具体如下：对销售“三无”商品、假冒伪劣商品的，中标人需承担销售“三无”商品、假冒伪劣商品所带来的经济、法律等一切责任，采购人有权视情节单方解除合同。如因中标人所经营食品造成食物中毒等事故，经卫生检疫部门认定后，采购人有权单方终止合同，不予退还履约保证金；中标人不仅要承担所有医疗费用，同时要承担相关法律责任（中标人应承担全部法律责任，包括但不限于受害人的人身损害赔偿责任、对采购人的违约责任、相关的行政处罚责任等）。</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、保密条款</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1、中标人应当对本合同的内容、因履行本合同或在本合同期间知悉的或收到的采购人的财务、技术、产品信息、民警资料或其他工作上的文件资料、工作内容等予以保密，不得向本合同以外的任何第三方披露，签订并严格执行《单位保密承诺书》；中标人进入采购人工作区域的工作人员需签订《个人保密承诺书》，严格履行保密义务。</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.2.中标人违反本条约定泄露采购人的涉密信息的，应承担相应的法律责任，造成采购人损失的，中标人应当依法承担赔偿责任。</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.3.本条款不因合同届满或解除而失效。</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、廉政条款</w:t>
      </w:r>
    </w:p>
    <w:p>
      <w:pPr>
        <w:pStyle w:val="null3"/>
        <w:spacing w:before="75" w:after="75"/>
        <w:jc w:val="left"/>
      </w:pPr>
      <w:r>
        <w:rPr>
          <w:rFonts w:ascii="仿宋_GB2312" w:hAnsi="仿宋_GB2312" w:cs="仿宋_GB2312" w:eastAsia="仿宋_GB2312"/>
          <w:sz w:val="20"/>
        </w:rPr>
        <w:t>中标人及其工作人员不得有以任何形式行贿采购人工作人员的行为，若发现并被核查属实的，采购人有权解除合同且不退还履约保证金，情节严重的，中标人及其工作人员还要承担相应的法律责任；采购人及其工作人员不得索要或接受中标人的礼金及吃请等，如有违反廉政纪律等行为的，依据有关规定给予党纪、政纪或组织处理，情节严重的，还应承担相应的法律责任。</w:t>
      </w:r>
    </w:p>
    <w:p>
      <w:pPr>
        <w:pStyle w:val="null3"/>
        <w:spacing w:before="75" w:after="75"/>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其他：</w:t>
      </w:r>
    </w:p>
    <w:p>
      <w:pPr>
        <w:pStyle w:val="null3"/>
        <w:jc w:val="left"/>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.1、本招标文件未明确的其它约定事项或条款，待采购人与中标人签订合同时，由双方协商订立。</w:t>
      </w:r>
    </w:p>
    <w:p>
      <w:pPr>
        <w:pStyle w:val="null3"/>
        <w:jc w:val="left"/>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.2本文件中，如条款间出现表述不一致之处，以对采购人更有利为标准。</w:t>
      </w:r>
    </w:p>
    <w:p>
      <w:pPr>
        <w:pStyle w:val="null3"/>
        <w:jc w:val="both"/>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.3若电子合同与纸质合同不一致时，以纸质合同为准。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 xml:space="preserve"> 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[350001]GYG[GK]2025003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闽江监狱机关食堂物资配送服务采购项目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闽江监狱机关食堂物资配送服务采购项目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闽江监狱机关食堂物资配送服务采购项目</w:t>
            </w:r>
          </w:p>
        </w:tc>
        <w:tc>
          <w:tcPr>
            <w:tcW w:type="dxa" w:w="1661"/>
          </w:tcPr>
          <w:p>
            <w:pPr>
              <w:pStyle w:val="null3"/>
              <w:jc w:val="left"/>
            </w:pPr>
            <w:r>
              <w:rPr>
                <w:rFonts w:ascii="仿宋_GB2312" w:hAnsi="仿宋_GB2312" w:cs="仿宋_GB2312" w:eastAsia="仿宋_GB2312"/>
              </w:rPr>
              <w:t xml:space="preserve"> 2230000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[350001]GYG[GK]2025003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闽江监狱机关食堂物资配送服务采购项目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闽江监狱机关食堂物资配送服务采购项目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闽江监狱机关食堂物资配送服务采购项目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闽江监狱机关食堂物资配送服务采购项目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2230000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