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经颅磁刺激仪采购项目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CGXM-2023-350001-12829[2023]12277</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[350001]ZXFZ[GK]2023133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福建医科大学附属第一医院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福建省智信招标有限公司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福建省智信招标有限公司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经颅磁刺激仪采购项目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CGXM-2023-350001-12829[2023]12277</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[350001]ZXFZ[GK]2023133</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适用于（采购包1）。</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适用于（采购包1），按照财库[2019]19号文所附品目清单执行。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适用于（采购包1），按照财库[2019]18号文所附品目清单执行。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具备履行合同所必需设备和专业技术能力专项证明材料</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生产企业的，投标货物若属于第一类医疗器械产品，须取得《第一类医疗器械生产备案凭证》，投标货物若属于第二类、三类医疗器械产品，须提供《医疗器械生产许可证》；投标人为经营企业的，投标货物若属于第三类医疗器械产品，须提供《医疗器械经营许可证》，投标货物若属于第二类医疗器械产品，须取得《第二类医疗器械经营备案凭证》，投标货物若属于第一类医疗器械产品，则无须提供此项；②投标货物属于《医疗器械监督管理条例》规定的第一类医疗器械产品，须取得《第一类医疗器械产品备案凭证》，属于第二类、第三类医疗器械产品，须提供《医疗器械注册证》。所有证件必须真实有效。</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福建医科大学附属第一医院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福州市台江区茶中路20号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郑珊珊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0591-87981187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福建省智信招标有限公司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福州市鼓楼区五四路159号世界金龙大厦14层A区单元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杨敏敏、张小青、张博艺</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0591-88318332、87616211转814</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福建省智信招标有限公司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2,200,000.00</w:t>
      </w:r>
    </w:p>
    <w:p>
      <w:pPr>
        <w:pStyle w:val="null3"/>
        <w:jc w:val="left"/>
      </w:pPr>
      <w:r>
        <w:rPr>
          <w:rFonts w:ascii="仿宋_GB2312" w:hAnsi="仿宋_GB2312" w:cs="仿宋_GB2312" w:eastAsia="仿宋_GB2312"/>
        </w:rPr>
        <w:t>采购包最高限价（元）: 1,900,000.00</w:t>
      </w:r>
    </w:p>
    <w:p>
      <w:pPr>
        <w:pStyle w:val="null3"/>
        <w:jc w:val="left"/>
      </w:pPr>
      <w:r>
        <w:rPr>
          <w:rFonts w:ascii="仿宋_GB2312" w:hAnsi="仿宋_GB2312" w:cs="仿宋_GB2312" w:eastAsia="仿宋_GB2312"/>
        </w:rPr>
        <w:t>采购包保证金金额（元）: 22,000.00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经颅磁刺激仪</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2,200,000.00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经颅磁刺激仪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经颅磁刺激仪</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经颅磁刺激仪</w:t>
            </w:r>
          </w:p>
        </w:tc>
        <w:tc>
          <w:tcPr>
            <w:tcW w:type="dxa" w:w="2076"/>
          </w:tcPr>
          <w:p>
            <w:pPr>
              <w:pStyle w:val="null3"/>
              <w:jc w:val="left"/>
            </w:pPr>
            <w:r>
              <w:rPr>
                <w:rFonts w:ascii="仿宋_GB2312" w:hAnsi="仿宋_GB2312" w:cs="仿宋_GB2312" w:eastAsia="仿宋_GB2312"/>
              </w:rPr>
              <w:t>不得超过最高限价</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投标人评标总得分（FA）且评标价（即价格扣除后的投标报价）相同的，则按技术项的得分从高到低排序推荐中标候选人；若投标人的评标总得分（FA）且评标价（即价格扣除后的投标报价）、技术项、商务项得分均相同的，则评标委员会在有关监督人员的监督下通过随机抽签的形式，确定他们之间的排名顺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福建省智信招标有限公司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招标代理服务收费的标准：以中标金额为计算基数，按差额定率累进法计算：100(万元)以下的部分费率标准为1.05%，100-500（万元）的部分费率标准为0.77%。②招标代理服务费专户：开户名：福建省智信招标有限公司，开户行：中国光大银行福州市杨桥支行，账号：087739120100304037933。</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a、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在法定质疑期内质疑人须一次性提出针对同一采购程序环节的质疑，二（多）次质疑不予受理。b、若本项目开标时间在2025年度的，则本招标文件中一般资格证明文件中“经审计的上一年度的年度财务报告”指2023年度或2024年度，若文件有矛盾，以此为准。c、无效投标及废标条款：以下为可能导致无效投标或废标的条款，具体内容详见招标文件各章节，请各投标人认真查看对照。①出现投标人须知前附表2关于电子招标投标活动的专门规定中投标无效规定的；②出现第三章投标无效规定的；③出现第四章投标无效规定的；④出现第五章招标内容及要求投标无效规定的；⑤出现第五章招标内容及要求中“★”标示的内容为负偏离或未响应的；⑥投标截止时间后，参加投标的投标人或资格审查合格的投标人或符合性审查合格的投标人不足三家的；⑦出现影响采购公正的违法、违规行为的；⑧投标人的报价均超过了采购预算，采购人不能支付的；⑨因重大变故，采购任务取消的。</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a.招标文件关于投标人串通投标情形补充条款详见《关于福建省财政厅关于电子化政府采购项目中视为串标情形认定与处理的指导意见》闽财购〔2018〕30号文件规定。 b.远程开标的规定 b1.本项目支持远程开标，投标人可通过远程线上参与开标，具体系统操作指南详见福建省政府采购网首页上相关操作手册。b2.本项目开标过程中解密的操作时限为30分钟，远程签章的操作时限为5分钟。请投标人务必密切关注实时开标流程，完成远程解密、远程签章。b3.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b4.在开标过程中，因系统故障等导致无法继续进行开标的，投标人须配合等待故障处理，待故障解除后继续开标。</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福建省智信招标有限公司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福建省智信招标有限公司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福建省智信招标有限公司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福建省智信招标有限公司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福建省智信招标有限公司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福建省智信招标有限公司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福建省智信招标有限公司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福建省智信招标有限公司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福建省智信招标有限公司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福建省智信招标有限公司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福建省智信招标有限公司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福建省智信招标有限公司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福建省智信招标有限公司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福建省智信招标有限公司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福建省智信招标有限公司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福建省智信招标有限公司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福建省智信招标有限公司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福建省智信招标有限公司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福建省智信招标有限公司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福建省智信招标有限公司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福建省智信招标有限公司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福建省智信招标有限公司</w:t>
      </w:r>
      <w:r>
        <w:rPr>
          <w:rFonts w:ascii="仿宋_GB2312" w:hAnsi="仿宋_GB2312" w:cs="仿宋_GB2312" w:eastAsia="仿宋_GB2312"/>
        </w:rPr>
        <w:t xml:space="preserve"> 提出询问， </w:t>
      </w:r>
      <w:r>
        <w:rPr>
          <w:rFonts w:ascii="仿宋_GB2312" w:hAnsi="仿宋_GB2312" w:cs="仿宋_GB2312" w:eastAsia="仿宋_GB2312"/>
        </w:rPr>
        <w:t>福建省智信招标有限公司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福建省智信招标有限公司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福建省智信招标有限公司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由福建省智信招标有限公司派出的工作人员至少1人，</w:t>
      </w:r>
      <w:r>
        <w:rPr>
          <w:rFonts w:ascii="仿宋_GB2312" w:hAnsi="仿宋_GB2312" w:cs="仿宋_GB2312" w:eastAsia="仿宋_GB2312"/>
        </w:rPr>
        <w:t>其余1人可为采购人代表或福建省智信招标有限公司的工作人员。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具备履行合同所必需设备和专业技术能力专项证明材料</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生产企业的，投标货物若属于第一类医疗器械产品，须取得《第一类医疗器械生产备案凭证》，投标货物若属于第二类、三类医疗器械产品，须提供《医疗器械生产许可证》；投标人为经营企业的，投标货物若属于第三类医疗器械产品，须提供《医疗器械经营许可证》，投标货物若属于第二类医疗器械产品，须取得《第二类医疗器械经营备案凭证》，投标货物若属于第一类医疗器械产品，则无须提供此项；②投标货物属于《医疗器械监督管理条例》规定的第一类医疗器械产品，须取得《第一类医疗器械产品备案凭证》，属于第二类、第三类医疗器械产品，须提供《医疗器械注册证》。所有证件必须真实有效。</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资格及资信证明部分中出现报价部分的全部或部分的投标报价信息（或组成资料）的；出现招标文件中载明“资格审查不合格”条款的规定。</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福建省智信招标有限公司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福建省智信招标有限公司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福建省智信招标有限公司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福建省智信招标有限公司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福建省智信招标有限公司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第五章 招标内容及要求的“二、技术和服务要求”中以“★”标示的内容有出现负偏离或未响应的；技术部分中出现报价部分的全部或部分的投标报价信息（或组成资料）的。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第五章 招标内容及要求中“三、商务要求”有出现负偏离或未响应的；商务部分中出现报价部分的全部或部分的投标报价信息（或组成资料）的。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根据《财政部关于印发关于在相关自由贸易试验区和自由贸易港开展推动解决政府采购异常低价问题试点工作的通知》 （财办库〔2024〕265号，本通知自2025年2月1日起施行）规定，“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投标报价超出最高限价或预算金额或不符合招标文件报价要求的。</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福建省智信招标有限公司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评审时，对符合《政府采购促进中小企业发展管理办法》（财库﹝2020﹞46号）及《福建省财政厅关于进一步加大政府采购支持中小企业力度的通知》（闽财规〔2022〕13号）规定的小微企业报价给予价格扣除【货物和服务项目：为15%】，用扣除后的价格参加评审。投标人须提供合格的中小企业声明函（格式详见第七章），否则不予价格扣除。 2、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小微企业同等比例的价格扣除，但必须提供由省级以上监狱管理局、戒毒管理局（含新疆生产建设兵团）出具的属于监狱企业的证明文件，否则评审时不予价格扣除优惠。 3、根据财政部、民政部、中国残联文件（财库[2017]141号）及福建省财政厅《关于残疾人福利性单位参加政府采购活动价格扣除的通知》，凡符合上述文件要求条件的残疾人福利性单位在参加政府采购活动时视同小型、微型企业，享受预留份额、评审中价格扣除等促进中小企业发展的政府采购政策。此次若有参加投标的对残疾人福利性单位报价部分给予小微企业同等比例的扣除，但必须提供《残疾人福利性单位声明函》（格式详见第七章），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 4、具体详见招标文件第三章、第七章规定，上述规定与政府采购相关法律、法规、制度等有冲突的，以现行法律、法规、制度等执行。 5、经采购人确认本项目为非专门面向中小企业采购货物类项目，采购标的对应的中小企业划分标准所属行业详见“采购标的一览表”。</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根据《财政部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市场监管总局关于发布参与实施政府采购节能产品、环境标志产品认证机构名录的公告》（2019年第16号）、《福建省财政厅关于加强政府绿色采购工作的通知》（闽财规〔2024〕3号）文件，本采购包给予节能、环境标志产品每个单项报价10%的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采购包内的节能、环境标志产品部分价格扣除只对属于清单内的非强制类产品进行价格扣除，强制类产品不给予价格扣除。③若同一采购包内的节能、环境标志产品仅是构成报价产品的部件、组件或零件的，则不给予价格扣除。获得上述认证的产品在报价时应提供有效证明材料）。同一品目中各认证证书不重复计算价格扣除。属于政府强制采购的节能产品不享受价格扣除。④投标人在报价时必须对节能（非强制类产品）、环境标志产品单独分项报价，并于投标文件中提供属于节能（非强制类产品）、环境标志产品的证明资料（国家确定的认证机构出具的、处于有效期之内的产品认证证书复印件）。</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投标产品技术响应情况1</w:t>
            </w:r>
          </w:p>
        </w:tc>
        <w:tc>
          <w:tcPr>
            <w:tcW w:type="dxa" w:w="831"/>
          </w:tcPr>
          <w:p>
            <w:pPr>
              <w:pStyle w:val="null3"/>
              <w:jc w:val="right"/>
            </w:pPr>
            <w:r>
              <w:rPr>
                <w:rFonts w:ascii="仿宋_GB2312" w:hAnsi="仿宋_GB2312" w:cs="仿宋_GB2312" w:eastAsia="仿宋_GB2312"/>
              </w:rPr>
              <w:t>18.00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投产品对第五章《招标内容及要求》“二、技术和服务要求”的各项要求的响应、承诺情况，由评委进行评议打分，以“★”标示的技术参数（计4项）为不允许负偏离的实质性要求，若有负偏离或未响应的按无效投标处理；以“▲”标示的技术参数（计6项）每负偏离或未响应一项扣3分，完全满足的得18.00分；正偏离不加分。【注：招标文件技术参数中若有要求投标人提供相应佐证材料的，投标人未提供相应佐证材料或者投标人的响应承诺与其佐证材料不一致的，评标委员会将以不利于投标人的内容为准进行评审（负偏离）。若投标人自行提供的其他佐证材料与投标人的响应承诺不一致的，评标委员会将以不利于投标人的内容为准进行评审（负偏离）。招标文件不一致的以此为准】</w:t>
            </w:r>
          </w:p>
        </w:tc>
      </w:tr>
      <w:tr>
        <w:tc>
          <w:tcPr>
            <w:tcW w:type="dxa" w:w="3322"/>
          </w:tcPr>
          <w:p>
            <w:pPr>
              <w:pStyle w:val="null3"/>
              <w:jc w:val="both"/>
            </w:pPr>
            <w:r>
              <w:rPr>
                <w:rFonts w:ascii="仿宋_GB2312" w:hAnsi="仿宋_GB2312" w:cs="仿宋_GB2312" w:eastAsia="仿宋_GB2312"/>
              </w:rPr>
              <w:t>投标产品技术响应情况2</w:t>
            </w:r>
          </w:p>
        </w:tc>
        <w:tc>
          <w:tcPr>
            <w:tcW w:type="dxa" w:w="831"/>
          </w:tcPr>
          <w:p>
            <w:pPr>
              <w:pStyle w:val="null3"/>
              <w:jc w:val="right"/>
            </w:pPr>
            <w:r>
              <w:rPr>
                <w:rFonts w:ascii="仿宋_GB2312" w:hAnsi="仿宋_GB2312" w:cs="仿宋_GB2312" w:eastAsia="仿宋_GB2312"/>
              </w:rPr>
              <w:t>40.00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投产品对第五章《招标内容及要求》“二、技术和服务要求”的各项要求的响应、承诺情况，由评委进行评议打分，除以“★”和“▲”标示的技术参数以外的技术参数（计32个指标项）每负偏离或未响应一项扣1.25分，完全满足的得40.00分；正偏离不加分。【注：招标文件技术参数中若有要求投标人提供相应佐证材料的，投标人未提供相应佐证材料或者投标人的响应承诺与其佐证材料不一致的，评标委员会将以不利于投标人的内容为准进行评审（负偏离）。若投标人自行提供的其他佐证材料与投标人的响应承诺不一致的，评标委员会将以不利于投标人的内容为准进行评审（负偏离）。招标文件不一致的以此为准】</w:t>
            </w:r>
          </w:p>
        </w:tc>
      </w:tr>
      <w:tr>
        <w:tc>
          <w:tcPr>
            <w:tcW w:type="dxa" w:w="3322"/>
          </w:tcPr>
          <w:p>
            <w:pPr>
              <w:pStyle w:val="null3"/>
              <w:jc w:val="both"/>
            </w:pPr>
            <w:r>
              <w:rPr>
                <w:rFonts w:ascii="仿宋_GB2312" w:hAnsi="仿宋_GB2312" w:cs="仿宋_GB2312" w:eastAsia="仿宋_GB2312"/>
              </w:rPr>
              <w:t>产品佐证材料</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评委根据投标人提供所投产品彩页或有效的技术支持材料（如由检测机构出具的《检验报告》等）进行评审：投标人所提供的所投产品彩页或有效的技术支持材料等能充分佐证所投产品的主要技术参数及功能的得2分；投标人所提供的所投产品彩页或有效的技术支持材料能部分佐证所投产品的主要技术参数及功能的得1分；未提供不得分。</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评委根据各投标人所提供的自2022年1月1日以来（日期以验收报告为准）由投标人在国内所完成的与本次投标同类设备的销售业绩情况进行打分，每提供1份得1分，满分3分。投标人须同时提供该项目的中标/成交公告（提供相关网站中标/成交公告的下载网页并注明网址）、中标/成交通知书、采购合同（或与业主单位签订正式合同协议书），以及能够证明该项目已经采购人验收合格的相关证明文件复印件。评标过程未提供相关证明文件复印件或填报不实的不得分；合同履行过程发现本项有虚假者，取消其资格，并追究相应的法律责任和进行相应的赔偿。</w:t>
            </w:r>
          </w:p>
        </w:tc>
      </w:tr>
      <w:tr>
        <w:tc>
          <w:tcPr>
            <w:tcW w:type="dxa" w:w="3322"/>
          </w:tcPr>
          <w:p>
            <w:pPr>
              <w:pStyle w:val="null3"/>
              <w:jc w:val="both"/>
            </w:pPr>
            <w:r>
              <w:rPr>
                <w:rFonts w:ascii="仿宋_GB2312" w:hAnsi="仿宋_GB2312" w:cs="仿宋_GB2312" w:eastAsia="仿宋_GB2312"/>
              </w:rPr>
              <w:t>质量保修期</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投标货物质量保修期的承诺情况由评委进行评分：承诺提供三年质量保修期且费用包含在投标报价内的得0.5分；承诺提供四年质量保修期且费用包含在投标报价内的得0.8分；承诺提供五年及以上质量保修期且费用包含在投标报价内的得1分。投标人须提供承诺函（格式自拟），否则不得分。</w:t>
            </w:r>
          </w:p>
        </w:tc>
      </w:tr>
      <w:tr>
        <w:tc>
          <w:tcPr>
            <w:tcW w:type="dxa" w:w="3322"/>
          </w:tcPr>
          <w:p>
            <w:pPr>
              <w:pStyle w:val="null3"/>
              <w:jc w:val="both"/>
            </w:pPr>
            <w:r>
              <w:rPr>
                <w:rFonts w:ascii="仿宋_GB2312" w:hAnsi="仿宋_GB2312" w:cs="仿宋_GB2312" w:eastAsia="仿宋_GB2312"/>
              </w:rPr>
              <w:t>售后服务承诺情况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提供的售后服务方案（包括但不限于：售后服务机制、人员配备、备件储备清单、响应计划的方式及时间）由评委进行评分：方案包含上述全部内容且方案详细、合理、可行的得3分；方案中仅包含部分上述内容且方案基本合理、基本可行的得2分；其余不得分。</w:t>
            </w:r>
          </w:p>
        </w:tc>
      </w:tr>
      <w:tr>
        <w:tc>
          <w:tcPr>
            <w:tcW w:type="dxa" w:w="3322"/>
          </w:tcPr>
          <w:p>
            <w:pPr>
              <w:pStyle w:val="null3"/>
              <w:jc w:val="both"/>
            </w:pPr>
            <w:r>
              <w:rPr>
                <w:rFonts w:ascii="仿宋_GB2312" w:hAnsi="仿宋_GB2312" w:cs="仿宋_GB2312" w:eastAsia="仿宋_GB2312"/>
              </w:rPr>
              <w:t>培训方案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评委根据各投标人提供的针对本项目制定的现场技术培训方案情况进行评分（现场技术培训方案应包含：①培训计划；②培训范围；③实施及针对性措施；④保证培训成效的措施）：方案包含上述全部内容且方案详细、合理、可行的得3分；方案中仅包含部分上述内容且方案基本合理、基本可行的得2分；其余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shd w:fill="FFFFFF" w:val="clear"/>
        </w:rPr>
        <w:t>本次招标的医疗设备为福建医科大学附属第一医院</w:t>
      </w:r>
      <w:r>
        <w:rPr>
          <w:rFonts w:ascii="仿宋_GB2312" w:hAnsi="仿宋_GB2312" w:cs="仿宋_GB2312" w:eastAsia="仿宋_GB2312"/>
          <w:sz w:val="24"/>
          <w:shd w:fill="FFFFFF" w:val="clear"/>
        </w:rPr>
        <w:t>滨海院</w:t>
      </w:r>
      <w:r>
        <w:rPr>
          <w:rFonts w:ascii="仿宋_GB2312" w:hAnsi="仿宋_GB2312" w:cs="仿宋_GB2312" w:eastAsia="仿宋_GB2312"/>
          <w:sz w:val="24"/>
          <w:shd w:fill="FFFFFF" w:val="clear"/>
        </w:rPr>
        <w:t>区</w:t>
      </w:r>
      <w:r>
        <w:rPr>
          <w:rFonts w:ascii="仿宋_GB2312" w:hAnsi="仿宋_GB2312" w:cs="仿宋_GB2312" w:eastAsia="仿宋_GB2312"/>
          <w:sz w:val="24"/>
          <w:shd w:fill="FFFFFF" w:val="clear"/>
        </w:rPr>
        <w:t>神经内科所需的经颅磁刺激仪一套</w:t>
      </w:r>
      <w:r>
        <w:rPr>
          <w:rFonts w:ascii="仿宋_GB2312" w:hAnsi="仿宋_GB2312" w:cs="仿宋_GB2312" w:eastAsia="仿宋_GB2312"/>
          <w:sz w:val="24"/>
          <w:shd w:fill="FFFFFF" w:val="clear"/>
        </w:rPr>
        <w:t>。该设备应配置齐全、性能稳定、操作简便安全，具良好的升级能力，适用临床、科研、教学，并满足将来扩展临床应用领域的需要。投标方应提供贵公司</w:t>
      </w:r>
      <w:r>
        <w:rPr>
          <w:rFonts w:ascii="仿宋_GB2312" w:hAnsi="仿宋_GB2312" w:cs="仿宋_GB2312" w:eastAsia="仿宋_GB2312"/>
          <w:sz w:val="24"/>
          <w:shd w:fill="FFFFFF" w:val="clear"/>
        </w:rPr>
        <w:t>近年最新的设备</w:t>
      </w:r>
      <w:r>
        <w:rPr>
          <w:rFonts w:ascii="仿宋_GB2312" w:hAnsi="仿宋_GB2312" w:cs="仿宋_GB2312" w:eastAsia="仿宋_GB2312"/>
          <w:sz w:val="24"/>
          <w:shd w:fill="FFFFFF" w:val="clear"/>
        </w:rPr>
        <w:t>，且需配备完整。</w:t>
      </w:r>
    </w:p>
    <w:p>
      <w:pPr>
        <w:pStyle w:val="null3"/>
        <w:ind w:firstLine="480"/>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性能及技术参数要求：</w:t>
      </w:r>
    </w:p>
    <w:p>
      <w:pPr>
        <w:pStyle w:val="null3"/>
        <w:jc w:val="both"/>
      </w:pPr>
      <w:r>
        <w:rPr>
          <w:rFonts w:ascii="仿宋_GB2312" w:hAnsi="仿宋_GB2312" w:cs="仿宋_GB2312" w:eastAsia="仿宋_GB2312"/>
          <w:sz w:val="24"/>
        </w:rPr>
        <w:t>1、主机：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1"/>
        </w:rPr>
        <w:t xml:space="preserve"> </w:t>
      </w:r>
      <w:r>
        <w:rPr>
          <w:rFonts w:ascii="仿宋_GB2312" w:hAnsi="仿宋_GB2312" w:cs="仿宋_GB2312" w:eastAsia="仿宋_GB2312"/>
          <w:sz w:val="24"/>
        </w:rPr>
        <w:t>最大输出刺激脉冲频率：</w:t>
      </w:r>
      <w:r>
        <w:rPr>
          <w:rFonts w:ascii="仿宋_GB2312" w:hAnsi="仿宋_GB2312" w:cs="仿宋_GB2312" w:eastAsia="仿宋_GB2312"/>
          <w:sz w:val="24"/>
        </w:rPr>
        <w:t>≥100Hz，最大刺激频率误差≤±3%；</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1"/>
        </w:rPr>
        <w:t xml:space="preserve"> </w:t>
      </w:r>
      <w:r>
        <w:rPr>
          <w:rFonts w:ascii="仿宋_GB2312" w:hAnsi="仿宋_GB2312" w:cs="仿宋_GB2312" w:eastAsia="仿宋_GB2312"/>
          <w:sz w:val="24"/>
        </w:rPr>
        <w:t>输出脉冲宽度</w:t>
      </w:r>
      <w:r>
        <w:rPr>
          <w:rFonts w:ascii="仿宋_GB2312" w:hAnsi="仿宋_GB2312" w:cs="仿宋_GB2312" w:eastAsia="仿宋_GB2312"/>
          <w:sz w:val="24"/>
        </w:rPr>
        <w:t>≤300us。（</w:t>
      </w:r>
      <w:r>
        <w:rPr>
          <w:rFonts w:ascii="仿宋_GB2312" w:hAnsi="仿宋_GB2312" w:cs="仿宋_GB2312" w:eastAsia="仿宋_GB2312"/>
          <w:sz w:val="24"/>
          <w:b/>
          <w:u w:val="single"/>
        </w:rPr>
        <w:t>投标文件中须提供第三方检测机构出具的检测报告复印件予以佐证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1.3 支持最大输出强度≥3T，且强度误差范围≤±5%；（</w:t>
      </w:r>
      <w:r>
        <w:rPr>
          <w:rFonts w:ascii="仿宋_GB2312" w:hAnsi="仿宋_GB2312" w:cs="仿宋_GB2312" w:eastAsia="仿宋_GB2312"/>
          <w:sz w:val="24"/>
          <w:b/>
          <w:u w:val="single"/>
        </w:rPr>
        <w:t>投标文件中须提供第三方检测机构出具的检测报告复印件予以佐证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2、磁刺激控制装置：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2.1 采用触摸屏式工业控制器和专用操作软件平台，非个人电脑系统方式（非Windows 操作系统）；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2.2 控制器触屏尺寸≥</w:t>
      </w:r>
      <w:r>
        <w:rPr>
          <w:rFonts w:ascii="仿宋_GB2312" w:hAnsi="仿宋_GB2312" w:cs="仿宋_GB2312" w:eastAsia="仿宋_GB2312"/>
          <w:sz w:val="24"/>
        </w:rPr>
        <w:t>8</w:t>
      </w:r>
      <w:r>
        <w:rPr>
          <w:rFonts w:ascii="仿宋_GB2312" w:hAnsi="仿宋_GB2312" w:cs="仿宋_GB2312" w:eastAsia="仿宋_GB2312"/>
          <w:sz w:val="24"/>
        </w:rPr>
        <w:t>英寸；</w:t>
      </w:r>
    </w:p>
    <w:p>
      <w:pPr>
        <w:pStyle w:val="null3"/>
        <w:jc w:val="both"/>
      </w:pPr>
      <w:r>
        <w:rPr>
          <w:rFonts w:ascii="仿宋_GB2312" w:hAnsi="仿宋_GB2312" w:cs="仿宋_GB2312" w:eastAsia="仿宋_GB2312"/>
          <w:sz w:val="24"/>
        </w:rPr>
        <w:t>▲2.3 控制器内置磁刺激运动诱发电位（MEP）和运动阈值（MT）检测软件，屏幕上可以显示两个独立的窗口，同步呈现两个MEP信号；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2.4 控制器屏幕上实时显示线圈规格、线圈温度；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2.5 在控制器屏幕上以20级梯度趋势图方式实时呈现显示线圈温度；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1"/>
        </w:rPr>
        <w:t xml:space="preserve"> </w:t>
      </w:r>
      <w:r>
        <w:rPr>
          <w:rFonts w:ascii="仿宋_GB2312" w:hAnsi="仿宋_GB2312" w:cs="仿宋_GB2312" w:eastAsia="仿宋_GB2312"/>
          <w:sz w:val="24"/>
        </w:rPr>
        <w:t>线圈温度允许值</w:t>
      </w:r>
      <w:r>
        <w:rPr>
          <w:rFonts w:ascii="仿宋_GB2312" w:hAnsi="仿宋_GB2312" w:cs="仿宋_GB2312" w:eastAsia="仿宋_GB2312"/>
          <w:sz w:val="24"/>
        </w:rPr>
        <w:t>：</w:t>
      </w:r>
      <w:r>
        <w:rPr>
          <w:rFonts w:ascii="仿宋_GB2312" w:hAnsi="仿宋_GB2312" w:cs="仿宋_GB2312" w:eastAsia="仿宋_GB2312"/>
          <w:sz w:val="24"/>
        </w:rPr>
        <w:t>41度，当线圈表面温度达到或超过41度时，系统自动停机保护；</w:t>
      </w:r>
    </w:p>
    <w:p>
      <w:pPr>
        <w:pStyle w:val="null3"/>
        <w:jc w:val="both"/>
      </w:pPr>
      <w:r>
        <w:rPr>
          <w:rFonts w:ascii="仿宋_GB2312" w:hAnsi="仿宋_GB2312" w:cs="仿宋_GB2312" w:eastAsia="仿宋_GB2312"/>
          <w:sz w:val="24"/>
        </w:rPr>
        <w:t>3、操作软件：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3.1 在控制器屏幕上显示磁刺激器实时状态；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3.2 持续超过10分钟未触发系统将自动卸载保护；</w:t>
      </w:r>
    </w:p>
    <w:p>
      <w:pPr>
        <w:pStyle w:val="null3"/>
        <w:jc w:val="both"/>
      </w:pPr>
      <w:r>
        <w:rPr>
          <w:rFonts w:ascii="仿宋_GB2312" w:hAnsi="仿宋_GB2312" w:cs="仿宋_GB2312" w:eastAsia="仿宋_GB2312"/>
          <w:sz w:val="24"/>
        </w:rPr>
        <w:t>▲3.3 刺激模式可调：单脉冲、重复脉冲、自由组合刺激、以及丛刺激（iTBS和cTBS）模式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4、磁刺激线圈：</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4.1</w:t>
      </w:r>
      <w:r>
        <w:rPr>
          <w:rFonts w:ascii="仿宋_GB2312" w:hAnsi="仿宋_GB2312" w:cs="仿宋_GB2312" w:eastAsia="仿宋_GB2312"/>
          <w:sz w:val="21"/>
        </w:rPr>
        <w:t xml:space="preserve"> </w:t>
      </w:r>
      <w:r>
        <w:rPr>
          <w:rFonts w:ascii="仿宋_GB2312" w:hAnsi="仿宋_GB2312" w:cs="仿宋_GB2312" w:eastAsia="仿宋_GB2312"/>
          <w:sz w:val="24"/>
        </w:rPr>
        <w:t>规格</w:t>
      </w:r>
      <w:r>
        <w:rPr>
          <w:rFonts w:ascii="仿宋_GB2312" w:hAnsi="仿宋_GB2312" w:cs="仿宋_GB2312" w:eastAsia="仿宋_GB2312"/>
          <w:sz w:val="24"/>
        </w:rPr>
        <w:t>1：双线圈（8字形），线圈的直径为70mm±5</w:t>
      </w:r>
      <w:r>
        <w:rPr>
          <w:rFonts w:ascii="仿宋_GB2312" w:hAnsi="仿宋_GB2312" w:cs="仿宋_GB2312" w:eastAsia="仿宋_GB2312"/>
          <w:sz w:val="24"/>
        </w:rPr>
        <w:t>mm</w:t>
      </w:r>
      <w:r>
        <w:rPr>
          <w:rFonts w:ascii="仿宋_GB2312" w:hAnsi="仿宋_GB2312" w:cs="仿宋_GB2312" w:eastAsia="仿宋_GB2312"/>
          <w:sz w:val="24"/>
        </w:rPr>
        <w:t>，且线圈采用无液体</w:t>
      </w:r>
      <w:r>
        <w:rPr>
          <w:rFonts w:ascii="仿宋_GB2312" w:hAnsi="仿宋_GB2312" w:cs="仿宋_GB2312" w:eastAsia="仿宋_GB2312"/>
          <w:sz w:val="24"/>
        </w:rPr>
        <w:t>的动态冷却方式降温，非静态冷却、非液体冷却；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4.2 </w:t>
      </w:r>
      <w:r>
        <w:rPr>
          <w:rFonts w:ascii="仿宋_GB2312" w:hAnsi="仿宋_GB2312" w:cs="仿宋_GB2312" w:eastAsia="仿宋_GB2312"/>
          <w:sz w:val="24"/>
        </w:rPr>
        <w:t>规格</w:t>
      </w:r>
      <w:r>
        <w:rPr>
          <w:rFonts w:ascii="仿宋_GB2312" w:hAnsi="仿宋_GB2312" w:cs="仿宋_GB2312" w:eastAsia="仿宋_GB2312"/>
          <w:sz w:val="24"/>
        </w:rPr>
        <w:t>2：安慰剂刺激线圈，外观、尺寸与线圈规格1相同，用于双盲对照实验；</w:t>
      </w:r>
    </w:p>
    <w:p>
      <w:pPr>
        <w:pStyle w:val="null3"/>
        <w:jc w:val="both"/>
      </w:pPr>
      <w:r>
        <w:rPr>
          <w:rFonts w:ascii="仿宋_GB2312" w:hAnsi="仿宋_GB2312" w:cs="仿宋_GB2312" w:eastAsia="仿宋_GB2312"/>
          <w:sz w:val="24"/>
        </w:rPr>
        <w:t>5、运动阈值（MEP）测量：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5.1</w:t>
      </w:r>
      <w:r>
        <w:rPr>
          <w:rFonts w:ascii="仿宋_GB2312" w:hAnsi="仿宋_GB2312" w:cs="仿宋_GB2312" w:eastAsia="仿宋_GB2312"/>
          <w:sz w:val="21"/>
        </w:rPr>
        <w:t xml:space="preserve"> </w:t>
      </w:r>
      <w:r>
        <w:rPr>
          <w:rFonts w:ascii="仿宋_GB2312" w:hAnsi="仿宋_GB2312" w:cs="仿宋_GB2312" w:eastAsia="仿宋_GB2312"/>
          <w:sz w:val="24"/>
        </w:rPr>
        <w:t>配置运动诱发电</w:t>
      </w:r>
      <w:r>
        <w:rPr>
          <w:rFonts w:ascii="仿宋_GB2312" w:hAnsi="仿宋_GB2312" w:cs="仿宋_GB2312" w:eastAsia="仿宋_GB2312"/>
          <w:sz w:val="24"/>
        </w:rPr>
        <w:t>位放大器，通道数</w:t>
      </w:r>
      <w:r>
        <w:rPr>
          <w:rFonts w:ascii="仿宋_GB2312" w:hAnsi="仿宋_GB2312" w:cs="仿宋_GB2312" w:eastAsia="仿宋_GB2312"/>
          <w:sz w:val="24"/>
        </w:rPr>
        <w:t>≥2通道，可同时采集两个部位的运动诱发电位信号并在磁刺激控制器屏幕上以两个窗口的方式同步显示，用于直观对比选取最佳阈值强度；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5.2</w:t>
      </w:r>
      <w:r>
        <w:rPr>
          <w:rFonts w:ascii="仿宋_GB2312" w:hAnsi="仿宋_GB2312" w:cs="仿宋_GB2312" w:eastAsia="仿宋_GB2312"/>
          <w:sz w:val="21"/>
        </w:rPr>
        <w:t xml:space="preserve"> </w:t>
      </w:r>
      <w:r>
        <w:rPr>
          <w:rFonts w:ascii="仿宋_GB2312" w:hAnsi="仿宋_GB2312" w:cs="仿宋_GB2312" w:eastAsia="仿宋_GB2312"/>
          <w:sz w:val="24"/>
        </w:rPr>
        <w:t>运动阈值自动计算：基于设定比例和采集信号结果可自动计算所需刺激强度；</w:t>
      </w:r>
    </w:p>
    <w:p>
      <w:pPr>
        <w:pStyle w:val="null3"/>
        <w:jc w:val="both"/>
      </w:pPr>
      <w:r>
        <w:rPr>
          <w:rFonts w:ascii="仿宋_GB2312" w:hAnsi="仿宋_GB2312" w:cs="仿宋_GB2312" w:eastAsia="仿宋_GB2312"/>
          <w:sz w:val="24"/>
        </w:rPr>
        <w:t>6、分体式模块化架构：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6.1 磁刺激主机、控制器、储能单元为模块化架构，便于单独更换、维护和升级；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6.2 独立线圈支架带脚轮可移动；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7、拓展能力：支持将几台主机连接在一起并且通过一个线圈来释放磁刺激（</w:t>
      </w:r>
      <w:r>
        <w:rPr>
          <w:rFonts w:ascii="仿宋_GB2312" w:hAnsi="仿宋_GB2312" w:cs="仿宋_GB2312" w:eastAsia="仿宋_GB2312"/>
          <w:sz w:val="24"/>
          <w:b/>
          <w:u w:val="single"/>
        </w:rPr>
        <w:t>投标文件中须</w:t>
      </w:r>
      <w:r>
        <w:rPr>
          <w:rFonts w:ascii="仿宋_GB2312" w:hAnsi="仿宋_GB2312" w:cs="仿宋_GB2312" w:eastAsia="仿宋_GB2312"/>
          <w:sz w:val="24"/>
          <w:b/>
          <w:u w:val="single"/>
        </w:rPr>
        <w:t>配图文说明</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支持以其他技术模态同步联合应用，形式包括但不限于：与</w:t>
      </w:r>
      <w:r>
        <w:rPr>
          <w:rFonts w:ascii="仿宋_GB2312" w:hAnsi="仿宋_GB2312" w:cs="仿宋_GB2312" w:eastAsia="仿宋_GB2312"/>
          <w:sz w:val="24"/>
        </w:rPr>
        <w:t>EEG（脑电图）同步联合应用、与fMRI（磁共振成像）同步联合应用、与NIRS(近红外脑成像)同步联合应用。同步生理设备支持心率（采样率25Hz）、皮电（采样率4Hz）、皮温（采样率1Hz）、三种加速度（采样率50Hz）、温度（采样率1Hz）、湿度（采样率1Hz）、气压（采样率1Hz）等生理、行为和环境多模态数据采集；</w:t>
      </w:r>
    </w:p>
    <w:p>
      <w:pPr>
        <w:pStyle w:val="null3"/>
        <w:jc w:val="both"/>
      </w:pPr>
      <w:r>
        <w:rPr>
          <w:rFonts w:ascii="仿宋_GB2312" w:hAnsi="仿宋_GB2312" w:cs="仿宋_GB2312" w:eastAsia="仿宋_GB2312"/>
          <w:sz w:val="24"/>
        </w:rPr>
        <w:t>（二）导航装置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1、用途：采用红外光学</w:t>
      </w:r>
      <w:r>
        <w:rPr>
          <w:rFonts w:ascii="仿宋_GB2312" w:hAnsi="仿宋_GB2312" w:cs="仿宋_GB2312" w:eastAsia="仿宋_GB2312"/>
          <w:sz w:val="24"/>
        </w:rPr>
        <w:t>追踪技术基于神经影像将磁刺激线圈及磁场焦点精确定位于目标靶点，实现磁刺激过程可视化。</w:t>
      </w:r>
    </w:p>
    <w:p>
      <w:pPr>
        <w:pStyle w:val="null3"/>
        <w:jc w:val="both"/>
      </w:pPr>
      <w:r>
        <w:rPr>
          <w:rFonts w:ascii="仿宋_GB2312" w:hAnsi="仿宋_GB2312" w:cs="仿宋_GB2312" w:eastAsia="仿宋_GB2312"/>
          <w:sz w:val="24"/>
        </w:rPr>
        <w:t>2、技术规格</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1"/>
        </w:rPr>
        <w:t xml:space="preserve"> </w:t>
      </w:r>
      <w:r>
        <w:rPr>
          <w:rFonts w:ascii="仿宋_GB2312" w:hAnsi="仿宋_GB2312" w:cs="仿宋_GB2312" w:eastAsia="仿宋_GB2312"/>
          <w:sz w:val="24"/>
        </w:rPr>
        <w:t>导航系统硬件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2.1.1</w:t>
      </w:r>
      <w:r>
        <w:rPr>
          <w:rFonts w:ascii="仿宋_GB2312" w:hAnsi="仿宋_GB2312" w:cs="仿宋_GB2312" w:eastAsia="仿宋_GB2312"/>
          <w:sz w:val="21"/>
        </w:rPr>
        <w:t xml:space="preserve"> </w:t>
      </w:r>
      <w:r>
        <w:rPr>
          <w:rFonts w:ascii="仿宋_GB2312" w:hAnsi="仿宋_GB2312" w:cs="仿宋_GB2312" w:eastAsia="仿宋_GB2312"/>
          <w:sz w:val="24"/>
        </w:rPr>
        <w:t>导航定位相机采用近红外光学成像相机，刺激精度</w:t>
      </w:r>
      <w:r>
        <w:rPr>
          <w:rFonts w:ascii="仿宋_GB2312" w:hAnsi="仿宋_GB2312" w:cs="仿宋_GB2312" w:eastAsia="仿宋_GB2312"/>
          <w:sz w:val="24"/>
        </w:rPr>
        <w:t>≤2mm；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2.1.2</w:t>
      </w:r>
      <w:r>
        <w:rPr>
          <w:rFonts w:ascii="仿宋_GB2312" w:hAnsi="仿宋_GB2312" w:cs="仿宋_GB2312" w:eastAsia="仿宋_GB2312"/>
          <w:sz w:val="21"/>
        </w:rPr>
        <w:t xml:space="preserve"> </w:t>
      </w:r>
      <w:r>
        <w:rPr>
          <w:rFonts w:ascii="仿宋_GB2312" w:hAnsi="仿宋_GB2312" w:cs="仿宋_GB2312" w:eastAsia="仿宋_GB2312"/>
          <w:sz w:val="24"/>
        </w:rPr>
        <w:t>每个示踪钢体都有独立编号及独有位置识别配置文件；</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1"/>
        </w:rPr>
        <w:t xml:space="preserve"> </w:t>
      </w:r>
      <w:r>
        <w:rPr>
          <w:rFonts w:ascii="仿宋_GB2312" w:hAnsi="仿宋_GB2312" w:cs="仿宋_GB2312" w:eastAsia="仿宋_GB2312"/>
          <w:sz w:val="24"/>
        </w:rPr>
        <w:t>采用双通道运动诱发电位模块，可在两个窗口分别采集和显示两个通道的诱发电位波形，支持双通道</w:t>
      </w:r>
      <w:r>
        <w:rPr>
          <w:rFonts w:ascii="仿宋_GB2312" w:hAnsi="仿宋_GB2312" w:cs="仿宋_GB2312" w:eastAsia="仿宋_GB2312"/>
          <w:sz w:val="24"/>
        </w:rPr>
        <w:t>MEP测量；采样频率：≥2kHz每通道；总带宽：</w:t>
      </w:r>
      <w:r>
        <w:rPr>
          <w:rFonts w:ascii="仿宋_GB2312" w:hAnsi="仿宋_GB2312" w:cs="仿宋_GB2312" w:eastAsia="仿宋_GB2312"/>
          <w:sz w:val="24"/>
        </w:rPr>
        <w:t>20</w:t>
      </w:r>
      <w:r>
        <w:rPr>
          <w:rFonts w:ascii="仿宋_GB2312" w:hAnsi="仿宋_GB2312" w:cs="仿宋_GB2312" w:eastAsia="仿宋_GB2312"/>
          <w:sz w:val="24"/>
        </w:rPr>
        <w:t>Hz</w:t>
      </w:r>
      <w:r>
        <w:rPr>
          <w:rFonts w:ascii="仿宋_GB2312" w:hAnsi="仿宋_GB2312" w:cs="仿宋_GB2312" w:eastAsia="仿宋_GB2312"/>
          <w:sz w:val="24"/>
        </w:rPr>
        <w:t>～</w:t>
      </w:r>
      <w:r>
        <w:rPr>
          <w:rFonts w:ascii="仿宋_GB2312" w:hAnsi="仿宋_GB2312" w:cs="仿宋_GB2312" w:eastAsia="仿宋_GB2312"/>
          <w:sz w:val="24"/>
        </w:rPr>
        <w:t>450</w:t>
      </w:r>
      <w:r>
        <w:rPr>
          <w:rFonts w:ascii="仿宋_GB2312" w:hAnsi="仿宋_GB2312" w:cs="仿宋_GB2312" w:eastAsia="仿宋_GB2312"/>
          <w:sz w:val="24"/>
        </w:rPr>
        <w:t>Hz；共模抑制比：≥110dB；</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2.1.4</w:t>
      </w:r>
      <w:r>
        <w:rPr>
          <w:rFonts w:ascii="仿宋_GB2312" w:hAnsi="仿宋_GB2312" w:cs="仿宋_GB2312" w:eastAsia="仿宋_GB2312"/>
          <w:sz w:val="21"/>
        </w:rPr>
        <w:t xml:space="preserve"> </w:t>
      </w:r>
      <w:r>
        <w:rPr>
          <w:rFonts w:ascii="仿宋_GB2312" w:hAnsi="仿宋_GB2312" w:cs="仿宋_GB2312" w:eastAsia="仿宋_GB2312"/>
          <w:sz w:val="24"/>
        </w:rPr>
        <w:t>独立</w:t>
      </w:r>
      <w:r>
        <w:rPr>
          <w:rFonts w:ascii="仿宋_GB2312" w:hAnsi="仿宋_GB2312" w:cs="仿宋_GB2312" w:eastAsia="仿宋_GB2312"/>
          <w:sz w:val="24"/>
        </w:rPr>
        <w:t>I/O接口盒，可扩展性强；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2.1.5 BNC触发输入接口≥2；</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2.1.6 BNC触发输出接口≥1；</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2.1.7 脚踏开关接口≥1；</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2.1.8</w:t>
      </w:r>
      <w:r>
        <w:rPr>
          <w:rFonts w:ascii="仿宋_GB2312" w:hAnsi="仿宋_GB2312" w:cs="仿宋_GB2312" w:eastAsia="仿宋_GB2312"/>
          <w:sz w:val="21"/>
        </w:rPr>
        <w:t xml:space="preserve"> </w:t>
      </w:r>
      <w:r>
        <w:rPr>
          <w:rFonts w:ascii="仿宋_GB2312" w:hAnsi="仿宋_GB2312" w:cs="仿宋_GB2312" w:eastAsia="仿宋_GB2312"/>
          <w:sz w:val="24"/>
        </w:rPr>
        <w:t>串口输入接口</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2.1.9</w:t>
      </w:r>
      <w:r>
        <w:rPr>
          <w:rFonts w:ascii="仿宋_GB2312" w:hAnsi="仿宋_GB2312" w:cs="仿宋_GB2312" w:eastAsia="仿宋_GB2312"/>
          <w:sz w:val="21"/>
        </w:rPr>
        <w:t xml:space="preserve"> </w:t>
      </w:r>
      <w:r>
        <w:rPr>
          <w:rFonts w:ascii="仿宋_GB2312" w:hAnsi="仿宋_GB2312" w:cs="仿宋_GB2312" w:eastAsia="仿宋_GB2312"/>
          <w:sz w:val="24"/>
        </w:rPr>
        <w:t>模拟输入接口</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2.2、导航软件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2.2.1</w:t>
      </w:r>
      <w:r>
        <w:rPr>
          <w:rFonts w:ascii="仿宋_GB2312" w:hAnsi="仿宋_GB2312" w:cs="仿宋_GB2312" w:eastAsia="仿宋_GB2312"/>
          <w:sz w:val="21"/>
        </w:rPr>
        <w:t xml:space="preserve"> </w:t>
      </w:r>
      <w:r>
        <w:rPr>
          <w:rFonts w:ascii="仿宋_GB2312" w:hAnsi="仿宋_GB2312" w:cs="仿宋_GB2312" w:eastAsia="仿宋_GB2312"/>
          <w:sz w:val="24"/>
        </w:rPr>
        <w:t>支持导入被试真实影像数据，并对皮层及头皮进行全自动三维重建；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2.2.2</w:t>
      </w:r>
      <w:r>
        <w:rPr>
          <w:rFonts w:ascii="仿宋_GB2312" w:hAnsi="仿宋_GB2312" w:cs="仿宋_GB2312" w:eastAsia="仿宋_GB2312"/>
          <w:sz w:val="21"/>
        </w:rPr>
        <w:t xml:space="preserve"> </w:t>
      </w:r>
      <w:r>
        <w:rPr>
          <w:rFonts w:ascii="仿宋_GB2312" w:hAnsi="仿宋_GB2312" w:cs="仿宋_GB2312" w:eastAsia="仿宋_GB2312"/>
          <w:sz w:val="24"/>
        </w:rPr>
        <w:t>支持导入的文件类型包括</w:t>
      </w:r>
      <w:r>
        <w:rPr>
          <w:rFonts w:ascii="仿宋_GB2312" w:hAnsi="仿宋_GB2312" w:cs="仿宋_GB2312" w:eastAsia="仿宋_GB2312"/>
          <w:sz w:val="24"/>
        </w:rPr>
        <w:t>DICOM、ACR/NEMA、Analyze 7.5、MINC、NIfTI-1、PAR/REC、BrainVoyager™ anatomical (.vmr)；</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2.2.3 能够将真实空间物理位置与被试真实影像配准注册，从而实时追踪监视被试和线圈的位置变化</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27</w:t>
      </w:r>
      <w:r>
        <w:rPr>
          <w:rFonts w:ascii="仿宋_GB2312" w:hAnsi="仿宋_GB2312" w:cs="仿宋_GB2312" w:eastAsia="仿宋_GB2312"/>
          <w:sz w:val="24"/>
        </w:rPr>
        <w:t>】</w:t>
      </w:r>
      <w:r>
        <w:rPr>
          <w:rFonts w:ascii="仿宋_GB2312" w:hAnsi="仿宋_GB2312" w:cs="仿宋_GB2312" w:eastAsia="仿宋_GB2312"/>
          <w:sz w:val="24"/>
        </w:rPr>
        <w:t>2.2.4</w:t>
      </w:r>
      <w:r>
        <w:rPr>
          <w:rFonts w:ascii="仿宋_GB2312" w:hAnsi="仿宋_GB2312" w:cs="仿宋_GB2312" w:eastAsia="仿宋_GB2312"/>
          <w:sz w:val="21"/>
        </w:rPr>
        <w:t xml:space="preserve"> </w:t>
      </w:r>
      <w:r>
        <w:rPr>
          <w:rFonts w:ascii="仿宋_GB2312" w:hAnsi="仿宋_GB2312" w:cs="仿宋_GB2312" w:eastAsia="仿宋_GB2312"/>
          <w:sz w:val="24"/>
        </w:rPr>
        <w:t>导航系统实时显示并记录信息；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28</w:t>
      </w:r>
      <w:r>
        <w:rPr>
          <w:rFonts w:ascii="仿宋_GB2312" w:hAnsi="仿宋_GB2312" w:cs="仿宋_GB2312" w:eastAsia="仿宋_GB2312"/>
          <w:sz w:val="24"/>
        </w:rPr>
        <w:t>】</w:t>
      </w:r>
      <w:r>
        <w:rPr>
          <w:rFonts w:ascii="仿宋_GB2312" w:hAnsi="仿宋_GB2312" w:cs="仿宋_GB2312" w:eastAsia="仿宋_GB2312"/>
          <w:sz w:val="24"/>
        </w:rPr>
        <w:t>2.2.5</w:t>
      </w:r>
      <w:r>
        <w:rPr>
          <w:rFonts w:ascii="仿宋_GB2312" w:hAnsi="仿宋_GB2312" w:cs="仿宋_GB2312" w:eastAsia="仿宋_GB2312"/>
          <w:sz w:val="21"/>
        </w:rPr>
        <w:t xml:space="preserve"> </w:t>
      </w:r>
      <w:r>
        <w:rPr>
          <w:rFonts w:ascii="仿宋_GB2312" w:hAnsi="仿宋_GB2312" w:cs="仿宋_GB2312" w:eastAsia="仿宋_GB2312"/>
          <w:sz w:val="24"/>
        </w:rPr>
        <w:t>融合导入</w:t>
      </w:r>
      <w:r>
        <w:rPr>
          <w:rFonts w:ascii="仿宋_GB2312" w:hAnsi="仿宋_GB2312" w:cs="仿宋_GB2312" w:eastAsia="仿宋_GB2312"/>
          <w:sz w:val="24"/>
        </w:rPr>
        <w:t>MNI坐标和Talairach坐标；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29</w:t>
      </w:r>
      <w:r>
        <w:rPr>
          <w:rFonts w:ascii="仿宋_GB2312" w:hAnsi="仿宋_GB2312" w:cs="仿宋_GB2312" w:eastAsia="仿宋_GB2312"/>
          <w:sz w:val="24"/>
        </w:rPr>
        <w:t>】</w:t>
      </w:r>
      <w:r>
        <w:rPr>
          <w:rFonts w:ascii="仿宋_GB2312" w:hAnsi="仿宋_GB2312" w:cs="仿宋_GB2312" w:eastAsia="仿宋_GB2312"/>
          <w:sz w:val="24"/>
        </w:rPr>
        <w:t>2.2.6</w:t>
      </w:r>
      <w:r>
        <w:rPr>
          <w:rFonts w:ascii="仿宋_GB2312" w:hAnsi="仿宋_GB2312" w:cs="仿宋_GB2312" w:eastAsia="仿宋_GB2312"/>
          <w:sz w:val="21"/>
        </w:rPr>
        <w:t xml:space="preserve"> </w:t>
      </w:r>
      <w:r>
        <w:rPr>
          <w:rFonts w:ascii="仿宋_GB2312" w:hAnsi="仿宋_GB2312" w:cs="仿宋_GB2312" w:eastAsia="仿宋_GB2312"/>
          <w:sz w:val="24"/>
        </w:rPr>
        <w:t>预先规划目标脑区和特定靶点，靶点支持含角度信息的柱状靶点、圆形矩阵靶点、方形矩阵靶点等；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2.2.7</w:t>
      </w:r>
      <w:r>
        <w:rPr>
          <w:rFonts w:ascii="仿宋_GB2312" w:hAnsi="仿宋_GB2312" w:cs="仿宋_GB2312" w:eastAsia="仿宋_GB2312"/>
          <w:sz w:val="21"/>
        </w:rPr>
        <w:t xml:space="preserve"> </w:t>
      </w:r>
      <w:r>
        <w:rPr>
          <w:rFonts w:ascii="仿宋_GB2312" w:hAnsi="仿宋_GB2312" w:cs="仿宋_GB2312" w:eastAsia="仿宋_GB2312"/>
          <w:sz w:val="24"/>
        </w:rPr>
        <w:t>矩阵靶点支持根据皮层弧度自动垂直优化，方便</w:t>
      </w:r>
      <w:r>
        <w:rPr>
          <w:rFonts w:ascii="仿宋_GB2312" w:hAnsi="仿宋_GB2312" w:cs="仿宋_GB2312" w:eastAsia="仿宋_GB2312"/>
          <w:sz w:val="24"/>
        </w:rPr>
        <w:t>Brain Mapping应用；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2.2.8</w:t>
      </w:r>
      <w:r>
        <w:rPr>
          <w:rFonts w:ascii="仿宋_GB2312" w:hAnsi="仿宋_GB2312" w:cs="仿宋_GB2312" w:eastAsia="仿宋_GB2312"/>
          <w:sz w:val="21"/>
        </w:rPr>
        <w:t xml:space="preserve"> </w:t>
      </w:r>
      <w:r>
        <w:rPr>
          <w:rFonts w:ascii="仿宋_GB2312" w:hAnsi="仿宋_GB2312" w:cs="仿宋_GB2312" w:eastAsia="仿宋_GB2312"/>
          <w:sz w:val="24"/>
        </w:rPr>
        <w:t>导航系统软件支持</w:t>
      </w:r>
      <w:r>
        <w:rPr>
          <w:rFonts w:ascii="仿宋_GB2312" w:hAnsi="仿宋_GB2312" w:cs="仿宋_GB2312" w:eastAsia="仿宋_GB2312"/>
          <w:sz w:val="24"/>
        </w:rPr>
        <w:t>MEP测量显示功能；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31</w:t>
      </w:r>
      <w:r>
        <w:rPr>
          <w:rFonts w:ascii="仿宋_GB2312" w:hAnsi="仿宋_GB2312" w:cs="仿宋_GB2312" w:eastAsia="仿宋_GB2312"/>
          <w:sz w:val="24"/>
        </w:rPr>
        <w:t>】</w:t>
      </w:r>
      <w:r>
        <w:rPr>
          <w:rFonts w:ascii="仿宋_GB2312" w:hAnsi="仿宋_GB2312" w:cs="仿宋_GB2312" w:eastAsia="仿宋_GB2312"/>
          <w:sz w:val="24"/>
        </w:rPr>
        <w:t>2.2.9</w:t>
      </w:r>
      <w:r>
        <w:rPr>
          <w:rFonts w:ascii="仿宋_GB2312" w:hAnsi="仿宋_GB2312" w:cs="仿宋_GB2312" w:eastAsia="仿宋_GB2312"/>
          <w:sz w:val="21"/>
        </w:rPr>
        <w:t xml:space="preserve"> </w:t>
      </w:r>
      <w:r>
        <w:rPr>
          <w:rFonts w:ascii="仿宋_GB2312" w:hAnsi="仿宋_GB2312" w:cs="仿宋_GB2312" w:eastAsia="仿宋_GB2312"/>
          <w:sz w:val="24"/>
        </w:rPr>
        <w:t>接收</w:t>
      </w:r>
      <w:r>
        <w:rPr>
          <w:rFonts w:ascii="仿宋_GB2312" w:hAnsi="仿宋_GB2312" w:cs="仿宋_GB2312" w:eastAsia="仿宋_GB2312"/>
          <w:sz w:val="24"/>
        </w:rPr>
        <w:t>EEG数据和MEP数据offline导入；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指标项</w:t>
      </w:r>
      <w:r>
        <w:rPr>
          <w:rFonts w:ascii="仿宋_GB2312" w:hAnsi="仿宋_GB2312" w:cs="仿宋_GB2312" w:eastAsia="仿宋_GB2312"/>
          <w:sz w:val="24"/>
        </w:rPr>
        <w:t>32</w:t>
      </w:r>
      <w:r>
        <w:rPr>
          <w:rFonts w:ascii="仿宋_GB2312" w:hAnsi="仿宋_GB2312" w:cs="仿宋_GB2312" w:eastAsia="仿宋_GB2312"/>
          <w:sz w:val="24"/>
        </w:rPr>
        <w:t>】</w:t>
      </w:r>
      <w:r>
        <w:rPr>
          <w:rFonts w:ascii="仿宋_GB2312" w:hAnsi="仿宋_GB2312" w:cs="仿宋_GB2312" w:eastAsia="仿宋_GB2312"/>
          <w:sz w:val="24"/>
        </w:rPr>
        <w:t>2.2.10</w:t>
      </w:r>
      <w:r>
        <w:rPr>
          <w:rFonts w:ascii="仿宋_GB2312" w:hAnsi="仿宋_GB2312" w:cs="仿宋_GB2312" w:eastAsia="仿宋_GB2312"/>
          <w:sz w:val="21"/>
        </w:rPr>
        <w:t xml:space="preserve"> </w:t>
      </w:r>
      <w:r>
        <w:rPr>
          <w:rFonts w:ascii="仿宋_GB2312" w:hAnsi="仿宋_GB2312" w:cs="仿宋_GB2312" w:eastAsia="仿宋_GB2312"/>
          <w:sz w:val="24"/>
        </w:rPr>
        <w:t>三维影像文件及</w:t>
      </w:r>
      <w:r>
        <w:rPr>
          <w:rFonts w:ascii="仿宋_GB2312" w:hAnsi="仿宋_GB2312" w:cs="仿宋_GB2312" w:eastAsia="仿宋_GB2312"/>
          <w:sz w:val="24"/>
        </w:rPr>
        <w:t>MEP标记信息以DICOM格式导出；</w:t>
      </w:r>
    </w:p>
    <w:p>
      <w:pPr>
        <w:pStyle w:val="null3"/>
        <w:jc w:val="both"/>
      </w:pPr>
      <w:r>
        <w:rPr>
          <w:rFonts w:ascii="仿宋_GB2312" w:hAnsi="仿宋_GB2312" w:cs="仿宋_GB2312" w:eastAsia="仿宋_GB2312"/>
          <w:sz w:val="24"/>
        </w:rPr>
        <w:t>▲2.2.11</w:t>
      </w:r>
      <w:r>
        <w:rPr>
          <w:rFonts w:ascii="仿宋_GB2312" w:hAnsi="仿宋_GB2312" w:cs="仿宋_GB2312" w:eastAsia="仿宋_GB2312"/>
          <w:sz w:val="21"/>
        </w:rPr>
        <w:t xml:space="preserve"> </w:t>
      </w:r>
      <w:r>
        <w:rPr>
          <w:rFonts w:ascii="仿宋_GB2312" w:hAnsi="仿宋_GB2312" w:cs="仿宋_GB2312" w:eastAsia="仿宋_GB2312"/>
          <w:sz w:val="24"/>
        </w:rPr>
        <w:t>可支持多个线圈同步导航</w:t>
      </w:r>
      <w:r>
        <w:rPr>
          <w:rFonts w:ascii="仿宋_GB2312" w:hAnsi="仿宋_GB2312" w:cs="仿宋_GB2312" w:eastAsia="仿宋_GB2312"/>
          <w:sz w:val="24"/>
        </w:rPr>
        <w:t>，</w:t>
      </w:r>
      <w:r>
        <w:rPr>
          <w:rFonts w:ascii="仿宋_GB2312" w:hAnsi="仿宋_GB2312" w:cs="仿宋_GB2312" w:eastAsia="仿宋_GB2312"/>
          <w:sz w:val="24"/>
        </w:rPr>
        <w:t>线圈数量：</w:t>
      </w:r>
      <w:r>
        <w:rPr>
          <w:rFonts w:ascii="仿宋_GB2312" w:hAnsi="仿宋_GB2312" w:cs="仿宋_GB2312" w:eastAsia="仿宋_GB2312"/>
          <w:sz w:val="24"/>
        </w:rPr>
        <w:t>≥2个。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主要配置</w:t>
      </w:r>
      <w:r>
        <w:rPr>
          <w:rFonts w:ascii="仿宋_GB2312" w:hAnsi="仿宋_GB2312" w:cs="仿宋_GB2312" w:eastAsia="仿宋_GB2312"/>
          <w:sz w:val="24"/>
        </w:rPr>
        <w:t>（</w:t>
      </w:r>
      <w:r>
        <w:rPr>
          <w:rFonts w:ascii="仿宋_GB2312" w:hAnsi="仿宋_GB2312" w:cs="仿宋_GB2312" w:eastAsia="仿宋_GB2312"/>
          <w:sz w:val="24"/>
        </w:rPr>
        <w:t>包括但不限于</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磁刺激刺激器</w:t>
      </w:r>
      <w:r>
        <w:rPr>
          <w:rFonts w:ascii="仿宋_GB2312" w:hAnsi="仿宋_GB2312" w:cs="仿宋_GB2312" w:eastAsia="仿宋_GB2312"/>
          <w:sz w:val="24"/>
        </w:rPr>
        <w:t>主要配置</w:t>
      </w:r>
      <w:r>
        <w:rPr>
          <w:rFonts w:ascii="仿宋_GB2312" w:hAnsi="仿宋_GB2312" w:cs="仿宋_GB2312" w:eastAsia="仿宋_GB2312"/>
          <w:sz w:val="24"/>
        </w:rPr>
        <w:t>（</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 重复经颅磁刺激主机；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 专用能</w:t>
      </w:r>
      <w:r>
        <w:rPr>
          <w:rFonts w:ascii="仿宋_GB2312" w:hAnsi="仿宋_GB2312" w:cs="仿宋_GB2312" w:eastAsia="仿宋_GB2312"/>
          <w:sz w:val="24"/>
        </w:rPr>
        <w:t>量单元；</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 磁刺激线圈；</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双通道运动诱发电位模块；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专用控制器（内置磁刺激软件）；</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专用推车；</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导航系统主要配置：</w:t>
      </w:r>
    </w:p>
    <w:p>
      <w:pPr>
        <w:pStyle w:val="null3"/>
        <w:jc w:val="both"/>
      </w:pPr>
      <w:r>
        <w:rPr>
          <w:rFonts w:ascii="仿宋_GB2312" w:hAnsi="仿宋_GB2312" w:cs="仿宋_GB2312" w:eastAsia="仿宋_GB2312"/>
          <w:sz w:val="24"/>
        </w:rPr>
        <w:t>2.1 导航系统专用主机（含隔离电源和触发控制器单元）1套；</w:t>
      </w:r>
    </w:p>
    <w:p>
      <w:pPr>
        <w:pStyle w:val="null3"/>
        <w:jc w:val="both"/>
      </w:pPr>
      <w:r>
        <w:rPr>
          <w:rFonts w:ascii="仿宋_GB2312" w:hAnsi="仿宋_GB2312" w:cs="仿宋_GB2312" w:eastAsia="仿宋_GB2312"/>
          <w:sz w:val="24"/>
        </w:rPr>
        <w:t>2.2 NDI光学定位器 1套；</w:t>
      </w:r>
    </w:p>
    <w:p>
      <w:pPr>
        <w:pStyle w:val="null3"/>
        <w:jc w:val="both"/>
      </w:pPr>
      <w:r>
        <w:rPr>
          <w:rFonts w:ascii="仿宋_GB2312" w:hAnsi="仿宋_GB2312" w:cs="仿宋_GB2312" w:eastAsia="仿宋_GB2312"/>
          <w:sz w:val="24"/>
        </w:rPr>
        <w:t>2.3 受试示踪器套件（含固定装置及光球） 1套；</w:t>
      </w:r>
    </w:p>
    <w:p>
      <w:pPr>
        <w:pStyle w:val="null3"/>
        <w:jc w:val="both"/>
      </w:pPr>
      <w:r>
        <w:rPr>
          <w:rFonts w:ascii="仿宋_GB2312" w:hAnsi="仿宋_GB2312" w:cs="仿宋_GB2312" w:eastAsia="仿宋_GB2312"/>
          <w:sz w:val="24"/>
        </w:rPr>
        <w:t>2.4 线圈示踪器套件（含固定装置及光球） 1套；</w:t>
      </w:r>
    </w:p>
    <w:p>
      <w:pPr>
        <w:pStyle w:val="null3"/>
        <w:jc w:val="both"/>
      </w:pPr>
      <w:r>
        <w:rPr>
          <w:rFonts w:ascii="仿宋_GB2312" w:hAnsi="仿宋_GB2312" w:cs="仿宋_GB2312" w:eastAsia="仿宋_GB2312"/>
          <w:sz w:val="24"/>
        </w:rPr>
        <w:t>2.5 线圈校准模板 1套；</w:t>
      </w:r>
    </w:p>
    <w:p>
      <w:pPr>
        <w:pStyle w:val="null3"/>
        <w:jc w:val="both"/>
      </w:pPr>
      <w:r>
        <w:rPr>
          <w:rFonts w:ascii="仿宋_GB2312" w:hAnsi="仿宋_GB2312" w:cs="仿宋_GB2312" w:eastAsia="仿宋_GB2312"/>
          <w:sz w:val="24"/>
        </w:rPr>
        <w:t>2.6 数字化定位笔 1支；</w:t>
      </w:r>
    </w:p>
    <w:p>
      <w:pPr>
        <w:pStyle w:val="null3"/>
        <w:jc w:val="both"/>
      </w:pPr>
      <w:r>
        <w:rPr>
          <w:rFonts w:ascii="仿宋_GB2312" w:hAnsi="仿宋_GB2312" w:cs="仿宋_GB2312" w:eastAsia="仿宋_GB2312"/>
          <w:sz w:val="24"/>
        </w:rPr>
        <w:t>2.7 光学定位器支架 1支；</w:t>
      </w:r>
    </w:p>
    <w:p>
      <w:pPr>
        <w:pStyle w:val="null3"/>
        <w:jc w:val="both"/>
      </w:pPr>
      <w:r>
        <w:rPr>
          <w:rFonts w:ascii="仿宋_GB2312" w:hAnsi="仿宋_GB2312" w:cs="仿宋_GB2312" w:eastAsia="仿宋_GB2312"/>
          <w:sz w:val="24"/>
        </w:rPr>
        <w:t xml:space="preserve">2.8 专用仪器推车 </w:t>
      </w:r>
      <w:r>
        <w:rPr>
          <w:rFonts w:ascii="仿宋_GB2312" w:hAnsi="仿宋_GB2312" w:cs="仿宋_GB2312" w:eastAsia="仿宋_GB2312"/>
          <w:sz w:val="24"/>
        </w:rPr>
        <w:t>1台。</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合同生效后90天内交货</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福建医科大学附属第一医院指定地点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验收合格后现场交付</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1、期次1，说明：详见“7.验收标准和验收方法”。</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1、合同支付方式详见本表格“8★其他”，达到付款条件起90日内，支付合同总金额的100.00%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both"/>
            </w:pPr>
            <w:r>
              <w:rPr>
                <w:rFonts w:ascii="仿宋_GB2312" w:hAnsi="仿宋_GB2312" w:cs="仿宋_GB2312" w:eastAsia="仿宋_GB2312"/>
              </w:rPr>
              <w:t>说明：合同签订前，由中标人向采购人支付合同总金额的5%作为履约保证金（中小微企业的支付合同总金额的4%作为履约保证金）。保修期满后，如无未了事项的，采购人根据中标人提交的付款申请材料无息退回履约保证金给中标人。</w:t>
            </w:r>
          </w:p>
        </w:tc>
      </w:tr>
      <w:tr>
        <w:tc>
          <w:tcPr>
            <w:tcW w:type="dxa" w:w="2076"/>
          </w:tcPr>
          <w:p>
            <w:pPr>
              <w:pStyle w:val="null3"/>
              <w:jc w:val="both"/>
            </w:pPr>
            <w:r>
              <w:rPr>
                <w:rFonts w:ascii="仿宋_GB2312" w:hAnsi="仿宋_GB2312" w:cs="仿宋_GB2312" w:eastAsia="仿宋_GB2312"/>
              </w:rPr>
              <w:t>8</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1、设备安装及验收合格后，中标人凭“A.开具等额货物金额100%的增值税普通发票，B.有效海关、商检证明文件（设备为进口货物的情况下要求提供），C.医疗设备验收单（经采购人设备与医用材料管理处工程师和设备使用科室人员签字）”向采购人申请付款。2.采购人在设备入账后90个日历日(中小微企业60个日历日）内以银行付款方式向中标人支付合同总金额的100%的款项。3.投标报价须包含以上设备装卸、搬运就位、安装调试、服务、税费等一切费用。(招标文件中合同支付方式与本条款存在不一致，以此为准。)</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 xml:space="preserve">1. </w:t>
      </w:r>
      <w:r>
        <w:rPr>
          <w:rFonts w:ascii="仿宋_GB2312" w:hAnsi="仿宋_GB2312" w:cs="仿宋_GB2312" w:eastAsia="仿宋_GB2312"/>
          <w:sz w:val="24"/>
        </w:rPr>
        <w:t>中标人</w:t>
      </w:r>
      <w:r>
        <w:rPr>
          <w:rFonts w:ascii="仿宋_GB2312" w:hAnsi="仿宋_GB2312" w:cs="仿宋_GB2312" w:eastAsia="仿宋_GB2312"/>
          <w:sz w:val="24"/>
        </w:rPr>
        <w:t>未能履行合同项下的任何义务的，</w:t>
      </w:r>
      <w:r>
        <w:rPr>
          <w:rFonts w:ascii="仿宋_GB2312" w:hAnsi="仿宋_GB2312" w:cs="仿宋_GB2312" w:eastAsia="仿宋_GB2312"/>
          <w:sz w:val="24"/>
        </w:rPr>
        <w:t>采购人</w:t>
      </w:r>
      <w:r>
        <w:rPr>
          <w:rFonts w:ascii="仿宋_GB2312" w:hAnsi="仿宋_GB2312" w:cs="仿宋_GB2312" w:eastAsia="仿宋_GB2312"/>
          <w:sz w:val="24"/>
        </w:rPr>
        <w:t>有权单方面解除合同并要求</w:t>
      </w:r>
      <w:r>
        <w:rPr>
          <w:rFonts w:ascii="仿宋_GB2312" w:hAnsi="仿宋_GB2312" w:cs="仿宋_GB2312" w:eastAsia="仿宋_GB2312"/>
          <w:sz w:val="24"/>
        </w:rPr>
        <w:t>中标人</w:t>
      </w:r>
      <w:r>
        <w:rPr>
          <w:rFonts w:ascii="仿宋_GB2312" w:hAnsi="仿宋_GB2312" w:cs="仿宋_GB2312" w:eastAsia="仿宋_GB2312"/>
          <w:sz w:val="24"/>
        </w:rPr>
        <w:t>按合同约定支付违约金并赔偿损失，包括但不限于：</w:t>
      </w:r>
    </w:p>
    <w:p>
      <w:pPr>
        <w:pStyle w:val="null3"/>
        <w:ind w:firstLine="480"/>
        <w:jc w:val="both"/>
      </w:pPr>
      <w:r>
        <w:rPr>
          <w:rFonts w:ascii="仿宋_GB2312" w:hAnsi="仿宋_GB2312" w:cs="仿宋_GB2312" w:eastAsia="仿宋_GB2312"/>
          <w:sz w:val="24"/>
        </w:rPr>
        <w:t>1.1 如果</w:t>
      </w:r>
      <w:r>
        <w:rPr>
          <w:rFonts w:ascii="仿宋_GB2312" w:hAnsi="仿宋_GB2312" w:cs="仿宋_GB2312" w:eastAsia="仿宋_GB2312"/>
          <w:sz w:val="24"/>
        </w:rPr>
        <w:t>中标人</w:t>
      </w:r>
      <w:r>
        <w:rPr>
          <w:rFonts w:ascii="仿宋_GB2312" w:hAnsi="仿宋_GB2312" w:cs="仿宋_GB2312" w:eastAsia="仿宋_GB2312"/>
          <w:sz w:val="24"/>
        </w:rPr>
        <w:t>未能按合同约定的时间或</w:t>
      </w:r>
      <w:r>
        <w:rPr>
          <w:rFonts w:ascii="仿宋_GB2312" w:hAnsi="仿宋_GB2312" w:cs="仿宋_GB2312" w:eastAsia="仿宋_GB2312"/>
          <w:sz w:val="24"/>
        </w:rPr>
        <w:t>采购人</w:t>
      </w:r>
      <w:r>
        <w:rPr>
          <w:rFonts w:ascii="仿宋_GB2312" w:hAnsi="仿宋_GB2312" w:cs="仿宋_GB2312" w:eastAsia="仿宋_GB2312"/>
          <w:sz w:val="24"/>
        </w:rPr>
        <w:t>指定期限按时足额交货，</w:t>
      </w:r>
      <w:r>
        <w:rPr>
          <w:rFonts w:ascii="仿宋_GB2312" w:hAnsi="仿宋_GB2312" w:cs="仿宋_GB2312" w:eastAsia="仿宋_GB2312"/>
          <w:sz w:val="24"/>
        </w:rPr>
        <w:t>采购人</w:t>
      </w:r>
      <w:r>
        <w:rPr>
          <w:rFonts w:ascii="仿宋_GB2312" w:hAnsi="仿宋_GB2312" w:cs="仿宋_GB2312" w:eastAsia="仿宋_GB2312"/>
          <w:sz w:val="24"/>
        </w:rPr>
        <w:t>有权要求</w:t>
      </w:r>
      <w:r>
        <w:rPr>
          <w:rFonts w:ascii="仿宋_GB2312" w:hAnsi="仿宋_GB2312" w:cs="仿宋_GB2312" w:eastAsia="仿宋_GB2312"/>
          <w:sz w:val="24"/>
        </w:rPr>
        <w:t>中标人</w:t>
      </w:r>
      <w:r>
        <w:rPr>
          <w:rFonts w:ascii="仿宋_GB2312" w:hAnsi="仿宋_GB2312" w:cs="仿宋_GB2312" w:eastAsia="仿宋_GB2312"/>
          <w:sz w:val="24"/>
        </w:rPr>
        <w:t>支付延期交货违约金；</w:t>
      </w:r>
      <w:r>
        <w:rPr>
          <w:rFonts w:ascii="仿宋_GB2312" w:hAnsi="仿宋_GB2312" w:cs="仿宋_GB2312" w:eastAsia="仿宋_GB2312"/>
          <w:sz w:val="24"/>
        </w:rPr>
        <w:t>延期交货违约金</w:t>
      </w:r>
      <w:r>
        <w:rPr>
          <w:rFonts w:ascii="仿宋_GB2312" w:hAnsi="仿宋_GB2312" w:cs="仿宋_GB2312" w:eastAsia="仿宋_GB2312"/>
          <w:sz w:val="24"/>
        </w:rPr>
        <w:t>为每迟交</w:t>
      </w:r>
      <w:r>
        <w:rPr>
          <w:rFonts w:ascii="仿宋_GB2312" w:hAnsi="仿宋_GB2312" w:cs="仿宋_GB2312" w:eastAsia="仿宋_GB2312"/>
          <w:sz w:val="24"/>
        </w:rPr>
        <w:t>1天，按迟交货物合同金额的万分之五计算。</w:t>
      </w:r>
    </w:p>
    <w:p>
      <w:pPr>
        <w:pStyle w:val="null3"/>
        <w:ind w:firstLine="480"/>
        <w:jc w:val="both"/>
      </w:pPr>
      <w:r>
        <w:rPr>
          <w:rFonts w:ascii="仿宋_GB2312" w:hAnsi="仿宋_GB2312" w:cs="仿宋_GB2312" w:eastAsia="仿宋_GB2312"/>
          <w:sz w:val="24"/>
        </w:rPr>
        <w:t>1.2 合同签订后，若</w:t>
      </w:r>
      <w:r>
        <w:rPr>
          <w:rFonts w:ascii="仿宋_GB2312" w:hAnsi="仿宋_GB2312" w:cs="仿宋_GB2312" w:eastAsia="仿宋_GB2312"/>
          <w:sz w:val="24"/>
        </w:rPr>
        <w:t>中标人</w:t>
      </w:r>
      <w:r>
        <w:rPr>
          <w:rFonts w:ascii="仿宋_GB2312" w:hAnsi="仿宋_GB2312" w:cs="仿宋_GB2312" w:eastAsia="仿宋_GB2312"/>
          <w:sz w:val="24"/>
        </w:rPr>
        <w:t>明确向</w:t>
      </w:r>
      <w:r>
        <w:rPr>
          <w:rFonts w:ascii="仿宋_GB2312" w:hAnsi="仿宋_GB2312" w:cs="仿宋_GB2312" w:eastAsia="仿宋_GB2312"/>
          <w:sz w:val="24"/>
        </w:rPr>
        <w:t>采购人</w:t>
      </w:r>
      <w:r>
        <w:rPr>
          <w:rFonts w:ascii="仿宋_GB2312" w:hAnsi="仿宋_GB2312" w:cs="仿宋_GB2312" w:eastAsia="仿宋_GB2312"/>
          <w:sz w:val="24"/>
        </w:rPr>
        <w:t>表示无法交货的，</w:t>
      </w:r>
      <w:r>
        <w:rPr>
          <w:rFonts w:ascii="仿宋_GB2312" w:hAnsi="仿宋_GB2312" w:cs="仿宋_GB2312" w:eastAsia="仿宋_GB2312"/>
          <w:sz w:val="24"/>
        </w:rPr>
        <w:t>采购人</w:t>
      </w:r>
      <w:r>
        <w:rPr>
          <w:rFonts w:ascii="仿宋_GB2312" w:hAnsi="仿宋_GB2312" w:cs="仿宋_GB2312" w:eastAsia="仿宋_GB2312"/>
          <w:sz w:val="24"/>
        </w:rPr>
        <w:t>有权要求</w:t>
      </w:r>
      <w:r>
        <w:rPr>
          <w:rFonts w:ascii="仿宋_GB2312" w:hAnsi="仿宋_GB2312" w:cs="仿宋_GB2312" w:eastAsia="仿宋_GB2312"/>
          <w:sz w:val="24"/>
        </w:rPr>
        <w:t>中标人</w:t>
      </w:r>
      <w:r>
        <w:rPr>
          <w:rFonts w:ascii="仿宋_GB2312" w:hAnsi="仿宋_GB2312" w:cs="仿宋_GB2312" w:eastAsia="仿宋_GB2312"/>
          <w:sz w:val="24"/>
        </w:rPr>
        <w:t>支付</w:t>
      </w:r>
      <w:r>
        <w:rPr>
          <w:rFonts w:ascii="仿宋_GB2312" w:hAnsi="仿宋_GB2312" w:cs="仿宋_GB2312" w:eastAsia="仿宋_GB2312"/>
          <w:sz w:val="24"/>
        </w:rPr>
        <w:t>合同总金额</w:t>
      </w:r>
      <w:r>
        <w:rPr>
          <w:rFonts w:ascii="仿宋_GB2312" w:hAnsi="仿宋_GB2312" w:cs="仿宋_GB2312" w:eastAsia="仿宋_GB2312"/>
          <w:sz w:val="24"/>
          <w:u w:val="single"/>
        </w:rPr>
        <w:t>4</w:t>
      </w:r>
      <w:r>
        <w:rPr>
          <w:rFonts w:ascii="仿宋_GB2312" w:hAnsi="仿宋_GB2312" w:cs="仿宋_GB2312" w:eastAsia="仿宋_GB2312"/>
          <w:sz w:val="24"/>
        </w:rPr>
        <w:t>％的违约金</w:t>
      </w:r>
      <w:r>
        <w:rPr>
          <w:rFonts w:ascii="仿宋_GB2312" w:hAnsi="仿宋_GB2312" w:cs="仿宋_GB2312" w:eastAsia="仿宋_GB2312"/>
          <w:sz w:val="24"/>
        </w:rPr>
        <w:t>，且有权单方面解除合同</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1.3 自本</w:t>
      </w:r>
      <w:r>
        <w:rPr>
          <w:rFonts w:ascii="仿宋_GB2312" w:hAnsi="仿宋_GB2312" w:cs="仿宋_GB2312" w:eastAsia="仿宋_GB2312"/>
          <w:sz w:val="24"/>
        </w:rPr>
        <w:t>项目</w:t>
      </w:r>
      <w:r>
        <w:rPr>
          <w:rFonts w:ascii="仿宋_GB2312" w:hAnsi="仿宋_GB2312" w:cs="仿宋_GB2312" w:eastAsia="仿宋_GB2312"/>
          <w:sz w:val="24"/>
        </w:rPr>
        <w:t>合同约定的交货期限截止次日起，逾期交货或交货不合格导致无法验收超过</w:t>
      </w:r>
      <w:r>
        <w:rPr>
          <w:rFonts w:ascii="仿宋_GB2312" w:hAnsi="仿宋_GB2312" w:cs="仿宋_GB2312" w:eastAsia="仿宋_GB2312"/>
          <w:sz w:val="24"/>
        </w:rPr>
        <w:t>120个日历日（不含120个日历日）视为不能交货；</w:t>
      </w:r>
      <w:r>
        <w:rPr>
          <w:rFonts w:ascii="仿宋_GB2312" w:hAnsi="仿宋_GB2312" w:cs="仿宋_GB2312" w:eastAsia="仿宋_GB2312"/>
          <w:sz w:val="24"/>
        </w:rPr>
        <w:t>中标人</w:t>
      </w:r>
      <w:r>
        <w:rPr>
          <w:rFonts w:ascii="仿宋_GB2312" w:hAnsi="仿宋_GB2312" w:cs="仿宋_GB2312" w:eastAsia="仿宋_GB2312"/>
          <w:sz w:val="24"/>
        </w:rPr>
        <w:t>不能交货的，</w:t>
      </w:r>
      <w:r>
        <w:rPr>
          <w:rFonts w:ascii="仿宋_GB2312" w:hAnsi="仿宋_GB2312" w:cs="仿宋_GB2312" w:eastAsia="仿宋_GB2312"/>
          <w:sz w:val="24"/>
        </w:rPr>
        <w:t>采购人</w:t>
      </w:r>
      <w:r>
        <w:rPr>
          <w:rFonts w:ascii="仿宋_GB2312" w:hAnsi="仿宋_GB2312" w:cs="仿宋_GB2312" w:eastAsia="仿宋_GB2312"/>
          <w:sz w:val="24"/>
        </w:rPr>
        <w:t>有权单方面解除本</w:t>
      </w:r>
      <w:r>
        <w:rPr>
          <w:rFonts w:ascii="仿宋_GB2312" w:hAnsi="仿宋_GB2312" w:cs="仿宋_GB2312" w:eastAsia="仿宋_GB2312"/>
          <w:sz w:val="24"/>
        </w:rPr>
        <w:t>项目</w:t>
      </w:r>
      <w:r>
        <w:rPr>
          <w:rFonts w:ascii="仿宋_GB2312" w:hAnsi="仿宋_GB2312" w:cs="仿宋_GB2312" w:eastAsia="仿宋_GB2312"/>
          <w:sz w:val="24"/>
        </w:rPr>
        <w:t>合同，</w:t>
      </w:r>
      <w:r>
        <w:rPr>
          <w:rFonts w:ascii="仿宋_GB2312" w:hAnsi="仿宋_GB2312" w:cs="仿宋_GB2312" w:eastAsia="仿宋_GB2312"/>
          <w:sz w:val="24"/>
        </w:rPr>
        <w:t>采购人</w:t>
      </w:r>
      <w:r>
        <w:rPr>
          <w:rFonts w:ascii="仿宋_GB2312" w:hAnsi="仿宋_GB2312" w:cs="仿宋_GB2312" w:eastAsia="仿宋_GB2312"/>
          <w:sz w:val="24"/>
        </w:rPr>
        <w:t>除有权要求</w:t>
      </w:r>
      <w:r>
        <w:rPr>
          <w:rFonts w:ascii="仿宋_GB2312" w:hAnsi="仿宋_GB2312" w:cs="仿宋_GB2312" w:eastAsia="仿宋_GB2312"/>
          <w:sz w:val="24"/>
        </w:rPr>
        <w:t>中标人</w:t>
      </w:r>
      <w:r>
        <w:rPr>
          <w:rFonts w:ascii="仿宋_GB2312" w:hAnsi="仿宋_GB2312" w:cs="仿宋_GB2312" w:eastAsia="仿宋_GB2312"/>
          <w:sz w:val="24"/>
        </w:rPr>
        <w:t>按上述第</w:t>
      </w:r>
      <w:r>
        <w:rPr>
          <w:rFonts w:ascii="仿宋_GB2312" w:hAnsi="仿宋_GB2312" w:cs="仿宋_GB2312" w:eastAsia="仿宋_GB2312"/>
          <w:sz w:val="24"/>
        </w:rPr>
        <w:t>1.1条款约定支付延期交货违约金外，还有权要求</w:t>
      </w:r>
      <w:r>
        <w:rPr>
          <w:rFonts w:ascii="仿宋_GB2312" w:hAnsi="仿宋_GB2312" w:cs="仿宋_GB2312" w:eastAsia="仿宋_GB2312"/>
          <w:sz w:val="24"/>
        </w:rPr>
        <w:t>中标人</w:t>
      </w:r>
      <w:r>
        <w:rPr>
          <w:rFonts w:ascii="仿宋_GB2312" w:hAnsi="仿宋_GB2312" w:cs="仿宋_GB2312" w:eastAsia="仿宋_GB2312"/>
          <w:sz w:val="24"/>
        </w:rPr>
        <w:t>支付</w:t>
      </w:r>
      <w:r>
        <w:rPr>
          <w:rFonts w:ascii="仿宋_GB2312" w:hAnsi="仿宋_GB2312" w:cs="仿宋_GB2312" w:eastAsia="仿宋_GB2312"/>
          <w:sz w:val="24"/>
        </w:rPr>
        <w:t>合同总金额</w:t>
      </w:r>
      <w:r>
        <w:rPr>
          <w:rFonts w:ascii="仿宋_GB2312" w:hAnsi="仿宋_GB2312" w:cs="仿宋_GB2312" w:eastAsia="仿宋_GB2312"/>
          <w:sz w:val="24"/>
        </w:rPr>
        <w:t>4％的违约金</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采购人</w:t>
      </w:r>
      <w:r>
        <w:rPr>
          <w:rFonts w:ascii="仿宋_GB2312" w:hAnsi="仿宋_GB2312" w:cs="仿宋_GB2312" w:eastAsia="仿宋_GB2312"/>
          <w:sz w:val="24"/>
        </w:rPr>
        <w:t>有权从履约保证金或未付款项中</w:t>
      </w:r>
      <w:r>
        <w:rPr>
          <w:rFonts w:ascii="仿宋_GB2312" w:hAnsi="仿宋_GB2312" w:cs="仿宋_GB2312" w:eastAsia="仿宋_GB2312"/>
          <w:sz w:val="24"/>
        </w:rPr>
        <w:t>扣除</w:t>
      </w:r>
      <w:r>
        <w:rPr>
          <w:rFonts w:ascii="仿宋_GB2312" w:hAnsi="仿宋_GB2312" w:cs="仿宋_GB2312" w:eastAsia="仿宋_GB2312"/>
          <w:sz w:val="24"/>
        </w:rPr>
        <w:t>中标人</w:t>
      </w:r>
      <w:r>
        <w:rPr>
          <w:rFonts w:ascii="仿宋_GB2312" w:hAnsi="仿宋_GB2312" w:cs="仿宋_GB2312" w:eastAsia="仿宋_GB2312"/>
          <w:sz w:val="24"/>
        </w:rPr>
        <w:t>应支付的违约金及损失</w:t>
      </w:r>
      <w:r>
        <w:rPr>
          <w:rFonts w:ascii="仿宋_GB2312" w:hAnsi="仿宋_GB2312" w:cs="仿宋_GB2312" w:eastAsia="仿宋_GB2312"/>
          <w:sz w:val="24"/>
        </w:rPr>
        <w:t>，不足部分应由</w:t>
      </w:r>
      <w:r>
        <w:rPr>
          <w:rFonts w:ascii="仿宋_GB2312" w:hAnsi="仿宋_GB2312" w:cs="仿宋_GB2312" w:eastAsia="仿宋_GB2312"/>
          <w:sz w:val="24"/>
        </w:rPr>
        <w:t>中标人</w:t>
      </w:r>
      <w:r>
        <w:rPr>
          <w:rFonts w:ascii="仿宋_GB2312" w:hAnsi="仿宋_GB2312" w:cs="仿宋_GB2312" w:eastAsia="仿宋_GB2312"/>
          <w:sz w:val="24"/>
        </w:rPr>
        <w:t>另行支付；如履约保证金或未付款项在扣除</w:t>
      </w:r>
      <w:r>
        <w:rPr>
          <w:rFonts w:ascii="仿宋_GB2312" w:hAnsi="仿宋_GB2312" w:cs="仿宋_GB2312" w:eastAsia="仿宋_GB2312"/>
          <w:sz w:val="24"/>
        </w:rPr>
        <w:t>中标人</w:t>
      </w:r>
      <w:r>
        <w:rPr>
          <w:rFonts w:ascii="仿宋_GB2312" w:hAnsi="仿宋_GB2312" w:cs="仿宋_GB2312" w:eastAsia="仿宋_GB2312"/>
          <w:sz w:val="24"/>
        </w:rPr>
        <w:t>应支付的违约金及损失后仍有剩余的，</w:t>
      </w:r>
      <w:r>
        <w:rPr>
          <w:rFonts w:ascii="仿宋_GB2312" w:hAnsi="仿宋_GB2312" w:cs="仿宋_GB2312" w:eastAsia="仿宋_GB2312"/>
          <w:sz w:val="24"/>
        </w:rPr>
        <w:t>采购人</w:t>
      </w:r>
      <w:r>
        <w:rPr>
          <w:rFonts w:ascii="仿宋_GB2312" w:hAnsi="仿宋_GB2312" w:cs="仿宋_GB2312" w:eastAsia="仿宋_GB2312"/>
          <w:sz w:val="24"/>
        </w:rPr>
        <w:t>根据合同约定向</w:t>
      </w:r>
      <w:r>
        <w:rPr>
          <w:rFonts w:ascii="仿宋_GB2312" w:hAnsi="仿宋_GB2312" w:cs="仿宋_GB2312" w:eastAsia="仿宋_GB2312"/>
          <w:sz w:val="24"/>
        </w:rPr>
        <w:t>中标人</w:t>
      </w:r>
      <w:r>
        <w:rPr>
          <w:rFonts w:ascii="仿宋_GB2312" w:hAnsi="仿宋_GB2312" w:cs="仿宋_GB2312" w:eastAsia="仿宋_GB2312"/>
          <w:sz w:val="24"/>
        </w:rPr>
        <w:t>支付或退回剩余款项。</w:t>
      </w:r>
    </w:p>
    <w:p>
      <w:pPr>
        <w:pStyle w:val="null3"/>
        <w:ind w:firstLine="480"/>
        <w:jc w:val="both"/>
      </w:pPr>
      <w:r>
        <w:rPr>
          <w:rFonts w:ascii="仿宋_GB2312" w:hAnsi="仿宋_GB2312" w:cs="仿宋_GB2312" w:eastAsia="仿宋_GB2312"/>
          <w:sz w:val="24"/>
        </w:rPr>
        <w:t>3. 结合安装调试，</w:t>
      </w:r>
      <w:r>
        <w:rPr>
          <w:rFonts w:ascii="仿宋_GB2312" w:hAnsi="仿宋_GB2312" w:cs="仿宋_GB2312" w:eastAsia="仿宋_GB2312"/>
          <w:sz w:val="24"/>
        </w:rPr>
        <w:t>中标人</w:t>
      </w:r>
      <w:r>
        <w:rPr>
          <w:rFonts w:ascii="仿宋_GB2312" w:hAnsi="仿宋_GB2312" w:cs="仿宋_GB2312" w:eastAsia="仿宋_GB2312"/>
          <w:sz w:val="24"/>
        </w:rPr>
        <w:t>专业技术人员应免费对</w:t>
      </w:r>
      <w:r>
        <w:rPr>
          <w:rFonts w:ascii="仿宋_GB2312" w:hAnsi="仿宋_GB2312" w:cs="仿宋_GB2312" w:eastAsia="仿宋_GB2312"/>
          <w:sz w:val="24"/>
        </w:rPr>
        <w:t>采购人</w:t>
      </w:r>
      <w:r>
        <w:rPr>
          <w:rFonts w:ascii="仿宋_GB2312" w:hAnsi="仿宋_GB2312" w:cs="仿宋_GB2312" w:eastAsia="仿宋_GB2312"/>
          <w:sz w:val="24"/>
        </w:rPr>
        <w:t>的技术人员进行使用操作、设备维修、保养等技术的现场培训，直至</w:t>
      </w:r>
      <w:r>
        <w:rPr>
          <w:rFonts w:ascii="仿宋_GB2312" w:hAnsi="仿宋_GB2312" w:cs="仿宋_GB2312" w:eastAsia="仿宋_GB2312"/>
          <w:sz w:val="24"/>
        </w:rPr>
        <w:t>采购人</w:t>
      </w:r>
      <w:r>
        <w:rPr>
          <w:rFonts w:ascii="仿宋_GB2312" w:hAnsi="仿宋_GB2312" w:cs="仿宋_GB2312" w:eastAsia="仿宋_GB2312"/>
          <w:sz w:val="24"/>
        </w:rPr>
        <w:t>的技术人员能熟练独立工作；</w:t>
      </w:r>
      <w:r>
        <w:rPr>
          <w:rFonts w:ascii="仿宋_GB2312" w:hAnsi="仿宋_GB2312" w:cs="仿宋_GB2312" w:eastAsia="仿宋_GB2312"/>
          <w:sz w:val="24"/>
        </w:rPr>
        <w:t>中标人</w:t>
      </w:r>
      <w:r>
        <w:rPr>
          <w:rFonts w:ascii="仿宋_GB2312" w:hAnsi="仿宋_GB2312" w:cs="仿宋_GB2312" w:eastAsia="仿宋_GB2312"/>
          <w:sz w:val="24"/>
        </w:rPr>
        <w:t>委派的专业技术人员所需费用均由</w:t>
      </w:r>
      <w:r>
        <w:rPr>
          <w:rFonts w:ascii="仿宋_GB2312" w:hAnsi="仿宋_GB2312" w:cs="仿宋_GB2312" w:eastAsia="仿宋_GB2312"/>
          <w:sz w:val="24"/>
        </w:rPr>
        <w:t>中标人</w:t>
      </w:r>
      <w:r>
        <w:rPr>
          <w:rFonts w:ascii="仿宋_GB2312" w:hAnsi="仿宋_GB2312" w:cs="仿宋_GB2312" w:eastAsia="仿宋_GB2312"/>
          <w:sz w:val="24"/>
        </w:rPr>
        <w:t>承担。</w:t>
      </w:r>
    </w:p>
    <w:p>
      <w:pPr>
        <w:pStyle w:val="null3"/>
        <w:jc w:val="left"/>
      </w:pPr>
      <w:r>
        <w:rPr>
          <w:rFonts w:ascii="仿宋_GB2312" w:hAnsi="仿宋_GB2312" w:cs="仿宋_GB2312" w:eastAsia="仿宋_GB2312"/>
          <w:sz w:val="24"/>
        </w:rPr>
        <w:t xml:space="preserve">4. </w:t>
      </w:r>
      <w:r>
        <w:rPr>
          <w:rFonts w:ascii="仿宋_GB2312" w:hAnsi="仿宋_GB2312" w:cs="仿宋_GB2312" w:eastAsia="仿宋_GB2312"/>
          <w:sz w:val="24"/>
        </w:rPr>
        <w:t>中标人</w:t>
      </w:r>
      <w:r>
        <w:rPr>
          <w:rFonts w:ascii="仿宋_GB2312" w:hAnsi="仿宋_GB2312" w:cs="仿宋_GB2312" w:eastAsia="仿宋_GB2312"/>
          <w:sz w:val="24"/>
        </w:rPr>
        <w:t>应向</w:t>
      </w:r>
      <w:r>
        <w:rPr>
          <w:rFonts w:ascii="仿宋_GB2312" w:hAnsi="仿宋_GB2312" w:cs="仿宋_GB2312" w:eastAsia="仿宋_GB2312"/>
          <w:sz w:val="24"/>
        </w:rPr>
        <w:t>采购人</w:t>
      </w:r>
      <w:r>
        <w:rPr>
          <w:rFonts w:ascii="仿宋_GB2312" w:hAnsi="仿宋_GB2312" w:cs="仿宋_GB2312" w:eastAsia="仿宋_GB2312"/>
          <w:sz w:val="24"/>
        </w:rPr>
        <w:t>提供以下中文技术资料</w:t>
      </w:r>
      <w:r>
        <w:rPr>
          <w:rFonts w:ascii="仿宋_GB2312" w:hAnsi="仿宋_GB2312" w:cs="仿宋_GB2312" w:eastAsia="仿宋_GB2312"/>
          <w:sz w:val="24"/>
        </w:rPr>
        <w:t>1套，其费用包括在投标价格中：</w:t>
      </w:r>
    </w:p>
    <w:p>
      <w:pPr>
        <w:pStyle w:val="null3"/>
        <w:jc w:val="left"/>
      </w:pPr>
      <w:r>
        <w:rPr>
          <w:rFonts w:ascii="仿宋_GB2312" w:hAnsi="仿宋_GB2312" w:cs="仿宋_GB2312" w:eastAsia="仿宋_GB2312"/>
          <w:sz w:val="24"/>
        </w:rPr>
        <w:t>4.1 设备的出厂检验报告</w:t>
      </w:r>
    </w:p>
    <w:p>
      <w:pPr>
        <w:pStyle w:val="null3"/>
        <w:jc w:val="left"/>
      </w:pPr>
      <w:r>
        <w:rPr>
          <w:rFonts w:ascii="仿宋_GB2312" w:hAnsi="仿宋_GB2312" w:cs="仿宋_GB2312" w:eastAsia="仿宋_GB2312"/>
          <w:sz w:val="24"/>
        </w:rPr>
        <w:t>4.2 合格证书</w:t>
      </w:r>
    </w:p>
    <w:p>
      <w:pPr>
        <w:pStyle w:val="null3"/>
        <w:jc w:val="left"/>
      </w:pPr>
      <w:r>
        <w:rPr>
          <w:rFonts w:ascii="仿宋_GB2312" w:hAnsi="仿宋_GB2312" w:cs="仿宋_GB2312" w:eastAsia="仿宋_GB2312"/>
          <w:sz w:val="24"/>
        </w:rPr>
        <w:t>4.3 装箱单</w:t>
      </w:r>
    </w:p>
    <w:p>
      <w:pPr>
        <w:pStyle w:val="null3"/>
        <w:jc w:val="left"/>
      </w:pPr>
      <w:r>
        <w:rPr>
          <w:rFonts w:ascii="仿宋_GB2312" w:hAnsi="仿宋_GB2312" w:cs="仿宋_GB2312" w:eastAsia="仿宋_GB2312"/>
          <w:sz w:val="24"/>
        </w:rPr>
        <w:t>4.4 产品验收标准（含产品合格证验收清单等）</w:t>
      </w:r>
    </w:p>
    <w:p>
      <w:pPr>
        <w:pStyle w:val="null3"/>
        <w:jc w:val="left"/>
      </w:pPr>
      <w:r>
        <w:rPr>
          <w:rFonts w:ascii="仿宋_GB2312" w:hAnsi="仿宋_GB2312" w:cs="仿宋_GB2312" w:eastAsia="仿宋_GB2312"/>
          <w:sz w:val="24"/>
        </w:rPr>
        <w:t>4.5 技术说明书</w:t>
      </w:r>
    </w:p>
    <w:p>
      <w:pPr>
        <w:pStyle w:val="null3"/>
        <w:jc w:val="left"/>
      </w:pPr>
      <w:r>
        <w:rPr>
          <w:rFonts w:ascii="仿宋_GB2312" w:hAnsi="仿宋_GB2312" w:cs="仿宋_GB2312" w:eastAsia="仿宋_GB2312"/>
          <w:sz w:val="24"/>
        </w:rPr>
        <w:t>4.6 使用说明书</w:t>
      </w:r>
    </w:p>
    <w:p>
      <w:pPr>
        <w:pStyle w:val="null3"/>
        <w:jc w:val="left"/>
      </w:pPr>
      <w:r>
        <w:rPr>
          <w:rFonts w:ascii="仿宋_GB2312" w:hAnsi="仿宋_GB2312" w:cs="仿宋_GB2312" w:eastAsia="仿宋_GB2312"/>
          <w:sz w:val="24"/>
        </w:rPr>
        <w:t>4.7 安装、维修及操作手册,公开维修密码,软件备份光盘</w:t>
      </w:r>
    </w:p>
    <w:p>
      <w:pPr>
        <w:pStyle w:val="null3"/>
        <w:jc w:val="left"/>
      </w:pPr>
      <w:r>
        <w:rPr>
          <w:rFonts w:ascii="仿宋_GB2312" w:hAnsi="仿宋_GB2312" w:cs="仿宋_GB2312" w:eastAsia="仿宋_GB2312"/>
          <w:sz w:val="24"/>
        </w:rPr>
        <w:t>4.8 零部件目录</w:t>
      </w:r>
    </w:p>
    <w:p>
      <w:pPr>
        <w:pStyle w:val="null3"/>
        <w:jc w:val="left"/>
      </w:pPr>
      <w:r>
        <w:rPr>
          <w:rFonts w:ascii="仿宋_GB2312" w:hAnsi="仿宋_GB2312" w:cs="仿宋_GB2312" w:eastAsia="仿宋_GB2312"/>
          <w:sz w:val="24"/>
        </w:rPr>
        <w:t>4.9 配置清单、分项价格及耗材价格（若有）</w:t>
      </w:r>
    </w:p>
    <w:p>
      <w:pPr>
        <w:pStyle w:val="null3"/>
        <w:jc w:val="left"/>
      </w:pPr>
      <w:r>
        <w:rPr>
          <w:rFonts w:ascii="仿宋_GB2312" w:hAnsi="仿宋_GB2312" w:cs="仿宋_GB2312" w:eastAsia="仿宋_GB2312"/>
          <w:sz w:val="24"/>
        </w:rPr>
        <w:t>4.10 备品备件易耗件清单</w:t>
      </w:r>
    </w:p>
    <w:p>
      <w:pPr>
        <w:pStyle w:val="null3"/>
        <w:jc w:val="left"/>
      </w:pPr>
      <w:r>
        <w:rPr>
          <w:rFonts w:ascii="仿宋_GB2312" w:hAnsi="仿宋_GB2312" w:cs="仿宋_GB2312" w:eastAsia="仿宋_GB2312"/>
          <w:sz w:val="24"/>
        </w:rPr>
        <w:t>4.11 合</w:t>
      </w:r>
      <w:r>
        <w:rPr>
          <w:rFonts w:ascii="仿宋_GB2312" w:hAnsi="仿宋_GB2312" w:cs="仿宋_GB2312" w:eastAsia="仿宋_GB2312"/>
          <w:sz w:val="24"/>
        </w:rPr>
        <w:t>同中要求的其他文件资料。</w:t>
      </w:r>
    </w:p>
    <w:p>
      <w:pPr>
        <w:pStyle w:val="null3"/>
        <w:numPr>
          <w:ilvl w:val="0"/>
          <w:numId w:val="1"/>
        </w:numPr>
        <w:jc w:val="left"/>
      </w:pPr>
      <w:r>
        <w:rPr>
          <w:rFonts w:ascii="仿宋_GB2312" w:hAnsi="仿宋_GB2312" w:cs="仿宋_GB2312" w:eastAsia="仿宋_GB2312"/>
          <w:sz w:val="24"/>
        </w:rPr>
        <w:t>该招标设备须为全新产品。</w:t>
      </w:r>
    </w:p>
    <w:p>
      <w:pPr>
        <w:pStyle w:val="null3"/>
        <w:numPr>
          <w:ilvl w:val="0"/>
          <w:numId w:val="1"/>
        </w:numPr>
        <w:jc w:val="left"/>
      </w:pPr>
      <w:r>
        <w:rPr>
          <w:rFonts w:ascii="仿宋_GB2312" w:hAnsi="仿宋_GB2312" w:cs="仿宋_GB2312" w:eastAsia="仿宋_GB2312"/>
          <w:sz w:val="24"/>
        </w:rPr>
        <w:t>备品备件</w:t>
      </w:r>
    </w:p>
    <w:p>
      <w:pPr>
        <w:pStyle w:val="null3"/>
        <w:jc w:val="left"/>
      </w:pPr>
      <w:r>
        <w:rPr>
          <w:rFonts w:ascii="仿宋_GB2312" w:hAnsi="仿宋_GB2312" w:cs="仿宋_GB2312" w:eastAsia="仿宋_GB2312"/>
          <w:sz w:val="24"/>
        </w:rPr>
        <w:t>中标人</w:t>
      </w:r>
      <w:r>
        <w:rPr>
          <w:rFonts w:ascii="仿宋_GB2312" w:hAnsi="仿宋_GB2312" w:cs="仿宋_GB2312" w:eastAsia="仿宋_GB2312"/>
          <w:sz w:val="24"/>
        </w:rPr>
        <w:t>应提供设备在保修期过后一年内主要备品备件及其清单（含价格清单），如涉及使用易耗品及材料应提供其市场报价及供货价。</w:t>
      </w:r>
    </w:p>
    <w:p>
      <w:pPr>
        <w:pStyle w:val="null3"/>
        <w:numPr>
          <w:ilvl w:val="0"/>
          <w:numId w:val="1"/>
        </w:numPr>
        <w:ind w:firstLine="480"/>
        <w:jc w:val="both"/>
      </w:pPr>
      <w:r>
        <w:rPr>
          <w:rFonts w:ascii="仿宋_GB2312" w:hAnsi="仿宋_GB2312" w:cs="仿宋_GB2312" w:eastAsia="仿宋_GB2312"/>
          <w:sz w:val="24"/>
        </w:rPr>
        <w:t>验收标准和验收方法：</w:t>
      </w:r>
    </w:p>
    <w:p>
      <w:pPr>
        <w:pStyle w:val="null3"/>
        <w:ind w:firstLine="480"/>
        <w:jc w:val="both"/>
      </w:pPr>
      <w:r>
        <w:rPr>
          <w:rFonts w:ascii="仿宋_GB2312" w:hAnsi="仿宋_GB2312" w:cs="仿宋_GB2312" w:eastAsia="仿宋_GB2312"/>
          <w:sz w:val="24"/>
        </w:rPr>
        <w:t>7.1 验收标准：产品质量应达到设计要求，招标文件及合同中要求的所有配置应符合医院临床使用要求；安装调试各项指标和技术参数应符合招标文件规定的技术要求和有关验收标准要求。产品外观应无破损、裂缝和缺陷且标识清晰。</w:t>
      </w:r>
    </w:p>
    <w:p>
      <w:pPr>
        <w:pStyle w:val="null3"/>
        <w:ind w:firstLine="480"/>
        <w:jc w:val="both"/>
      </w:pPr>
      <w:r>
        <w:rPr>
          <w:rFonts w:ascii="仿宋_GB2312" w:hAnsi="仿宋_GB2312" w:cs="仿宋_GB2312" w:eastAsia="仿宋_GB2312"/>
          <w:sz w:val="24"/>
        </w:rPr>
        <w:t>7.2 验收方法：</w:t>
      </w:r>
    </w:p>
    <w:p>
      <w:pPr>
        <w:pStyle w:val="null3"/>
        <w:ind w:firstLine="480"/>
        <w:jc w:val="both"/>
      </w:pPr>
      <w:r>
        <w:rPr>
          <w:rFonts w:ascii="仿宋_GB2312" w:hAnsi="仿宋_GB2312" w:cs="仿宋_GB2312" w:eastAsia="仿宋_GB2312"/>
          <w:sz w:val="24"/>
        </w:rPr>
        <w:t>7.2.1 出厂检验：</w:t>
      </w:r>
      <w:r>
        <w:rPr>
          <w:rFonts w:ascii="仿宋_GB2312" w:hAnsi="仿宋_GB2312" w:cs="仿宋_GB2312" w:eastAsia="仿宋_GB2312"/>
          <w:sz w:val="24"/>
        </w:rPr>
        <w:t>中标人</w:t>
      </w:r>
      <w:r>
        <w:rPr>
          <w:rFonts w:ascii="仿宋_GB2312" w:hAnsi="仿宋_GB2312" w:cs="仿宋_GB2312" w:eastAsia="仿宋_GB2312"/>
          <w:sz w:val="24"/>
        </w:rPr>
        <w:t>应提供货物制造厂的出厂检验报告、合格证书、装箱单。</w:t>
      </w:r>
    </w:p>
    <w:p>
      <w:pPr>
        <w:pStyle w:val="null3"/>
        <w:ind w:firstLine="480"/>
        <w:jc w:val="both"/>
      </w:pPr>
      <w:r>
        <w:rPr>
          <w:rFonts w:ascii="仿宋_GB2312" w:hAnsi="仿宋_GB2312" w:cs="仿宋_GB2312" w:eastAsia="仿宋_GB2312"/>
          <w:sz w:val="24"/>
        </w:rPr>
        <w:t>7.2.2 进口商检：若进口货物</w:t>
      </w:r>
      <w:r>
        <w:rPr>
          <w:rFonts w:ascii="仿宋_GB2312" w:hAnsi="仿宋_GB2312" w:cs="仿宋_GB2312" w:eastAsia="仿宋_GB2312"/>
          <w:sz w:val="24"/>
        </w:rPr>
        <w:t>中标人</w:t>
      </w:r>
      <w:r>
        <w:rPr>
          <w:rFonts w:ascii="仿宋_GB2312" w:hAnsi="仿宋_GB2312" w:cs="仿宋_GB2312" w:eastAsia="仿宋_GB2312"/>
          <w:sz w:val="24"/>
        </w:rPr>
        <w:t>应提供进口的有关证明，包括货物的产地、品牌及装运港等与投标文件相一致的证明材料</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7.2.3 安装调试检验：设备安装、调试过程，</w:t>
      </w:r>
      <w:r>
        <w:rPr>
          <w:rFonts w:ascii="仿宋_GB2312" w:hAnsi="仿宋_GB2312" w:cs="仿宋_GB2312" w:eastAsia="仿宋_GB2312"/>
          <w:sz w:val="24"/>
        </w:rPr>
        <w:t>中标人</w:t>
      </w:r>
      <w:r>
        <w:rPr>
          <w:rFonts w:ascii="仿宋_GB2312" w:hAnsi="仿宋_GB2312" w:cs="仿宋_GB2312" w:eastAsia="仿宋_GB2312"/>
          <w:sz w:val="24"/>
        </w:rPr>
        <w:t>应作详细检验记录。安装调试检验结果应符合制造厂产品标准和招标文件的规定。检验记录应真实并提供给</w:t>
      </w:r>
      <w:r>
        <w:rPr>
          <w:rFonts w:ascii="仿宋_GB2312" w:hAnsi="仿宋_GB2312" w:cs="仿宋_GB2312" w:eastAsia="仿宋_GB2312"/>
          <w:sz w:val="24"/>
        </w:rPr>
        <w:t>采购人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7.2.4 最终验收：设备安装、调试结束后</w:t>
      </w:r>
      <w:r>
        <w:rPr>
          <w:rFonts w:ascii="仿宋_GB2312" w:hAnsi="仿宋_GB2312" w:cs="仿宋_GB2312" w:eastAsia="仿宋_GB2312"/>
          <w:sz w:val="24"/>
        </w:rPr>
        <w:t>中标人</w:t>
      </w:r>
      <w:r>
        <w:rPr>
          <w:rFonts w:ascii="仿宋_GB2312" w:hAnsi="仿宋_GB2312" w:cs="仿宋_GB2312" w:eastAsia="仿宋_GB2312"/>
          <w:sz w:val="24"/>
        </w:rPr>
        <w:t>负责并会同</w:t>
      </w:r>
      <w:r>
        <w:rPr>
          <w:rFonts w:ascii="仿宋_GB2312" w:hAnsi="仿宋_GB2312" w:cs="仿宋_GB2312" w:eastAsia="仿宋_GB2312"/>
          <w:sz w:val="24"/>
        </w:rPr>
        <w:t>采购人</w:t>
      </w:r>
      <w:r>
        <w:rPr>
          <w:rFonts w:ascii="仿宋_GB2312" w:hAnsi="仿宋_GB2312" w:cs="仿宋_GB2312" w:eastAsia="仿宋_GB2312"/>
          <w:sz w:val="24"/>
        </w:rPr>
        <w:t>及有关专家按</w:t>
      </w:r>
      <w:r>
        <w:rPr>
          <w:rFonts w:ascii="仿宋_GB2312" w:hAnsi="仿宋_GB2312" w:cs="仿宋_GB2312" w:eastAsia="仿宋_GB2312"/>
          <w:sz w:val="24"/>
        </w:rPr>
        <w:t>7.1款验收标准进行联合验收。需有</w:t>
      </w:r>
      <w:r>
        <w:rPr>
          <w:rFonts w:ascii="仿宋_GB2312" w:hAnsi="仿宋_GB2312" w:cs="仿宋_GB2312" w:eastAsia="仿宋_GB2312"/>
          <w:sz w:val="24"/>
        </w:rPr>
        <w:t>采购人</w:t>
      </w:r>
      <w:r>
        <w:rPr>
          <w:rFonts w:ascii="仿宋_GB2312" w:hAnsi="仿宋_GB2312" w:cs="仿宋_GB2312" w:eastAsia="仿宋_GB2312"/>
          <w:sz w:val="24"/>
        </w:rPr>
        <w:t>的医疗设备验收单、且必须经</w:t>
      </w:r>
      <w:r>
        <w:rPr>
          <w:rFonts w:ascii="仿宋_GB2312" w:hAnsi="仿宋_GB2312" w:cs="仿宋_GB2312" w:eastAsia="仿宋_GB2312"/>
          <w:sz w:val="24"/>
        </w:rPr>
        <w:t>采购人</w:t>
      </w:r>
      <w:r>
        <w:rPr>
          <w:rFonts w:ascii="仿宋_GB2312" w:hAnsi="仿宋_GB2312" w:cs="仿宋_GB2312" w:eastAsia="仿宋_GB2312"/>
          <w:sz w:val="24"/>
        </w:rPr>
        <w:t>设备与医用材料管理处工程师和设备使用科室负责人在医疗设备验收单上签字，即为验收完成。保修期从</w:t>
      </w:r>
      <w:r>
        <w:rPr>
          <w:rFonts w:ascii="仿宋_GB2312" w:hAnsi="仿宋_GB2312" w:cs="仿宋_GB2312" w:eastAsia="仿宋_GB2312"/>
          <w:sz w:val="24"/>
        </w:rPr>
        <w:t>采购人</w:t>
      </w:r>
      <w:r>
        <w:rPr>
          <w:rFonts w:ascii="仿宋_GB2312" w:hAnsi="仿宋_GB2312" w:cs="仿宋_GB2312" w:eastAsia="仿宋_GB2312"/>
          <w:sz w:val="24"/>
        </w:rPr>
        <w:t>设备安装验收报告单签署时间算起。</w:t>
      </w:r>
    </w:p>
    <w:p>
      <w:pPr>
        <w:pStyle w:val="null3"/>
        <w:jc w:val="left"/>
      </w:pPr>
      <w:r>
        <w:rPr>
          <w:rFonts w:ascii="仿宋_GB2312" w:hAnsi="仿宋_GB2312" w:cs="仿宋_GB2312" w:eastAsia="仿宋_GB2312"/>
          <w:sz w:val="24"/>
        </w:rPr>
        <w:t>8. 保修期及维修服务</w:t>
      </w:r>
    </w:p>
    <w:p>
      <w:pPr>
        <w:pStyle w:val="null3"/>
        <w:jc w:val="left"/>
      </w:pPr>
      <w:r>
        <w:rPr>
          <w:rFonts w:ascii="仿宋_GB2312" w:hAnsi="仿宋_GB2312" w:cs="仿宋_GB2312" w:eastAsia="仿宋_GB2312"/>
          <w:sz w:val="24"/>
        </w:rPr>
        <w:t>8.1 本次投标的产品需提供免费保修2年，保修期内需提供原厂保修；</w:t>
      </w:r>
      <w:r>
        <w:rPr>
          <w:rFonts w:ascii="仿宋_GB2312" w:hAnsi="仿宋_GB2312" w:cs="仿宋_GB2312" w:eastAsia="仿宋_GB2312"/>
          <w:sz w:val="24"/>
        </w:rPr>
        <w:t>投标人应提供所投产品的售后服务承诺书及所投产品售后服务单位（承诺由所投产品售后服务单位</w:t>
      </w:r>
      <w:r>
        <w:rPr>
          <w:rFonts w:ascii="仿宋_GB2312" w:hAnsi="仿宋_GB2312" w:cs="仿宋_GB2312" w:eastAsia="仿宋_GB2312"/>
          <w:sz w:val="24"/>
        </w:rPr>
        <w:t>&lt;该产品的专业维修机构、生产厂家、生产厂家分公司或办事处等&gt;提供售后服务&lt;包含服务条款、保修年限等&gt;）。保修期不满足要求或未提供售后服务承诺书的视为未实质性响应招标文件。</w:t>
      </w:r>
    </w:p>
    <w:p>
      <w:pPr>
        <w:pStyle w:val="null3"/>
        <w:jc w:val="left"/>
      </w:pPr>
      <w:r>
        <w:rPr>
          <w:rFonts w:ascii="仿宋_GB2312" w:hAnsi="仿宋_GB2312" w:cs="仿宋_GB2312" w:eastAsia="仿宋_GB2312"/>
          <w:sz w:val="24"/>
        </w:rPr>
        <w:t>8.2 投标产品在保修期内</w:t>
      </w:r>
      <w:r>
        <w:rPr>
          <w:rFonts w:ascii="仿宋_GB2312" w:hAnsi="仿宋_GB2312" w:cs="仿宋_GB2312" w:eastAsia="仿宋_GB2312"/>
          <w:sz w:val="24"/>
        </w:rPr>
        <w:t>全年设备无故障率应达</w:t>
      </w:r>
      <w:r>
        <w:rPr>
          <w:rFonts w:ascii="仿宋_GB2312" w:hAnsi="仿宋_GB2312" w:cs="仿宋_GB2312" w:eastAsia="仿宋_GB2312"/>
          <w:sz w:val="24"/>
        </w:rPr>
        <w:t>98%以上，设备无故障率在98%—90%之间保修期按故障天数1：3延长保修期；无故障率在89%—80%之间按故障天数1：5延长保修期；无故障率低于80%</w:t>
      </w:r>
      <w:r>
        <w:rPr>
          <w:rFonts w:ascii="仿宋_GB2312" w:hAnsi="仿宋_GB2312" w:cs="仿宋_GB2312" w:eastAsia="仿宋_GB2312"/>
          <w:sz w:val="24"/>
        </w:rPr>
        <w:t>中标人</w:t>
      </w:r>
      <w:r>
        <w:rPr>
          <w:rFonts w:ascii="仿宋_GB2312" w:hAnsi="仿宋_GB2312" w:cs="仿宋_GB2312" w:eastAsia="仿宋_GB2312"/>
          <w:sz w:val="24"/>
        </w:rPr>
        <w:t>应对存在问题设备无偿进行更换，更换后设备应延长一年免费保修服务。</w:t>
      </w:r>
    </w:p>
    <w:p>
      <w:pPr>
        <w:pStyle w:val="null3"/>
        <w:ind w:right="210" w:firstLine="480"/>
        <w:jc w:val="left"/>
      </w:pPr>
      <w:r>
        <w:rPr>
          <w:rFonts w:ascii="仿宋_GB2312" w:hAnsi="仿宋_GB2312" w:cs="仿宋_GB2312" w:eastAsia="仿宋_GB2312"/>
          <w:sz w:val="24"/>
        </w:rPr>
        <w:t>8.3 故障响应：产品生产厂家在国内设有正规维修站，确保仪器运行正常（列出维修公司地址、人员名单及联系电话）。</w:t>
      </w:r>
    </w:p>
    <w:p>
      <w:pPr>
        <w:pStyle w:val="null3"/>
        <w:ind w:right="210" w:firstLine="480"/>
        <w:jc w:val="left"/>
      </w:pPr>
      <w:r>
        <w:rPr>
          <w:rFonts w:ascii="仿宋_GB2312" w:hAnsi="仿宋_GB2312" w:cs="仿宋_GB2312" w:eastAsia="仿宋_GB2312"/>
          <w:sz w:val="24"/>
        </w:rPr>
        <w:t>8.3.1 在保修期内设备运行发生故障时，</w:t>
      </w:r>
      <w:r>
        <w:rPr>
          <w:rFonts w:ascii="仿宋_GB2312" w:hAnsi="仿宋_GB2312" w:cs="仿宋_GB2312" w:eastAsia="仿宋_GB2312"/>
          <w:sz w:val="24"/>
        </w:rPr>
        <w:t>中标人</w:t>
      </w:r>
      <w:r>
        <w:rPr>
          <w:rFonts w:ascii="仿宋_GB2312" w:hAnsi="仿宋_GB2312" w:cs="仿宋_GB2312" w:eastAsia="仿宋_GB2312"/>
          <w:sz w:val="24"/>
        </w:rPr>
        <w:t>在接到</w:t>
      </w:r>
      <w:r>
        <w:rPr>
          <w:rFonts w:ascii="仿宋_GB2312" w:hAnsi="仿宋_GB2312" w:cs="仿宋_GB2312" w:eastAsia="仿宋_GB2312"/>
          <w:sz w:val="24"/>
        </w:rPr>
        <w:t>采购人</w:t>
      </w:r>
      <w:r>
        <w:rPr>
          <w:rFonts w:ascii="仿宋_GB2312" w:hAnsi="仿宋_GB2312" w:cs="仿宋_GB2312" w:eastAsia="仿宋_GB2312"/>
          <w:sz w:val="24"/>
        </w:rPr>
        <w:t>故障通知后须给予明确的答复，并在</w:t>
      </w:r>
      <w:r>
        <w:rPr>
          <w:rFonts w:ascii="仿宋_GB2312" w:hAnsi="仿宋_GB2312" w:cs="仿宋_GB2312" w:eastAsia="仿宋_GB2312"/>
          <w:sz w:val="24"/>
          <w:u w:val="single"/>
        </w:rPr>
        <w:t>12</w:t>
      </w:r>
      <w:r>
        <w:rPr>
          <w:rFonts w:ascii="仿宋_GB2312" w:hAnsi="仿宋_GB2312" w:cs="仿宋_GB2312" w:eastAsia="仿宋_GB2312"/>
          <w:sz w:val="24"/>
        </w:rPr>
        <w:t>小时内应委派专业技术人员到现场免费提供咨询、维修和更换零部件等服务，并及时填写维修报告（包括故障原因、处理情况及</w:t>
      </w:r>
      <w:r>
        <w:rPr>
          <w:rFonts w:ascii="仿宋_GB2312" w:hAnsi="仿宋_GB2312" w:cs="仿宋_GB2312" w:eastAsia="仿宋_GB2312"/>
          <w:sz w:val="24"/>
        </w:rPr>
        <w:t>采购人</w:t>
      </w:r>
      <w:r>
        <w:rPr>
          <w:rFonts w:ascii="仿宋_GB2312" w:hAnsi="仿宋_GB2312" w:cs="仿宋_GB2312" w:eastAsia="仿宋_GB2312"/>
          <w:sz w:val="24"/>
        </w:rPr>
        <w:t>意见等）报</w:t>
      </w:r>
      <w:r>
        <w:rPr>
          <w:rFonts w:ascii="仿宋_GB2312" w:hAnsi="仿宋_GB2312" w:cs="仿宋_GB2312" w:eastAsia="仿宋_GB2312"/>
          <w:sz w:val="24"/>
        </w:rPr>
        <w:t>采购人</w:t>
      </w:r>
      <w:r>
        <w:rPr>
          <w:rFonts w:ascii="仿宋_GB2312" w:hAnsi="仿宋_GB2312" w:cs="仿宋_GB2312" w:eastAsia="仿宋_GB2312"/>
          <w:sz w:val="24"/>
        </w:rPr>
        <w:t>备案。</w:t>
      </w:r>
    </w:p>
    <w:p>
      <w:pPr>
        <w:pStyle w:val="null3"/>
        <w:ind w:firstLine="480"/>
        <w:jc w:val="both"/>
      </w:pPr>
      <w:r>
        <w:rPr>
          <w:rFonts w:ascii="仿宋_GB2312" w:hAnsi="仿宋_GB2312" w:cs="仿宋_GB2312" w:eastAsia="仿宋_GB2312"/>
          <w:sz w:val="24"/>
        </w:rPr>
        <w:t>8.3.2 保修期满后，</w:t>
      </w:r>
      <w:r>
        <w:rPr>
          <w:rFonts w:ascii="仿宋_GB2312" w:hAnsi="仿宋_GB2312" w:cs="仿宋_GB2312" w:eastAsia="仿宋_GB2312"/>
          <w:sz w:val="24"/>
        </w:rPr>
        <w:t>中标人</w:t>
      </w:r>
      <w:r>
        <w:rPr>
          <w:rFonts w:ascii="仿宋_GB2312" w:hAnsi="仿宋_GB2312" w:cs="仿宋_GB2312" w:eastAsia="仿宋_GB2312"/>
          <w:sz w:val="24"/>
        </w:rPr>
        <w:t>负责仪器的终身维修并应继续提供优惠、优质的服务。储备足够的零配件备库，并以小于报价</w:t>
      </w:r>
      <w:r>
        <w:rPr>
          <w:rFonts w:ascii="仿宋_GB2312" w:hAnsi="仿宋_GB2312" w:cs="仿宋_GB2312" w:eastAsia="仿宋_GB2312"/>
          <w:sz w:val="24"/>
        </w:rPr>
        <w:t>80%的扣率予以优惠供应维修零配件。消耗品的供应，应由双方另设协议决定。列出消耗品价格清单并保证二年不变，以后如有变化，每年变化幅度不超过5%。产品免费提供终身的软件升级,提供硬件升级折扣，投标价一年内有效。</w:t>
      </w:r>
    </w:p>
    <w:p>
      <w:pPr>
        <w:pStyle w:val="null3"/>
        <w:ind w:firstLine="480"/>
        <w:jc w:val="both"/>
      </w:pPr>
      <w:r>
        <w:rPr>
          <w:rFonts w:ascii="仿宋_GB2312" w:hAnsi="仿宋_GB2312" w:cs="仿宋_GB2312" w:eastAsia="仿宋_GB2312"/>
          <w:sz w:val="24"/>
        </w:rPr>
        <w:t>8.4 投标的医疗设备应开放数据接口并提供数据集中存储的能力，协助医院信息部门实现医院患者信息数据的统一管理（其费用包含在投标报价中)。</w:t>
      </w:r>
    </w:p>
    <w:p>
      <w:pPr>
        <w:pStyle w:val="null3"/>
        <w:ind w:firstLine="480"/>
        <w:jc w:val="both"/>
      </w:pPr>
      <w:r>
        <w:rPr>
          <w:rFonts w:ascii="仿宋_GB2312" w:hAnsi="仿宋_GB2312" w:cs="仿宋_GB2312" w:eastAsia="仿宋_GB2312"/>
          <w:sz w:val="24"/>
        </w:rPr>
        <w:t>8.5 设备使用期内如出现不良事件，</w:t>
      </w:r>
      <w:r>
        <w:rPr>
          <w:rFonts w:ascii="仿宋_GB2312" w:hAnsi="仿宋_GB2312" w:cs="仿宋_GB2312" w:eastAsia="仿宋_GB2312"/>
          <w:sz w:val="24"/>
        </w:rPr>
        <w:t>中标人</w:t>
      </w:r>
      <w:r>
        <w:rPr>
          <w:rFonts w:ascii="仿宋_GB2312" w:hAnsi="仿宋_GB2312" w:cs="仿宋_GB2312" w:eastAsia="仿宋_GB2312"/>
          <w:sz w:val="24"/>
        </w:rPr>
        <w:t>应按照国家相关法律法规要求及时联系生产企业对存在问题设备无偿进行维修、更换，如</w:t>
      </w:r>
      <w:r>
        <w:rPr>
          <w:rFonts w:ascii="仿宋_GB2312" w:hAnsi="仿宋_GB2312" w:cs="仿宋_GB2312" w:eastAsia="仿宋_GB2312"/>
          <w:sz w:val="24"/>
        </w:rPr>
        <w:t>采购人</w:t>
      </w:r>
      <w:r>
        <w:rPr>
          <w:rFonts w:ascii="仿宋_GB2312" w:hAnsi="仿宋_GB2312" w:cs="仿宋_GB2312" w:eastAsia="仿宋_GB2312"/>
          <w:sz w:val="24"/>
        </w:rPr>
        <w:t>因此产生损失的，</w:t>
      </w:r>
      <w:r>
        <w:rPr>
          <w:rFonts w:ascii="仿宋_GB2312" w:hAnsi="仿宋_GB2312" w:cs="仿宋_GB2312" w:eastAsia="仿宋_GB2312"/>
          <w:sz w:val="24"/>
        </w:rPr>
        <w:t>采购人</w:t>
      </w:r>
      <w:r>
        <w:rPr>
          <w:rFonts w:ascii="仿宋_GB2312" w:hAnsi="仿宋_GB2312" w:cs="仿宋_GB2312" w:eastAsia="仿宋_GB2312"/>
          <w:sz w:val="24"/>
        </w:rPr>
        <w:t>有权要求</w:t>
      </w:r>
      <w:r>
        <w:rPr>
          <w:rFonts w:ascii="仿宋_GB2312" w:hAnsi="仿宋_GB2312" w:cs="仿宋_GB2312" w:eastAsia="仿宋_GB2312"/>
          <w:sz w:val="24"/>
        </w:rPr>
        <w:t>中标人</w:t>
      </w:r>
      <w:r>
        <w:rPr>
          <w:rFonts w:ascii="仿宋_GB2312" w:hAnsi="仿宋_GB2312" w:cs="仿宋_GB2312" w:eastAsia="仿宋_GB2312"/>
          <w:sz w:val="24"/>
        </w:rPr>
        <w:t>支付</w:t>
      </w:r>
      <w:r>
        <w:rPr>
          <w:rFonts w:ascii="仿宋_GB2312" w:hAnsi="仿宋_GB2312" w:cs="仿宋_GB2312" w:eastAsia="仿宋_GB2312"/>
          <w:sz w:val="24"/>
        </w:rPr>
        <w:t>采购人</w:t>
      </w:r>
      <w:r>
        <w:rPr>
          <w:rFonts w:ascii="仿宋_GB2312" w:hAnsi="仿宋_GB2312" w:cs="仿宋_GB2312" w:eastAsia="仿宋_GB2312"/>
          <w:sz w:val="24"/>
        </w:rPr>
        <w:t>产生的全部经济损失。</w:t>
      </w:r>
    </w:p>
    <w:p>
      <w:pPr>
        <w:pStyle w:val="null3"/>
        <w:ind w:firstLine="480"/>
        <w:jc w:val="both"/>
      </w:pPr>
      <w:r>
        <w:rPr>
          <w:rFonts w:ascii="仿宋_GB2312" w:hAnsi="仿宋_GB2312" w:cs="仿宋_GB2312" w:eastAsia="仿宋_GB2312"/>
          <w:sz w:val="24"/>
        </w:rPr>
        <w:t>9. 本标书中未明之处，欢迎进行必要的咨询和详细补充说明。</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、其他</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1. 投标人应提供其投标货物的产品介绍彩册（页），或提供有效的国内、国际认证机构的证明材料。招标人有权要求投标人提供最新的原版Data Sheet技术资料（技术白皮书）。若有虚假应标，一经查出即作废标处理。</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2. 列明选配件清单及单价（如有时）。</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3. 廉洁购销条款</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 xml:space="preserve">3.1 </w:t>
      </w:r>
      <w:r>
        <w:rPr>
          <w:rFonts w:ascii="仿宋_GB2312" w:hAnsi="仿宋_GB2312" w:cs="仿宋_GB2312" w:eastAsia="仿宋_GB2312"/>
          <w:sz w:val="24"/>
        </w:rPr>
        <w:t>中标人</w:t>
      </w:r>
      <w:r>
        <w:rPr>
          <w:rFonts w:ascii="仿宋_GB2312" w:hAnsi="仿宋_GB2312" w:cs="仿宋_GB2312" w:eastAsia="仿宋_GB2312"/>
          <w:sz w:val="24"/>
        </w:rPr>
        <w:t>承诺与</w:t>
      </w:r>
      <w:r>
        <w:rPr>
          <w:rFonts w:ascii="仿宋_GB2312" w:hAnsi="仿宋_GB2312" w:cs="仿宋_GB2312" w:eastAsia="仿宋_GB2312"/>
          <w:sz w:val="24"/>
        </w:rPr>
        <w:t>采购人</w:t>
      </w:r>
      <w:r>
        <w:rPr>
          <w:rFonts w:ascii="仿宋_GB2312" w:hAnsi="仿宋_GB2312" w:cs="仿宋_GB2312" w:eastAsia="仿宋_GB2312"/>
          <w:sz w:val="24"/>
        </w:rPr>
        <w:t>共同建立和维护规范与廉洁的购销环境，承诺不得违反所有与反腐败有关的法律、法规、规章、</w:t>
      </w:r>
      <w:r>
        <w:rPr>
          <w:rFonts w:ascii="仿宋_GB2312" w:hAnsi="仿宋_GB2312" w:cs="仿宋_GB2312" w:eastAsia="仿宋_GB2312"/>
          <w:sz w:val="24"/>
        </w:rPr>
        <w:t>采购人</w:t>
      </w:r>
      <w:r>
        <w:rPr>
          <w:rFonts w:ascii="仿宋_GB2312" w:hAnsi="仿宋_GB2312" w:cs="仿宋_GB2312" w:eastAsia="仿宋_GB2312"/>
          <w:sz w:val="24"/>
        </w:rPr>
        <w:t>制度和要求。</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 xml:space="preserve">3.2 </w:t>
      </w:r>
      <w:r>
        <w:rPr>
          <w:rFonts w:ascii="仿宋_GB2312" w:hAnsi="仿宋_GB2312" w:cs="仿宋_GB2312" w:eastAsia="仿宋_GB2312"/>
          <w:sz w:val="24"/>
        </w:rPr>
        <w:t>中标人</w:t>
      </w:r>
      <w:r>
        <w:rPr>
          <w:rFonts w:ascii="仿宋_GB2312" w:hAnsi="仿宋_GB2312" w:cs="仿宋_GB2312" w:eastAsia="仿宋_GB2312"/>
          <w:sz w:val="24"/>
        </w:rPr>
        <w:t>及其工作人员违反本</w:t>
      </w:r>
      <w:r>
        <w:rPr>
          <w:rFonts w:ascii="仿宋_GB2312" w:hAnsi="仿宋_GB2312" w:cs="仿宋_GB2312" w:eastAsia="仿宋_GB2312"/>
          <w:sz w:val="24"/>
        </w:rPr>
        <w:t>项目</w:t>
      </w:r>
      <w:r>
        <w:rPr>
          <w:rFonts w:ascii="仿宋_GB2312" w:hAnsi="仿宋_GB2312" w:cs="仿宋_GB2312" w:eastAsia="仿宋_GB2312"/>
          <w:sz w:val="24"/>
        </w:rPr>
        <w:t>合同附件《廉洁购销协议》约定，存在行贿行为的，</w:t>
      </w:r>
      <w:r>
        <w:rPr>
          <w:rFonts w:ascii="仿宋_GB2312" w:hAnsi="仿宋_GB2312" w:cs="仿宋_GB2312" w:eastAsia="仿宋_GB2312"/>
          <w:sz w:val="24"/>
        </w:rPr>
        <w:t>采购人</w:t>
      </w:r>
      <w:r>
        <w:rPr>
          <w:rFonts w:ascii="仿宋_GB2312" w:hAnsi="仿宋_GB2312" w:cs="仿宋_GB2312" w:eastAsia="仿宋_GB2312"/>
          <w:sz w:val="24"/>
        </w:rPr>
        <w:t>有权在一定期限内将</w:t>
      </w:r>
      <w:r>
        <w:rPr>
          <w:rFonts w:ascii="仿宋_GB2312" w:hAnsi="仿宋_GB2312" w:cs="仿宋_GB2312" w:eastAsia="仿宋_GB2312"/>
          <w:sz w:val="24"/>
        </w:rPr>
        <w:t>中标人</w:t>
      </w:r>
      <w:r>
        <w:rPr>
          <w:rFonts w:ascii="仿宋_GB2312" w:hAnsi="仿宋_GB2312" w:cs="仿宋_GB2312" w:eastAsia="仿宋_GB2312"/>
          <w:sz w:val="24"/>
        </w:rPr>
        <w:t>列入行贿人</w:t>
      </w:r>
      <w:r>
        <w:rPr>
          <w:rFonts w:ascii="仿宋_GB2312" w:hAnsi="仿宋_GB2312" w:cs="仿宋_GB2312" w:eastAsia="仿宋_GB2312"/>
          <w:sz w:val="24"/>
        </w:rPr>
        <w:t>“黑名单”，作为</w:t>
      </w:r>
      <w:r>
        <w:rPr>
          <w:rFonts w:ascii="仿宋_GB2312" w:hAnsi="仿宋_GB2312" w:cs="仿宋_GB2312" w:eastAsia="仿宋_GB2312"/>
          <w:sz w:val="24"/>
        </w:rPr>
        <w:t>中标人</w:t>
      </w:r>
      <w:r>
        <w:rPr>
          <w:rFonts w:ascii="仿宋_GB2312" w:hAnsi="仿宋_GB2312" w:cs="仿宋_GB2312" w:eastAsia="仿宋_GB2312"/>
          <w:sz w:val="24"/>
        </w:rPr>
        <w:t>参加</w:t>
      </w:r>
      <w:r>
        <w:rPr>
          <w:rFonts w:ascii="仿宋_GB2312" w:hAnsi="仿宋_GB2312" w:cs="仿宋_GB2312" w:eastAsia="仿宋_GB2312"/>
          <w:sz w:val="24"/>
        </w:rPr>
        <w:t>采购人</w:t>
      </w:r>
      <w:r>
        <w:rPr>
          <w:rFonts w:ascii="仿宋_GB2312" w:hAnsi="仿宋_GB2312" w:cs="仿宋_GB2312" w:eastAsia="仿宋_GB2312"/>
          <w:sz w:val="24"/>
        </w:rPr>
        <w:t>招标采购活动的限制条件；在本</w:t>
      </w:r>
      <w:r>
        <w:rPr>
          <w:rFonts w:ascii="仿宋_GB2312" w:hAnsi="仿宋_GB2312" w:cs="仿宋_GB2312" w:eastAsia="仿宋_GB2312"/>
          <w:sz w:val="24"/>
        </w:rPr>
        <w:t>项目</w:t>
      </w:r>
      <w:r>
        <w:rPr>
          <w:rFonts w:ascii="仿宋_GB2312" w:hAnsi="仿宋_GB2312" w:cs="仿宋_GB2312" w:eastAsia="仿宋_GB2312"/>
          <w:sz w:val="24"/>
        </w:rPr>
        <w:t>合同有效期内，经</w:t>
      </w:r>
      <w:r>
        <w:rPr>
          <w:rFonts w:ascii="仿宋_GB2312" w:hAnsi="仿宋_GB2312" w:cs="仿宋_GB2312" w:eastAsia="仿宋_GB2312"/>
          <w:sz w:val="24"/>
        </w:rPr>
        <w:t>采购人</w:t>
      </w:r>
      <w:r>
        <w:rPr>
          <w:rFonts w:ascii="仿宋_GB2312" w:hAnsi="仿宋_GB2312" w:cs="仿宋_GB2312" w:eastAsia="仿宋_GB2312"/>
          <w:sz w:val="24"/>
        </w:rPr>
        <w:t>确认</w:t>
      </w:r>
      <w:r>
        <w:rPr>
          <w:rFonts w:ascii="仿宋_GB2312" w:hAnsi="仿宋_GB2312" w:cs="仿宋_GB2312" w:eastAsia="仿宋_GB2312"/>
          <w:sz w:val="24"/>
        </w:rPr>
        <w:t>中标人</w:t>
      </w:r>
      <w:r>
        <w:rPr>
          <w:rFonts w:ascii="仿宋_GB2312" w:hAnsi="仿宋_GB2312" w:cs="仿宋_GB2312" w:eastAsia="仿宋_GB2312"/>
          <w:sz w:val="24"/>
        </w:rPr>
        <w:t>及其工作人员因本</w:t>
      </w:r>
      <w:r>
        <w:rPr>
          <w:rFonts w:ascii="仿宋_GB2312" w:hAnsi="仿宋_GB2312" w:cs="仿宋_GB2312" w:eastAsia="仿宋_GB2312"/>
          <w:sz w:val="24"/>
        </w:rPr>
        <w:t>项目</w:t>
      </w:r>
      <w:r>
        <w:rPr>
          <w:rFonts w:ascii="仿宋_GB2312" w:hAnsi="仿宋_GB2312" w:cs="仿宋_GB2312" w:eastAsia="仿宋_GB2312"/>
          <w:sz w:val="24"/>
        </w:rPr>
        <w:t>合同（包括但不限于采购阶段、合同签约、履行期间）被列入</w:t>
      </w:r>
      <w:r>
        <w:rPr>
          <w:rFonts w:ascii="仿宋_GB2312" w:hAnsi="仿宋_GB2312" w:cs="仿宋_GB2312" w:eastAsia="仿宋_GB2312"/>
          <w:sz w:val="24"/>
        </w:rPr>
        <w:t>采购人</w:t>
      </w:r>
      <w:r>
        <w:rPr>
          <w:rFonts w:ascii="仿宋_GB2312" w:hAnsi="仿宋_GB2312" w:cs="仿宋_GB2312" w:eastAsia="仿宋_GB2312"/>
          <w:sz w:val="24"/>
        </w:rPr>
        <w:t>行贿人</w:t>
      </w:r>
      <w:r>
        <w:rPr>
          <w:rFonts w:ascii="仿宋_GB2312" w:hAnsi="仿宋_GB2312" w:cs="仿宋_GB2312" w:eastAsia="仿宋_GB2312"/>
          <w:sz w:val="24"/>
        </w:rPr>
        <w:t>“黑名单”的，</w:t>
      </w:r>
      <w:r>
        <w:rPr>
          <w:rFonts w:ascii="仿宋_GB2312" w:hAnsi="仿宋_GB2312" w:cs="仿宋_GB2312" w:eastAsia="仿宋_GB2312"/>
          <w:sz w:val="24"/>
        </w:rPr>
        <w:t>采购人</w:t>
      </w:r>
      <w:r>
        <w:rPr>
          <w:rFonts w:ascii="仿宋_GB2312" w:hAnsi="仿宋_GB2312" w:cs="仿宋_GB2312" w:eastAsia="仿宋_GB2312"/>
          <w:sz w:val="24"/>
        </w:rPr>
        <w:t>有权单方面解除合同，有权不予退还履约保证金（如有），有权中止支付未付款项（如有），且</w:t>
      </w:r>
      <w:r>
        <w:rPr>
          <w:rFonts w:ascii="仿宋_GB2312" w:hAnsi="仿宋_GB2312" w:cs="仿宋_GB2312" w:eastAsia="仿宋_GB2312"/>
          <w:sz w:val="24"/>
        </w:rPr>
        <w:t>采购人</w:t>
      </w:r>
      <w:r>
        <w:rPr>
          <w:rFonts w:ascii="仿宋_GB2312" w:hAnsi="仿宋_GB2312" w:cs="仿宋_GB2312" w:eastAsia="仿宋_GB2312"/>
          <w:sz w:val="24"/>
        </w:rPr>
        <w:t>有权要求</w:t>
      </w:r>
      <w:r>
        <w:rPr>
          <w:rFonts w:ascii="仿宋_GB2312" w:hAnsi="仿宋_GB2312" w:cs="仿宋_GB2312" w:eastAsia="仿宋_GB2312"/>
          <w:sz w:val="24"/>
        </w:rPr>
        <w:t>中标人</w:t>
      </w:r>
      <w:r>
        <w:rPr>
          <w:rFonts w:ascii="仿宋_GB2312" w:hAnsi="仿宋_GB2312" w:cs="仿宋_GB2312" w:eastAsia="仿宋_GB2312"/>
          <w:sz w:val="24"/>
        </w:rPr>
        <w:t>赔偿</w:t>
      </w:r>
      <w:r>
        <w:rPr>
          <w:rFonts w:ascii="仿宋_GB2312" w:hAnsi="仿宋_GB2312" w:cs="仿宋_GB2312" w:eastAsia="仿宋_GB2312"/>
          <w:sz w:val="24"/>
        </w:rPr>
        <w:t>采购人</w:t>
      </w:r>
      <w:r>
        <w:rPr>
          <w:rFonts w:ascii="仿宋_GB2312" w:hAnsi="仿宋_GB2312" w:cs="仿宋_GB2312" w:eastAsia="仿宋_GB2312"/>
          <w:sz w:val="24"/>
        </w:rPr>
        <w:t>因此产生的损失（包括但不限于主张权利所支付的诉讼费、诉讼保全费、律师费、差旅费、直接经济损失等费用），如</w:t>
      </w:r>
      <w:r>
        <w:rPr>
          <w:rFonts w:ascii="仿宋_GB2312" w:hAnsi="仿宋_GB2312" w:cs="仿宋_GB2312" w:eastAsia="仿宋_GB2312"/>
          <w:sz w:val="24"/>
        </w:rPr>
        <w:t>中标人</w:t>
      </w:r>
      <w:r>
        <w:rPr>
          <w:rFonts w:ascii="仿宋_GB2312" w:hAnsi="仿宋_GB2312" w:cs="仿宋_GB2312" w:eastAsia="仿宋_GB2312"/>
          <w:sz w:val="24"/>
        </w:rPr>
        <w:t>拒不赔偿的，则</w:t>
      </w:r>
      <w:r>
        <w:rPr>
          <w:rFonts w:ascii="仿宋_GB2312" w:hAnsi="仿宋_GB2312" w:cs="仿宋_GB2312" w:eastAsia="仿宋_GB2312"/>
          <w:sz w:val="24"/>
        </w:rPr>
        <w:t>采购人</w:t>
      </w:r>
      <w:r>
        <w:rPr>
          <w:rFonts w:ascii="仿宋_GB2312" w:hAnsi="仿宋_GB2312" w:cs="仿宋_GB2312" w:eastAsia="仿宋_GB2312"/>
          <w:sz w:val="24"/>
        </w:rPr>
        <w:t>有权从相关款项中直接扣除。</w:t>
      </w:r>
    </w:p>
    <w:p>
      <w:pPr>
        <w:pStyle w:val="null3"/>
        <w:ind w:firstLine="420"/>
        <w:jc w:val="left"/>
      </w:pPr>
      <w:r>
        <w:rPr>
          <w:rFonts w:ascii="仿宋_GB2312" w:hAnsi="仿宋_GB2312" w:cs="仿宋_GB2312" w:eastAsia="仿宋_GB2312"/>
          <w:sz w:val="24"/>
          <w:b/>
          <w:shd w:fill="FFFFFF" w:val="clear"/>
        </w:rPr>
        <w:t>★注：上述“三、商务要求”均为不可负偏离的实质性要求，若有负偏离的按无效投标处理。（以此为准）</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[350001]ZXFZ[GK]2023133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经颅磁刺激仪采购项目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1(经颅磁刺激仪)</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经颅磁刺激仪</w:t>
            </w:r>
          </w:p>
        </w:tc>
        <w:tc>
          <w:tcPr>
            <w:tcW w:type="dxa" w:w="1661"/>
          </w:tcPr>
          <w:p>
            <w:pPr>
              <w:pStyle w:val="null3"/>
              <w:jc w:val="left"/>
            </w:pPr>
            <w:r>
              <w:rPr>
                <w:rFonts w:ascii="仿宋_GB2312" w:hAnsi="仿宋_GB2312" w:cs="仿宋_GB2312" w:eastAsia="仿宋_GB2312"/>
              </w:rPr>
              <w:t xml:space="preserve"> 1900000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[350001]ZXFZ[GK]2023133</w:t>
      </w:r>
    </w:p>
    <w:p>
      <w:pPr>
        <w:pStyle w:val="null3"/>
        <w:jc w:val="left"/>
      </w:pPr>
      <w:r>
        <w:rPr>
          <w:rFonts w:ascii="仿宋_GB2312" w:hAnsi="仿宋_GB2312" w:cs="仿宋_GB2312" w:eastAsia="仿宋_GB2312"/>
        </w:rPr>
        <w:t>项目名称：</w:t>
      </w:r>
      <w:r>
        <w:rPr>
          <w:rFonts w:ascii="仿宋_GB2312" w:hAnsi="仿宋_GB2312" w:cs="仿宋_GB2312" w:eastAsia="仿宋_GB2312"/>
        </w:rPr>
        <w:t>经颅磁刺激仪采购项目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经颅磁刺激仪</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经颅磁刺激仪</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经颅磁刺激仪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1900000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