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440201-2025-00735</w:t>
      </w:r>
    </w:p>
    <w:p>
      <w:pPr>
        <w:pStyle w:val="null3"/>
        <w:jc w:val="center"/>
        <w:outlineLvl w:val="3"/>
      </w:pPr>
      <w:r>
        <w:rPr>
          <w:sz w:val="24"/>
          <w:b/>
        </w:rPr>
        <w:t>采购项目编号：</w:t>
      </w:r>
      <w:r>
        <w:rPr>
          <w:sz w:val="24"/>
          <w:b/>
        </w:rPr>
        <w:t>ZX-GZ202503</w:t>
      </w:r>
    </w:p>
    <w:p>
      <w:pPr>
        <w:pStyle w:val="null3"/>
        <w:jc w:val="center"/>
        <w:outlineLvl w:val="3"/>
      </w:pPr>
      <w:r>
        <w:rPr>
          <w:sz w:val="24"/>
          <w:b/>
        </w:rPr>
        <w:t>项目名称：</w:t>
      </w:r>
      <w:r>
        <w:rPr>
          <w:sz w:val="24"/>
          <w:b/>
        </w:rPr>
        <w:t>仁化县入河排污口规范化建设项目</w:t>
      </w:r>
    </w:p>
    <w:p>
      <w:pPr>
        <w:pStyle w:val="null3"/>
        <w:jc w:val="center"/>
        <w:outlineLvl w:val="3"/>
      </w:pPr>
      <w:r>
        <w:rPr>
          <w:sz w:val="24"/>
          <w:b/>
        </w:rPr>
        <w:t>采购人：</w:t>
      </w:r>
      <w:r>
        <w:rPr>
          <w:sz w:val="24"/>
          <w:b/>
        </w:rPr>
        <w:t>韶关市生态环境局仁化分局</w:t>
      </w:r>
    </w:p>
    <w:p>
      <w:pPr>
        <w:pStyle w:val="null3"/>
        <w:jc w:val="center"/>
        <w:outlineLvl w:val="3"/>
      </w:pPr>
      <w:r>
        <w:rPr>
          <w:sz w:val="24"/>
          <w:b/>
        </w:rPr>
        <w:t>采购代理机构：</w:t>
      </w:r>
      <w:r>
        <w:rPr>
          <w:sz w:val="24"/>
          <w:b/>
        </w:rPr>
        <w:t>中昕国际项目管理有限公司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中昕国际项目管理有限公司</w:t>
      </w:r>
      <w:r>
        <w:rPr/>
        <w:t>受</w:t>
      </w:r>
      <w:r>
        <w:rPr/>
        <w:t>韶关市生态环境局仁化分局</w:t>
      </w:r>
      <w:r>
        <w:rPr/>
        <w:t>的委托，采用</w:t>
      </w:r>
      <w:r>
        <w:rPr/>
        <w:t>公开招标</w:t>
      </w:r>
      <w:r>
        <w:rPr/>
        <w:t>方式组织采购</w:t>
      </w:r>
      <w:r>
        <w:rPr/>
        <w:t>仁化县入河排污口规范化建设项目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仁化县入河排污口规范化建设项目</w:t>
      </w:r>
    </w:p>
    <w:p>
      <w:pPr>
        <w:pStyle w:val="null3"/>
        <w:ind w:firstLine="480"/>
      </w:pPr>
      <w:r>
        <w:rPr/>
        <w:t>采购计划编号：</w:t>
      </w:r>
      <w:r>
        <w:rPr/>
        <w:t>440201-2025-00735</w:t>
      </w:r>
    </w:p>
    <w:p>
      <w:pPr>
        <w:pStyle w:val="null3"/>
        <w:ind w:firstLine="480"/>
      </w:pPr>
      <w:r>
        <w:rPr/>
        <w:t>采购项目编号：</w:t>
      </w:r>
      <w:r>
        <w:rPr/>
        <w:t>ZX-GZ202503</w:t>
      </w:r>
    </w:p>
    <w:p>
      <w:pPr>
        <w:pStyle w:val="null3"/>
        <w:ind w:firstLine="480"/>
      </w:pPr>
      <w:r>
        <w:rPr/>
        <w:t>采购方式：</w:t>
      </w:r>
      <w:r>
        <w:rPr/>
        <w:t>公开招标</w:t>
      </w:r>
    </w:p>
    <w:p>
      <w:pPr>
        <w:pStyle w:val="null3"/>
        <w:ind w:firstLine="480"/>
      </w:pPr>
      <w:r>
        <w:rPr/>
        <w:t>预算金额：</w:t>
      </w:r>
      <w:r>
        <w:rPr/>
        <w:t>15,760,700.00</w:t>
      </w:r>
      <w:r>
        <w:rPr/>
        <w:t>元</w:t>
      </w:r>
    </w:p>
    <w:p>
      <w:pPr>
        <w:pStyle w:val="null3"/>
        <w:outlineLvl w:val="3"/>
      </w:pPr>
      <w:r>
        <w:rPr>
          <w:sz w:val="24"/>
          <w:b/>
        </w:rPr>
        <w:t>2.项目内容及需求情况（采购项目技术规格、参数及要求）</w:t>
      </w:r>
    </w:p>
    <w:p>
      <w:pPr>
        <w:pStyle w:val="null3"/>
      </w:pPr>
      <w:r>
        <w:rPr/>
        <w:t>采购包1(仁化县入河排污口规范化建设项目):</w:t>
      </w:r>
    </w:p>
    <w:p>
      <w:pPr>
        <w:pStyle w:val="null3"/>
      </w:pPr>
      <w:r>
        <w:rPr/>
        <w:t>采购包预算金额：15,760,700.00元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仁化县入河排污口规范化建设项目主要内容是入河排污口规范化建设，具体为392个排污口立标建档、8套水质自动监测站、15个排污口流量实时监测、38个排污口的常规视频监控。构建入河排口综合管理平台，形成一套新的科学精准、精细化管理综合平台，提高水环境管理水平。</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合同履行期限：1、合同签订6个月内完成系统上线、设备供货安装、调试及软硬件验收;2、运维期限3年(运维期:自验收合格之日起运维服务3年)。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w:t>
      </w:r>
    </w:p>
    <w:p>
      <w:pPr>
        <w:pStyle w:val="null3"/>
      </w:pPr>
      <w:r>
        <w:rPr/>
        <w:t>3）具有良好的商业信誉和健全的财务会计制度：提供《资格条件承诺函》</w:t>
      </w:r>
    </w:p>
    <w:p>
      <w:pPr>
        <w:pStyle w:val="null3"/>
      </w:pPr>
      <w:r>
        <w:rPr/>
        <w:t>4）履行合同所必需的设备和专业技术能力：提供《资格条件承诺函》</w:t>
      </w:r>
    </w:p>
    <w:p>
      <w:pPr>
        <w:pStyle w:val="null3"/>
      </w:pPr>
      <w:r>
        <w:rPr/>
        <w:t>5）参加采购活动前3年内，在经营活动中没有重大违法记录：提供《资格条件承诺函》。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采购包1（仁化县入河排污口规范化建设项目）：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采购包1（仁化县入河排污口规范化建设项目）：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韶关市生态环境局仁化分局</w:t>
      </w:r>
    </w:p>
    <w:p>
      <w:pPr>
        <w:pStyle w:val="null3"/>
        <w:ind w:firstLine="480"/>
      </w:pPr>
      <w:r>
        <w:rPr/>
        <w:t xml:space="preserve"> 地址：</w:t>
      </w:r>
      <w:r>
        <w:rPr/>
        <w:t>仁化县丹霞大道228号</w:t>
      </w:r>
    </w:p>
    <w:p>
      <w:pPr>
        <w:pStyle w:val="null3"/>
        <w:ind w:firstLine="480"/>
      </w:pPr>
      <w:r>
        <w:rPr/>
        <w:t xml:space="preserve"> 联系方式：</w:t>
      </w:r>
      <w:r>
        <w:rPr/>
        <w:t>18127690112</w:t>
      </w:r>
    </w:p>
    <w:p>
      <w:pPr>
        <w:pStyle w:val="null3"/>
        <w:outlineLvl w:val="3"/>
      </w:pPr>
      <w:r>
        <w:rPr>
          <w:sz w:val="24"/>
          <w:b/>
        </w:rPr>
        <w:t xml:space="preserve"> 2.采购代理机构信息</w:t>
      </w:r>
    </w:p>
    <w:p>
      <w:pPr>
        <w:pStyle w:val="null3"/>
        <w:ind w:firstLine="480"/>
      </w:pPr>
      <w:r>
        <w:rPr/>
        <w:t xml:space="preserve"> 名称：</w:t>
      </w:r>
      <w:r>
        <w:rPr/>
        <w:t>中昕国际项目管理有限公司</w:t>
      </w:r>
    </w:p>
    <w:p>
      <w:pPr>
        <w:pStyle w:val="null3"/>
        <w:ind w:firstLine="480"/>
      </w:pPr>
      <w:r>
        <w:rPr/>
        <w:t xml:space="preserve"> 地址：</w:t>
      </w:r>
      <w:r>
        <w:rPr/>
        <w:t>韶关市仁化县丹霞新城沁潼园 F区阳光里3幢22号铺</w:t>
      </w:r>
    </w:p>
    <w:p>
      <w:pPr>
        <w:pStyle w:val="null3"/>
        <w:ind w:firstLine="480"/>
      </w:pPr>
      <w:r>
        <w:rPr/>
        <w:t xml:space="preserve"> 联系方式：</w:t>
      </w:r>
      <w:r>
        <w:rPr/>
        <w:t>0751-6283818</w:t>
      </w:r>
    </w:p>
    <w:p>
      <w:pPr>
        <w:pStyle w:val="null3"/>
        <w:outlineLvl w:val="3"/>
      </w:pPr>
      <w:r>
        <w:rPr>
          <w:sz w:val="24"/>
          <w:b/>
        </w:rPr>
        <w:t xml:space="preserve"> 3.项目联系方式</w:t>
      </w:r>
    </w:p>
    <w:p>
      <w:pPr>
        <w:pStyle w:val="null3"/>
        <w:ind w:firstLine="480"/>
      </w:pPr>
      <w:r>
        <w:rPr/>
        <w:t xml:space="preserve"> 项目联系人：</w:t>
      </w:r>
      <w:r>
        <w:rPr/>
        <w:t>中昕国际项目管理有限公司</w:t>
      </w:r>
    </w:p>
    <w:p>
      <w:pPr>
        <w:pStyle w:val="null3"/>
        <w:ind w:firstLine="480"/>
      </w:pPr>
      <w:r>
        <w:rPr/>
        <w:t xml:space="preserve"> 电话：</w:t>
      </w:r>
      <w:r>
        <w:rPr/>
        <w:t>0751-6283818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中昕国际项目管理有限公司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 xml:space="preserve"> </w:t>
      </w:r>
      <w:r>
        <w:rPr>
          <w:sz w:val="21"/>
          <w:b/>
          <w:color w:val="000000"/>
        </w:rPr>
        <w:t>（一）</w:t>
      </w:r>
      <w:r>
        <w:rPr>
          <w:sz w:val="21"/>
          <w:b/>
          <w:color w:val="000000"/>
        </w:rPr>
        <w:t>项目名称：</w:t>
      </w:r>
      <w:r>
        <w:rPr>
          <w:sz w:val="21"/>
          <w:color w:val="000000"/>
        </w:rPr>
        <w:t>仁化县入河排污口规范化建设项目</w:t>
      </w:r>
    </w:p>
    <w:p>
      <w:pPr>
        <w:pStyle w:val="null3"/>
      </w:pPr>
      <w:r>
        <w:rPr>
          <w:sz w:val="21"/>
          <w:b/>
          <w:color w:val="000000"/>
        </w:rPr>
        <w:t xml:space="preserve"> （二）总体要求说明：</w:t>
      </w:r>
    </w:p>
    <w:p>
      <w:pPr>
        <w:pStyle w:val="null3"/>
      </w:pPr>
      <w:r>
        <w:rPr>
          <w:sz w:val="21"/>
          <w:b/>
          <w:color w:val="000000"/>
        </w:rPr>
        <w:t>1、</w:t>
      </w:r>
      <w:r>
        <w:rPr>
          <w:sz w:val="21"/>
          <w:color w:val="000000"/>
        </w:rPr>
        <w:t>标有</w:t>
      </w:r>
      <w:r>
        <w:rPr>
          <w:sz w:val="21"/>
          <w:color w:val="000000"/>
        </w:rPr>
        <w:t>“★”的条款为必须完全满足的实质性要求，投标人如有一项带“★”的条款未响应或</w:t>
      </w:r>
      <w:r>
        <w:rPr>
          <w:sz w:val="21"/>
          <w:color w:val="000000"/>
        </w:rPr>
        <w:t>不满足</w:t>
      </w:r>
      <w:r>
        <w:rPr>
          <w:sz w:val="21"/>
          <w:color w:val="000000"/>
        </w:rPr>
        <w:t>，将按无效投标处理。</w:t>
      </w:r>
    </w:p>
    <w:p>
      <w:pPr>
        <w:pStyle w:val="null3"/>
      </w:pPr>
      <w:r>
        <w:rPr>
          <w:sz w:val="21"/>
          <w:color w:val="000000"/>
        </w:rPr>
        <w:t>2、</w:t>
      </w:r>
      <w:r>
        <w:rPr>
          <w:sz w:val="21"/>
          <w:color w:val="000000"/>
        </w:rPr>
        <w:t>标有</w:t>
      </w:r>
      <w:r>
        <w:rPr>
          <w:sz w:val="21"/>
          <w:color w:val="000000"/>
        </w:rPr>
        <w:t>“▲”的条款为重要性要求，投标人如有“▲”的条款未响应或负偏离的将被严重扣分。</w:t>
      </w:r>
    </w:p>
    <w:p>
      <w:pPr>
        <w:pStyle w:val="null3"/>
      </w:pPr>
      <w:r>
        <w:rPr>
          <w:sz w:val="21"/>
          <w:color w:val="000000"/>
        </w:rPr>
        <w:t>3、投标人必须承诺提供厂商原装、全新的、符合国家及用户提出的有关质量标准的设备。</w:t>
      </w:r>
    </w:p>
    <w:p>
      <w:pPr>
        <w:pStyle w:val="null3"/>
      </w:pPr>
      <w:r>
        <w:rPr>
          <w:sz w:val="21"/>
          <w:color w:val="000000"/>
        </w:rPr>
        <w:t>4、投标人应对采购需求中的设备性能和技术指标在响应详细内容中列出具体数值或明确承诺。如果投标人只注明</w:t>
      </w:r>
      <w:r>
        <w:rPr>
          <w:sz w:val="21"/>
          <w:color w:val="000000"/>
        </w:rPr>
        <w:t>“正偏离”或“无偏离”，将</w:t>
      </w:r>
      <w:r>
        <w:rPr>
          <w:sz w:val="21"/>
          <w:color w:val="000000"/>
        </w:rPr>
        <w:t>可能</w:t>
      </w:r>
      <w:r>
        <w:rPr>
          <w:sz w:val="21"/>
          <w:color w:val="000000"/>
        </w:rPr>
        <w:t>被视为</w:t>
      </w:r>
      <w:r>
        <w:rPr>
          <w:sz w:val="21"/>
          <w:color w:val="000000"/>
        </w:rPr>
        <w:t>“负偏离”，从而可能导致严重影响评标结果。</w:t>
      </w:r>
    </w:p>
    <w:p>
      <w:pPr>
        <w:pStyle w:val="null3"/>
      </w:pPr>
      <w:r>
        <w:rPr>
          <w:sz w:val="21"/>
          <w:color w:val="000000"/>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pStyle w:val="null3"/>
      </w:pPr>
      <w:r>
        <w:rPr>
          <w:sz w:val="21"/>
          <w:color w:val="000000"/>
        </w:rPr>
        <w:t>6、涉及软件产品的，必须采购和使用正版软件，项目中涉及计算机办公产品的，必须预装正版操作系统软件。</w:t>
      </w:r>
    </w:p>
    <w:p>
      <w:pPr>
        <w:pStyle w:val="null3"/>
      </w:pPr>
      <w:r>
        <w:rPr>
          <w:sz w:val="21"/>
          <w:color w:val="000000"/>
        </w:rPr>
        <w:t>7、投标人应保证，采购人在中华人民共和国使用该</w:t>
      </w:r>
      <w:r>
        <w:rPr>
          <w:sz w:val="21"/>
          <w:color w:val="000000"/>
        </w:rPr>
        <w:t>服务</w:t>
      </w:r>
      <w:r>
        <w:rPr>
          <w:sz w:val="21"/>
          <w:color w:val="000000"/>
        </w:rPr>
        <w:t>或</w:t>
      </w:r>
      <w:r>
        <w:rPr>
          <w:sz w:val="21"/>
          <w:color w:val="000000"/>
        </w:rPr>
        <w:t>服务</w:t>
      </w:r>
      <w:r>
        <w:rPr>
          <w:sz w:val="21"/>
          <w:color w:val="000000"/>
        </w:rPr>
        <w:t>的任何一部分时，免受第三方提出的侵犯其专利权、商标权、著作权或其它知识产权的起诉。</w:t>
      </w:r>
    </w:p>
    <w:p>
      <w:pPr>
        <w:pStyle w:val="null3"/>
      </w:pPr>
      <w:r>
        <w:rPr>
          <w:sz w:val="21"/>
          <w:color w:val="000000"/>
        </w:rPr>
        <w:t>8、不允许中标供应商</w:t>
      </w:r>
      <w:r>
        <w:rPr>
          <w:sz w:val="21"/>
          <w:color w:val="000000"/>
        </w:rPr>
        <w:t>转包、分包项目内容</w:t>
      </w:r>
      <w:r>
        <w:rPr>
          <w:sz w:val="21"/>
          <w:color w:val="000000"/>
        </w:rPr>
        <w:t>。</w:t>
      </w:r>
    </w:p>
    <w:p>
      <w:pPr>
        <w:pStyle w:val="null3"/>
      </w:pPr>
      <w:r>
        <w:rPr>
          <w:sz w:val="21"/>
          <w:color w:val="000000"/>
        </w:rPr>
        <w:t>9、</w:t>
      </w:r>
      <w:r>
        <w:rPr>
          <w:sz w:val="21"/>
          <w:color w:val="000000"/>
        </w:rPr>
        <w:t>符合中小企业政策扶持的</w:t>
      </w:r>
      <w:r>
        <w:rPr>
          <w:sz w:val="21"/>
          <w:color w:val="000000"/>
        </w:rPr>
        <w:t>企业、监狱企业和残疾人福利性单位必须按照招标（采购）文件第三章内容提供相应的资料。</w:t>
      </w:r>
    </w:p>
    <w:p>
      <w:pPr>
        <w:pStyle w:val="null3"/>
      </w:pPr>
      <w:r>
        <w:rPr>
          <w:sz w:val="21"/>
          <w:color w:val="000000"/>
        </w:rPr>
        <w:t>10、需落实政府采购政策为：促进中小企业发展政策、支持监狱企业发展政策、支持残疾人福利性单位发展政策、采购节能产品、环境标志产品相关政策等。</w:t>
      </w:r>
    </w:p>
    <w:p>
      <w:pPr>
        <w:pStyle w:val="null3"/>
      </w:pPr>
      <w:r>
        <w:rPr>
          <w:sz w:val="21"/>
          <w:color w:val="000000"/>
        </w:rPr>
        <w:t>（三）</w:t>
      </w:r>
      <w:r>
        <w:rPr>
          <w:sz w:val="21"/>
          <w:b/>
        </w:rPr>
        <w:t>实现的目标</w:t>
      </w:r>
    </w:p>
    <w:p>
      <w:pPr>
        <w:pStyle w:val="null3"/>
        <w:spacing w:before="165" w:after="165"/>
        <w:ind w:firstLine="480"/>
      </w:pPr>
      <w:r>
        <w:rPr>
          <w:sz w:val="21"/>
          <w:color w:val="000000"/>
        </w:rPr>
        <w:t>入河排污口是污染物进入河湖的最后关口，其分布、规模、性质、污水排放规律及污染程度是影响流域水环境质量改善的关键因素。通过对仁化县入河排污口现状调查分析，针对入河排污口建设方面存在的问题，以</w:t>
      </w:r>
      <w:r>
        <w:rPr>
          <w:sz w:val="21"/>
          <w:color w:val="000000"/>
        </w:rPr>
        <w:t>“科学客观、突出重点、夯实基础、提升引领”的原则为指引，对仁化县入河排污口进行规范化建设。</w:t>
      </w:r>
    </w:p>
    <w:p>
      <w:pPr>
        <w:pStyle w:val="null3"/>
        <w:spacing w:before="165" w:after="165"/>
        <w:ind w:firstLine="480"/>
      </w:pPr>
      <w:r>
        <w:rPr>
          <w:sz w:val="21"/>
          <w:color w:val="000000"/>
        </w:rPr>
        <w:t>入河排污口综合管理平台以仁化县为基点构建，面向韶关市全域提供数据服务，通过开放</w:t>
      </w:r>
      <w:r>
        <w:rPr>
          <w:sz w:val="21"/>
          <w:color w:val="000000"/>
        </w:rPr>
        <w:t>API</w:t>
      </w:r>
      <w:r>
        <w:rPr>
          <w:sz w:val="21"/>
          <w:color w:val="000000"/>
        </w:rPr>
        <w:t>接口与多层级数据通道，实现市域内各区县排污口监测数据的动态汇聚、实时共享与协同治理，为全市水环境管理部门提供跨区域的污染溯源、风险预警及决策支持能力，推动韶关市河湖排污监管由分散管理向智慧化、一体化的数字化转型。</w:t>
      </w:r>
    </w:p>
    <w:p>
      <w:pPr>
        <w:pStyle w:val="null3"/>
      </w:pPr>
      <w:r>
        <w:rPr/>
        <w:t>采购包1（仁化县入河排污口规范化建设项目）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1、合同签订6个月内完成系统上线、设备供货安装、调试及软硬件验收; 2、运维期限3年(运维期:自验收合格之日起运维服务3年)。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第1期为(预付款)：支付比例30%，合同签订生效后，采购人向中标供应商支付合同总价的30%作为预付款；。</w:t>
            </w:r>
          </w:p>
          <w:p>
            <w:pPr>
              <w:pStyle w:val="null3"/>
            </w:pPr>
            <w:r>
              <w:rPr/>
              <w:t>第2期为(进度款)：支付比例20%，设备到场并完成安装调试后，采购人向中标供应商支付合同总额的20%作为进度款；。</w:t>
            </w:r>
          </w:p>
          <w:p>
            <w:pPr>
              <w:pStyle w:val="null3"/>
            </w:pPr>
            <w:r>
              <w:rPr/>
              <w:t>第3期为(竣工验收款)：支付比例40%，平台建设完成并进入试运行1个月，经过采购人组织的最终验收，采购人向中标供应商支付合同总价的40%；。</w:t>
            </w:r>
          </w:p>
          <w:p>
            <w:pPr>
              <w:pStyle w:val="null3"/>
            </w:pPr>
            <w:r>
              <w:rPr/>
              <w:t>第4期为(质保金)：支付比例10%，1.质保期为验收通过后3年，期内设备运行无质量问题。 2.质保期满后，中标人提供质保期满确认书及发票，采购人支付10%。 注：1、每笔款项支付前，中标供应商须提交与每笔款项金额相等的正式发票，采购人自收到中标供应商的请款资料后10个工作日内（预付款除外）将资金支付到合同约定的中标供应商账户。 2、支付方式：采用支票、银行汇付（含电汇）等形式。 3、如项目发生合同融资，采购人应当将合同款项支付到合同约定收款账户。。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1期：1、成交供应商提交项目成果文件需符合国家和地方各项法律、法规、政策、规范、条例、标准及采购人要求并通过专家评审。 2、采购人按照采购合同规定的技术、服务、安全标准组织对中标供应商履约情况进行验收，并出具验收报告。验收报告应当包括每一项技术、服务、安全标准的履约情况。 3、交付验收标准依次序对照适用标准为：①符合中华人民共和国“国家安全质量标准、环保标准或行业标准”；②符合项目采购文件和投标承诺中采购人认可的合理最佳配置、参数及各项要求。 4、采购人在收到中标供应商验收申请后7日内组织履约验收。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投标报价为总价包括：本项目所涉及的服务及实现服务所需的软件和硬件、维护运营、监测、设计、安装、随机零配件、标配工具、运输保险、调试、验收、培训、质量保证期服务、各项税费及合同实施过程中不可预见费用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仁化县入河排污口规范化建设项目主要内容是入河排污口规范化建设，具体为392个排污口立标建档、8套水质自动监测站、15个排污口流量实时监测、38个排污口的常规视频监控。构建入河排口综合管理平台，形成一套新的科学精准、精细化管理综合平台，提高水环境管理水平。</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15,760,700.00</w:t>
            </w:r>
          </w:p>
        </w:tc>
        <w:tc>
          <w:tcPr>
            <w:tcW w:type="dxa" w:w="933"/>
          </w:tcPr>
          <w:p>
            <w:pPr>
              <w:pStyle w:val="null3"/>
              <w:jc w:val="right"/>
            </w:pPr>
            <w:r>
              <w:rPr/>
              <w:t>15,760,700.00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仁化县入河排污口规范化建设项目主要内容是入河排污口规范化建设，具体为392个排污口立标建档、8套水质自动监测站、15个排污口流量实时监测、38个排污口的常规视频监控。构建入河排口综合管理平台，形成一套新的科学精准、精细化管理综合平台，提高水环境管理水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1、入河排污口综合管理平台</w:t>
            </w:r>
          </w:p>
          <w:p>
            <w:pPr>
              <w:pStyle w:val="null3"/>
            </w:pPr>
            <w:r>
              <w:rPr/>
              <w:t>★（一）入河排污口数据资源整合共享</w:t>
            </w:r>
          </w:p>
          <w:p>
            <w:pPr>
              <w:pStyle w:val="null3"/>
            </w:pPr>
            <w:r>
              <w:rPr/>
              <w:t>入河排污口数据资源整合共享将融合仁化县入河排污口智能感知数据，实现多源异构数据的全面全量汇聚，形成纵向贯通、横向互联的数据汇集体系，全面支撑仁化县入河排污口“查、测、溯、治、管”核心业务。后续为韶关市各区县提供开放API接口，汇聚韶关市全域的入河排污口数据。</w:t>
            </w:r>
          </w:p>
          <w:p>
            <w:pPr>
              <w:pStyle w:val="null3"/>
            </w:pPr>
            <w:r>
              <w:rPr/>
              <w:t>1）数据汇集共享：对闸位、视频、水位、流量、水质等现有数据的统一接收、处理存储和入库管理，实现多源异构数据的全面全量汇聚。</w:t>
            </w:r>
          </w:p>
          <w:p>
            <w:pPr>
              <w:pStyle w:val="null3"/>
            </w:pPr>
            <w:r>
              <w:rPr/>
              <w:t>2）水环境监测数据库：包含仁化县所有监测站点监测数据，包含自动站监测数据、手动监测数据和监督性监测数据。</w:t>
            </w:r>
          </w:p>
          <w:p>
            <w:pPr>
              <w:pStyle w:val="null3"/>
            </w:pPr>
            <w:r>
              <w:rPr/>
              <w:t>3）污染源数据库：包括废水监测数据、农业污染数据、污染控制数据以及各方面业务管理的数据。</w:t>
            </w:r>
          </w:p>
          <w:p>
            <w:pPr>
              <w:pStyle w:val="null3"/>
            </w:pPr>
            <w:r>
              <w:rPr/>
              <w:t>4）地理信息库：包括仁化县所有水文水系基础地理信息数据和环境业务地理信息数据。</w:t>
            </w:r>
          </w:p>
          <w:p>
            <w:pPr>
              <w:pStyle w:val="null3"/>
            </w:pPr>
            <w:r>
              <w:rPr/>
              <w:t>5）涉水污染源“一企一档”：建立重点污染源的环境档案库，按照业务的生命周期，将流域内污染源企业从审批起所有的资料收集整理归档，实现污染源“一企一档”管理。企业档案资料内容包括：企业基本信息、建设项目信息、排污许可证信息、污染物排放信息、监察业务信息、环保设施信息、多媒体信息等。</w:t>
            </w:r>
          </w:p>
          <w:p>
            <w:pPr>
              <w:pStyle w:val="null3"/>
            </w:pPr>
            <w:r>
              <w:rPr/>
              <w:t>6）水环境监测监控“一点一档”：包括全县各水质断面分布，站点水质，超标报警，站点详情，站点实时数据，各监测因子最近24小时数据变化趋势。全区各河流断面实时水质评价信息。水质超标报警信息。全年各水站水质类别占比累计。全年各水站水质类别同环比分析。水质日报、周报、季报、年报。年度水质改善排名。河流水质日历等。</w:t>
            </w:r>
          </w:p>
          <w:p>
            <w:pPr>
              <w:pStyle w:val="null3"/>
            </w:pPr>
            <w:r>
              <w:rPr/>
              <w:t>7）一河一档：围绕仁化县河流水系整理一河一档信息，包括在线监测点基本信息、人工监测点基本信息、排污口基本信息、污染源基本信息、公共设施基本信息、农业面源基本信息、水文基本信息和闸口基本信息等。</w:t>
            </w:r>
          </w:p>
          <w:p>
            <w:pPr>
              <w:pStyle w:val="null3"/>
            </w:pPr>
            <w:r>
              <w:rPr/>
              <w:t>8）数据资源检索查询：提供入河排污口信息的资源导航、资源检索等功能。</w:t>
            </w:r>
          </w:p>
          <w:p>
            <w:pPr>
              <w:pStyle w:val="null3"/>
            </w:pPr>
            <w:r>
              <w:rPr/>
              <w:t>★（二）入河排污口综合管理系统</w:t>
            </w:r>
          </w:p>
          <w:p>
            <w:pPr>
              <w:pStyle w:val="null3"/>
            </w:pPr>
            <w:r>
              <w:rPr/>
              <w:t>1）综合预警：针对入河排污口水质超标、流量超标进行超标预警，通过任务协同调度，推送给相关责任人，经现场处理后，将信息反馈至平台，实现任务闭环。通过统一预警建立对各类信息的分级管理机制，通过流程配置形成任务的全流程闭环管理。</w:t>
            </w:r>
          </w:p>
          <w:p>
            <w:pPr>
              <w:pStyle w:val="null3"/>
            </w:pPr>
            <w:r>
              <w:rPr/>
              <w:t>2）综合分析：利用数据分析等手段，对水质变化趋势进行多维分析，识别自动监测水质异常情况及主要污染因子。分析各个排污口对周边水环境的影响以及入河排污口与周边国（省、市）控断面达标、水功能区达标目标之间的关系。</w:t>
            </w:r>
          </w:p>
          <w:p>
            <w:pPr>
              <w:pStyle w:val="null3"/>
            </w:pPr>
            <w:r>
              <w:rPr/>
              <w:t>3）入河排污口台账管理：对规范化整治的入河排污口建立“一口一档”台帐，对入河排污口进行分类和动态管理。主要包括入河排污口台账填报、入河排污口台账审核、入河排污口档案查询统计等模块。</w:t>
            </w:r>
          </w:p>
          <w:p>
            <w:pPr>
              <w:pStyle w:val="null3"/>
            </w:pPr>
            <w:r>
              <w:rPr/>
              <w:t>4）水质监测综合管理：水质监测综合管理实现仁化县入河排污口水质监测监管相关功能，主要包括数据查询、评价分析、设备管理、质量管理、报表管理等功能模块。</w:t>
            </w:r>
          </w:p>
          <w:p>
            <w:pPr>
              <w:pStyle w:val="null3"/>
            </w:pPr>
            <w:r>
              <w:rPr/>
              <w:t>5）入河排污口整治管理：主要包括排污口整治清单管理、“一口一策”管理、排污口整治进度管理、排污口整治台账管理、排污口整治销号管理、整治排污口综合分析等功能模块。</w:t>
            </w:r>
          </w:p>
          <w:p>
            <w:pPr>
              <w:pStyle w:val="null3"/>
            </w:pPr>
            <w:r>
              <w:rPr/>
              <w:t>6）入河排污口视频综合管理：对仁化县排污口水环境的实时可视化监管，充分考虑将视频信息与门户网站、数据体系及其他业务系统的对接应用，能够满足排污口环境日常监管需要及网络发布要求，具备夜间监测及全程录像、受控单位数据管理、WEB浏览、预报预警、巡视功能、远程控制、定格抓拍、视频信号与监测数据关联分析、视频监控图像分析等功能。</w:t>
            </w:r>
          </w:p>
          <w:p>
            <w:pPr>
              <w:pStyle w:val="null3"/>
            </w:pPr>
            <w:r>
              <w:rPr/>
              <w:t>7）入河排污口监管任务管理：可根据超标预警信息产生问题触发条件的事件自动生成任务，推送到相关用户，开展任务的指挥调度，及时掌握区域水环境现状，有效预防和查处环境违法行为。主要包括任务体系管理和任务跟踪管理功能。</w:t>
            </w:r>
          </w:p>
          <w:p>
            <w:pPr>
              <w:pStyle w:val="null3"/>
            </w:pPr>
            <w:r>
              <w:rPr/>
              <w:t>★（三）入河排污口综合展示系统</w:t>
            </w:r>
          </w:p>
          <w:p>
            <w:pPr>
              <w:pStyle w:val="null3"/>
            </w:pPr>
            <w:r>
              <w:rPr/>
              <w:t>基于GIS地理信息，结合入河排污口信息数据、排放数据，利用文字标注、图形标注等方式，将排污口信息实时展现在电子地图中，实现排污口空间位置、基本信息及巡查上报信息实时、动态呈现。</w:t>
            </w:r>
          </w:p>
          <w:p>
            <w:pPr>
              <w:pStyle w:val="null3"/>
            </w:pPr>
            <w:r>
              <w:rPr/>
              <w:t>1）入河排污口态势总览：态势总览将整体展示仁化县内入河排污口的总体数量、排污口类型、时间段排污量、污染物类别、污染来源、河段区域水质级别等进行综合展示。同时支持整改排污口的专题图层展示。</w:t>
            </w:r>
          </w:p>
          <w:p>
            <w:pPr>
              <w:pStyle w:val="null3"/>
            </w:pPr>
            <w:r>
              <w:rPr/>
              <w:t>2）排污口基础管理一张图：利用数据库数据，结合地理信息数据，对入河排污口的空间地理分布情况、基本信息、巡查上报信息，指定位置的周边污染源等信息进行可视化展示分析。</w:t>
            </w:r>
          </w:p>
          <w:p>
            <w:pPr>
              <w:pStyle w:val="null3"/>
            </w:pPr>
            <w:r>
              <w:rPr/>
              <w:t>3）水环境管理一张图：在地图上展示监测点位信息、监测数据、水质评价结果，对各监测点实时监控，实现监测点属性数据的展示、数据的实时查询等功能。</w:t>
            </w:r>
          </w:p>
          <w:p>
            <w:pPr>
              <w:pStyle w:val="null3"/>
            </w:pPr>
            <w:r>
              <w:rPr/>
              <w:t>4）视频监控管理一张图：可通过获取视频监控数据，以GIS地理信息系统为基础形成视频点位一张图，每一个被安装的监控视频可以以定点的方式在地图上进行显示。</w:t>
            </w:r>
          </w:p>
          <w:p>
            <w:pPr>
              <w:pStyle w:val="null3"/>
            </w:pPr>
            <w:r>
              <w:rPr/>
              <w:t>5）排污口专项整治一张图：统计规范排污口数、整改数量、取缔数量等，展示各种整改排污口的分布、整治目标完成情况、整治任务完成情况。以多种图表的形式对相关的整治任务完成率进行排名展示。</w:t>
            </w:r>
          </w:p>
          <w:p>
            <w:pPr>
              <w:pStyle w:val="null3"/>
            </w:pPr>
            <w:r>
              <w:rPr/>
              <w:t>6）管控任务一张图：支持在地图上展示排污口管控任务在地图上的分布以及状态、统计信息等，选择具体点位查看该任务详细信息。包括管控任务分布一张图和管控任务统计一张图。</w:t>
            </w:r>
          </w:p>
          <w:p>
            <w:pPr>
              <w:pStyle w:val="null3"/>
            </w:pPr>
            <w:r>
              <w:rPr/>
              <w:t>★（四）入河排污口移动应用</w:t>
            </w:r>
          </w:p>
          <w:p>
            <w:pPr>
              <w:pStyle w:val="null3"/>
            </w:pPr>
            <w:r>
              <w:rPr/>
              <w:t>1）环境掌上地图：整合空间数据，构建地理信息基础专项承载移动平台。支持查询点位信息和相关数据，确保数据与PC端实时同步。支持排污口基础管理一张图、视频监控体系一张图、排污口专项整治一张图、任务执行跟踪一张图展示。</w:t>
            </w:r>
          </w:p>
          <w:p>
            <w:pPr>
              <w:pStyle w:val="null3"/>
            </w:pPr>
            <w:r>
              <w:rPr/>
              <w:t>2）视频数据展示：对入河排污口视频监控数据按照行政区域进行列表展示，实现视频预览、视频回放、故障报警等功能。</w:t>
            </w:r>
          </w:p>
          <w:p>
            <w:pPr>
              <w:pStyle w:val="null3"/>
            </w:pPr>
            <w:r>
              <w:rPr/>
              <w:t>3）监测数据展示：支持对水环境数据查询和分析展示。</w:t>
            </w:r>
          </w:p>
          <w:p>
            <w:pPr>
              <w:pStyle w:val="null3"/>
            </w:pPr>
            <w:r>
              <w:rPr/>
              <w:t>4）排污口二维码管理：通过扫码，可实现排污口信息预览、排污口问题反馈、排污口档案查阅等功能。</w:t>
            </w:r>
          </w:p>
          <w:p>
            <w:pPr>
              <w:pStyle w:val="null3"/>
            </w:pPr>
            <w:r>
              <w:rPr/>
              <w:t>5）知识库：对接入河排污口知识库，实现移动端用户对知识库内容的查阅需要。</w:t>
            </w:r>
          </w:p>
          <w:p>
            <w:pPr>
              <w:pStyle w:val="null3"/>
            </w:pPr>
            <w:r>
              <w:rPr/>
              <w:t>6）移动任务协同：支持线索管理、任务处理、任务提醒功能。</w:t>
            </w:r>
          </w:p>
          <w:p>
            <w:pPr>
              <w:pStyle w:val="null3"/>
            </w:pPr>
            <w:r>
              <w:rPr/>
              <w:t>（五）集成服务的配套技术支持要求</w:t>
            </w:r>
          </w:p>
          <w:p>
            <w:pPr>
              <w:pStyle w:val="null3"/>
            </w:pPr>
            <w:r>
              <w:rPr/>
              <w:t>注：以下服务内容所涉及的货物均包含在投标报价中，服务期截止后，所属配套货物及测试的数据、数据报告成果及知识产权所有权归采购人。</w:t>
            </w:r>
          </w:p>
          <w:p>
            <w:pPr>
              <w:pStyle w:val="null3"/>
            </w:pPr>
            <w:r>
              <w:rPr/>
              <w:t>1）入河排污口规范化管理要求</w:t>
            </w:r>
          </w:p>
          <w:tbl>
            <w:tblGrid>
              <w:gridCol w:w="572"/>
              <w:gridCol w:w="860"/>
              <w:gridCol w:w="701"/>
              <w:gridCol w:w="2839"/>
              <w:gridCol w:w="627"/>
            </w:tblGrid>
            <w:tr>
              <w:tc>
                <w:tcPr>
                  <w:tcW w:type="dxa" w:w="57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sz w:val="21"/>
                      <w:color w:val="000000"/>
                    </w:rPr>
                    <w:t>序号</w:t>
                  </w:r>
                </w:p>
              </w:tc>
              <w:tc>
                <w:tcPr>
                  <w:tcW w:type="dxa" w:w="8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sz w:val="21"/>
                      <w:color w:val="000000"/>
                    </w:rPr>
                    <w:t>标识服务要求</w:t>
                  </w:r>
                </w:p>
              </w:tc>
              <w:tc>
                <w:tcPr>
                  <w:tcW w:type="dxa" w:w="70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sz w:val="21"/>
                      <w:color w:val="000000"/>
                    </w:rPr>
                    <w:t>类别</w:t>
                  </w:r>
                </w:p>
              </w:tc>
              <w:tc>
                <w:tcPr>
                  <w:tcW w:type="dxa" w:w="28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sz w:val="21"/>
                      <w:color w:val="000000"/>
                    </w:rPr>
                    <w:t>设备参数</w:t>
                  </w:r>
                </w:p>
              </w:tc>
              <w:tc>
                <w:tcPr>
                  <w:tcW w:type="dxa" w:w="6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sz w:val="21"/>
                      <w:color w:val="000000"/>
                    </w:rPr>
                    <w:t>数量</w:t>
                  </w:r>
                </w:p>
              </w:tc>
            </w:tr>
            <w:tr>
              <w:tc>
                <w:tcPr>
                  <w:tcW w:type="dxa" w:w="57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sz w:val="21"/>
                      <w:color w:val="000000"/>
                    </w:rPr>
                    <w:t>1</w:t>
                  </w:r>
                </w:p>
              </w:tc>
              <w:tc>
                <w:tcPr>
                  <w:tcW w:type="dxa" w:w="8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sz w:val="21"/>
                      <w:color w:val="000000"/>
                    </w:rPr>
                    <w:t>标识牌设计及安装服务要求</w:t>
                  </w:r>
                </w:p>
              </w:tc>
              <w:tc>
                <w:tcPr>
                  <w:tcW w:type="dxa" w:w="70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sz w:val="21"/>
                      <w:color w:val="000000"/>
                    </w:rPr>
                    <w:t>标识牌</w:t>
                  </w:r>
                </w:p>
              </w:tc>
              <w:tc>
                <w:tcPr>
                  <w:tcW w:type="dxa" w:w="28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sz w:val="21"/>
                      <w:color w:val="000000"/>
                    </w:rPr>
                    <w:t>1</w:t>
                  </w:r>
                  <w:r>
                    <w:rPr>
                      <w:sz w:val="21"/>
                      <w:color w:val="000000"/>
                    </w:rPr>
                    <w:t>、</w:t>
                  </w:r>
                  <w:r>
                    <w:rPr>
                      <w:sz w:val="21"/>
                      <w:color w:val="000000"/>
                    </w:rPr>
                    <w:t>标识牌设计要求：公示信息包含但不限于排污口名称、编码、类型、管理单位、责任主体、监督电话等，可根据实际需求采用文字或二维码等形式展示。标识牌可选用立柱式、平面式。</w:t>
                  </w:r>
                </w:p>
                <w:p>
                  <w:pPr>
                    <w:pStyle w:val="null3"/>
                  </w:pPr>
                  <w:r>
                    <w:rPr>
                      <w:sz w:val="21"/>
                      <w:color w:val="000000"/>
                    </w:rPr>
                    <w:t>2、标识牌尺寸及性能设计要求：应具有耐候、耐腐蚀等理化性能</w:t>
                  </w:r>
                  <w:r>
                    <w:rPr>
                      <w:sz w:val="21"/>
                      <w:color w:val="000000"/>
                    </w:rPr>
                    <w:t>，采用</w:t>
                  </w:r>
                  <w:r>
                    <w:rPr>
                      <w:sz w:val="21"/>
                      <w:color w:val="000000"/>
                    </w:rPr>
                    <w:t>1.5-2mm冷轧钢板</w:t>
                  </w:r>
                  <w:r>
                    <w:rPr>
                      <w:sz w:val="21"/>
                      <w:color w:val="000000"/>
                    </w:rPr>
                    <w:t>，立柱采用</w:t>
                  </w:r>
                  <w:r>
                    <w:rPr>
                      <w:sz w:val="21"/>
                      <w:color w:val="000000"/>
                    </w:rPr>
                    <w:t>38×4mm无缝钢管，表面采用搪瓷或者反光贴膜，标识牌的端面及立柱要经过防腐处理。</w:t>
                  </w:r>
                </w:p>
                <w:p>
                  <w:pPr>
                    <w:pStyle w:val="null3"/>
                  </w:pPr>
                  <w:r>
                    <w:rPr>
                      <w:sz w:val="21"/>
                      <w:color w:val="000000"/>
                    </w:rPr>
                    <w:t>3、报价包括标识牌安装服务。</w:t>
                  </w:r>
                </w:p>
              </w:tc>
              <w:tc>
                <w:tcPr>
                  <w:tcW w:type="dxa" w:w="62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pPr>
                  <w:r>
                    <w:rPr>
                      <w:sz w:val="21"/>
                      <w:color w:val="000000"/>
                    </w:rPr>
                    <w:t>392套</w:t>
                  </w:r>
                </w:p>
              </w:tc>
            </w:tr>
          </w:tbl>
          <w:p>
            <w:pPr>
              <w:pStyle w:val="null3"/>
            </w:pPr>
            <w:r>
              <w:rPr>
                <w:sz w:val="21"/>
                <w:color w:val="000000"/>
              </w:rPr>
              <w:t>2</w:t>
            </w:r>
            <w:r>
              <w:rPr>
                <w:sz w:val="21"/>
                <w:color w:val="000000"/>
              </w:rPr>
              <w:t>）</w:t>
            </w:r>
            <w:r>
              <w:rPr>
                <w:sz w:val="21"/>
                <w:color w:val="000000"/>
              </w:rPr>
              <w:t>配套水质自动监测站建设技术要求</w:t>
            </w:r>
          </w:p>
          <w:p>
            <w:pPr>
              <w:pStyle w:val="null3"/>
            </w:pPr>
            <w:r>
              <w:rPr>
                <w:sz w:val="21"/>
                <w:color w:val="000000"/>
              </w:rPr>
              <w:t>说明：</w:t>
            </w:r>
            <w:r>
              <w:rPr>
                <w:sz w:val="21"/>
                <w:color w:val="000000"/>
              </w:rPr>
              <w:t>“▲”号参数需提供生态环境监测仪器质量监督检验中心检测报告或环境保护部监测仪器质量监督检验中心检测报告。</w:t>
            </w:r>
          </w:p>
          <w:tbl>
            <w:tblGrid>
              <w:gridCol w:w="830"/>
              <w:gridCol w:w="830"/>
              <w:gridCol w:w="528"/>
              <w:gridCol w:w="2582"/>
              <w:gridCol w:w="830"/>
            </w:tblGrid>
            <w:tr>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序号</w:t>
                  </w: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设备名称</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类别</w:t>
                  </w:r>
                </w:p>
              </w:tc>
              <w:tc>
                <w:tcPr>
                  <w:tcW w:type="dxa" w:w="258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设备参数</w:t>
                  </w:r>
                </w:p>
              </w:tc>
              <w:tc>
                <w:tcPr>
                  <w:tcW w:type="dxa" w:w="83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数量</w:t>
                  </w:r>
                </w:p>
              </w:tc>
            </w:tr>
            <w:tr>
              <w:tc>
                <w:tcPr>
                  <w:tcW w:type="dxa" w:w="830"/>
                  <w:vMerge w:val="restart"/>
                </w:tcPr>
                <w:p>
                  <w:pPr>
                    <w:pStyle w:val="null3"/>
                  </w:pPr>
                  <w:r>
                    <w:rPr/>
                    <w:t>1</w:t>
                  </w:r>
                </w:p>
              </w:tc>
              <w:tc>
                <w:tcPr>
                  <w:tcW w:type="dxa" w:w="830"/>
                  <w:vMerge w:val="restart"/>
                </w:tcPr>
                <w:p>
                  <w:pPr>
                    <w:pStyle w:val="null3"/>
                  </w:pPr>
                  <w:r>
                    <w:rPr>
                      <w:sz w:val="21"/>
                      <w:color w:val="000000"/>
                    </w:rPr>
                    <w:t>水质自动监测站</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温度传感器</w:t>
                  </w:r>
                </w:p>
              </w:tc>
              <w:tc>
                <w:tcPr>
                  <w:tcW w:type="dxa" w:w="258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1、测量原理：热电阻或热电偶；</w:t>
                  </w:r>
                </w:p>
                <w:p>
                  <w:pPr>
                    <w:pStyle w:val="null3"/>
                  </w:pPr>
                  <w:r>
                    <w:rPr>
                      <w:sz w:val="21"/>
                      <w:color w:val="000000"/>
                    </w:rPr>
                    <w:t>2</w:t>
                  </w:r>
                  <w:r>
                    <w:rPr>
                      <w:sz w:val="21"/>
                      <w:color w:val="000000"/>
                    </w:rPr>
                    <w:t>、量程：</w:t>
                  </w:r>
                  <w:r>
                    <w:rPr>
                      <w:sz w:val="21"/>
                      <w:color w:val="000000"/>
                    </w:rPr>
                    <w:t>0℃～60℃；</w:t>
                  </w:r>
                </w:p>
                <w:p>
                  <w:pPr>
                    <w:pStyle w:val="null3"/>
                  </w:pPr>
                  <w:r>
                    <w:rPr>
                      <w:sz w:val="21"/>
                      <w:color w:val="000000"/>
                    </w:rPr>
                    <w:t>3、▲测量误差：±0.2℃。</w:t>
                  </w:r>
                </w:p>
              </w:tc>
              <w:tc>
                <w:tcPr>
                  <w:tcW w:type="dxa" w:w="830"/>
                  <w:vMerge w:val="restart"/>
                </w:tcPr>
                <w:p>
                  <w:pPr>
                    <w:pStyle w:val="null3"/>
                  </w:pPr>
                  <w:r>
                    <w:rPr/>
                    <w:t>8套</w:t>
                  </w:r>
                </w:p>
              </w:tc>
            </w:tr>
            <w:tr>
              <w:tc>
                <w:tcPr>
                  <w:tcW w:type="dxa" w:w="830"/>
                  <w:vMerge/>
                </w:tcPr>
                <w:p/>
              </w:tc>
              <w:tc>
                <w:tcPr>
                  <w:tcW w:type="dxa" w:w="830"/>
                  <w:vMerge/>
                </w:tc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P</w:t>
                  </w:r>
                  <w:r>
                    <w:rPr>
                      <w:sz w:val="21"/>
                      <w:color w:val="000000"/>
                    </w:rPr>
                    <w:t>H</w:t>
                  </w:r>
                  <w:r>
                    <w:rPr>
                      <w:sz w:val="21"/>
                      <w:color w:val="000000"/>
                    </w:rPr>
                    <w:t>传感器</w:t>
                  </w:r>
                </w:p>
              </w:tc>
              <w:tc>
                <w:tcPr>
                  <w:tcW w:type="dxa" w:w="25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w:t>
                  </w:r>
                  <w:r>
                    <w:rPr>
                      <w:sz w:val="21"/>
                      <w:color w:val="000000"/>
                    </w:rPr>
                    <w:t>、测量原理：电极法；</w:t>
                  </w:r>
                </w:p>
                <w:p>
                  <w:pPr>
                    <w:pStyle w:val="null3"/>
                  </w:pPr>
                  <w:r>
                    <w:rPr>
                      <w:sz w:val="21"/>
                      <w:color w:val="000000"/>
                    </w:rPr>
                    <w:t>2、量程：pH0～14（0～40℃）；</w:t>
                  </w:r>
                </w:p>
                <w:p>
                  <w:pPr>
                    <w:pStyle w:val="null3"/>
                  </w:pPr>
                  <w:r>
                    <w:rPr>
                      <w:sz w:val="21"/>
                      <w:color w:val="000000"/>
                    </w:rPr>
                    <w:t>3</w:t>
                  </w:r>
                  <w:r>
                    <w:rPr>
                      <w:sz w:val="21"/>
                      <w:color w:val="000000"/>
                    </w:rPr>
                    <w:t>、</w:t>
                  </w:r>
                  <w:r>
                    <w:rPr>
                      <w:sz w:val="21"/>
                      <w:color w:val="000000"/>
                    </w:rPr>
                    <w:t>▲重复性：±0.01pH；</w:t>
                  </w:r>
                </w:p>
                <w:p>
                  <w:pPr>
                    <w:pStyle w:val="null3"/>
                  </w:pPr>
                  <w:r>
                    <w:rPr>
                      <w:sz w:val="21"/>
                      <w:color w:val="000000"/>
                    </w:rPr>
                    <w:t>4</w:t>
                  </w:r>
                  <w:r>
                    <w:rPr>
                      <w:sz w:val="21"/>
                      <w:color w:val="000000"/>
                    </w:rPr>
                    <w:t>、</w:t>
                  </w:r>
                  <w:r>
                    <w:rPr>
                      <w:sz w:val="21"/>
                      <w:color w:val="000000"/>
                    </w:rPr>
                    <w:t>▲漂移（pH=4/7/9）：±0.02pH；</w:t>
                  </w:r>
                </w:p>
                <w:p>
                  <w:pPr>
                    <w:pStyle w:val="null3"/>
                  </w:pPr>
                  <w:r>
                    <w:rPr>
                      <w:sz w:val="21"/>
                      <w:color w:val="000000"/>
                    </w:rPr>
                    <w:t>5、响应时间：≤30s；</w:t>
                  </w:r>
                </w:p>
                <w:p>
                  <w:pPr>
                    <w:pStyle w:val="null3"/>
                  </w:pPr>
                  <w:r>
                    <w:rPr>
                      <w:sz w:val="21"/>
                      <w:color w:val="000000"/>
                    </w:rPr>
                    <w:t>6</w:t>
                  </w:r>
                  <w:r>
                    <w:rPr>
                      <w:sz w:val="21"/>
                      <w:color w:val="000000"/>
                    </w:rPr>
                    <w:t>、温度补偿精度：</w:t>
                  </w:r>
                  <w:r>
                    <w:rPr>
                      <w:sz w:val="21"/>
                      <w:color w:val="000000"/>
                    </w:rPr>
                    <w:t>±0.1pH。</w:t>
                  </w:r>
                </w:p>
              </w:tc>
              <w:tc>
                <w:tcPr>
                  <w:tcW w:type="dxa" w:w="830"/>
                  <w:vMerge/>
                </w:tcPr>
                <w:p/>
              </w:tc>
            </w:tr>
            <w:tr>
              <w:tc>
                <w:tcPr>
                  <w:tcW w:type="dxa" w:w="830"/>
                  <w:vMerge/>
                </w:tcPr>
                <w:p/>
              </w:tc>
              <w:tc>
                <w:tcPr>
                  <w:tcW w:type="dxa" w:w="830"/>
                  <w:vMerge/>
                </w:tc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溶解氧自动分析仪</w:t>
                  </w:r>
                </w:p>
              </w:tc>
              <w:tc>
                <w:tcPr>
                  <w:tcW w:type="dxa" w:w="25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w:t>
                  </w:r>
                  <w:r>
                    <w:rPr>
                      <w:sz w:val="21"/>
                      <w:color w:val="000000"/>
                    </w:rPr>
                    <w:t>、测量原理：荧光法或膜电极法；</w:t>
                  </w:r>
                </w:p>
                <w:p>
                  <w:pPr>
                    <w:pStyle w:val="null3"/>
                  </w:pPr>
                  <w:r>
                    <w:rPr>
                      <w:sz w:val="21"/>
                      <w:color w:val="000000"/>
                    </w:rPr>
                    <w:t>2</w:t>
                  </w:r>
                  <w:r>
                    <w:rPr>
                      <w:sz w:val="21"/>
                      <w:color w:val="000000"/>
                    </w:rPr>
                    <w:t>、量程：</w:t>
                  </w:r>
                  <w:r>
                    <w:rPr>
                      <w:sz w:val="21"/>
                      <w:color w:val="000000"/>
                    </w:rPr>
                    <w:t>0</w:t>
                  </w:r>
                  <w:r>
                    <w:rPr>
                      <w:sz w:val="21"/>
                      <w:color w:val="000000"/>
                    </w:rPr>
                    <w:t>～</w:t>
                  </w:r>
                  <w:r>
                    <w:rPr>
                      <w:sz w:val="21"/>
                      <w:color w:val="000000"/>
                    </w:rPr>
                    <w:t>20mg/L</w:t>
                  </w:r>
                  <w:r>
                    <w:rPr>
                      <w:sz w:val="21"/>
                      <w:color w:val="000000"/>
                    </w:rPr>
                    <w:t>；</w:t>
                  </w:r>
                </w:p>
                <w:p>
                  <w:pPr>
                    <w:pStyle w:val="null3"/>
                  </w:pPr>
                  <w:r>
                    <w:rPr>
                      <w:sz w:val="21"/>
                      <w:color w:val="000000"/>
                    </w:rPr>
                    <w:t>3</w:t>
                  </w:r>
                  <w:r>
                    <w:rPr>
                      <w:sz w:val="21"/>
                      <w:color w:val="000000"/>
                    </w:rPr>
                    <w:t>、</w:t>
                  </w:r>
                  <w:r>
                    <w:rPr>
                      <w:sz w:val="21"/>
                      <w:color w:val="000000"/>
                    </w:rPr>
                    <w:t>▲零点漂移：±</w:t>
                  </w:r>
                  <w:r>
                    <w:rPr>
                      <w:sz w:val="21"/>
                      <w:color w:val="000000"/>
                    </w:rPr>
                    <w:t>0.</w:t>
                  </w:r>
                  <w:r>
                    <w:rPr>
                      <w:sz w:val="21"/>
                      <w:color w:val="000000"/>
                    </w:rPr>
                    <w:t>01</w:t>
                  </w:r>
                  <w:r>
                    <w:rPr>
                      <w:sz w:val="21"/>
                      <w:color w:val="000000"/>
                    </w:rPr>
                    <w:t>mg/L</w:t>
                  </w:r>
                  <w:r>
                    <w:rPr>
                      <w:sz w:val="21"/>
                      <w:color w:val="000000"/>
                    </w:rPr>
                    <w:t>；</w:t>
                  </w:r>
                  <w:r>
                    <w:rPr>
                      <w:sz w:val="21"/>
                      <w:color w:val="000000"/>
                    </w:rPr>
                    <w:t xml:space="preserve"> </w:t>
                  </w:r>
                </w:p>
                <w:p>
                  <w:pPr>
                    <w:pStyle w:val="null3"/>
                  </w:pPr>
                  <w:r>
                    <w:rPr>
                      <w:sz w:val="21"/>
                      <w:color w:val="000000"/>
                    </w:rPr>
                    <w:t>4</w:t>
                  </w:r>
                  <w:r>
                    <w:rPr>
                      <w:sz w:val="21"/>
                      <w:color w:val="000000"/>
                    </w:rPr>
                    <w:t>、量程漂移：</w:t>
                  </w:r>
                  <w:r>
                    <w:rPr>
                      <w:sz w:val="21"/>
                      <w:color w:val="000000"/>
                    </w:rPr>
                    <w:t>±</w:t>
                  </w:r>
                  <w:r>
                    <w:rPr>
                      <w:sz w:val="21"/>
                      <w:color w:val="000000"/>
                    </w:rPr>
                    <w:t>0.3mg/L</w:t>
                  </w:r>
                  <w:r>
                    <w:rPr>
                      <w:sz w:val="21"/>
                      <w:color w:val="000000"/>
                    </w:rPr>
                    <w:t>；</w:t>
                  </w:r>
                </w:p>
                <w:p>
                  <w:pPr>
                    <w:pStyle w:val="null3"/>
                  </w:pPr>
                  <w:r>
                    <w:rPr>
                      <w:sz w:val="21"/>
                      <w:color w:val="000000"/>
                    </w:rPr>
                    <w:t>5</w:t>
                  </w:r>
                  <w:r>
                    <w:rPr>
                      <w:sz w:val="21"/>
                      <w:color w:val="000000"/>
                    </w:rPr>
                    <w:t>、</w:t>
                  </w:r>
                  <w:r>
                    <w:rPr>
                      <w:sz w:val="21"/>
                      <w:color w:val="000000"/>
                    </w:rPr>
                    <w:t>▲重复性误差：±</w:t>
                  </w:r>
                  <w:r>
                    <w:rPr>
                      <w:sz w:val="21"/>
                      <w:color w:val="000000"/>
                    </w:rPr>
                    <w:t>0.</w:t>
                  </w:r>
                  <w:r>
                    <w:rPr>
                      <w:sz w:val="21"/>
                      <w:color w:val="000000"/>
                    </w:rPr>
                    <w:t>01</w:t>
                  </w:r>
                  <w:r>
                    <w:rPr>
                      <w:sz w:val="21"/>
                      <w:color w:val="000000"/>
                    </w:rPr>
                    <w:t>mg/L</w:t>
                  </w:r>
                  <w:r>
                    <w:rPr>
                      <w:sz w:val="21"/>
                      <w:color w:val="000000"/>
                    </w:rPr>
                    <w:t>；</w:t>
                  </w:r>
                </w:p>
                <w:p>
                  <w:pPr>
                    <w:pStyle w:val="null3"/>
                  </w:pPr>
                  <w:r>
                    <w:rPr>
                      <w:sz w:val="21"/>
                      <w:color w:val="000000"/>
                    </w:rPr>
                    <w:t>6、响应时间：≤120s；</w:t>
                  </w:r>
                </w:p>
                <w:p>
                  <w:pPr>
                    <w:pStyle w:val="null3"/>
                  </w:pPr>
                  <w:r>
                    <w:rPr>
                      <w:sz w:val="21"/>
                      <w:color w:val="000000"/>
                    </w:rPr>
                    <w:t>7</w:t>
                  </w:r>
                  <w:r>
                    <w:rPr>
                      <w:sz w:val="21"/>
                      <w:color w:val="000000"/>
                    </w:rPr>
                    <w:t>、温度补偿精度：</w:t>
                  </w:r>
                  <w:r>
                    <w:rPr>
                      <w:sz w:val="21"/>
                      <w:color w:val="000000"/>
                    </w:rPr>
                    <w:t>±0.3mg/L。</w:t>
                  </w:r>
                </w:p>
              </w:tc>
              <w:tc>
                <w:tcPr>
                  <w:tcW w:type="dxa" w:w="830"/>
                  <w:vMerge/>
                </w:tcPr>
                <w:p/>
              </w:tc>
            </w:tr>
            <w:tr>
              <w:tc>
                <w:tcPr>
                  <w:tcW w:type="dxa" w:w="830"/>
                  <w:vMerge/>
                </w:tcPr>
                <w:p/>
              </w:tc>
              <w:tc>
                <w:tcPr>
                  <w:tcW w:type="dxa" w:w="830"/>
                  <w:vMerge/>
                </w:tc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电导率自动分析仪</w:t>
                  </w:r>
                </w:p>
              </w:tc>
              <w:tc>
                <w:tcPr>
                  <w:tcW w:type="dxa" w:w="25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1、测量原理：电极法；</w:t>
                  </w:r>
                </w:p>
                <w:p>
                  <w:pPr>
                    <w:pStyle w:val="null3"/>
                  </w:pPr>
                  <w:r>
                    <w:rPr>
                      <w:sz w:val="21"/>
                      <w:color w:val="000000"/>
                    </w:rPr>
                    <w:t>2</w:t>
                  </w:r>
                  <w:r>
                    <w:rPr>
                      <w:sz w:val="21"/>
                      <w:color w:val="000000"/>
                    </w:rPr>
                    <w:t>、量程：</w:t>
                  </w:r>
                  <w:r>
                    <w:rPr>
                      <w:sz w:val="21"/>
                      <w:color w:val="000000"/>
                    </w:rPr>
                    <w:t>0～500mS/m（0～40℃）；</w:t>
                  </w:r>
                </w:p>
                <w:p>
                  <w:pPr>
                    <w:pStyle w:val="null3"/>
                  </w:pPr>
                  <w:r>
                    <w:rPr>
                      <w:sz w:val="21"/>
                      <w:color w:val="000000"/>
                    </w:rPr>
                    <w:t>3</w:t>
                  </w:r>
                  <w:r>
                    <w:rPr>
                      <w:sz w:val="21"/>
                      <w:color w:val="000000"/>
                    </w:rPr>
                    <w:t>、</w:t>
                  </w:r>
                  <w:r>
                    <w:rPr>
                      <w:sz w:val="21"/>
                      <w:color w:val="000000"/>
                    </w:rPr>
                    <w:t>▲重复性误差：±0.1%；</w:t>
                  </w:r>
                  <w:r>
                    <w:rPr>
                      <w:sz w:val="21"/>
                      <w:color w:val="000000"/>
                    </w:rPr>
                    <w:t xml:space="preserve"> </w:t>
                  </w:r>
                </w:p>
                <w:p>
                  <w:pPr>
                    <w:pStyle w:val="null3"/>
                  </w:pPr>
                  <w:r>
                    <w:rPr>
                      <w:sz w:val="21"/>
                      <w:color w:val="000000"/>
                    </w:rPr>
                    <w:t>4</w:t>
                  </w:r>
                  <w:r>
                    <w:rPr>
                      <w:sz w:val="21"/>
                      <w:color w:val="000000"/>
                    </w:rPr>
                    <w:t>、</w:t>
                  </w:r>
                  <w:r>
                    <w:rPr>
                      <w:sz w:val="21"/>
                      <w:color w:val="000000"/>
                    </w:rPr>
                    <w:t>▲零点漂移：±0.01%；</w:t>
                  </w:r>
                  <w:r>
                    <w:rPr>
                      <w:sz w:val="21"/>
                      <w:color w:val="000000"/>
                    </w:rPr>
                    <w:t xml:space="preserve"> </w:t>
                  </w:r>
                </w:p>
                <w:p>
                  <w:pPr>
                    <w:pStyle w:val="null3"/>
                  </w:pPr>
                  <w:r>
                    <w:rPr>
                      <w:sz w:val="21"/>
                      <w:color w:val="000000"/>
                    </w:rPr>
                    <w:t>5</w:t>
                  </w:r>
                  <w:r>
                    <w:rPr>
                      <w:sz w:val="21"/>
                      <w:color w:val="000000"/>
                    </w:rPr>
                    <w:t>、</w:t>
                  </w:r>
                  <w:r>
                    <w:rPr>
                      <w:sz w:val="21"/>
                      <w:color w:val="000000"/>
                    </w:rPr>
                    <w:t>▲量程漂移：±0.2%；</w:t>
                  </w:r>
                </w:p>
                <w:p>
                  <w:pPr>
                    <w:pStyle w:val="null3"/>
                  </w:pPr>
                  <w:r>
                    <w:rPr>
                      <w:sz w:val="21"/>
                      <w:color w:val="000000"/>
                    </w:rPr>
                    <w:t>6、响应时间（T</w:t>
                  </w:r>
                  <w:r>
                    <w:rPr>
                      <w:sz w:val="21"/>
                      <w:color w:val="000000"/>
                    </w:rPr>
                    <w:t>90</w:t>
                  </w:r>
                  <w:r>
                    <w:rPr>
                      <w:sz w:val="21"/>
                      <w:color w:val="000000"/>
                    </w:rPr>
                    <w:t>）：</w:t>
                  </w:r>
                  <w:r>
                    <w:rPr>
                      <w:sz w:val="21"/>
                      <w:color w:val="000000"/>
                    </w:rPr>
                    <w:t>≤30s；</w:t>
                  </w:r>
                </w:p>
                <w:p>
                  <w:pPr>
                    <w:pStyle w:val="null3"/>
                  </w:pPr>
                  <w:r>
                    <w:rPr>
                      <w:sz w:val="21"/>
                      <w:color w:val="000000"/>
                    </w:rPr>
                    <w:t>7</w:t>
                  </w:r>
                  <w:r>
                    <w:rPr>
                      <w:sz w:val="21"/>
                      <w:color w:val="000000"/>
                    </w:rPr>
                    <w:t>、温度补偿精度：</w:t>
                  </w:r>
                  <w:r>
                    <w:rPr>
                      <w:sz w:val="21"/>
                      <w:color w:val="000000"/>
                    </w:rPr>
                    <w:t>±1%。</w:t>
                  </w:r>
                </w:p>
              </w:tc>
              <w:tc>
                <w:tcPr>
                  <w:tcW w:type="dxa" w:w="830"/>
                  <w:vMerge/>
                </w:tcPr>
                <w:p/>
              </w:tc>
            </w:tr>
            <w:tr>
              <w:tc>
                <w:tcPr>
                  <w:tcW w:type="dxa" w:w="830"/>
                  <w:vMerge/>
                </w:tcPr>
                <w:p/>
              </w:tc>
              <w:tc>
                <w:tcPr>
                  <w:tcW w:type="dxa" w:w="830"/>
                  <w:vMerge/>
                </w:tc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浊度自动分析仪</w:t>
                  </w:r>
                </w:p>
              </w:tc>
              <w:tc>
                <w:tcPr>
                  <w:tcW w:type="dxa" w:w="25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w:t>
                  </w:r>
                  <w:r>
                    <w:rPr>
                      <w:sz w:val="21"/>
                      <w:color w:val="000000"/>
                    </w:rPr>
                    <w:t>、测量</w:t>
                  </w:r>
                  <w:r>
                    <w:rPr>
                      <w:sz w:val="21"/>
                      <w:color w:val="000000"/>
                    </w:rPr>
                    <w:t>原理：光散射法；</w:t>
                  </w:r>
                </w:p>
                <w:p>
                  <w:pPr>
                    <w:pStyle w:val="null3"/>
                  </w:pPr>
                  <w:r>
                    <w:rPr>
                      <w:sz w:val="21"/>
                      <w:color w:val="000000"/>
                    </w:rPr>
                    <w:t>2</w:t>
                  </w:r>
                  <w:r>
                    <w:rPr>
                      <w:sz w:val="21"/>
                      <w:color w:val="000000"/>
                    </w:rPr>
                    <w:t>、量程：</w:t>
                  </w:r>
                  <w:r>
                    <w:rPr>
                      <w:sz w:val="21"/>
                      <w:color w:val="000000"/>
                    </w:rPr>
                    <w:t>0～1000NTU；</w:t>
                  </w:r>
                </w:p>
                <w:p>
                  <w:pPr>
                    <w:pStyle w:val="null3"/>
                  </w:pPr>
                  <w:r>
                    <w:rPr>
                      <w:sz w:val="21"/>
                      <w:color w:val="000000"/>
                    </w:rPr>
                    <w:t>3</w:t>
                  </w:r>
                  <w:r>
                    <w:rPr>
                      <w:sz w:val="21"/>
                      <w:color w:val="000000"/>
                    </w:rPr>
                    <w:t>、重复性误差：</w:t>
                  </w:r>
                  <w:r>
                    <w:rPr>
                      <w:sz w:val="21"/>
                      <w:color w:val="000000"/>
                    </w:rPr>
                    <w:t>±0.5%；</w:t>
                  </w:r>
                </w:p>
                <w:p>
                  <w:pPr>
                    <w:pStyle w:val="null3"/>
                  </w:pPr>
                  <w:r>
                    <w:rPr>
                      <w:sz w:val="21"/>
                      <w:color w:val="000000"/>
                    </w:rPr>
                    <w:t>4</w:t>
                  </w:r>
                  <w:r>
                    <w:rPr>
                      <w:sz w:val="21"/>
                      <w:color w:val="000000"/>
                    </w:rPr>
                    <w:t>、</w:t>
                  </w:r>
                  <w:r>
                    <w:rPr>
                      <w:sz w:val="21"/>
                      <w:color w:val="000000"/>
                    </w:rPr>
                    <w:t>▲零点漂移：±0.05%；</w:t>
                  </w:r>
                  <w:r>
                    <w:rPr>
                      <w:sz w:val="21"/>
                      <w:color w:val="000000"/>
                    </w:rPr>
                    <w:t xml:space="preserve"> </w:t>
                  </w:r>
                </w:p>
                <w:p>
                  <w:pPr>
                    <w:pStyle w:val="null3"/>
                  </w:pPr>
                  <w:r>
                    <w:rPr>
                      <w:sz w:val="21"/>
                      <w:color w:val="000000"/>
                    </w:rPr>
                    <w:t>5</w:t>
                  </w:r>
                  <w:r>
                    <w:rPr>
                      <w:sz w:val="21"/>
                      <w:color w:val="000000"/>
                    </w:rPr>
                    <w:t>、</w:t>
                  </w:r>
                  <w:r>
                    <w:rPr>
                      <w:sz w:val="21"/>
                      <w:color w:val="000000"/>
                    </w:rPr>
                    <w:t>▲量程漂移：±0.1%；</w:t>
                  </w:r>
                  <w:r>
                    <w:rPr>
                      <w:sz w:val="21"/>
                      <w:color w:val="000000"/>
                    </w:rPr>
                    <w:t xml:space="preserve"> </w:t>
                  </w:r>
                </w:p>
                <w:p>
                  <w:pPr>
                    <w:pStyle w:val="null3"/>
                  </w:pPr>
                  <w:r>
                    <w:rPr>
                      <w:sz w:val="21"/>
                      <w:color w:val="000000"/>
                    </w:rPr>
                    <w:t>6</w:t>
                  </w:r>
                  <w:r>
                    <w:rPr>
                      <w:sz w:val="21"/>
                      <w:color w:val="000000"/>
                    </w:rPr>
                    <w:t>、线性误差：</w:t>
                  </w:r>
                  <w:r>
                    <w:rPr>
                      <w:sz w:val="21"/>
                      <w:color w:val="000000"/>
                    </w:rPr>
                    <w:t>±5%。</w:t>
                  </w:r>
                </w:p>
              </w:tc>
              <w:tc>
                <w:tcPr>
                  <w:tcW w:type="dxa" w:w="830"/>
                  <w:vMerge/>
                </w:tcPr>
                <w:p/>
              </w:tc>
            </w:tr>
            <w:tr>
              <w:tc>
                <w:tcPr>
                  <w:tcW w:type="dxa" w:w="830"/>
                  <w:vMerge/>
                </w:tcPr>
                <w:p/>
              </w:tc>
              <w:tc>
                <w:tcPr>
                  <w:tcW w:type="dxa" w:w="830"/>
                  <w:vMerge/>
                </w:tc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氨氮水质自动分析仪</w:t>
                  </w:r>
                </w:p>
              </w:tc>
              <w:tc>
                <w:tcPr>
                  <w:tcW w:type="dxa" w:w="25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w:t>
                  </w:r>
                  <w:r>
                    <w:rPr>
                      <w:sz w:val="21"/>
                      <w:color w:val="000000"/>
                    </w:rPr>
                    <w:t>、测定原理：纳氏试剂分光光度法或水杨酸分光光度法</w:t>
                  </w:r>
                  <w:r>
                    <w:rPr>
                      <w:sz w:val="21"/>
                      <w:color w:val="000000"/>
                    </w:rPr>
                    <w:t>；</w:t>
                  </w:r>
                </w:p>
                <w:p>
                  <w:pPr>
                    <w:pStyle w:val="null3"/>
                  </w:pPr>
                  <w:r>
                    <w:rPr>
                      <w:sz w:val="21"/>
                      <w:color w:val="000000"/>
                    </w:rPr>
                    <w:t>2</w:t>
                  </w:r>
                  <w:r>
                    <w:rPr>
                      <w:sz w:val="21"/>
                      <w:color w:val="000000"/>
                    </w:rPr>
                    <w:t>、量程：</w:t>
                  </w:r>
                  <w:r>
                    <w:rPr>
                      <w:sz w:val="21"/>
                      <w:color w:val="000000"/>
                    </w:rPr>
                    <w:t>0～10mg/L可调；</w:t>
                  </w:r>
                </w:p>
                <w:p>
                  <w:pPr>
                    <w:pStyle w:val="null3"/>
                  </w:pPr>
                  <w:r>
                    <w:rPr>
                      <w:sz w:val="21"/>
                      <w:color w:val="000000"/>
                    </w:rPr>
                    <w:t>3</w:t>
                  </w:r>
                  <w:r>
                    <w:rPr>
                      <w:sz w:val="21"/>
                      <w:color w:val="000000"/>
                    </w:rPr>
                    <w:t>、</w:t>
                  </w:r>
                  <w:r>
                    <w:rPr>
                      <w:sz w:val="21"/>
                      <w:color w:val="000000"/>
                    </w:rPr>
                    <w:t>24h低浓度漂移：≤0.01mg/L；</w:t>
                  </w:r>
                </w:p>
                <w:p>
                  <w:pPr>
                    <w:pStyle w:val="null3"/>
                  </w:pPr>
                  <w:r>
                    <w:rPr>
                      <w:sz w:val="21"/>
                      <w:color w:val="000000"/>
                    </w:rPr>
                    <w:t>4</w:t>
                  </w:r>
                  <w:r>
                    <w:rPr>
                      <w:sz w:val="21"/>
                      <w:color w:val="000000"/>
                    </w:rPr>
                    <w:t>、</w:t>
                  </w:r>
                  <w:r>
                    <w:rPr>
                      <w:sz w:val="21"/>
                      <w:color w:val="000000"/>
                    </w:rPr>
                    <w:t>24h高浓度漂移：≤0.5%；</w:t>
                  </w:r>
                </w:p>
                <w:p>
                  <w:pPr>
                    <w:pStyle w:val="null3"/>
                  </w:pPr>
                  <w:r>
                    <w:rPr>
                      <w:sz w:val="21"/>
                      <w:color w:val="000000"/>
                    </w:rPr>
                    <w:t>5</w:t>
                  </w:r>
                  <w:r>
                    <w:rPr>
                      <w:sz w:val="21"/>
                      <w:color w:val="000000"/>
                    </w:rPr>
                    <w:t>、</w:t>
                  </w:r>
                  <w:r>
                    <w:rPr>
                      <w:sz w:val="21"/>
                      <w:color w:val="000000"/>
                    </w:rPr>
                    <w:t>▲示值误差，标液浓度为20%时 ±1.0%；标液浓度为50%时 ±1.0%；标液浓度为80%时 ±1.0%；</w:t>
                  </w:r>
                  <w:r>
                    <w:rPr>
                      <w:sz w:val="21"/>
                      <w:color w:val="000000"/>
                    </w:rPr>
                    <w:t xml:space="preserve"> </w:t>
                  </w:r>
                </w:p>
                <w:p>
                  <w:pPr>
                    <w:pStyle w:val="null3"/>
                  </w:pPr>
                  <w:r>
                    <w:rPr>
                      <w:sz w:val="21"/>
                      <w:color w:val="000000"/>
                    </w:rPr>
                    <w:t>6、▲重复性：≤1.0%；</w:t>
                  </w:r>
                </w:p>
                <w:p>
                  <w:pPr>
                    <w:pStyle w:val="null3"/>
                  </w:pPr>
                  <w:r>
                    <w:rPr>
                      <w:sz w:val="21"/>
                      <w:color w:val="000000"/>
                    </w:rPr>
                    <w:t>7</w:t>
                  </w:r>
                  <w:r>
                    <w:rPr>
                      <w:sz w:val="21"/>
                      <w:color w:val="000000"/>
                    </w:rPr>
                    <w:t>、环境温度影响：</w:t>
                  </w:r>
                  <w:r>
                    <w:rPr>
                      <w:sz w:val="21"/>
                      <w:color w:val="000000"/>
                    </w:rPr>
                    <w:t>±2%；</w:t>
                  </w:r>
                </w:p>
                <w:p>
                  <w:pPr>
                    <w:pStyle w:val="null3"/>
                  </w:pPr>
                  <w:r>
                    <w:rPr>
                      <w:sz w:val="21"/>
                      <w:color w:val="000000"/>
                    </w:rPr>
                    <w:t>8</w:t>
                  </w:r>
                  <w:r>
                    <w:rPr>
                      <w:sz w:val="21"/>
                      <w:color w:val="000000"/>
                    </w:rPr>
                    <w:t>、定量下限：</w:t>
                  </w:r>
                  <w:r>
                    <w:rPr>
                      <w:sz w:val="21"/>
                      <w:color w:val="000000"/>
                    </w:rPr>
                    <w:t>≤0.05mg/L。</w:t>
                  </w:r>
                </w:p>
              </w:tc>
              <w:tc>
                <w:tcPr>
                  <w:tcW w:type="dxa" w:w="830"/>
                  <w:vMerge/>
                </w:tcPr>
                <w:p/>
              </w:tc>
            </w:tr>
            <w:tr>
              <w:tc>
                <w:tcPr>
                  <w:tcW w:type="dxa" w:w="830"/>
                  <w:vMerge/>
                </w:tcPr>
                <w:p/>
              </w:tc>
              <w:tc>
                <w:tcPr>
                  <w:tcW w:type="dxa" w:w="830"/>
                  <w:vMerge/>
                </w:tc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总磷水质自动分析仪</w:t>
                  </w:r>
                </w:p>
              </w:tc>
              <w:tc>
                <w:tcPr>
                  <w:tcW w:type="dxa" w:w="25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w:t>
                  </w:r>
                  <w:r>
                    <w:rPr>
                      <w:sz w:val="21"/>
                      <w:color w:val="000000"/>
                    </w:rPr>
                    <w:t>、测定原理：钼酸铵分光光度法；</w:t>
                  </w:r>
                </w:p>
                <w:p>
                  <w:pPr>
                    <w:pStyle w:val="null3"/>
                  </w:pPr>
                  <w:r>
                    <w:rPr>
                      <w:sz w:val="21"/>
                      <w:color w:val="000000"/>
                    </w:rPr>
                    <w:t>2</w:t>
                  </w:r>
                  <w:r>
                    <w:rPr>
                      <w:sz w:val="21"/>
                      <w:color w:val="000000"/>
                    </w:rPr>
                    <w:t>、量程：</w:t>
                  </w:r>
                  <w:r>
                    <w:rPr>
                      <w:sz w:val="21"/>
                      <w:color w:val="000000"/>
                    </w:rPr>
                    <w:t>0</w:t>
                  </w:r>
                  <w:r>
                    <w:rPr>
                      <w:sz w:val="21"/>
                      <w:color w:val="000000"/>
                    </w:rPr>
                    <w:t>～</w:t>
                  </w:r>
                  <w:r>
                    <w:rPr>
                      <w:sz w:val="21"/>
                      <w:color w:val="000000"/>
                    </w:rPr>
                    <w:t>2</w:t>
                  </w:r>
                  <w:r>
                    <w:rPr>
                      <w:sz w:val="21"/>
                      <w:color w:val="000000"/>
                    </w:rPr>
                    <w:t>0</w:t>
                  </w:r>
                  <w:r>
                    <w:rPr>
                      <w:sz w:val="21"/>
                      <w:color w:val="000000"/>
                    </w:rPr>
                    <w:t>mg/L</w:t>
                  </w:r>
                  <w:r>
                    <w:rPr>
                      <w:sz w:val="21"/>
                      <w:color w:val="000000"/>
                    </w:rPr>
                    <w:t>；</w:t>
                  </w:r>
                </w:p>
                <w:p>
                  <w:pPr>
                    <w:pStyle w:val="null3"/>
                  </w:pPr>
                  <w:r>
                    <w:rPr>
                      <w:sz w:val="21"/>
                      <w:color w:val="000000"/>
                    </w:rPr>
                    <w:t>3</w:t>
                  </w:r>
                  <w:r>
                    <w:rPr>
                      <w:sz w:val="21"/>
                      <w:color w:val="000000"/>
                    </w:rPr>
                    <w:t>、</w:t>
                  </w:r>
                  <w:r>
                    <w:rPr>
                      <w:sz w:val="21"/>
                      <w:color w:val="000000"/>
                    </w:rPr>
                    <w:t>▲零点漂移：±0.1</w:t>
                  </w:r>
                  <w:r>
                    <w:rPr>
                      <w:sz w:val="21"/>
                      <w:color w:val="000000"/>
                    </w:rPr>
                    <w:t>%</w:t>
                  </w:r>
                  <w:r>
                    <w:rPr>
                      <w:sz w:val="21"/>
                      <w:color w:val="000000"/>
                    </w:rPr>
                    <w:t>；</w:t>
                  </w:r>
                </w:p>
                <w:p>
                  <w:pPr>
                    <w:pStyle w:val="null3"/>
                  </w:pPr>
                  <w:r>
                    <w:rPr>
                      <w:sz w:val="21"/>
                      <w:color w:val="000000"/>
                    </w:rPr>
                    <w:t>4</w:t>
                  </w:r>
                  <w:r>
                    <w:rPr>
                      <w:sz w:val="21"/>
                      <w:color w:val="000000"/>
                    </w:rPr>
                    <w:t>、量程漂移：</w:t>
                  </w:r>
                  <w:r>
                    <w:rPr>
                      <w:sz w:val="21"/>
                      <w:color w:val="000000"/>
                    </w:rPr>
                    <w:t>±</w:t>
                  </w:r>
                  <w:r>
                    <w:rPr>
                      <w:sz w:val="21"/>
                      <w:color w:val="000000"/>
                    </w:rPr>
                    <w:t>1%</w:t>
                  </w:r>
                  <w:r>
                    <w:rPr>
                      <w:sz w:val="21"/>
                      <w:color w:val="000000"/>
                    </w:rPr>
                    <w:t>；</w:t>
                  </w:r>
                </w:p>
                <w:p>
                  <w:pPr>
                    <w:pStyle w:val="null3"/>
                  </w:pPr>
                  <w:r>
                    <w:rPr>
                      <w:sz w:val="21"/>
                      <w:color w:val="000000"/>
                    </w:rPr>
                    <w:t>5</w:t>
                  </w:r>
                  <w:r>
                    <w:rPr>
                      <w:sz w:val="21"/>
                      <w:color w:val="000000"/>
                    </w:rPr>
                    <w:t>、</w:t>
                  </w:r>
                  <w:r>
                    <w:rPr>
                      <w:sz w:val="21"/>
                      <w:color w:val="000000"/>
                    </w:rPr>
                    <w:t>▲重复性误差：±0.5</w:t>
                  </w:r>
                  <w:r>
                    <w:rPr>
                      <w:sz w:val="21"/>
                      <w:color w:val="000000"/>
                    </w:rPr>
                    <w:t>%</w:t>
                  </w:r>
                  <w:r>
                    <w:rPr>
                      <w:sz w:val="21"/>
                      <w:color w:val="000000"/>
                    </w:rPr>
                    <w:t>；</w:t>
                  </w:r>
                </w:p>
                <w:p>
                  <w:pPr>
                    <w:pStyle w:val="null3"/>
                  </w:pPr>
                  <w:r>
                    <w:rPr>
                      <w:sz w:val="21"/>
                      <w:color w:val="000000"/>
                    </w:rPr>
                    <w:t>6、直线性：±5</w:t>
                  </w:r>
                  <w:r>
                    <w:rPr>
                      <w:sz w:val="21"/>
                      <w:color w:val="000000"/>
                    </w:rPr>
                    <w:t>%</w:t>
                  </w:r>
                  <w:r>
                    <w:rPr>
                      <w:sz w:val="21"/>
                      <w:color w:val="000000"/>
                    </w:rPr>
                    <w:t>；</w:t>
                  </w:r>
                </w:p>
                <w:p>
                  <w:pPr>
                    <w:pStyle w:val="null3"/>
                  </w:pPr>
                  <w:r>
                    <w:rPr>
                      <w:sz w:val="21"/>
                      <w:color w:val="000000"/>
                    </w:rPr>
                    <w:t>7</w:t>
                  </w:r>
                  <w:r>
                    <w:rPr>
                      <w:sz w:val="21"/>
                      <w:color w:val="000000"/>
                    </w:rPr>
                    <w:t>、实际水样比对实验</w:t>
                  </w:r>
                  <w:r>
                    <w:rPr>
                      <w:sz w:val="21"/>
                      <w:color w:val="000000"/>
                    </w:rPr>
                    <w:t>：</w:t>
                  </w:r>
                  <w:r>
                    <w:rPr>
                      <w:sz w:val="21"/>
                      <w:color w:val="000000"/>
                    </w:rPr>
                    <w:t>±</w:t>
                  </w:r>
                  <w:r>
                    <w:rPr>
                      <w:sz w:val="21"/>
                      <w:color w:val="000000"/>
                    </w:rPr>
                    <w:t>10%</w:t>
                  </w:r>
                  <w:r>
                    <w:rPr>
                      <w:sz w:val="21"/>
                      <w:color w:val="000000"/>
                    </w:rPr>
                    <w:t>。</w:t>
                  </w:r>
                </w:p>
              </w:tc>
              <w:tc>
                <w:tcPr>
                  <w:tcW w:type="dxa" w:w="830"/>
                  <w:vMerge/>
                </w:tcPr>
                <w:p/>
              </w:tc>
            </w:tr>
            <w:tr>
              <w:tc>
                <w:tcPr>
                  <w:tcW w:type="dxa" w:w="830"/>
                  <w:vMerge/>
                </w:tcPr>
                <w:p/>
              </w:tc>
              <w:tc>
                <w:tcPr>
                  <w:tcW w:type="dxa" w:w="830"/>
                  <w:vMerge/>
                </w:tcP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高锰酸盐指数水质自动分析仪</w:t>
                  </w:r>
                </w:p>
              </w:tc>
              <w:tc>
                <w:tcPr>
                  <w:tcW w:type="dxa" w:w="258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w:t>
                  </w:r>
                  <w:r>
                    <w:rPr>
                      <w:sz w:val="21"/>
                      <w:color w:val="000000"/>
                    </w:rPr>
                    <w:t>、测定原理：高锰酸盐氧化法；</w:t>
                  </w:r>
                </w:p>
                <w:p>
                  <w:pPr>
                    <w:pStyle w:val="null3"/>
                  </w:pPr>
                  <w:r>
                    <w:rPr>
                      <w:sz w:val="21"/>
                      <w:color w:val="000000"/>
                    </w:rPr>
                    <w:t>2</w:t>
                  </w:r>
                  <w:r>
                    <w:rPr>
                      <w:sz w:val="21"/>
                      <w:color w:val="000000"/>
                    </w:rPr>
                    <w:t>、量程：</w:t>
                  </w:r>
                  <w:r>
                    <w:rPr>
                      <w:sz w:val="21"/>
                      <w:color w:val="000000"/>
                    </w:rPr>
                    <w:t>0～20mg/L，可调；</w:t>
                  </w:r>
                </w:p>
                <w:p>
                  <w:pPr>
                    <w:pStyle w:val="null3"/>
                  </w:pPr>
                  <w:r>
                    <w:rPr>
                      <w:sz w:val="21"/>
                      <w:color w:val="000000"/>
                    </w:rPr>
                    <w:t>3</w:t>
                  </w:r>
                  <w:r>
                    <w:rPr>
                      <w:sz w:val="21"/>
                      <w:color w:val="000000"/>
                    </w:rPr>
                    <w:t>、</w:t>
                  </w:r>
                  <w:r>
                    <w:rPr>
                      <w:sz w:val="21"/>
                      <w:color w:val="000000"/>
                    </w:rPr>
                    <w:t>▲重复性误差：±2.5%；</w:t>
                  </w:r>
                  <w:r>
                    <w:rPr>
                      <w:sz w:val="21"/>
                      <w:color w:val="000000"/>
                    </w:rPr>
                    <w:t xml:space="preserve"> </w:t>
                  </w:r>
                </w:p>
                <w:p>
                  <w:pPr>
                    <w:pStyle w:val="null3"/>
                  </w:pPr>
                  <w:r>
                    <w:rPr>
                      <w:sz w:val="21"/>
                      <w:color w:val="000000"/>
                    </w:rPr>
                    <w:t>4</w:t>
                  </w:r>
                  <w:r>
                    <w:rPr>
                      <w:sz w:val="21"/>
                      <w:color w:val="000000"/>
                    </w:rPr>
                    <w:t>、</w:t>
                  </w:r>
                  <w:r>
                    <w:rPr>
                      <w:sz w:val="21"/>
                      <w:color w:val="000000"/>
                    </w:rPr>
                    <w:t>▲零点漂移：±2%；</w:t>
                  </w:r>
                </w:p>
                <w:p>
                  <w:pPr>
                    <w:pStyle w:val="null3"/>
                  </w:pPr>
                  <w:r>
                    <w:rPr>
                      <w:sz w:val="21"/>
                      <w:color w:val="000000"/>
                    </w:rPr>
                    <w:t>5</w:t>
                  </w:r>
                  <w:r>
                    <w:rPr>
                      <w:sz w:val="21"/>
                      <w:color w:val="000000"/>
                    </w:rPr>
                    <w:t>、量程漂移：</w:t>
                  </w:r>
                  <w:r>
                    <w:rPr>
                      <w:sz w:val="21"/>
                      <w:color w:val="000000"/>
                    </w:rPr>
                    <w:t>±5%；</w:t>
                  </w:r>
                </w:p>
                <w:p>
                  <w:pPr>
                    <w:pStyle w:val="null3"/>
                  </w:pPr>
                  <w:r>
                    <w:rPr>
                      <w:sz w:val="21"/>
                      <w:color w:val="000000"/>
                    </w:rPr>
                    <w:t>6</w:t>
                  </w:r>
                  <w:r>
                    <w:rPr>
                      <w:sz w:val="21"/>
                      <w:color w:val="000000"/>
                    </w:rPr>
                    <w:t>、实际水样比对试验：</w:t>
                  </w:r>
                  <w:r>
                    <w:rPr>
                      <w:sz w:val="21"/>
                      <w:color w:val="000000"/>
                    </w:rPr>
                    <w:t>±1</w:t>
                  </w:r>
                  <w:r>
                    <w:rPr>
                      <w:sz w:val="21"/>
                      <w:color w:val="000000"/>
                    </w:rPr>
                    <w:t>0</w:t>
                  </w:r>
                  <w:r>
                    <w:rPr>
                      <w:sz w:val="21"/>
                      <w:color w:val="000000"/>
                    </w:rPr>
                    <w:t>%。</w:t>
                  </w:r>
                </w:p>
              </w:tc>
              <w:tc>
                <w:tcPr>
                  <w:tcW w:type="dxa" w:w="830"/>
                  <w:vMerge/>
                </w:tcPr>
                <w:p/>
              </w:tc>
            </w:tr>
            <w:tr>
              <w:tc>
                <w:tcPr>
                  <w:tcW w:type="dxa" w:w="830"/>
                  <w:vMerge/>
                </w:tcPr>
                <w:p/>
              </w:tc>
              <w:tc>
                <w:tcPr>
                  <w:tcW w:type="dxa" w:w="830"/>
                  <w:vMerge/>
                </w:tc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系统集成</w:t>
                  </w:r>
                </w:p>
              </w:tc>
              <w:tc>
                <w:tcPr>
                  <w:tcW w:type="dxa" w:w="25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系统主要包括采水单元、配水及预处理单元、控制单元、分析单元、辅助单元等。应提供合理、先进、完整的方案，确保采水、预处理、分析以及数据采集和传输等环节的准确可靠。</w:t>
                  </w:r>
                </w:p>
              </w:tc>
              <w:tc>
                <w:tcPr>
                  <w:tcW w:type="dxa" w:w="830"/>
                  <w:vMerge/>
                </w:tcPr>
                <w:p/>
              </w:tc>
            </w:tr>
            <w:tr>
              <w:tc>
                <w:tcPr>
                  <w:tcW w:type="dxa" w:w="830"/>
                  <w:vMerge/>
                </w:tcPr>
                <w:p/>
              </w:tc>
              <w:tc>
                <w:tcPr>
                  <w:tcW w:type="dxa" w:w="830"/>
                  <w:vMerge/>
                </w:tcP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机柜</w:t>
                  </w:r>
                </w:p>
              </w:tc>
              <w:tc>
                <w:tcPr>
                  <w:tcW w:type="dxa" w:w="25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1、面积小于2平方米；</w:t>
                  </w:r>
                </w:p>
                <w:p>
                  <w:pPr>
                    <w:pStyle w:val="null3"/>
                  </w:pPr>
                  <w:r>
                    <w:rPr>
                      <w:sz w:val="21"/>
                      <w:color w:val="000000"/>
                    </w:rPr>
                    <w:t>2、双层隔热保温结构；</w:t>
                  </w:r>
                </w:p>
                <w:p>
                  <w:pPr>
                    <w:pStyle w:val="null3"/>
                  </w:pPr>
                  <w:r>
                    <w:rPr>
                      <w:sz w:val="21"/>
                      <w:color w:val="000000"/>
                    </w:rPr>
                    <w:t>3、整机达到IP</w:t>
                  </w:r>
                  <w:r>
                    <w:rPr>
                      <w:sz w:val="21"/>
                      <w:color w:val="000000"/>
                    </w:rPr>
                    <w:t>5</w:t>
                  </w:r>
                  <w:r>
                    <w:rPr>
                      <w:sz w:val="21"/>
                      <w:color w:val="000000"/>
                    </w:rPr>
                    <w:t>5及以上防护等级；</w:t>
                  </w:r>
                </w:p>
                <w:p>
                  <w:pPr>
                    <w:pStyle w:val="null3"/>
                  </w:pPr>
                  <w:r>
                    <w:rPr>
                      <w:sz w:val="21"/>
                      <w:color w:val="000000"/>
                    </w:rPr>
                    <w:t>4、水站应统一设置水站标志牌和</w:t>
                  </w:r>
                  <w:r>
                    <w:rPr>
                      <w:sz w:val="21"/>
                      <w:color w:val="000000"/>
                    </w:rPr>
                    <w:t>LOGO箱体</w:t>
                  </w:r>
                  <w:r>
                    <w:rPr>
                      <w:sz w:val="21"/>
                      <w:color w:val="000000"/>
                    </w:rPr>
                    <w:t>。</w:t>
                  </w:r>
                </w:p>
              </w:tc>
              <w:tc>
                <w:tcPr>
                  <w:tcW w:type="dxa" w:w="830"/>
                  <w:vMerge/>
                </w:tcPr>
                <w:p/>
              </w:tc>
            </w:tr>
          </w:tbl>
          <w:p>
            <w:pPr>
              <w:pStyle w:val="null3"/>
            </w:pPr>
            <w:r>
              <w:rPr>
                <w:sz w:val="21"/>
                <w:color w:val="000000"/>
              </w:rPr>
              <w:t>3</w:t>
            </w:r>
            <w:r>
              <w:rPr>
                <w:sz w:val="21"/>
                <w:color w:val="000000"/>
              </w:rPr>
              <w:t>）</w:t>
            </w:r>
            <w:r>
              <w:rPr>
                <w:sz w:val="21"/>
                <w:color w:val="000000"/>
              </w:rPr>
              <w:t>配套流量实时监测设备技术要求</w:t>
            </w:r>
          </w:p>
          <w:p>
            <w:pPr>
              <w:pStyle w:val="null3"/>
            </w:pPr>
            <w:r>
              <w:rPr>
                <w:sz w:val="21"/>
                <w:color w:val="000000"/>
              </w:rPr>
              <w:t>说明：</w:t>
            </w:r>
            <w:r>
              <w:rPr>
                <w:sz w:val="21"/>
                <w:color w:val="000000"/>
              </w:rPr>
              <w:t>“▲”号参数需提供具有CMA标识的第三方检测报告。</w:t>
            </w:r>
          </w:p>
          <w:tbl>
            <w:tblGrid>
              <w:gridCol w:w="392"/>
              <w:gridCol w:w="1027"/>
              <w:gridCol w:w="649"/>
              <w:gridCol w:w="3129"/>
              <w:gridCol w:w="401"/>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序号</w:t>
                  </w:r>
                </w:p>
              </w:tc>
              <w:tc>
                <w:tcPr>
                  <w:tcW w:type="dxa" w:w="102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设备名称</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类别</w:t>
                  </w:r>
                </w:p>
              </w:tc>
              <w:tc>
                <w:tcPr>
                  <w:tcW w:type="dxa" w:w="31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设备参数</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数量</w:t>
                  </w:r>
                </w:p>
              </w:tc>
            </w:tr>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w:t>
                  </w:r>
                </w:p>
              </w:tc>
              <w:tc>
                <w:tcPr>
                  <w:tcW w:type="dxa" w:w="1027"/>
                  <w:vMerge w:val="restart"/>
                </w:tcPr>
                <w:p>
                  <w:pPr>
                    <w:pStyle w:val="null3"/>
                  </w:pPr>
                  <w:r>
                    <w:rPr>
                      <w:sz w:val="21"/>
                      <w:color w:val="000000"/>
                    </w:rPr>
                    <w:t>流量实时监测设备</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雷达流量计</w:t>
                  </w:r>
                </w:p>
              </w:tc>
              <w:tc>
                <w:tcPr>
                  <w:tcW w:type="dxa" w:w="312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1、测量原理：采用平面微带阵列天线的CW+FMCW雷达多普勒原理，通过非接触方式测量水体的流速和水位，根据内置的水力学模型和算法，计算并输出断面的瞬时流量及累计流量；</w:t>
                  </w:r>
                </w:p>
                <w:p>
                  <w:pPr>
                    <w:pStyle w:val="null3"/>
                  </w:pPr>
                  <w:r>
                    <w:rPr>
                      <w:sz w:val="21"/>
                      <w:color w:val="000000"/>
                    </w:rPr>
                    <w:t>2、测速雷达频率：≥24GHz；</w:t>
                  </w:r>
                </w:p>
                <w:p>
                  <w:pPr>
                    <w:pStyle w:val="null3"/>
                  </w:pPr>
                  <w:r>
                    <w:rPr>
                      <w:sz w:val="21"/>
                      <w:color w:val="000000"/>
                    </w:rPr>
                    <w:t>3</w:t>
                  </w:r>
                  <w:r>
                    <w:rPr>
                      <w:sz w:val="21"/>
                      <w:color w:val="000000"/>
                    </w:rPr>
                    <w:t>、流速测量范围：</w:t>
                  </w:r>
                  <w:r>
                    <w:rPr>
                      <w:sz w:val="21"/>
                      <w:color w:val="000000"/>
                    </w:rPr>
                    <w:t>0.03～20m/s；</w:t>
                  </w:r>
                </w:p>
                <w:p>
                  <w:pPr>
                    <w:pStyle w:val="null3"/>
                  </w:pPr>
                  <w:r>
                    <w:rPr>
                      <w:sz w:val="21"/>
                      <w:color w:val="000000"/>
                    </w:rPr>
                    <w:t>4</w:t>
                  </w:r>
                  <w:r>
                    <w:rPr>
                      <w:sz w:val="21"/>
                      <w:color w:val="000000"/>
                    </w:rPr>
                    <w:t>、流速测量精度：</w:t>
                  </w:r>
                  <w:r>
                    <w:rPr>
                      <w:sz w:val="21"/>
                      <w:color w:val="000000"/>
                    </w:rPr>
                    <w:t>±0.01m/s，±1%FS；</w:t>
                  </w:r>
                </w:p>
                <w:p>
                  <w:pPr>
                    <w:pStyle w:val="null3"/>
                  </w:pPr>
                  <w:r>
                    <w:rPr>
                      <w:sz w:val="21"/>
                      <w:color w:val="000000"/>
                    </w:rPr>
                    <w:t>5</w:t>
                  </w:r>
                  <w:r>
                    <w:rPr>
                      <w:sz w:val="21"/>
                      <w:color w:val="000000"/>
                    </w:rPr>
                    <w:t>、水位雷达频率：</w:t>
                  </w:r>
                  <w:r>
                    <w:rPr>
                      <w:sz w:val="21"/>
                      <w:color w:val="000000"/>
                    </w:rPr>
                    <w:t>≥24GHz；</w:t>
                  </w:r>
                </w:p>
                <w:p>
                  <w:pPr>
                    <w:pStyle w:val="null3"/>
                  </w:pPr>
                  <w:r>
                    <w:rPr>
                      <w:sz w:val="21"/>
                      <w:color w:val="000000"/>
                    </w:rPr>
                    <w:t>6</w:t>
                  </w:r>
                  <w:r>
                    <w:rPr>
                      <w:sz w:val="21"/>
                      <w:color w:val="000000"/>
                    </w:rPr>
                    <w:t>、水位测量精度：</w:t>
                  </w:r>
                  <w:r>
                    <w:rPr>
                      <w:sz w:val="21"/>
                      <w:color w:val="000000"/>
                    </w:rPr>
                    <w:t>±3mm，±0.05%FS；</w:t>
                  </w:r>
                </w:p>
                <w:p>
                  <w:pPr>
                    <w:pStyle w:val="null3"/>
                  </w:pPr>
                  <w:r>
                    <w:rPr>
                      <w:sz w:val="21"/>
                      <w:color w:val="000000"/>
                    </w:rPr>
                    <w:t>7</w:t>
                  </w:r>
                  <w:r>
                    <w:rPr>
                      <w:sz w:val="21"/>
                      <w:color w:val="000000"/>
                    </w:rPr>
                    <w:t>、</w:t>
                  </w:r>
                  <w:r>
                    <w:rPr>
                      <w:sz w:val="21"/>
                      <w:color w:val="000000"/>
                    </w:rPr>
                    <w:t>▲外壳防护等级：IP68。</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4套</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b/>
                      <w:color w:val="000000"/>
                    </w:rPr>
                    <w:t>2</w:t>
                  </w:r>
                </w:p>
              </w:tc>
              <w:tc>
                <w:tcPr>
                  <w:tcW w:type="dxa" w:w="1027"/>
                  <w:vMerge/>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超声波多普勒流速流量仪</w:t>
                  </w:r>
                </w:p>
              </w:tc>
              <w:tc>
                <w:tcPr>
                  <w:tcW w:type="dxa" w:w="312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1、测量原理：基于超声多普勒效应测量流体流速，结合压力计测量的水位数据和渠道断面尺寸，计算出断面流量；</w:t>
                  </w:r>
                </w:p>
                <w:p>
                  <w:pPr>
                    <w:pStyle w:val="null3"/>
                  </w:pPr>
                  <w:r>
                    <w:rPr>
                      <w:sz w:val="21"/>
                      <w:color w:val="000000"/>
                    </w:rPr>
                    <w:t>2、流速测量范围：常规模式：±0.05-±</w:t>
                  </w:r>
                  <w:r>
                    <w:rPr>
                      <w:sz w:val="21"/>
                      <w:color w:val="000000"/>
                    </w:rPr>
                    <w:t>5</w:t>
                  </w:r>
                  <w:r>
                    <w:rPr>
                      <w:sz w:val="21"/>
                      <w:color w:val="000000"/>
                    </w:rPr>
                    <w:t>m/s，超低速模式：±0.005-±0.05m/s；</w:t>
                  </w:r>
                </w:p>
                <w:p>
                  <w:pPr>
                    <w:pStyle w:val="null3"/>
                  </w:pPr>
                  <w:r>
                    <w:rPr>
                      <w:sz w:val="21"/>
                      <w:color w:val="000000"/>
                    </w:rPr>
                    <w:t>3、流速测量精度：常规：±1%FS，1cm/s，超低速：≤1mm/s；</w:t>
                  </w:r>
                </w:p>
                <w:p>
                  <w:pPr>
                    <w:pStyle w:val="null3"/>
                  </w:pPr>
                  <w:r>
                    <w:rPr>
                      <w:sz w:val="21"/>
                      <w:color w:val="000000"/>
                    </w:rPr>
                    <w:t>4、流速分辨率：≤1mm/s；</w:t>
                  </w:r>
                </w:p>
                <w:p>
                  <w:pPr>
                    <w:pStyle w:val="null3"/>
                  </w:pPr>
                  <w:r>
                    <w:rPr>
                      <w:sz w:val="21"/>
                      <w:color w:val="000000"/>
                    </w:rPr>
                    <w:t>5、水位量程：0-10m；</w:t>
                  </w:r>
                </w:p>
                <w:p>
                  <w:pPr>
                    <w:pStyle w:val="null3"/>
                  </w:pPr>
                  <w:r>
                    <w:rPr>
                      <w:sz w:val="21"/>
                      <w:color w:val="000000"/>
                    </w:rPr>
                    <w:t>6、水位精度：±0.25%，±2.5mm；</w:t>
                  </w:r>
                </w:p>
                <w:p>
                  <w:pPr>
                    <w:pStyle w:val="null3"/>
                  </w:pPr>
                  <w:r>
                    <w:rPr>
                      <w:sz w:val="21"/>
                      <w:color w:val="000000"/>
                    </w:rPr>
                    <w:t>7、水位分辨率：≤1mm；</w:t>
                  </w:r>
                </w:p>
                <w:p>
                  <w:pPr>
                    <w:pStyle w:val="null3"/>
                  </w:pPr>
                  <w:r>
                    <w:rPr>
                      <w:sz w:val="21"/>
                      <w:color w:val="000000"/>
                    </w:rPr>
                    <w:t>8、温度检测范围：-20～80℃；</w:t>
                  </w:r>
                </w:p>
                <w:p>
                  <w:pPr>
                    <w:pStyle w:val="null3"/>
                  </w:pPr>
                  <w:r>
                    <w:rPr>
                      <w:sz w:val="21"/>
                      <w:color w:val="000000"/>
                    </w:rPr>
                    <w:t>9、测温精度：±0.1℃；</w:t>
                  </w:r>
                </w:p>
                <w:p>
                  <w:pPr>
                    <w:pStyle w:val="null3"/>
                  </w:pPr>
                  <w:r>
                    <w:rPr>
                      <w:sz w:val="21"/>
                      <w:color w:val="000000"/>
                    </w:rPr>
                    <w:t>10、接口保护：静电，防反接，防浪涌；</w:t>
                  </w:r>
                </w:p>
                <w:p>
                  <w:pPr>
                    <w:pStyle w:val="null3"/>
                  </w:pPr>
                  <w:r>
                    <w:rPr>
                      <w:sz w:val="21"/>
                      <w:color w:val="000000"/>
                    </w:rPr>
                    <w:t>1</w:t>
                  </w:r>
                  <w:r>
                    <w:rPr>
                      <w:sz w:val="21"/>
                      <w:color w:val="000000"/>
                    </w:rPr>
                    <w:t>1</w:t>
                  </w:r>
                  <w:r>
                    <w:rPr>
                      <w:sz w:val="21"/>
                      <w:color w:val="000000"/>
                    </w:rPr>
                    <w:t>、</w:t>
                  </w:r>
                  <w:r>
                    <w:rPr>
                      <w:sz w:val="21"/>
                      <w:color w:val="000000"/>
                    </w:rPr>
                    <w:t>▲</w:t>
                  </w:r>
                  <w:r>
                    <w:rPr>
                      <w:sz w:val="21"/>
                      <w:color w:val="000000"/>
                    </w:rPr>
                    <w:t>可靠性</w:t>
                  </w:r>
                  <w:r>
                    <w:rPr>
                      <w:sz w:val="21"/>
                      <w:color w:val="000000"/>
                    </w:rPr>
                    <w:t>:平均无故障工作时间≥8000h；</w:t>
                  </w:r>
                  <w:r>
                    <w:rPr>
                      <w:sz w:val="21"/>
                      <w:color w:val="000000"/>
                    </w:rPr>
                    <w:t xml:space="preserve"> </w:t>
                  </w:r>
                </w:p>
                <w:p>
                  <w:pPr>
                    <w:pStyle w:val="null3"/>
                  </w:pPr>
                  <w:r>
                    <w:rPr>
                      <w:sz w:val="21"/>
                      <w:color w:val="000000"/>
                    </w:rPr>
                    <w:t>12</w:t>
                  </w:r>
                  <w:r>
                    <w:rPr>
                      <w:sz w:val="21"/>
                      <w:color w:val="000000"/>
                    </w:rPr>
                    <w:t>、</w:t>
                  </w:r>
                  <w:r>
                    <w:rPr>
                      <w:sz w:val="21"/>
                      <w:color w:val="000000"/>
                    </w:rPr>
                    <w:t>▲外壳防护等级：IP68；</w:t>
                  </w:r>
                </w:p>
                <w:p>
                  <w:pPr>
                    <w:pStyle w:val="null3"/>
                  </w:pPr>
                  <w:r>
                    <w:rPr>
                      <w:sz w:val="21"/>
                      <w:color w:val="000000"/>
                    </w:rPr>
                    <w:t>1</w:t>
                  </w:r>
                  <w:r>
                    <w:rPr>
                      <w:sz w:val="21"/>
                      <w:color w:val="000000"/>
                    </w:rPr>
                    <w:t>3</w:t>
                  </w:r>
                  <w:r>
                    <w:rPr>
                      <w:sz w:val="21"/>
                      <w:color w:val="000000"/>
                    </w:rPr>
                    <w:t>、</w:t>
                  </w:r>
                  <w:r>
                    <w:rPr>
                      <w:sz w:val="21"/>
                      <w:color w:val="000000"/>
                    </w:rPr>
                    <w:t>▲太阳辐射试验:将仪器放置于紫外线耐候试验箱内，照射8h，仪器正常工作。</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11套</w:t>
                  </w:r>
                </w:p>
              </w:tc>
            </w:tr>
          </w:tbl>
          <w:p>
            <w:pPr>
              <w:pStyle w:val="null3"/>
            </w:pPr>
            <w:r>
              <w:rPr>
                <w:sz w:val="21"/>
                <w:color w:val="000000"/>
              </w:rPr>
              <w:t>4</w:t>
            </w:r>
            <w:r>
              <w:rPr>
                <w:sz w:val="21"/>
                <w:color w:val="000000"/>
              </w:rPr>
              <w:t>）</w:t>
            </w:r>
            <w:r>
              <w:rPr>
                <w:sz w:val="21"/>
                <w:color w:val="000000"/>
              </w:rPr>
              <w:t>配套视频监控设备技术要求</w:t>
            </w:r>
          </w:p>
          <w:tbl>
            <w:tblGrid>
              <w:gridCol w:w="908"/>
              <w:gridCol w:w="908"/>
              <w:gridCol w:w="569"/>
              <w:gridCol w:w="2304"/>
              <w:gridCol w:w="908"/>
            </w:tblGrid>
            <w:tr>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序号</w:t>
                  </w:r>
                </w:p>
              </w:tc>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设备名称</w:t>
                  </w:r>
                </w:p>
              </w:tc>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类别</w:t>
                  </w:r>
                </w:p>
              </w:tc>
              <w:tc>
                <w:tcPr>
                  <w:tcW w:type="dxa" w:w="230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设备参数</w:t>
                  </w:r>
                </w:p>
              </w:tc>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数量</w:t>
                  </w:r>
                </w:p>
              </w:tc>
            </w:tr>
            <w:tr>
              <w:tc>
                <w:tcPr>
                  <w:tcW w:type="dxa" w:w="908"/>
                  <w:vMerge w:val="restart"/>
                </w:tcPr>
                <w:p>
                  <w:pPr>
                    <w:pStyle w:val="null3"/>
                  </w:pPr>
                  <w:r>
                    <w:rPr/>
                    <w:t>1</w:t>
                  </w:r>
                </w:p>
              </w:tc>
              <w:tc>
                <w:tcPr>
                  <w:tcW w:type="dxa" w:w="908"/>
                  <w:vMerge w:val="restart"/>
                </w:tcPr>
                <w:p>
                  <w:pPr>
                    <w:pStyle w:val="null3"/>
                  </w:pPr>
                  <w:r>
                    <w:rPr>
                      <w:sz w:val="21"/>
                      <w:color w:val="000000"/>
                    </w:rPr>
                    <w:t>视频监控设备</w:t>
                  </w:r>
                </w:p>
              </w:tc>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智能高清球机视频监控</w:t>
                  </w:r>
                </w:p>
              </w:tc>
              <w:tc>
                <w:tcPr>
                  <w:tcW w:type="dxa" w:w="230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w:t>
                  </w:r>
                  <w:r>
                    <w:rPr>
                      <w:sz w:val="21"/>
                      <w:color w:val="000000"/>
                    </w:rPr>
                    <w:t>400万像素，≥2560×1440分辨率，内置≥250米红外灯补光</w:t>
                  </w:r>
                  <w:r>
                    <w:rPr>
                      <w:sz w:val="21"/>
                      <w:color w:val="000000"/>
                    </w:rPr>
                    <w:t>；</w:t>
                  </w:r>
                </w:p>
                <w:p>
                  <w:pPr>
                    <w:pStyle w:val="null3"/>
                  </w:pPr>
                  <w:r>
                    <w:rPr>
                      <w:sz w:val="21"/>
                      <w:color w:val="000000"/>
                    </w:rPr>
                    <w:t>2、水平方向360°连续旋转，垂直方向-30°～90°自动翻转180°后连续监视,无监视盲区；</w:t>
                  </w:r>
                </w:p>
                <w:p>
                  <w:pPr>
                    <w:pStyle w:val="null3"/>
                  </w:pPr>
                  <w:r>
                    <w:rPr>
                      <w:sz w:val="21"/>
                      <w:color w:val="000000"/>
                    </w:rPr>
                    <w:t>3、支持≥</w:t>
                  </w:r>
                  <w:r>
                    <w:rPr>
                      <w:sz w:val="21"/>
                      <w:color w:val="000000"/>
                    </w:rPr>
                    <w:t>300个预置位，≥8条巡航路径，≥5条巡迹路径；</w:t>
                  </w:r>
                </w:p>
                <w:p>
                  <w:pPr>
                    <w:pStyle w:val="null3"/>
                  </w:pPr>
                  <w:r>
                    <w:rPr>
                      <w:sz w:val="21"/>
                      <w:color w:val="000000"/>
                    </w:rPr>
                    <w:t>4、≥</w:t>
                  </w:r>
                  <w:r>
                    <w:rPr>
                      <w:sz w:val="21"/>
                      <w:color w:val="000000"/>
                    </w:rPr>
                    <w:t>40倍光学变倍，支持光学透雾，雾天也能输出清晰、透彻的图像；</w:t>
                  </w:r>
                </w:p>
                <w:p>
                  <w:pPr>
                    <w:pStyle w:val="null3"/>
                  </w:pPr>
                  <w:r>
                    <w:rPr>
                      <w:sz w:val="21"/>
                      <w:color w:val="000000"/>
                    </w:rPr>
                    <w:t>5、支持不低于IP67防护等级、8000V防雷、防浪涌和防突波保护；</w:t>
                  </w:r>
                </w:p>
                <w:p>
                  <w:pPr>
                    <w:pStyle w:val="null3"/>
                  </w:pPr>
                  <w:r>
                    <w:rPr>
                      <w:sz w:val="21"/>
                      <w:color w:val="000000"/>
                    </w:rPr>
                    <w:t>6、不低于120dB超宽动态；</w:t>
                  </w:r>
                </w:p>
                <w:p>
                  <w:pPr>
                    <w:pStyle w:val="null3"/>
                  </w:pPr>
                  <w:r>
                    <w:rPr>
                      <w:sz w:val="21"/>
                      <w:color w:val="000000"/>
                    </w:rPr>
                    <w:t>7、支持SD卡扩展；</w:t>
                  </w:r>
                </w:p>
                <w:p>
                  <w:pPr>
                    <w:pStyle w:val="null3"/>
                  </w:pPr>
                  <w:r>
                    <w:rPr>
                      <w:sz w:val="21"/>
                      <w:color w:val="000000"/>
                    </w:rPr>
                    <w:t>8、具有RS485接口。</w:t>
                  </w:r>
                </w:p>
              </w:tc>
              <w:tc>
                <w:tcPr>
                  <w:tcW w:type="dxa" w:w="908"/>
                  <w:vMerge w:val="restart"/>
                </w:tcPr>
                <w:p>
                  <w:pPr>
                    <w:pStyle w:val="null3"/>
                  </w:pPr>
                  <w:r>
                    <w:rPr>
                      <w:sz w:val="21"/>
                      <w:color w:val="000000"/>
                    </w:rPr>
                    <w:t>38套</w:t>
                  </w:r>
                </w:p>
              </w:tc>
            </w:tr>
            <w:tr>
              <w:tc>
                <w:tcPr>
                  <w:tcW w:type="dxa" w:w="908"/>
                  <w:vMerge/>
                </w:tcPr>
                <w:p/>
              </w:tc>
              <w:tc>
                <w:tcPr>
                  <w:tcW w:type="dxa" w:w="908"/>
                  <w:vMerge/>
                </w:tcP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前端</w:t>
                  </w:r>
                  <w:r>
                    <w:rPr>
                      <w:sz w:val="21"/>
                      <w:color w:val="000000"/>
                    </w:rPr>
                    <w:t>NVR</w:t>
                  </w:r>
                </w:p>
              </w:tc>
              <w:tc>
                <w:tcPr>
                  <w:tcW w:type="dxa" w:w="23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1、配置≥</w:t>
                  </w:r>
                  <w:r>
                    <w:rPr>
                      <w:sz w:val="21"/>
                      <w:color w:val="000000"/>
                    </w:rPr>
                    <w:t>4</w:t>
                  </w:r>
                  <w:r>
                    <w:rPr>
                      <w:sz w:val="21"/>
                      <w:color w:val="000000"/>
                    </w:rPr>
                    <w:t>路网络硬盘录像机，保存摄像机录像视频；</w:t>
                  </w:r>
                </w:p>
                <w:p>
                  <w:pPr>
                    <w:pStyle w:val="null3"/>
                  </w:pPr>
                  <w:r>
                    <w:rPr>
                      <w:sz w:val="21"/>
                      <w:color w:val="000000"/>
                    </w:rPr>
                    <w:t>2、不低于</w:t>
                  </w:r>
                  <w:r>
                    <w:rPr>
                      <w:sz w:val="21"/>
                      <w:color w:val="000000"/>
                    </w:rPr>
                    <w:t>40M</w:t>
                  </w:r>
                  <w:r>
                    <w:rPr>
                      <w:sz w:val="21"/>
                      <w:color w:val="000000"/>
                    </w:rPr>
                    <w:t>接入</w:t>
                  </w:r>
                  <w:r>
                    <w:rPr>
                      <w:sz w:val="21"/>
                      <w:color w:val="000000"/>
                    </w:rPr>
                    <w:t>/80M</w:t>
                  </w:r>
                  <w:r>
                    <w:rPr>
                      <w:sz w:val="21"/>
                      <w:color w:val="000000"/>
                    </w:rPr>
                    <w:t>转发；</w:t>
                  </w:r>
                </w:p>
                <w:p>
                  <w:pPr>
                    <w:pStyle w:val="null3"/>
                  </w:pPr>
                  <w:r>
                    <w:rPr>
                      <w:sz w:val="21"/>
                      <w:color w:val="000000"/>
                    </w:rPr>
                    <w:t>3、≥</w:t>
                  </w:r>
                  <w:r>
                    <w:rPr>
                      <w:sz w:val="21"/>
                      <w:color w:val="000000"/>
                    </w:rPr>
                    <w:t>1</w:t>
                  </w:r>
                  <w:r>
                    <w:rPr>
                      <w:sz w:val="21"/>
                      <w:color w:val="000000"/>
                    </w:rPr>
                    <w:t>路</w:t>
                  </w:r>
                  <w:r>
                    <w:rPr>
                      <w:sz w:val="21"/>
                      <w:color w:val="000000"/>
                    </w:rPr>
                    <w:t>H.265</w:t>
                  </w:r>
                  <w:r>
                    <w:rPr>
                      <w:sz w:val="21"/>
                      <w:color w:val="000000"/>
                    </w:rPr>
                    <w:t>、</w:t>
                  </w:r>
                  <w:r>
                    <w:rPr>
                      <w:sz w:val="21"/>
                      <w:color w:val="000000"/>
                    </w:rPr>
                    <w:t>H.264</w:t>
                  </w:r>
                  <w:r>
                    <w:rPr>
                      <w:sz w:val="21"/>
                      <w:color w:val="000000"/>
                    </w:rPr>
                    <w:t>混合接入解码；</w:t>
                  </w:r>
                </w:p>
                <w:p>
                  <w:pPr>
                    <w:pStyle w:val="null3"/>
                  </w:pPr>
                  <w:r>
                    <w:rPr>
                      <w:sz w:val="21"/>
                      <w:color w:val="000000"/>
                    </w:rPr>
                    <w:t>4、支持不低于</w:t>
                  </w:r>
                  <w:r>
                    <w:rPr>
                      <w:sz w:val="21"/>
                      <w:color w:val="000000"/>
                    </w:rPr>
                    <w:t>4×1080P</w:t>
                  </w:r>
                  <w:r>
                    <w:rPr>
                      <w:sz w:val="21"/>
                      <w:color w:val="000000"/>
                    </w:rPr>
                    <w:t>解码；</w:t>
                  </w:r>
                </w:p>
                <w:p>
                  <w:pPr>
                    <w:pStyle w:val="null3"/>
                  </w:pPr>
                  <w:r>
                    <w:rPr>
                      <w:sz w:val="21"/>
                      <w:color w:val="000000"/>
                    </w:rPr>
                    <w:t>5、配置≥</w:t>
                  </w:r>
                  <w:r>
                    <w:rPr>
                      <w:sz w:val="21"/>
                      <w:color w:val="000000"/>
                    </w:rPr>
                    <w:t>4TB</w:t>
                  </w:r>
                  <w:r>
                    <w:rPr>
                      <w:sz w:val="21"/>
                      <w:color w:val="000000"/>
                    </w:rPr>
                    <w:t>监控级硬盘。</w:t>
                  </w:r>
                </w:p>
              </w:tc>
              <w:tc>
                <w:tcPr>
                  <w:tcW w:type="dxa" w:w="908"/>
                  <w:vMerge/>
                </w:tcPr>
                <w:p/>
              </w:tc>
            </w:tr>
            <w:tr>
              <w:tc>
                <w:tcPr>
                  <w:tcW w:type="dxa" w:w="908"/>
                  <w:vMerge/>
                </w:tcPr>
                <w:p/>
              </w:tc>
              <w:tc>
                <w:tcPr>
                  <w:tcW w:type="dxa" w:w="908"/>
                  <w:vMerge/>
                </w:tcP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视频监控图像</w:t>
                  </w:r>
                  <w:r>
                    <w:rPr>
                      <w:sz w:val="21"/>
                      <w:color w:val="000000"/>
                    </w:rPr>
                    <w:t>AI资源管理</w:t>
                  </w:r>
                </w:p>
              </w:tc>
              <w:tc>
                <w:tcPr>
                  <w:tcW w:type="dxa" w:w="23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基于目前成熟度较高的水环境视觉分析算法，通过对前端智能视频监控设备实时图像的智能分析，能自动识别水面漂浮物、河岸垃圾堆积、人员闯入，支持对前端智能视频监控设备的报警管理和算法管理。</w:t>
                  </w:r>
                </w:p>
              </w:tc>
              <w:tc>
                <w:tcPr>
                  <w:tcW w:type="dxa" w:w="908"/>
                  <w:vMerge/>
                </w:tcPr>
                <w:p/>
              </w:tc>
            </w:tr>
            <w:tr>
              <w:tc>
                <w:tcPr>
                  <w:tcW w:type="dxa" w:w="908"/>
                  <w:vMerge/>
                </w:tcPr>
                <w:p/>
              </w:tc>
              <w:tc>
                <w:tcPr>
                  <w:tcW w:type="dxa" w:w="908"/>
                  <w:vMerge/>
                </w:tcP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配套设施</w:t>
                  </w:r>
                </w:p>
              </w:tc>
              <w:tc>
                <w:tcPr>
                  <w:tcW w:type="dxa" w:w="23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sz w:val="21"/>
                      <w:color w:val="000000"/>
                    </w:rPr>
                    <w:t>主要包含基础施工（包括地笼制作、预埋，混凝土基础浇捣及接地施工）、监控立杆（高</w:t>
                  </w:r>
                  <w:r>
                    <w:rPr>
                      <w:sz w:val="21"/>
                      <w:color w:val="000000"/>
                    </w:rPr>
                    <w:t>≥5米，横臂≥0.5米）、防水设备箱（具有防雨、防腐蚀、防尘、防高温、防盗等功能）、ONU（支持千兆光纤传输标准，提供≥8个独立的自适应交换式RJ45接口）、防雷、设备取电一般采用从周边电源取电，对现场设施条件不足的采用太阳能供电系统（包含电路铺设、空开保护设备、电表安装及协调、三年电费以及三年线路维护）以及三年网络专线费。</w:t>
                  </w:r>
                </w:p>
              </w:tc>
              <w:tc>
                <w:tcPr>
                  <w:tcW w:type="dxa" w:w="908"/>
                  <w:vMerge/>
                </w:tcPr>
                <w:p/>
              </w:tc>
            </w:tr>
          </w:tbl>
          <w:p>
            <w:pPr>
              <w:pStyle w:val="null3"/>
            </w:pPr>
            <w:r>
              <w:rPr>
                <w:sz w:val="21"/>
                <w:b/>
                <w:color w:val="000000"/>
              </w:rPr>
              <w:t>（六）本项目运行维护</w:t>
            </w:r>
            <w:r>
              <w:rPr>
                <w:sz w:val="21"/>
                <w:b/>
                <w:color w:val="000000"/>
              </w:rPr>
              <w:t>3年的实施及技术要求（包含系统平台和硬件设备的运行维护服务）：</w:t>
            </w:r>
          </w:p>
          <w:p>
            <w:pPr>
              <w:pStyle w:val="null3"/>
            </w:pPr>
            <w:r>
              <w:rPr>
                <w:sz w:val="21"/>
                <w:color w:val="000000"/>
              </w:rPr>
              <w:t>1</w:t>
            </w:r>
            <w:r>
              <w:rPr>
                <w:sz w:val="21"/>
                <w:color w:val="000000"/>
              </w:rPr>
              <w:t>）</w:t>
            </w:r>
            <w:r>
              <w:rPr>
                <w:sz w:val="21"/>
                <w:color w:val="000000"/>
              </w:rPr>
              <w:t>入河排污口综合管理平台运行维护服务</w:t>
            </w:r>
          </w:p>
          <w:p>
            <w:pPr>
              <w:pStyle w:val="null3"/>
            </w:pPr>
            <w:r>
              <w:rPr>
                <w:sz w:val="21"/>
                <w:color w:val="000000"/>
              </w:rPr>
              <w:t>（</w:t>
            </w:r>
            <w:r>
              <w:rPr>
                <w:sz w:val="21"/>
                <w:color w:val="000000"/>
              </w:rPr>
              <w:t>1</w:t>
            </w:r>
            <w:r>
              <w:rPr>
                <w:sz w:val="21"/>
                <w:color w:val="000000"/>
              </w:rPr>
              <w:t>）投标人应保证系统正常、稳定、持续地运行，及时发现系统故障风险点，降低使用风险及成本。</w:t>
            </w:r>
          </w:p>
          <w:p>
            <w:pPr>
              <w:pStyle w:val="null3"/>
            </w:pPr>
            <w:r>
              <w:rPr>
                <w:sz w:val="21"/>
                <w:color w:val="000000"/>
              </w:rPr>
              <w:t>（</w:t>
            </w:r>
            <w:r>
              <w:rPr>
                <w:sz w:val="21"/>
                <w:color w:val="000000"/>
              </w:rPr>
              <w:t>2</w:t>
            </w:r>
            <w:r>
              <w:rPr>
                <w:sz w:val="21"/>
                <w:color w:val="000000"/>
              </w:rPr>
              <w:t>）投标人提供现场保障服务、不定期故障处理和排除、业务系统操作答疑及数据调整、在线支撑服务、软件优化服务、电话技术支持及远程服务</w:t>
            </w:r>
            <w:r>
              <w:rPr>
                <w:sz w:val="21"/>
                <w:color w:val="000000"/>
              </w:rPr>
              <w:t>。</w:t>
            </w:r>
          </w:p>
          <w:p>
            <w:pPr>
              <w:pStyle w:val="null3"/>
            </w:pPr>
            <w:r>
              <w:rPr>
                <w:sz w:val="21"/>
                <w:color w:val="000000"/>
              </w:rPr>
              <w:t>（</w:t>
            </w:r>
            <w:r>
              <w:rPr>
                <w:sz w:val="21"/>
                <w:color w:val="000000"/>
              </w:rPr>
              <w:t>3</w:t>
            </w:r>
            <w:r>
              <w:rPr>
                <w:sz w:val="21"/>
                <w:color w:val="000000"/>
              </w:rPr>
              <w:t>）投标人须按照采购人要求保障项目信息系统正常运转、安全守密需求，提供驻场运维服务，驻场工作人员需遵守采购人的人员管理规章制度。</w:t>
            </w:r>
          </w:p>
          <w:p>
            <w:pPr>
              <w:pStyle w:val="null3"/>
            </w:pPr>
            <w:r>
              <w:rPr>
                <w:sz w:val="21"/>
                <w:color w:val="000000"/>
              </w:rPr>
              <w:t>（</w:t>
            </w:r>
            <w:r>
              <w:rPr>
                <w:sz w:val="21"/>
                <w:color w:val="000000"/>
              </w:rPr>
              <w:t>4</w:t>
            </w:r>
            <w:r>
              <w:rPr>
                <w:sz w:val="21"/>
                <w:color w:val="000000"/>
              </w:rPr>
              <w:t>）投标人为采购人提供</w:t>
            </w:r>
            <w:r>
              <w:rPr>
                <w:sz w:val="21"/>
                <w:color w:val="000000"/>
              </w:rPr>
              <w:t>7x24小时服务，在运维期内中标人必须在2小时内对采购人所提出的系统故障要求响应，并在</w:t>
            </w:r>
            <w:r>
              <w:rPr>
                <w:sz w:val="21"/>
                <w:color w:val="000000"/>
              </w:rPr>
              <w:t>8</w:t>
            </w:r>
            <w:r>
              <w:rPr>
                <w:sz w:val="21"/>
                <w:color w:val="000000"/>
              </w:rPr>
              <w:t>小时内解决系统运行中的问题。</w:t>
            </w:r>
          </w:p>
          <w:p>
            <w:pPr>
              <w:pStyle w:val="null3"/>
            </w:pPr>
            <w:r>
              <w:rPr>
                <w:sz w:val="21"/>
                <w:color w:val="000000"/>
              </w:rPr>
              <w:t>2</w:t>
            </w:r>
            <w:r>
              <w:rPr>
                <w:sz w:val="21"/>
                <w:color w:val="000000"/>
              </w:rPr>
              <w:t>）</w:t>
            </w:r>
            <w:r>
              <w:rPr>
                <w:sz w:val="21"/>
                <w:color w:val="000000"/>
              </w:rPr>
              <w:t>水质自动监测站运行维护服务</w:t>
            </w:r>
          </w:p>
          <w:p>
            <w:pPr>
              <w:pStyle w:val="null3"/>
            </w:pPr>
            <w:r>
              <w:rPr>
                <w:sz w:val="21"/>
                <w:color w:val="000000"/>
              </w:rPr>
              <w:t>（</w:t>
            </w:r>
            <w:r>
              <w:rPr>
                <w:sz w:val="21"/>
                <w:color w:val="000000"/>
              </w:rPr>
              <w:t>1）保证水质自动监测站（包括分析仪器、集成系统）的正常运作，投标人负责设备维修费、人工费、维修人员差旅费、设备备品备件、设备试剂、标准样品费、比对费、采水系统维护费、废液处理费、通讯费及其他相关必要费用等。</w:t>
            </w:r>
          </w:p>
          <w:p>
            <w:pPr>
              <w:pStyle w:val="null3"/>
            </w:pPr>
            <w:r>
              <w:rPr>
                <w:sz w:val="21"/>
                <w:color w:val="000000"/>
              </w:rPr>
              <w:t>（</w:t>
            </w:r>
            <w:r>
              <w:rPr>
                <w:sz w:val="21"/>
                <w:color w:val="000000"/>
              </w:rPr>
              <w:t>2</w:t>
            </w:r>
            <w:r>
              <w:rPr>
                <w:sz w:val="21"/>
                <w:color w:val="000000"/>
              </w:rPr>
              <w:t>）保证数据的采集频率为</w:t>
            </w:r>
            <w:r>
              <w:rPr>
                <w:sz w:val="21"/>
                <w:color w:val="000000"/>
              </w:rPr>
              <w:t>4h/次，采集量必须满足或优于规定的有效性数据的要求，提供真实有效的数据。</w:t>
            </w:r>
          </w:p>
          <w:p>
            <w:pPr>
              <w:pStyle w:val="null3"/>
            </w:pPr>
            <w:r>
              <w:rPr>
                <w:sz w:val="21"/>
                <w:color w:val="000000"/>
              </w:rPr>
              <w:t>（</w:t>
            </w:r>
            <w:r>
              <w:rPr>
                <w:sz w:val="21"/>
                <w:color w:val="000000"/>
              </w:rPr>
              <w:t>3</w:t>
            </w:r>
            <w:r>
              <w:rPr>
                <w:sz w:val="21"/>
                <w:color w:val="000000"/>
              </w:rPr>
              <w:t>）正常运行每天应有</w:t>
            </w:r>
            <w:r>
              <w:rPr>
                <w:sz w:val="21"/>
                <w:color w:val="000000"/>
              </w:rPr>
              <w:t>6组有效数据(每4小时一组数据)。在服务期内，分析指标的月有效数据率不低于90%，总体(按配置全部仪器统计)月有效数据率&gt;90%。(冰冻天气等不可抗力不在考核范围内)。</w:t>
            </w:r>
          </w:p>
          <w:p>
            <w:pPr>
              <w:pStyle w:val="null3"/>
            </w:pPr>
            <w:r>
              <w:rPr>
                <w:sz w:val="21"/>
                <w:color w:val="000000"/>
              </w:rPr>
              <w:t>（</w:t>
            </w:r>
            <w:r>
              <w:rPr>
                <w:sz w:val="21"/>
                <w:color w:val="000000"/>
              </w:rPr>
              <w:t>4</w:t>
            </w:r>
            <w:r>
              <w:rPr>
                <w:sz w:val="21"/>
                <w:color w:val="000000"/>
              </w:rPr>
              <w:t>）每月至少对水站运行条件和各类仪器设备状况进行</w:t>
            </w:r>
            <w:r>
              <w:rPr>
                <w:sz w:val="21"/>
                <w:color w:val="000000"/>
              </w:rPr>
              <w:t>1次例行检查，及时发现并排除发生的故障和存在的安全隐患，并开展仪器清洗维护等工作。</w:t>
            </w:r>
          </w:p>
          <w:p>
            <w:pPr>
              <w:pStyle w:val="null3"/>
            </w:pPr>
            <w:r>
              <w:rPr>
                <w:sz w:val="21"/>
                <w:color w:val="000000"/>
              </w:rPr>
              <w:t>（</w:t>
            </w:r>
            <w:r>
              <w:rPr>
                <w:sz w:val="21"/>
                <w:color w:val="000000"/>
              </w:rPr>
              <w:t>5</w:t>
            </w:r>
            <w:r>
              <w:rPr>
                <w:sz w:val="21"/>
                <w:color w:val="000000"/>
              </w:rPr>
              <w:t>）在例行检查之外，增加：检查采配水系统，包括检查取水口、清除采水设备四周杂物和检查配水管路工作情况等，并根据污染情况对采配水系统进行必要的清洗；检查控制系统的供电输出是否符合技术要求，突发异常情况须及时排查；检查控制系统是否运行正常，记录数据是否与系统设置保持一致。</w:t>
            </w:r>
          </w:p>
          <w:p>
            <w:pPr>
              <w:pStyle w:val="null3"/>
            </w:pPr>
            <w:r>
              <w:rPr>
                <w:sz w:val="21"/>
                <w:color w:val="000000"/>
              </w:rPr>
              <w:t>（</w:t>
            </w:r>
            <w:r>
              <w:rPr>
                <w:sz w:val="21"/>
                <w:color w:val="000000"/>
              </w:rPr>
              <w:t>6</w:t>
            </w:r>
            <w:r>
              <w:rPr>
                <w:sz w:val="21"/>
                <w:color w:val="000000"/>
              </w:rPr>
              <w:t>）每年对水质自动监测站进行一次全面的检查保养和隐患排除，更换已到期或性能不能满足要求的各类分析仪零配件。</w:t>
            </w:r>
          </w:p>
          <w:p>
            <w:pPr>
              <w:pStyle w:val="null3"/>
            </w:pPr>
            <w:r>
              <w:rPr>
                <w:sz w:val="21"/>
                <w:color w:val="000000"/>
              </w:rPr>
              <w:t>（</w:t>
            </w:r>
            <w:r>
              <w:rPr>
                <w:sz w:val="21"/>
                <w:color w:val="000000"/>
              </w:rPr>
              <w:t>7</w:t>
            </w:r>
            <w:r>
              <w:rPr>
                <w:sz w:val="21"/>
                <w:color w:val="000000"/>
              </w:rPr>
              <w:t>）运营管理过程中的质量控制措施，应根据水质自动监测工作任务，制定质量控制工作计划，严格按照计划开展水站的日常质量控制工作并作好相关记录，年底对全年水站质量控制工作完成情况进行全面总结。</w:t>
            </w:r>
          </w:p>
          <w:p>
            <w:pPr>
              <w:pStyle w:val="null3"/>
            </w:pPr>
            <w:r>
              <w:rPr>
                <w:sz w:val="21"/>
                <w:color w:val="000000"/>
              </w:rPr>
              <w:t>3</w:t>
            </w:r>
            <w:r>
              <w:rPr>
                <w:sz w:val="21"/>
                <w:color w:val="000000"/>
              </w:rPr>
              <w:t>）</w:t>
            </w:r>
            <w:r>
              <w:rPr>
                <w:sz w:val="21"/>
                <w:color w:val="000000"/>
              </w:rPr>
              <w:t>流量实时监测设备运行维护服务</w:t>
            </w:r>
          </w:p>
          <w:p>
            <w:pPr>
              <w:pStyle w:val="null3"/>
            </w:pPr>
            <w:r>
              <w:rPr>
                <w:sz w:val="21"/>
                <w:color w:val="000000"/>
              </w:rPr>
              <w:t>（</w:t>
            </w:r>
            <w:r>
              <w:rPr>
                <w:sz w:val="21"/>
                <w:color w:val="000000"/>
              </w:rPr>
              <w:t>1）保证流量实时监测设备的正常运作，投标人负责设备维修费人工费、维修人员差旅费、设备备品备件、系统维护，网络通讯费用。</w:t>
            </w:r>
          </w:p>
          <w:p>
            <w:pPr>
              <w:pStyle w:val="null3"/>
            </w:pPr>
            <w:r>
              <w:rPr>
                <w:sz w:val="21"/>
                <w:color w:val="000000"/>
              </w:rPr>
              <w:t>（</w:t>
            </w:r>
            <w:r>
              <w:rPr>
                <w:sz w:val="21"/>
                <w:color w:val="000000"/>
              </w:rPr>
              <w:t>2</w:t>
            </w:r>
            <w:r>
              <w:rPr>
                <w:sz w:val="21"/>
                <w:color w:val="000000"/>
              </w:rPr>
              <w:t>）投标人每日统计流量实时监测设备在线率，确保设备处于正常工作状态，生成设备在线率报表。</w:t>
            </w:r>
          </w:p>
          <w:p>
            <w:pPr>
              <w:pStyle w:val="null3"/>
            </w:pPr>
            <w:r>
              <w:rPr>
                <w:sz w:val="21"/>
                <w:color w:val="000000"/>
              </w:rPr>
              <w:t>（</w:t>
            </w:r>
            <w:r>
              <w:rPr>
                <w:sz w:val="21"/>
                <w:color w:val="000000"/>
              </w:rPr>
              <w:t>3</w:t>
            </w:r>
            <w:r>
              <w:rPr>
                <w:sz w:val="21"/>
                <w:color w:val="000000"/>
              </w:rPr>
              <w:t>）每月对流量实时监测设备进行</w:t>
            </w:r>
            <w:r>
              <w:rPr>
                <w:sz w:val="21"/>
                <w:color w:val="000000"/>
              </w:rPr>
              <w:t>1次全面巡检，检查设备外观、接头、安装牢固性等，对1个月内的运行数据进行总结分析。</w:t>
            </w:r>
          </w:p>
          <w:p>
            <w:pPr>
              <w:pStyle w:val="null3"/>
            </w:pPr>
            <w:r>
              <w:rPr>
                <w:sz w:val="21"/>
                <w:color w:val="000000"/>
              </w:rPr>
              <w:t>（</w:t>
            </w:r>
            <w:r>
              <w:rPr>
                <w:sz w:val="21"/>
                <w:color w:val="000000"/>
              </w:rPr>
              <w:t>4</w:t>
            </w:r>
            <w:r>
              <w:rPr>
                <w:sz w:val="21"/>
                <w:color w:val="000000"/>
              </w:rPr>
              <w:t>）每季度对设备进行深度维护与检查，对容易老化的设备部件及时更换、维修，</w:t>
            </w:r>
            <w:r>
              <w:rPr>
                <w:sz w:val="21"/>
                <w:color w:val="000000"/>
              </w:rPr>
              <w:t>清理设备内部积尘，</w:t>
            </w:r>
            <w:r>
              <w:rPr>
                <w:sz w:val="21"/>
                <w:color w:val="000000"/>
              </w:rPr>
              <w:t>对流量计进行校准。</w:t>
            </w:r>
          </w:p>
          <w:p>
            <w:pPr>
              <w:pStyle w:val="null3"/>
            </w:pPr>
            <w:r>
              <w:rPr>
                <w:sz w:val="21"/>
                <w:color w:val="000000"/>
              </w:rPr>
              <w:t>4</w:t>
            </w:r>
            <w:r>
              <w:rPr>
                <w:sz w:val="21"/>
                <w:color w:val="000000"/>
              </w:rPr>
              <w:t>）</w:t>
            </w:r>
            <w:r>
              <w:rPr>
                <w:sz w:val="21"/>
                <w:color w:val="000000"/>
              </w:rPr>
              <w:t>视频监控设备运行维护服务</w:t>
            </w:r>
          </w:p>
          <w:p>
            <w:pPr>
              <w:pStyle w:val="null3"/>
            </w:pPr>
            <w:r>
              <w:rPr>
                <w:sz w:val="21"/>
                <w:color w:val="000000"/>
              </w:rPr>
              <w:t>（</w:t>
            </w:r>
            <w:r>
              <w:rPr>
                <w:sz w:val="21"/>
                <w:color w:val="000000"/>
              </w:rPr>
              <w:t>1）保证视频监控设备的正常运作，投标人负责设备维修费人工费、维修人员差旅费、设备备品备件、系统维护，流量通讯费用。</w:t>
            </w:r>
          </w:p>
          <w:p>
            <w:pPr>
              <w:pStyle w:val="null3"/>
            </w:pPr>
            <w:r>
              <w:rPr>
                <w:sz w:val="21"/>
                <w:color w:val="000000"/>
              </w:rPr>
              <w:t>（</w:t>
            </w:r>
            <w:r>
              <w:rPr>
                <w:sz w:val="21"/>
                <w:color w:val="000000"/>
              </w:rPr>
              <w:t>2</w:t>
            </w:r>
            <w:r>
              <w:rPr>
                <w:sz w:val="21"/>
                <w:color w:val="000000"/>
              </w:rPr>
              <w:t>）负责运维过程中除不可抗拒因素</w:t>
            </w:r>
            <w:r>
              <w:rPr>
                <w:sz w:val="21"/>
                <w:color w:val="000000"/>
              </w:rPr>
              <w:t>(如自然灾害等)外产生的所有零配件及耗品耗材的更换。</w:t>
            </w:r>
          </w:p>
          <w:p>
            <w:pPr>
              <w:pStyle w:val="null3"/>
            </w:pPr>
            <w:r>
              <w:rPr>
                <w:sz w:val="21"/>
                <w:color w:val="000000"/>
              </w:rPr>
              <w:t>（</w:t>
            </w:r>
            <w:r>
              <w:rPr>
                <w:sz w:val="21"/>
                <w:color w:val="000000"/>
              </w:rPr>
              <w:t>3</w:t>
            </w:r>
            <w:r>
              <w:rPr>
                <w:sz w:val="21"/>
                <w:color w:val="000000"/>
              </w:rPr>
              <w:t>）配合采购人，做好接受各级管理部门的检査、监督工作，并无偿提供与其工作有关的资料、信息等。</w:t>
            </w:r>
          </w:p>
          <w:p>
            <w:pPr>
              <w:pStyle w:val="null3"/>
            </w:pPr>
            <w:r>
              <w:rPr>
                <w:sz w:val="21"/>
                <w:color w:val="000000"/>
              </w:rPr>
              <w:t>（</w:t>
            </w:r>
            <w:r>
              <w:rPr>
                <w:sz w:val="21"/>
                <w:color w:val="000000"/>
              </w:rPr>
              <w:t>4</w:t>
            </w:r>
            <w:r>
              <w:rPr>
                <w:sz w:val="21"/>
                <w:color w:val="000000"/>
              </w:rPr>
              <w:t>）每日统计视频监控前端设备在线率，生成视频在线率报表。</w:t>
            </w:r>
          </w:p>
          <w:p>
            <w:pPr>
              <w:pStyle w:val="null3"/>
            </w:pPr>
            <w:r>
              <w:rPr>
                <w:sz w:val="21"/>
                <w:color w:val="000000"/>
              </w:rPr>
              <w:t>（</w:t>
            </w:r>
            <w:r>
              <w:rPr>
                <w:sz w:val="21"/>
                <w:color w:val="000000"/>
              </w:rPr>
              <w:t>5</w:t>
            </w:r>
            <w:r>
              <w:rPr>
                <w:sz w:val="21"/>
                <w:color w:val="000000"/>
              </w:rPr>
              <w:t>）定期进行人工巡查，确保及时发现问题，并按照故障处理办法进行处理，恢复设备正常运行。</w:t>
            </w:r>
          </w:p>
          <w:p>
            <w:pPr>
              <w:pStyle w:val="null3"/>
            </w:pPr>
            <w:r>
              <w:rPr>
                <w:sz w:val="21"/>
                <w:color w:val="000000"/>
              </w:rPr>
              <w:t>（</w:t>
            </w:r>
            <w:r>
              <w:rPr>
                <w:sz w:val="21"/>
                <w:color w:val="000000"/>
              </w:rPr>
              <w:t>6</w:t>
            </w:r>
            <w:r>
              <w:rPr>
                <w:sz w:val="21"/>
                <w:color w:val="000000"/>
              </w:rPr>
              <w:t>）每月至少对所有录像资料进行一次回放测试，检查监控系统录像是否正常。</w:t>
            </w:r>
          </w:p>
          <w:p>
            <w:pPr>
              <w:pStyle w:val="null3"/>
            </w:pPr>
            <w:r>
              <w:rPr>
                <w:sz w:val="21"/>
                <w:color w:val="000000"/>
              </w:rPr>
              <w:t>（</w:t>
            </w:r>
            <w:r>
              <w:rPr>
                <w:sz w:val="21"/>
                <w:color w:val="000000"/>
              </w:rPr>
              <w:t>7</w:t>
            </w:r>
            <w:r>
              <w:rPr>
                <w:sz w:val="21"/>
                <w:color w:val="000000"/>
              </w:rPr>
              <w:t>）每季度对所有视频监控前端设备（摄像机、杆体、基础、箱体等）到现场进行全面检查，确保设备正常稳定工作。具体巡检频率应结合使用过程中的具体要求相应的调整。</w:t>
            </w:r>
          </w:p>
          <w:p>
            <w:pPr>
              <w:pStyle w:val="null3"/>
            </w:pPr>
            <w:r>
              <w:rPr>
                <w:sz w:val="21"/>
                <w:color w:val="000000"/>
              </w:rPr>
              <w:t>（</w:t>
            </w:r>
            <w:r>
              <w:rPr>
                <w:sz w:val="21"/>
                <w:color w:val="000000"/>
              </w:rPr>
              <w:t>8）在日常巡查维护过程中，若发现设备出现故障不能正常工作，应立即组织力量进行问题确认、排查故障和修复。修复工作应该在出现故障后48小时内完成，若不能及时修复，在确定无法解决后，用不低于原规格型号的备机替代。</w:t>
            </w:r>
          </w:p>
          <w:p>
            <w:pPr>
              <w:pStyle w:val="null3"/>
            </w:pPr>
            <w:r>
              <w:rPr>
                <w:sz w:val="21"/>
                <w:b/>
                <w:color w:val="000000"/>
              </w:rPr>
              <w:t>（七）服务团队人员要求：</w:t>
            </w:r>
          </w:p>
          <w:p>
            <w:pPr>
              <w:pStyle w:val="null3"/>
            </w:pPr>
            <w:r>
              <w:rPr>
                <w:sz w:val="21"/>
                <w:color w:val="000000"/>
                <w:u w:val="single"/>
              </w:rPr>
              <w:t>1</w:t>
            </w:r>
            <w:r>
              <w:rPr>
                <w:sz w:val="21"/>
                <w:color w:val="000000"/>
              </w:rPr>
              <w:t>）</w:t>
            </w:r>
            <w:r>
              <w:rPr>
                <w:sz w:val="21"/>
                <w:color w:val="000000"/>
              </w:rPr>
              <w:t>中标人需提供专业化的服务团队，除包含项目负责人外，包含但不限于：</w:t>
            </w:r>
            <w:r>
              <w:rPr>
                <w:sz w:val="21"/>
                <w:color w:val="000000"/>
              </w:rPr>
              <w:t>技术负责人、</w:t>
            </w:r>
            <w:r>
              <w:rPr>
                <w:sz w:val="21"/>
                <w:color w:val="000000"/>
              </w:rPr>
              <w:t>需求分析人员、程序设计人员、项目实施人员、程序编码人员、系统集成人员、测试人员、项目安全负责人员、质量保证人员、运行维护人员、用户培训人员等，整个服务团队不少于</w:t>
            </w:r>
            <w:r>
              <w:rPr>
                <w:sz w:val="21"/>
                <w:color w:val="000000"/>
              </w:rPr>
              <w:t>15</w:t>
            </w:r>
            <w:r>
              <w:rPr>
                <w:sz w:val="21"/>
                <w:color w:val="000000"/>
              </w:rPr>
              <w:t>人。</w:t>
            </w:r>
          </w:p>
          <w:p>
            <w:pPr>
              <w:pStyle w:val="null3"/>
            </w:pPr>
            <w:r>
              <w:rPr>
                <w:sz w:val="21"/>
                <w:color w:val="000000"/>
              </w:rPr>
              <w:t>2</w:t>
            </w:r>
            <w:r>
              <w:rPr>
                <w:sz w:val="21"/>
                <w:color w:val="000000"/>
              </w:rPr>
              <w:t>）</w:t>
            </w:r>
            <w:r>
              <w:rPr>
                <w:sz w:val="21"/>
                <w:color w:val="000000"/>
              </w:rPr>
              <w:t>中标人需提供不少于</w:t>
            </w:r>
            <w:r>
              <w:rPr>
                <w:sz w:val="21"/>
                <w:color w:val="000000"/>
              </w:rPr>
              <w:t>1人的专业驻场运维服务。</w:t>
            </w:r>
          </w:p>
        </w:tc>
      </w:tr>
      <w:tr>
        <w:tc>
          <w:tcPr>
            <w:tcW w:type="dxa" w:w="2076"/>
          </w:tcPr>
          <w:p/>
        </w:tc>
        <w:tc>
          <w:tcPr>
            <w:tcW w:type="dxa" w:w="415"/>
          </w:tcPr>
          <w:p>
            <w:pPr>
              <w:pStyle w:val="null3"/>
            </w:pPr>
            <w:r>
              <w:rPr/>
              <w:t>2</w:t>
            </w:r>
          </w:p>
        </w:tc>
        <w:tc>
          <w:tcPr>
            <w:tcW w:type="dxa" w:w="5814"/>
          </w:tcPr>
          <w:p>
            <w:pPr>
              <w:pStyle w:val="null3"/>
            </w:pPr>
            <w:r>
              <w:rPr>
                <w:b/>
              </w:rPr>
              <w:t>2、成果验收要求</w:t>
            </w:r>
          </w:p>
          <w:p>
            <w:pPr>
              <w:pStyle w:val="null3"/>
            </w:pPr>
            <w:r>
              <w:rPr/>
              <w:t>项目成果交付需要满足本项目交付成果要求，以下为本项目执行中比较重要的过程文档，最终交付成果不限于以下文档。</w:t>
            </w:r>
          </w:p>
          <w:p>
            <w:pPr>
              <w:pStyle w:val="null3"/>
            </w:pPr>
            <w:r>
              <w:rPr/>
              <w:t>（一）基础设备集成建设的验收要求</w:t>
            </w:r>
          </w:p>
          <w:p>
            <w:pPr>
              <w:pStyle w:val="null3"/>
            </w:pPr>
            <w:r>
              <w:rPr/>
              <w:t>软件部分：入河排污口综合管理平台1套，入河排污口综合管理平台相关验收文档1套：包括《需求规格说明书》、《系统详细设计说明书》、《数据库设计说明书》、《系统平台用户手册》、《安装配置手册》、《二级等保测评报告》、第三方专业机构出具的《系统测评报告》、等。</w:t>
            </w:r>
          </w:p>
          <w:p>
            <w:pPr>
              <w:pStyle w:val="null3"/>
            </w:pPr>
            <w:r>
              <w:rPr/>
              <w:t>配套硬件部分：验收合格的入河排污口标识牌392套、验收合格的入河排污口水质自动监测站8套、验收合格的入河排污口流量实时监测设备15套、验收合格的入河排污口视频监控设备38套以及硬件设备安装所有资料。</w:t>
            </w:r>
          </w:p>
          <w:p>
            <w:pPr>
              <w:pStyle w:val="null3"/>
            </w:pPr>
            <w:r>
              <w:rPr/>
              <w:t>(二)监测3年的数据汇总及分析成果的交付内容验收要求： 仁化县入河排污口3年的水质监测数据和分析报告。</w:t>
            </w:r>
          </w:p>
        </w:tc>
      </w:tr>
      <w:tr>
        <w:tc>
          <w:tcPr>
            <w:tcW w:type="dxa" w:w="2076"/>
          </w:tcPr>
          <w:p/>
        </w:tc>
        <w:tc>
          <w:tcPr>
            <w:tcW w:type="dxa" w:w="415"/>
          </w:tcPr>
          <w:p>
            <w:pPr>
              <w:pStyle w:val="null3"/>
            </w:pPr>
            <w:r>
              <w:rPr/>
              <w:t>3</w:t>
            </w:r>
          </w:p>
        </w:tc>
        <w:tc>
          <w:tcPr>
            <w:tcW w:type="dxa" w:w="5814"/>
          </w:tcPr>
          <w:p>
            <w:pPr>
              <w:pStyle w:val="null3"/>
            </w:pPr>
            <w:r>
              <w:rPr>
                <w:b/>
              </w:rPr>
              <w:t>3、培训要求</w:t>
            </w:r>
          </w:p>
          <w:p>
            <w:pPr>
              <w:pStyle w:val="null3"/>
            </w:pPr>
            <w:r>
              <w:rPr/>
              <w:t>投标人应提供切实可行的项目培训方案及培训保障措施，形成完整的培训人员组织，并提供详细的培训计划。</w:t>
            </w:r>
          </w:p>
          <w:p>
            <w:pPr>
              <w:pStyle w:val="null3"/>
            </w:pPr>
            <w:r>
              <w:rPr/>
              <w:t>投标人须针对不同用户对象制定针对性培训课程，培训内容包括系统基础培训、软件功能使用培训、运行维护培训等。</w:t>
            </w:r>
          </w:p>
          <w:p>
            <w:pPr>
              <w:pStyle w:val="null3"/>
            </w:pPr>
            <w:r>
              <w:rPr/>
              <w:t>集成系统中控培训内容：平台系统建设架构、系统集成实施流程、集成系统中控操作。</w:t>
            </w:r>
          </w:p>
          <w:p>
            <w:pPr>
              <w:pStyle w:val="null3"/>
            </w:pPr>
            <w:r>
              <w:rPr/>
              <w:t>各项设备使用培训内容：视频监控设备的原理及介绍、水质自动监测站设备的原理及介绍、流量实时监测设备的原理及介绍。</w:t>
            </w:r>
          </w:p>
          <w:p>
            <w:pPr>
              <w:pStyle w:val="null3"/>
            </w:pPr>
            <w:r>
              <w:rPr/>
              <w:t>数据监测及分析使用培训：综合监管平台各应用系统综合查询和统计分析功能的使用及展示、综合监管平台基本维护及常见故障的诊断和排除、成果数据审核、移动门户的操作。</w:t>
            </w:r>
          </w:p>
        </w:tc>
      </w:tr>
      <w:tr>
        <w:tc>
          <w:tcPr>
            <w:tcW w:type="dxa" w:w="2076"/>
          </w:tcPr>
          <w:p/>
        </w:tc>
        <w:tc>
          <w:tcPr>
            <w:tcW w:type="dxa" w:w="415"/>
          </w:tcPr>
          <w:p>
            <w:pPr>
              <w:pStyle w:val="null3"/>
            </w:pPr>
            <w:r>
              <w:rPr/>
              <w:t>4</w:t>
            </w:r>
          </w:p>
        </w:tc>
        <w:tc>
          <w:tcPr>
            <w:tcW w:type="dxa" w:w="5814"/>
          </w:tcPr>
          <w:p>
            <w:pPr>
              <w:pStyle w:val="null3"/>
            </w:pPr>
            <w:r>
              <w:rPr>
                <w:b/>
              </w:rPr>
              <w:t>4、运维服务要求</w:t>
            </w:r>
          </w:p>
          <w:p>
            <w:pPr>
              <w:pStyle w:val="null3"/>
            </w:pPr>
            <w:r>
              <w:rPr/>
              <w:t>本项目建成后，中标单位需提供3年运维服务，包含系统平台和硬件设备的运行维护。中标单位需配合用户完成系统平台的日常巡检、功能维护、数据备份等工作；对水质自动监测站、流量实时监测设备、视频监控设备进行日常维护、故障维修、易损部件的更换等工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1.采购代理机构：本项目是指中昕国际项目管理有限公司，负责整个采购活动的组织，依法负责编制和发布招标文件，对招标文件拥有最终的解释权，不以任何身份出任评标委员会成员。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韶关市生态环境局仁化分局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采购机构代理服务收费标准：按照国家计委颁布的《招标代理服务收费管理暂行办法》(计价格 [2002]1980号)的规定标准收取代理服务费。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中昕国际项目管理有限公司</w:t>
      </w:r>
      <w:r>
        <w:rPr/>
        <w:t>代收。具体操作要求详见</w:t>
      </w:r>
      <w:r>
        <w:rPr/>
        <w:t>中昕国际项目管理有限公司</w:t>
      </w:r>
      <w:r>
        <w:rPr/>
        <w:t>有关指引，递交事宜请自行咨询</w:t>
      </w:r>
      <w:r>
        <w:rPr/>
        <w:t>中昕国际项目管理有限公司</w:t>
      </w:r>
      <w:r>
        <w:rPr/>
        <w:t>；请各投标人在投标文件递交截止时间前按须知前附表规定的金额递交至</w:t>
      </w:r>
      <w:r>
        <w:rPr/>
        <w:t>中昕国际项目管理有限公司</w:t>
      </w:r>
      <w:r>
        <w:rPr/>
        <w:t>，到账情况以开标时</w:t>
      </w:r>
      <w:r>
        <w:rPr/>
        <w:t>中昕国际项目管理有限公司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中昕国际项目管理有限公司</w:t>
      </w:r>
    </w:p>
    <w:p>
      <w:pPr>
        <w:pStyle w:val="null3"/>
        <w:ind w:firstLine="480"/>
      </w:pPr>
      <w:r>
        <w:rPr/>
        <w:t>电话：</w:t>
      </w:r>
      <w:r>
        <w:rPr/>
        <w:t>0751-6283818</w:t>
      </w:r>
    </w:p>
    <w:p>
      <w:pPr>
        <w:pStyle w:val="null3"/>
        <w:ind w:firstLine="480"/>
      </w:pPr>
      <w:r>
        <w:rPr/>
        <w:t>传真：</w:t>
      </w:r>
      <w:r>
        <w:rPr/>
        <w:t>6283818</w:t>
      </w:r>
    </w:p>
    <w:p>
      <w:pPr>
        <w:pStyle w:val="null3"/>
        <w:ind w:firstLine="480"/>
      </w:pPr>
      <w:r>
        <w:rPr/>
        <w:t>邮箱：</w:t>
      </w:r>
      <w:r>
        <w:rPr/>
        <w:t>zxgj6283818@163.com</w:t>
      </w:r>
    </w:p>
    <w:p>
      <w:pPr>
        <w:pStyle w:val="null3"/>
        <w:ind w:firstLine="480"/>
      </w:pPr>
      <w:r>
        <w:rPr/>
        <w:t>地址：</w:t>
      </w:r>
      <w:r>
        <w:rPr/>
        <w:t>韶关市仁化县丹霞新城沁潼园F区阳光里3幢22号铺</w:t>
      </w:r>
    </w:p>
    <w:p>
      <w:pPr>
        <w:pStyle w:val="null3"/>
        <w:ind w:firstLine="480"/>
      </w:pPr>
      <w:r>
        <w:rPr/>
        <w:t>邮编：</w:t>
      </w:r>
      <w:r>
        <w:rPr/>
        <w:t>512300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政府采购监督管理机构名称：韶关市财政局</w:t>
      </w:r>
    </w:p>
    <w:p>
      <w:pPr>
        <w:pStyle w:val="null3"/>
      </w:pPr>
      <w:r>
        <w:rPr/>
        <w:t>地 址：韶关市武江区惠民北路18号</w:t>
      </w:r>
    </w:p>
    <w:p>
      <w:pPr>
        <w:pStyle w:val="null3"/>
      </w:pPr>
      <w:r>
        <w:rPr/>
        <w:t>电 话：0751-8177227</w:t>
      </w:r>
    </w:p>
    <w:p>
      <w:pPr>
        <w:pStyle w:val="null3"/>
      </w:pPr>
      <w:r>
        <w:rPr/>
        <w:t>邮 编：512000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仁化县入河排污口规范化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中昕国际项目管理有限公司</w:t>
      </w:r>
      <w:r>
        <w:rPr/>
        <w:t>统一对外发布。</w:t>
      </w:r>
    </w:p>
    <w:p>
      <w:pPr>
        <w:pStyle w:val="null3"/>
        <w:ind w:firstLine="480"/>
      </w:pPr>
      <w:r>
        <w:rPr/>
        <w:t>（2）对</w:t>
      </w:r>
      <w:r>
        <w:rPr/>
        <w:t>中昕国际项目管理有限公司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采购包1（仁化县入河排污口规范化建设项目）：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采购包1（仁化县入河排污口规范化建设项目）：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采购包1（仁化县入河排污口规范化建设项目）：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投标报价唯一确定、有效合理，未超过最高限价</w:t>
            </w:r>
          </w:p>
        </w:tc>
        <w:tc>
          <w:tcPr>
            <w:tcW w:type="dxa" w:w="4238"/>
          </w:tcPr>
          <w:p>
            <w:pPr>
              <w:pStyle w:val="null3"/>
            </w:pPr>
            <w:r>
              <w:rPr/>
              <w:t>投标报价（含单价报价，如有要求）唯一确定、有效合理，未超过最高限价；</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投标有效期为从提交投标（响应）文件的截止之日起90日历天；</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按招标文件要求提供法定代表人（负责人）证明及授权书的；</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按照招标文件规定要求签署、盖章；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招标文件规定的无效投标条款</w:t>
            </w:r>
          </w:p>
        </w:tc>
        <w:tc>
          <w:tcPr>
            <w:tcW w:type="dxa" w:w="4238"/>
          </w:tcPr>
          <w:p>
            <w:pPr>
              <w:pStyle w:val="null3"/>
            </w:pPr>
            <w:r>
              <w:rPr/>
              <w:t>没有招标文件中规定的其他无效投标条款的。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采购包1(仁化县入河排污口规范化建设项目):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 (20.0分)</w:t>
            </w:r>
          </w:p>
        </w:tc>
        <w:tc>
          <w:tcPr>
            <w:tcW w:type="dxa" w:w="5076"/>
          </w:tcPr>
          <w:p>
            <w:pPr>
              <w:pStyle w:val="null3"/>
              <w:jc w:val="left"/>
            </w:pPr>
            <w:r>
              <w:rPr/>
              <w:t>1.起评分：有效投标人的起评分为20分。 2.扣分条款：投标文件投标应答有一条不满足项目采购需求部分中的重要技术需求（需求中带“▲”号标注的部分），从起评分中扣除1分，扣完为止。 注：投标人需按《采购需求》要求提供证明材料并加盖公章，如检测报告的参数和仪器技术参数不能满足采购需求的技术参数的不得分，未按要求提供证明材料的不得分。</w:t>
            </w:r>
          </w:p>
        </w:tc>
      </w:tr>
      <w:tr>
        <w:tc>
          <w:tcPr>
            <w:tcW w:type="dxa" w:w="922"/>
            <w:gridSpan w:val="2"/>
            <w:vMerge/>
          </w:tcPr>
          <w:p/>
        </w:tc>
        <w:tc>
          <w:tcPr>
            <w:tcW w:type="dxa" w:w="2307"/>
          </w:tcPr>
          <w:p>
            <w:pPr>
              <w:pStyle w:val="null3"/>
              <w:jc w:val="left"/>
            </w:pPr>
            <w:r>
              <w:rPr/>
              <w:t>项目技术方案（一） (3.0分)</w:t>
            </w:r>
          </w:p>
        </w:tc>
        <w:tc>
          <w:tcPr>
            <w:tcW w:type="dxa" w:w="5076"/>
          </w:tcPr>
          <w:p>
            <w:pPr>
              <w:pStyle w:val="null3"/>
              <w:jc w:val="left"/>
            </w:pPr>
            <w:r>
              <w:rPr/>
              <w:t>评标委员会根据投标人提供的项目技术方案进行评审，方案应包括： (1)需求分析； (2)总体设计； (3)入河排污口数据资源整合共享功能设计； (4)入河排口综合管理系统功能设计； (5)入河排污口综合展示系统功能设计； (6)入河排污口移动应用功能设计。 提供全部内容得3分，每缺1项扣0.5分。</w:t>
            </w:r>
          </w:p>
        </w:tc>
      </w:tr>
      <w:tr>
        <w:tc>
          <w:tcPr>
            <w:tcW w:type="dxa" w:w="922"/>
            <w:gridSpan w:val="2"/>
            <w:vMerge/>
          </w:tcPr>
          <w:p/>
        </w:tc>
        <w:tc>
          <w:tcPr>
            <w:tcW w:type="dxa" w:w="2307"/>
          </w:tcPr>
          <w:p>
            <w:pPr>
              <w:pStyle w:val="null3"/>
              <w:jc w:val="left"/>
            </w:pPr>
            <w:r>
              <w:rPr/>
              <w:t>项目技术方案（二） (9.0分)</w:t>
            </w:r>
          </w:p>
        </w:tc>
        <w:tc>
          <w:tcPr>
            <w:tcW w:type="dxa" w:w="5076"/>
          </w:tcPr>
          <w:p>
            <w:pPr>
              <w:pStyle w:val="null3"/>
              <w:jc w:val="left"/>
            </w:pPr>
            <w:r>
              <w:rPr/>
              <w:t>评标委员会根据投标人提供的项目技术方案（一）详细内容进行综合评审： （1）方案全面、合理科学、针对性强，分析全面且准确，设计方案合理、逻辑性强、可直接执行，有利于实现本项目服务效果的，得9分； （2）方案全面、合理且具有针对性，分析全面到位，设计方案合理有逻辑性且具有一定的可行性，能基本实现本项目服务效果的，得6分； （3）方案缺乏合理性、具有部分针对性，分析部分到位，设计方案有逻辑性但执行难度大，只能保证本项目部分服务效果的，得3分； （4）方案不合理或不具有针对性，分析有偏差，设计方案缺乏逻辑性或无法执行，无法保障本项目服务效果的，得1分； （5）未提供相关内容不得分。</w:t>
            </w:r>
          </w:p>
        </w:tc>
      </w:tr>
      <w:tr>
        <w:tc>
          <w:tcPr>
            <w:tcW w:type="dxa" w:w="922"/>
            <w:gridSpan w:val="2"/>
            <w:vMerge/>
          </w:tcPr>
          <w:p/>
        </w:tc>
        <w:tc>
          <w:tcPr>
            <w:tcW w:type="dxa" w:w="2307"/>
          </w:tcPr>
          <w:p>
            <w:pPr>
              <w:pStyle w:val="null3"/>
              <w:jc w:val="left"/>
            </w:pPr>
            <w:r>
              <w:rPr/>
              <w:t>项目实施方案（一） (3.0分)</w:t>
            </w:r>
          </w:p>
        </w:tc>
        <w:tc>
          <w:tcPr>
            <w:tcW w:type="dxa" w:w="5076"/>
          </w:tcPr>
          <w:p>
            <w:pPr>
              <w:pStyle w:val="null3"/>
              <w:jc w:val="left"/>
            </w:pPr>
            <w:r>
              <w:rPr/>
              <w:t>评标委员会根据投标人提供的项目实施方案进行评审，方案应包括： (1)项目进度计划安排； (2)项目质量保障措施； (3)项目进度保障措施； (4)项目人员配备方案； (5)项目安全保障措施 配送计划。 提供全部内容得3分，每缺1项扣0.5分。</w:t>
            </w:r>
          </w:p>
        </w:tc>
      </w:tr>
      <w:tr>
        <w:tc>
          <w:tcPr>
            <w:tcW w:type="dxa" w:w="922"/>
            <w:gridSpan w:val="2"/>
            <w:vMerge/>
          </w:tcPr>
          <w:p/>
        </w:tc>
        <w:tc>
          <w:tcPr>
            <w:tcW w:type="dxa" w:w="2307"/>
          </w:tcPr>
          <w:p>
            <w:pPr>
              <w:pStyle w:val="null3"/>
              <w:jc w:val="left"/>
            </w:pPr>
            <w:r>
              <w:rPr/>
              <w:t>项目实施方案（二） (9.0分)</w:t>
            </w:r>
          </w:p>
        </w:tc>
        <w:tc>
          <w:tcPr>
            <w:tcW w:type="dxa" w:w="5076"/>
          </w:tcPr>
          <w:p>
            <w:pPr>
              <w:pStyle w:val="null3"/>
              <w:jc w:val="left"/>
            </w:pPr>
            <w:r>
              <w:rPr/>
              <w:t>评标委员会根据投标人提供的项目实施方案（一）详细内容进行综合评审： （1）方案全面、合理科学、针对性强，措施合理、逻辑性强、可直接执行，有利于实现本项目服务效果的，得9分； （2）方案全面、合理且具有针对性，设计方案合理有逻辑性且具有一定的可行性，能基本实现本项目服务效果的，得6分； （3）方案缺乏合理性、具有部分针对性，设计方案有逻辑性但执行难度大，只能保证本项目部分服务效果的，得3分； （4）方案不合理或不具有针对性，设计方案缺乏逻辑性或无法执行，无法保障本项目服务效果的，得1分； （5）未提供相关内容不得分。</w:t>
            </w:r>
          </w:p>
        </w:tc>
      </w:tr>
      <w:tr>
        <w:tc>
          <w:tcPr>
            <w:tcW w:type="dxa" w:w="922"/>
            <w:gridSpan w:val="2"/>
            <w:vMerge/>
          </w:tcPr>
          <w:p/>
        </w:tc>
        <w:tc>
          <w:tcPr>
            <w:tcW w:type="dxa" w:w="2307"/>
          </w:tcPr>
          <w:p>
            <w:pPr>
              <w:pStyle w:val="null3"/>
              <w:jc w:val="left"/>
            </w:pPr>
            <w:r>
              <w:rPr/>
              <w:t>售后服务方案（一） (2.0分)</w:t>
            </w:r>
          </w:p>
        </w:tc>
        <w:tc>
          <w:tcPr>
            <w:tcW w:type="dxa" w:w="5076"/>
          </w:tcPr>
          <w:p>
            <w:pPr>
              <w:pStyle w:val="null3"/>
              <w:jc w:val="left"/>
            </w:pPr>
            <w:r>
              <w:rPr/>
              <w:t>评标委员会根据投标人提供的售后服务方案进行评审，方案应包括： (1)服务方式； (2)服务响应时间； (3)技术支撑措施； (4)质量保障措施。 提供全部内容得2分，每缺1项扣0.5分。</w:t>
            </w:r>
          </w:p>
        </w:tc>
      </w:tr>
      <w:tr>
        <w:tc>
          <w:tcPr>
            <w:tcW w:type="dxa" w:w="922"/>
            <w:gridSpan w:val="2"/>
            <w:vMerge/>
          </w:tcPr>
          <w:p/>
        </w:tc>
        <w:tc>
          <w:tcPr>
            <w:tcW w:type="dxa" w:w="2307"/>
          </w:tcPr>
          <w:p>
            <w:pPr>
              <w:pStyle w:val="null3"/>
              <w:jc w:val="left"/>
            </w:pPr>
            <w:r>
              <w:rPr/>
              <w:t>售后服务方案（二） (6.0分)</w:t>
            </w:r>
          </w:p>
        </w:tc>
        <w:tc>
          <w:tcPr>
            <w:tcW w:type="dxa" w:w="5076"/>
          </w:tcPr>
          <w:p>
            <w:pPr>
              <w:pStyle w:val="null3"/>
              <w:jc w:val="left"/>
            </w:pPr>
            <w:r>
              <w:rPr/>
              <w:t>评标委员会根据投标人提供的售后服务方案（一）详细内容进行综合评审： （1）方案全面、合理科学、针对性强，服务响应迅速，措施合理、逻辑性强、可直接执行，有利于实现本项目服务效果的，得6分； （2）方案全面、合理且具有针对性，服务响应及时，设计方案合理有逻辑性且具有一定的可行性，能基本实现本项目服务效果的，得4分； （3）方案缺乏合理性、具有部分针对性，服务响应及时，设计方案有逻辑性但执行难度大，只能保证本项目部分服务效果的，得2分； （4）方案不合理或不具有针对性，服务响应不及时，设计方案缺乏逻辑性或无法执行，无法保障本项目服务效果的，得1分； （5）未提供相关内容不得分。</w:t>
            </w:r>
          </w:p>
        </w:tc>
      </w:tr>
      <w:tr>
        <w:tc>
          <w:tcPr>
            <w:tcW w:type="dxa" w:w="922"/>
            <w:gridSpan w:val="2"/>
            <w:vMerge/>
          </w:tcPr>
          <w:p/>
        </w:tc>
        <w:tc>
          <w:tcPr>
            <w:tcW w:type="dxa" w:w="2307"/>
          </w:tcPr>
          <w:p>
            <w:pPr>
              <w:pStyle w:val="null3"/>
              <w:jc w:val="left"/>
            </w:pPr>
            <w:r>
              <w:rPr/>
              <w:t>培训方案（一） (2.0分)</w:t>
            </w:r>
          </w:p>
        </w:tc>
        <w:tc>
          <w:tcPr>
            <w:tcW w:type="dxa" w:w="5076"/>
          </w:tcPr>
          <w:p>
            <w:pPr>
              <w:pStyle w:val="null3"/>
              <w:jc w:val="left"/>
            </w:pPr>
            <w:r>
              <w:rPr/>
              <w:t>评标委员会根据投标人提供的培训方案进行评审，方案应包括： (1)培训方式； (2)培训内容； (3)培训计划安排； (4)培训团队配置 提供全部内容得2分，每缺1项扣0.5分。</w:t>
            </w:r>
          </w:p>
        </w:tc>
      </w:tr>
      <w:tr>
        <w:tc>
          <w:tcPr>
            <w:tcW w:type="dxa" w:w="922"/>
            <w:gridSpan w:val="2"/>
            <w:vMerge/>
          </w:tcPr>
          <w:p/>
        </w:tc>
        <w:tc>
          <w:tcPr>
            <w:tcW w:type="dxa" w:w="2307"/>
          </w:tcPr>
          <w:p>
            <w:pPr>
              <w:pStyle w:val="null3"/>
              <w:jc w:val="left"/>
            </w:pPr>
            <w:r>
              <w:rPr/>
              <w:t>培训方案（二） (6.0分)</w:t>
            </w:r>
          </w:p>
        </w:tc>
        <w:tc>
          <w:tcPr>
            <w:tcW w:type="dxa" w:w="5076"/>
          </w:tcPr>
          <w:p>
            <w:pPr>
              <w:pStyle w:val="null3"/>
              <w:jc w:val="left"/>
            </w:pPr>
            <w:r>
              <w:rPr/>
              <w:t>评标委员会根据投标人提供的培训方案（一）详细内容进行综合评审： （1）方案全面、合理科学、专业性强，培训内容全面、针对性强，计划安排合理、逻辑性强、可直接执行，有利于实现本项目服务效果的，得6分； （2）方案全面、合理且具有专业性，培训内容全面且有针对性，计划安排合理有逻辑性且具有一定的可行性，能基本实现本项目服务效果的，得4分； （3）方案缺乏合理性，培训内容有欠缺但有一定的针对性，计划安排有逻辑性但执行难度大，只能保证本项目部分服务效果的，得2分； （4）方案不合理，培训内容不具有针对性，设计划安排缺乏逻辑性或无法执行，无法保障本项目服务效果的，得1分； （5）未提供相关内容不得分。</w:t>
            </w:r>
          </w:p>
        </w:tc>
      </w:tr>
      <w:tr>
        <w:tc>
          <w:tcPr>
            <w:tcW w:type="dxa" w:w="922"/>
            <w:gridSpan w:val="2"/>
            <w:vMerge w:val="restart"/>
          </w:tcPr>
          <w:p>
            <w:pPr>
              <w:pStyle w:val="null3"/>
              <w:jc w:val="center"/>
            </w:pPr>
            <w:r>
              <w:rPr/>
              <w:t>商务部分</w:t>
            </w:r>
          </w:p>
        </w:tc>
        <w:tc>
          <w:tcPr>
            <w:tcW w:type="dxa" w:w="2307"/>
          </w:tcPr>
          <w:p>
            <w:pPr>
              <w:pStyle w:val="null3"/>
              <w:jc w:val="left"/>
            </w:pPr>
            <w:r>
              <w:rPr/>
              <w:t>履约能力 (3.0分)</w:t>
            </w:r>
          </w:p>
        </w:tc>
        <w:tc>
          <w:tcPr>
            <w:tcW w:type="dxa" w:w="5076"/>
          </w:tcPr>
          <w:p>
            <w:pPr>
              <w:pStyle w:val="null3"/>
              <w:jc w:val="left"/>
            </w:pPr>
            <w:r>
              <w:rPr/>
              <w:t>投标人具有有效期内的质量管理体系认证证书、职业健康安全管理体系认证证书、环境管理体系认证证书，每提供一项得1分，本项最高得3分。 注：需提供证书复印件或扫描件并加盖公章，评标时评标委员有权通过网站查询证书的状态记录并截图记录【网址以“国家认证认可监督管理委员会（http://www.cnca.gov.cn）”网站公布为准，证书状态须为“有效”】，如查询结果不一致，则不得分。因供应商成立时间不满足认证时间要求且办理认证所需要的合理时间不足导致未能获得认证证书的，供应商提供相关佐证资料，情况属实的，可对应得分，未提供不得分。</w:t>
            </w:r>
          </w:p>
        </w:tc>
      </w:tr>
      <w:tr>
        <w:tc>
          <w:tcPr>
            <w:tcW w:type="dxa" w:w="922"/>
            <w:gridSpan w:val="2"/>
            <w:vMerge/>
          </w:tcPr>
          <w:p/>
        </w:tc>
        <w:tc>
          <w:tcPr>
            <w:tcW w:type="dxa" w:w="2307"/>
          </w:tcPr>
          <w:p>
            <w:pPr>
              <w:pStyle w:val="null3"/>
              <w:jc w:val="left"/>
            </w:pPr>
            <w:r>
              <w:rPr/>
              <w:t>技术实力 (2.0分)</w:t>
            </w:r>
          </w:p>
        </w:tc>
        <w:tc>
          <w:tcPr>
            <w:tcW w:type="dxa" w:w="5076"/>
          </w:tcPr>
          <w:p>
            <w:pPr>
              <w:pStyle w:val="null3"/>
              <w:jc w:val="left"/>
            </w:pPr>
            <w:r>
              <w:rPr/>
              <w:t>投标人提供生态环境类获奖荣誉证书，每提供一个得0.5分，本项最高得2分。注：需提供奖项扫描件并加盖公章，未提供不得分。</w:t>
            </w:r>
          </w:p>
        </w:tc>
      </w:tr>
      <w:tr>
        <w:tc>
          <w:tcPr>
            <w:tcW w:type="dxa" w:w="922"/>
            <w:gridSpan w:val="2"/>
            <w:vMerge/>
          </w:tcPr>
          <w:p/>
        </w:tc>
        <w:tc>
          <w:tcPr>
            <w:tcW w:type="dxa" w:w="2307"/>
          </w:tcPr>
          <w:p>
            <w:pPr>
              <w:pStyle w:val="null3"/>
              <w:jc w:val="left"/>
            </w:pPr>
            <w:r>
              <w:rPr/>
              <w:t>项目实施团队 (7.0分)</w:t>
            </w:r>
          </w:p>
        </w:tc>
        <w:tc>
          <w:tcPr>
            <w:tcW w:type="dxa" w:w="5076"/>
          </w:tcPr>
          <w:p>
            <w:pPr>
              <w:pStyle w:val="null3"/>
              <w:jc w:val="left"/>
            </w:pPr>
            <w:r>
              <w:rPr/>
              <w:t>投标人拟投入本项目的技术人员情况： 1、配备的项目负责人同时具有信息系统项目管理师证书、环境工程中级及以上职称、硕士及以上学位、环保行业5年以上工作经验（提供社保缴纳证明），有1项得0.5分，本项最多得2分。 2、投标人技术负责人具有正高级工程师职称（计算机或环保类相关专业）的得2分，具有副高级工程师职称（计算机或环保类相关专业）的得1分。 3、投标人项目管理团队成员具备环保相关专业中级及以上职称、系统集成项目管理工程师、信息系统项目管理师证书的，每类每提供1人得0.5分，每类最高得1分，本项最多得3分。 。注：1、提供有效期内相关证书扫描件并加盖投标人公章，证书取得日期需在本项目采购公告发布之日前。 2.提供投标人团队人员投标截止日前近3个月任意其中一个月缴纳的社保证明材料（新成立的公司只需提供劳动合同原件扫描件）。</w:t>
            </w:r>
          </w:p>
        </w:tc>
      </w:tr>
      <w:tr>
        <w:tc>
          <w:tcPr>
            <w:tcW w:type="dxa" w:w="922"/>
            <w:gridSpan w:val="2"/>
            <w:vMerge/>
          </w:tcPr>
          <w:p/>
        </w:tc>
        <w:tc>
          <w:tcPr>
            <w:tcW w:type="dxa" w:w="2307"/>
          </w:tcPr>
          <w:p>
            <w:pPr>
              <w:pStyle w:val="null3"/>
              <w:jc w:val="left"/>
            </w:pPr>
            <w:r>
              <w:rPr/>
              <w:t>业绩 (8.0分)</w:t>
            </w:r>
          </w:p>
        </w:tc>
        <w:tc>
          <w:tcPr>
            <w:tcW w:type="dxa" w:w="5076"/>
          </w:tcPr>
          <w:p>
            <w:pPr>
              <w:pStyle w:val="null3"/>
              <w:jc w:val="left"/>
            </w:pPr>
            <w:r>
              <w:rPr/>
              <w:t>投标截止日止，投标人2022年1月1日以来承接过与本项目类似业绩（排污口类或水环境监管类）的，每提供一个业绩得1分，最多得8分。 注：投标人需提供合同扫描件、中标通知书或网上中标截图，未能提供上述证明文件的该项业绩不得分。以上业绩不得重复计算。</w:t>
            </w:r>
          </w:p>
        </w:tc>
      </w:tr>
      <w:tr>
        <w:tc>
          <w:tcPr>
            <w:tcW w:type="dxa" w:w="922"/>
            <w:gridSpan w:val="2"/>
            <w:vMerge/>
          </w:tcPr>
          <w:p/>
        </w:tc>
        <w:tc>
          <w:tcPr>
            <w:tcW w:type="dxa" w:w="2307"/>
          </w:tcPr>
          <w:p>
            <w:pPr>
              <w:pStyle w:val="null3"/>
              <w:jc w:val="left"/>
            </w:pPr>
            <w:r>
              <w:rPr/>
              <w:t>诚信记录 (5.0分)</w:t>
            </w:r>
          </w:p>
        </w:tc>
        <w:tc>
          <w:tcPr>
            <w:tcW w:type="dxa" w:w="5076"/>
          </w:tcPr>
          <w:p>
            <w:pPr>
              <w:pStyle w:val="null3"/>
              <w:jc w:val="left"/>
            </w:pPr>
            <w:r>
              <w:rPr/>
              <w:t>根据《关于优化政府采购信用评价工作的通知》（韶财采购[2024]5号）要求，对供应商的诚信状况（普通失信行为）进行评审，具体计算公式：供应商本项评审因素得分=诚信记录得分×5%。 注： 1.采购代理机构于投标截止时间后，在评审活动开始前，通过广东政府采购网“其他监管检查公告”栏和韶关市财政局政务信息公开网站“政府采购”栏查询供应商诚信状况，提供给评审委员会，由评审委员会根据上述公式的规定进行评审。 2.首次参加韶关市政府采购活动的供应商诚信管理基础得分为100分，在广东政府采购网“其他监管检查公告”栏和韶关市财政局政务信息公开网站“政府采购”栏查询不到相关供应商扣分记录的，视为该供应商年度诚信记录得分为100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1"/>
          <w:color w:val="000000"/>
        </w:rPr>
        <w:t>合同名称：</w:t>
      </w:r>
    </w:p>
    <w:p>
      <w:pPr>
        <w:pStyle w:val="null3"/>
      </w:pPr>
      <w:r>
        <w:rPr>
          <w:sz w:val="21"/>
          <w:color w:val="000000"/>
        </w:rPr>
        <w:t>合同编号：</w:t>
      </w:r>
    </w:p>
    <w:p>
      <w:pPr>
        <w:pStyle w:val="null3"/>
      </w:pPr>
      <w:r>
        <w:rPr>
          <w:sz w:val="21"/>
          <w:color w:val="000000"/>
        </w:rPr>
        <w:t>签约地点：</w:t>
      </w:r>
    </w:p>
    <w:p>
      <w:pPr>
        <w:pStyle w:val="null3"/>
      </w:pPr>
      <w:r>
        <w:rPr>
          <w:sz w:val="21"/>
          <w:color w:val="000000"/>
        </w:rPr>
        <w:t>合同类别：服务</w:t>
      </w:r>
    </w:p>
    <w:p>
      <w:pPr>
        <w:pStyle w:val="null3"/>
      </w:pPr>
      <w:r>
        <w:rPr>
          <w:sz w:val="21"/>
          <w:color w:val="000000"/>
        </w:rPr>
        <w:t>签订日期：</w:t>
      </w:r>
    </w:p>
    <w:p>
      <w:pPr>
        <w:pStyle w:val="null3"/>
      </w:pPr>
      <w:r>
        <w:rPr>
          <w:sz w:val="21"/>
          <w:color w:val="000000"/>
        </w:rPr>
        <w:t>签订类型：单项合同</w:t>
      </w:r>
    </w:p>
    <w:p>
      <w:pPr>
        <w:pStyle w:val="null3"/>
      </w:pPr>
      <w:r>
        <w:rPr>
          <w:sz w:val="21"/>
          <w:color w:val="000000"/>
        </w:rPr>
        <w:t>合同范本：采购合同</w:t>
      </w:r>
    </w:p>
    <w:p>
      <w:pPr>
        <w:pStyle w:val="null3"/>
      </w:pPr>
      <w:r>
        <w:rPr>
          <w:sz w:val="21"/>
          <w:color w:val="000000"/>
        </w:rPr>
        <w:t>合同期限：</w:t>
      </w:r>
      <w:r>
        <w:rPr>
          <w:sz w:val="21"/>
          <w:color w:val="000000"/>
        </w:rPr>
        <w:t>20</w:t>
      </w:r>
      <w:r>
        <w:rPr>
          <w:sz w:val="21"/>
          <w:color w:val="000000"/>
        </w:rPr>
        <w:t>XX</w:t>
      </w:r>
      <w:r>
        <w:rPr>
          <w:sz w:val="21"/>
          <w:color w:val="000000"/>
        </w:rPr>
        <w:t>年</w:t>
      </w:r>
      <w:r>
        <w:rPr>
          <w:sz w:val="21"/>
          <w:color w:val="000000"/>
        </w:rPr>
        <w:t>XX</w:t>
      </w:r>
      <w:r>
        <w:rPr>
          <w:sz w:val="21"/>
          <w:color w:val="000000"/>
        </w:rPr>
        <w:t>月</w:t>
      </w:r>
      <w:r>
        <w:rPr>
          <w:sz w:val="21"/>
          <w:color w:val="000000"/>
        </w:rPr>
        <w:t>XX</w:t>
      </w:r>
      <w:r>
        <w:rPr>
          <w:sz w:val="21"/>
          <w:color w:val="000000"/>
        </w:rPr>
        <w:t>日</w:t>
      </w:r>
      <w:r>
        <w:rPr>
          <w:sz w:val="21"/>
          <w:color w:val="000000"/>
        </w:rPr>
        <w:t>至</w:t>
      </w:r>
      <w:r>
        <w:rPr>
          <w:sz w:val="21"/>
          <w:color w:val="000000"/>
        </w:rPr>
        <w:t>20</w:t>
      </w:r>
      <w:r>
        <w:rPr>
          <w:sz w:val="21"/>
          <w:color w:val="000000"/>
        </w:rPr>
        <w:t>XX</w:t>
      </w:r>
      <w:r>
        <w:rPr>
          <w:sz w:val="21"/>
          <w:color w:val="000000"/>
        </w:rPr>
        <w:t>年</w:t>
      </w:r>
      <w:r>
        <w:rPr>
          <w:sz w:val="21"/>
          <w:color w:val="000000"/>
        </w:rPr>
        <w:t>XX</w:t>
      </w:r>
      <w:r>
        <w:rPr>
          <w:sz w:val="21"/>
          <w:color w:val="000000"/>
        </w:rPr>
        <w:t>月</w:t>
      </w:r>
      <w:r>
        <w:rPr>
          <w:sz w:val="21"/>
          <w:color w:val="000000"/>
        </w:rPr>
        <w:t>XX</w:t>
      </w:r>
      <w:r>
        <w:rPr>
          <w:sz w:val="21"/>
          <w:color w:val="000000"/>
        </w:rPr>
        <w:t>日</w:t>
      </w:r>
    </w:p>
    <w:p>
      <w:pPr>
        <w:pStyle w:val="null3"/>
      </w:pPr>
      <w:r>
        <w:rPr>
          <w:sz w:val="21"/>
          <w:color w:val="000000"/>
        </w:rPr>
        <w:t>是否包含涉密条款：否</w:t>
      </w:r>
    </w:p>
    <w:p>
      <w:pPr>
        <w:pStyle w:val="null3"/>
      </w:pPr>
      <w:r>
        <w:rPr>
          <w:sz w:val="21"/>
          <w:color w:val="000000"/>
        </w:rPr>
        <w:t>备注：</w:t>
      </w:r>
    </w:p>
    <w:p>
      <w:pPr>
        <w:pStyle w:val="null3"/>
      </w:pPr>
      <w:r>
        <w:rPr>
          <w:sz w:val="21"/>
          <w:color w:val="000000"/>
        </w:rPr>
        <w:t>甲方（采购人）：</w:t>
      </w:r>
      <w:r>
        <w:rPr>
          <w:sz w:val="21"/>
          <w:color w:val="000000"/>
        </w:rPr>
        <w:t xml:space="preserve">                                </w:t>
      </w:r>
    </w:p>
    <w:p>
      <w:pPr>
        <w:pStyle w:val="null3"/>
      </w:pPr>
      <w:r>
        <w:rPr>
          <w:sz w:val="21"/>
          <w:color w:val="000000"/>
        </w:rPr>
        <w:t>乙方（中标供应商）：</w:t>
      </w:r>
      <w:r>
        <w:rPr>
          <w:sz w:val="21"/>
          <w:color w:val="000000"/>
        </w:rPr>
        <w:t xml:space="preserve">                                </w:t>
      </w:r>
    </w:p>
    <w:p>
      <w:pPr>
        <w:pStyle w:val="null3"/>
      </w:pPr>
      <w:r>
        <w:rPr>
          <w:sz w:val="21"/>
          <w:color w:val="000000"/>
        </w:rPr>
        <w:t xml:space="preserve">    </w:t>
      </w:r>
      <w:r>
        <w:rPr>
          <w:sz w:val="21"/>
          <w:color w:val="000000"/>
        </w:rPr>
        <w:t>根据《中华人民共和国政府采购法》、《中华人民共和国民法典》等相关法律法规及</w:t>
      </w:r>
      <w:r>
        <w:rPr>
          <w:sz w:val="21"/>
          <w:color w:val="000000"/>
          <w:u w:val="single"/>
        </w:rPr>
        <w:t>仁化县入河排污口规范化建设项目</w:t>
      </w:r>
      <w:r>
        <w:rPr>
          <w:sz w:val="21"/>
          <w:color w:val="000000"/>
        </w:rPr>
        <w:t>招标文件（项目编号：</w:t>
      </w:r>
      <w:r>
        <w:rPr>
          <w:sz w:val="21"/>
          <w:color w:val="000000"/>
        </w:rPr>
        <w:t>ZX</w:t>
      </w:r>
      <w:r>
        <w:rPr>
          <w:sz w:val="21"/>
          <w:color w:val="000000"/>
        </w:rPr>
        <w:t>-</w:t>
      </w:r>
      <w:r>
        <w:rPr>
          <w:sz w:val="21"/>
          <w:color w:val="000000"/>
        </w:rPr>
        <w:t>G</w:t>
      </w:r>
      <w:r>
        <w:rPr>
          <w:sz w:val="21"/>
          <w:color w:val="000000"/>
        </w:rPr>
        <w:t>Z</w:t>
      </w:r>
      <w:r>
        <w:rPr>
          <w:sz w:val="21"/>
          <w:color w:val="000000"/>
        </w:rPr>
        <w:t>2</w:t>
      </w:r>
      <w:r>
        <w:rPr>
          <w:sz w:val="21"/>
          <w:color w:val="000000"/>
        </w:rPr>
        <w:t>0250</w:t>
      </w:r>
      <w:r>
        <w:rPr>
          <w:sz w:val="21"/>
          <w:color w:val="000000"/>
        </w:rPr>
        <w:t>3</w:t>
      </w:r>
      <w:r>
        <w:rPr>
          <w:sz w:val="21"/>
          <w:color w:val="000000"/>
        </w:rPr>
        <w:t>）的要求，经双方协商，本着平等互利和诚实信用的原则，一致同意签订本合同。</w:t>
      </w:r>
    </w:p>
    <w:p>
      <w:pPr>
        <w:pStyle w:val="null3"/>
        <w:numPr>
          <w:ilvl w:val="0"/>
          <w:numId w:val="1"/>
        </w:numPr>
      </w:pPr>
      <w:r>
        <w:rPr>
          <w:sz w:val="21"/>
          <w:b/>
          <w:color w:val="000000"/>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70"/>
        <w:gridCol w:w="1090"/>
        <w:gridCol w:w="1156"/>
        <w:gridCol w:w="969"/>
        <w:gridCol w:w="969"/>
        <w:gridCol w:w="798"/>
        <w:gridCol w:w="798"/>
        <w:gridCol w:w="798"/>
      </w:tblGrid>
      <w:tr>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品目编码</w:t>
            </w:r>
          </w:p>
        </w:tc>
        <w:tc>
          <w:tcPr>
            <w:tcW w:type="dxa" w:w="10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品目名称</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采购标的</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采购数量</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计量单位</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服务范围</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单价（元）</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金额（元）</w:t>
            </w: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35"/>
              <w:jc w:val="center"/>
            </w:pPr>
            <w:r>
              <w:rPr>
                <w:sz w:val="21"/>
                <w:color w:val="000000"/>
              </w:rPr>
              <w:t>1</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0"/>
          <w:numId w:val="1"/>
        </w:numPr>
      </w:pPr>
      <w:r>
        <w:rPr>
          <w:sz w:val="21"/>
          <w:b/>
          <w:color w:val="000000"/>
        </w:rPr>
        <w:t>合同金额</w:t>
      </w:r>
    </w:p>
    <w:p>
      <w:pPr>
        <w:pStyle w:val="null3"/>
        <w:ind w:firstLine="420"/>
      </w:pPr>
      <w:r>
        <w:rPr>
          <w:sz w:val="21"/>
          <w:color w:val="000000"/>
        </w:rPr>
        <w:t>合计金额人民币（大写）：</w:t>
      </w:r>
      <w:r>
        <w:rPr>
          <w:sz w:val="21"/>
          <w:color w:val="000000"/>
          <w:u w:val="single"/>
        </w:rPr>
        <w:t xml:space="preserve">                     </w:t>
      </w:r>
      <w:r>
        <w:rPr>
          <w:sz w:val="21"/>
          <w:color w:val="000000"/>
        </w:rPr>
        <w:t>（￥</w:t>
      </w:r>
      <w:r>
        <w:rPr>
          <w:sz w:val="21"/>
          <w:color w:val="000000"/>
          <w:u w:val="single"/>
        </w:rPr>
        <w:t xml:space="preserve">                </w:t>
      </w:r>
      <w:r>
        <w:rPr>
          <w:sz w:val="21"/>
          <w:color w:val="000000"/>
        </w:rPr>
        <w:t>）</w:t>
      </w:r>
    </w:p>
    <w:p>
      <w:pPr>
        <w:pStyle w:val="null3"/>
        <w:numPr>
          <w:ilvl w:val="0"/>
          <w:numId w:val="1"/>
        </w:numPr>
      </w:pPr>
      <w:r>
        <w:rPr>
          <w:sz w:val="21"/>
          <w:b/>
          <w:color w:val="000000"/>
        </w:rPr>
        <w:t>服务范围</w:t>
      </w:r>
    </w:p>
    <w:p>
      <w:pPr>
        <w:pStyle w:val="null3"/>
      </w:pPr>
      <w:r>
        <w:rPr>
          <w:sz w:val="21"/>
          <w:color w:val="000000"/>
        </w:rPr>
        <w:t>　　甲方聘请乙方提供以下服务：</w:t>
      </w:r>
    </w:p>
    <w:p>
      <w:pPr>
        <w:pStyle w:val="null3"/>
        <w:numPr>
          <w:ilvl w:val="0"/>
          <w:numId w:val="1"/>
        </w:numPr>
      </w:pPr>
      <w:r>
        <w:rPr>
          <w:sz w:val="21"/>
          <w:color w:val="000000"/>
        </w:rPr>
        <w:t>本合同项下的服务指</w:t>
      </w:r>
      <w:r>
        <w:rPr>
          <w:sz w:val="21"/>
          <w:color w:val="000000"/>
          <w:u w:val="single"/>
        </w:rPr>
        <w:t xml:space="preserve">                            </w:t>
      </w:r>
      <w:r>
        <w:rPr>
          <w:sz w:val="21"/>
          <w:color w:val="000000"/>
        </w:rPr>
        <w:t>。</w:t>
      </w:r>
    </w:p>
    <w:p>
      <w:pPr>
        <w:pStyle w:val="null3"/>
        <w:numPr>
          <w:ilvl w:val="0"/>
          <w:numId w:val="1"/>
        </w:numPr>
      </w:pPr>
      <w:r>
        <w:rPr>
          <w:sz w:val="21"/>
          <w:color w:val="000000"/>
        </w:rPr>
        <w:t>......</w:t>
      </w:r>
    </w:p>
    <w:p>
      <w:pPr>
        <w:pStyle w:val="null3"/>
        <w:numPr>
          <w:ilvl w:val="0"/>
          <w:numId w:val="1"/>
        </w:numPr>
      </w:pPr>
      <w:r>
        <w:rPr>
          <w:sz w:val="21"/>
          <w:b/>
          <w:color w:val="000000"/>
        </w:rPr>
        <w:t>服务要求（质量保证及售后服务）</w:t>
      </w:r>
    </w:p>
    <w:p>
      <w:pPr>
        <w:pStyle w:val="null3"/>
        <w:ind w:left="420"/>
      </w:pPr>
      <w:r>
        <w:rPr>
          <w:sz w:val="21"/>
          <w:color w:val="000000"/>
        </w:rPr>
        <w:t>（按采购需求要求）</w:t>
      </w:r>
    </w:p>
    <w:p>
      <w:pPr>
        <w:pStyle w:val="null3"/>
        <w:numPr>
          <w:ilvl w:val="0"/>
          <w:numId w:val="1"/>
        </w:numPr>
      </w:pPr>
      <w:r>
        <w:rPr>
          <w:sz w:val="21"/>
          <w:b/>
          <w:color w:val="000000"/>
        </w:rPr>
        <w:t>交付时间、地点、方式</w:t>
      </w:r>
    </w:p>
    <w:p>
      <w:pPr>
        <w:pStyle w:val="null3"/>
        <w:numPr>
          <w:ilvl w:val="0"/>
          <w:numId w:val="1"/>
        </w:numPr>
      </w:pPr>
      <w:r>
        <w:rPr>
          <w:sz w:val="21"/>
          <w:color w:val="000000"/>
        </w:rPr>
        <w:t>交付时间（服务期限）：</w:t>
      </w:r>
      <w:r>
        <w:rPr>
          <w:sz w:val="21"/>
          <w:color w:val="000000"/>
          <w:u w:val="single"/>
        </w:rPr>
        <w:t xml:space="preserve">     </w:t>
      </w:r>
      <w:r>
        <w:rPr>
          <w:sz w:val="21"/>
          <w:color w:val="000000"/>
        </w:rPr>
        <w:t>年</w:t>
      </w:r>
      <w:r>
        <w:rPr>
          <w:sz w:val="21"/>
          <w:color w:val="000000"/>
          <w:u w:val="single"/>
        </w:rPr>
        <w:t xml:space="preserve">    </w:t>
      </w:r>
      <w:r>
        <w:rPr>
          <w:sz w:val="21"/>
          <w:color w:val="000000"/>
        </w:rPr>
        <w:t>月</w:t>
      </w:r>
      <w:r>
        <w:rPr>
          <w:sz w:val="21"/>
          <w:color w:val="000000"/>
          <w:u w:val="single"/>
        </w:rPr>
        <w:t xml:space="preserve">     </w:t>
      </w:r>
      <w:r>
        <w:rPr>
          <w:sz w:val="21"/>
          <w:color w:val="000000"/>
        </w:rPr>
        <w:t>日至</w:t>
      </w:r>
      <w:r>
        <w:rPr>
          <w:sz w:val="21"/>
          <w:color w:val="000000"/>
          <w:u w:val="single"/>
        </w:rPr>
        <w:t xml:space="preserve">    </w:t>
      </w:r>
      <w:r>
        <w:rPr>
          <w:sz w:val="21"/>
          <w:color w:val="000000"/>
        </w:rPr>
        <w:t>年</w:t>
      </w:r>
      <w:r>
        <w:rPr>
          <w:sz w:val="21"/>
          <w:color w:val="000000"/>
          <w:u w:val="single"/>
        </w:rPr>
        <w:t xml:space="preserve">    </w:t>
      </w:r>
      <w:r>
        <w:rPr>
          <w:sz w:val="21"/>
          <w:color w:val="000000"/>
        </w:rPr>
        <w:t>月</w:t>
      </w:r>
      <w:r>
        <w:rPr>
          <w:sz w:val="21"/>
          <w:color w:val="000000"/>
          <w:u w:val="single"/>
        </w:rPr>
        <w:t xml:space="preserve">    </w:t>
      </w:r>
      <w:r>
        <w:rPr>
          <w:sz w:val="21"/>
          <w:color w:val="000000"/>
        </w:rPr>
        <w:t>日</w:t>
      </w:r>
    </w:p>
    <w:p>
      <w:pPr>
        <w:pStyle w:val="null3"/>
        <w:numPr>
          <w:ilvl w:val="0"/>
          <w:numId w:val="1"/>
        </w:numPr>
      </w:pPr>
      <w:r>
        <w:rPr>
          <w:sz w:val="21"/>
          <w:color w:val="000000"/>
        </w:rPr>
        <w:t>交付地点（服务地点）：</w:t>
      </w:r>
      <w:r>
        <w:rPr>
          <w:sz w:val="21"/>
          <w:color w:val="000000"/>
          <w:u w:val="single"/>
        </w:rPr>
        <w:t xml:space="preserve">                        </w:t>
      </w:r>
    </w:p>
    <w:p>
      <w:pPr>
        <w:pStyle w:val="null3"/>
        <w:numPr>
          <w:ilvl w:val="0"/>
          <w:numId w:val="1"/>
        </w:numPr>
      </w:pPr>
      <w:r>
        <w:rPr>
          <w:sz w:val="21"/>
          <w:color w:val="000000"/>
        </w:rPr>
        <w:t>交付条件：项目验收通过</w:t>
      </w:r>
    </w:p>
    <w:p>
      <w:pPr>
        <w:pStyle w:val="null3"/>
        <w:numPr>
          <w:ilvl w:val="0"/>
          <w:numId w:val="1"/>
        </w:numPr>
      </w:pPr>
      <w:r>
        <w:rPr>
          <w:sz w:val="21"/>
          <w:color w:val="000000"/>
        </w:rPr>
        <w:t>甲方联系人及联系电话：</w:t>
      </w:r>
    </w:p>
    <w:p>
      <w:pPr>
        <w:pStyle w:val="null3"/>
        <w:numPr>
          <w:ilvl w:val="0"/>
          <w:numId w:val="1"/>
        </w:numPr>
      </w:pPr>
      <w:r>
        <w:rPr>
          <w:sz w:val="21"/>
          <w:color w:val="000000"/>
        </w:rPr>
        <w:t>乙方联系人及联系电话：</w:t>
      </w:r>
    </w:p>
    <w:p>
      <w:pPr>
        <w:pStyle w:val="null3"/>
        <w:numPr>
          <w:ilvl w:val="0"/>
          <w:numId w:val="1"/>
        </w:numPr>
      </w:pPr>
      <w:r>
        <w:rPr>
          <w:sz w:val="21"/>
          <w:b/>
          <w:color w:val="000000"/>
        </w:rPr>
        <w:t>甲方的权利和义务</w:t>
      </w:r>
    </w:p>
    <w:p>
      <w:pPr>
        <w:pStyle w:val="null3"/>
      </w:pPr>
      <w:r>
        <w:rPr>
          <w:sz w:val="21"/>
          <w:color w:val="000000"/>
        </w:rPr>
        <w:t>（一）甲方的权利</w:t>
      </w:r>
    </w:p>
    <w:p>
      <w:pPr>
        <w:pStyle w:val="null3"/>
        <w:numPr>
          <w:ilvl w:val="0"/>
          <w:numId w:val="1"/>
        </w:numPr>
      </w:pPr>
      <w:r>
        <w:rPr>
          <w:sz w:val="21"/>
          <w:color w:val="000000"/>
        </w:rPr>
        <w:t>甲方有权随时向乙方了解项目进度，并要求乙方提供项目相关资料。</w:t>
      </w:r>
    </w:p>
    <w:p>
      <w:pPr>
        <w:pStyle w:val="null3"/>
        <w:numPr>
          <w:ilvl w:val="0"/>
          <w:numId w:val="1"/>
        </w:numPr>
      </w:pPr>
      <w:r>
        <w:rPr>
          <w:sz w:val="21"/>
          <w:color w:val="000000"/>
        </w:rPr>
        <w:t>甲方有权对项目资金使用情况进行监督、检查，并要求乙方提供相关资料。</w:t>
      </w:r>
    </w:p>
    <w:p>
      <w:pPr>
        <w:pStyle w:val="null3"/>
        <w:numPr>
          <w:ilvl w:val="0"/>
          <w:numId w:val="1"/>
        </w:numPr>
      </w:pPr>
      <w:r>
        <w:rPr>
          <w:sz w:val="21"/>
          <w:color w:val="000000"/>
        </w:rPr>
        <w:t>甲方有权按照本合同约定或有关法律法规、政府管理的相关职能规定，对本项目进行监督、检查，有权要求乙方按照监督检查情况制定相应措施并加以整改。甲方不因行使该监督检查权而承担任何责任，也不因此减轻或免除乙方根据本合同约定或相关法律法规规定应承担的任何义务或责任。</w:t>
      </w:r>
    </w:p>
    <w:p>
      <w:pPr>
        <w:pStyle w:val="null3"/>
        <w:numPr>
          <w:ilvl w:val="0"/>
          <w:numId w:val="1"/>
        </w:numPr>
      </w:pPr>
      <w:r>
        <w:rPr>
          <w:sz w:val="21"/>
          <w:color w:val="000000"/>
        </w:rPr>
        <w:t>甲方有权在乙方履行合同过程中出现损害或可能损害公共利益、公共安全情形时终止本合同。</w:t>
      </w:r>
    </w:p>
    <w:p>
      <w:pPr>
        <w:pStyle w:val="null3"/>
        <w:numPr>
          <w:ilvl w:val="0"/>
          <w:numId w:val="1"/>
        </w:numPr>
      </w:pPr>
      <w:r>
        <w:rPr>
          <w:sz w:val="21"/>
          <w:color w:val="000000"/>
        </w:rPr>
        <w:t>甲方有权根据国家政策或法律法规的变动对服务项目的需求标准和质量要求作出相应变动或者取消项目。</w:t>
      </w:r>
    </w:p>
    <w:p>
      <w:pPr>
        <w:pStyle w:val="null3"/>
        <w:numPr>
          <w:ilvl w:val="0"/>
          <w:numId w:val="1"/>
        </w:numPr>
      </w:pPr>
      <w:r>
        <w:rPr>
          <w:sz w:val="21"/>
          <w:color w:val="000000"/>
        </w:rPr>
        <w:t>甲方有权将乙方履行合同情况及不符合政府采购服务管理规定情况，向有关部门报告并纳入不良信用记录、年检（报）、评估、执法等监管体系中。</w:t>
      </w:r>
    </w:p>
    <w:p>
      <w:pPr>
        <w:pStyle w:val="null3"/>
      </w:pPr>
      <w:r>
        <w:rPr>
          <w:sz w:val="21"/>
          <w:color w:val="000000"/>
        </w:rPr>
        <w:t>（二）甲方的义务</w:t>
      </w:r>
    </w:p>
    <w:p>
      <w:pPr>
        <w:pStyle w:val="null3"/>
        <w:numPr>
          <w:ilvl w:val="0"/>
          <w:numId w:val="1"/>
        </w:numPr>
      </w:pPr>
      <w:r>
        <w:rPr>
          <w:sz w:val="21"/>
          <w:color w:val="000000"/>
        </w:rPr>
        <w:t>甲方应及时向乙方提供与履行本合同相关的所有必须的文件、资料。</w:t>
      </w:r>
    </w:p>
    <w:p>
      <w:pPr>
        <w:pStyle w:val="null3"/>
        <w:numPr>
          <w:ilvl w:val="0"/>
          <w:numId w:val="1"/>
        </w:numPr>
      </w:pPr>
      <w:r>
        <w:rPr>
          <w:sz w:val="21"/>
          <w:color w:val="000000"/>
        </w:rPr>
        <w:t>甲方应为乙方履行本合同过程中与相关政府部门及其他第三方的沟通、协调提供必要的协助。</w:t>
      </w:r>
    </w:p>
    <w:p>
      <w:pPr>
        <w:pStyle w:val="null3"/>
        <w:numPr>
          <w:ilvl w:val="0"/>
          <w:numId w:val="1"/>
        </w:numPr>
      </w:pPr>
      <w:r>
        <w:rPr>
          <w:sz w:val="21"/>
          <w:color w:val="000000"/>
        </w:rPr>
        <w:t>甲方应按照合同约定支付服务费用。</w:t>
      </w:r>
    </w:p>
    <w:p>
      <w:pPr>
        <w:pStyle w:val="null3"/>
        <w:numPr>
          <w:ilvl w:val="0"/>
          <w:numId w:val="1"/>
        </w:numPr>
      </w:pPr>
      <w:r>
        <w:rPr>
          <w:sz w:val="21"/>
          <w:b/>
          <w:color w:val="000000"/>
        </w:rPr>
        <w:t>乙方的权利和义务</w:t>
      </w:r>
    </w:p>
    <w:p>
      <w:pPr>
        <w:pStyle w:val="null3"/>
      </w:pPr>
      <w:r>
        <w:rPr>
          <w:sz w:val="21"/>
          <w:color w:val="000000"/>
        </w:rPr>
        <w:t>（一）乙方的权利</w:t>
      </w:r>
    </w:p>
    <w:p>
      <w:pPr>
        <w:pStyle w:val="null3"/>
        <w:numPr>
          <w:ilvl w:val="0"/>
          <w:numId w:val="1"/>
        </w:numPr>
      </w:pPr>
      <w:r>
        <w:rPr>
          <w:sz w:val="21"/>
          <w:color w:val="000000"/>
        </w:rPr>
        <w:t>乙方有权按照本合同约定向甲方收取服务费用。</w:t>
      </w:r>
    </w:p>
    <w:p>
      <w:pPr>
        <w:pStyle w:val="null3"/>
        <w:numPr>
          <w:ilvl w:val="0"/>
          <w:numId w:val="1"/>
        </w:numPr>
      </w:pPr>
      <w:r>
        <w:rPr>
          <w:sz w:val="21"/>
          <w:color w:val="000000"/>
        </w:rPr>
        <w:t>乙方有权自甲方处获得与提供本合同项下服务相关的所有必须的文件、资料。</w:t>
      </w:r>
    </w:p>
    <w:p>
      <w:pPr>
        <w:pStyle w:val="null3"/>
      </w:pPr>
      <w:r>
        <w:rPr>
          <w:sz w:val="21"/>
          <w:color w:val="000000"/>
        </w:rPr>
        <w:t>（二）乙方的义务</w:t>
      </w:r>
    </w:p>
    <w:p>
      <w:pPr>
        <w:pStyle w:val="null3"/>
        <w:numPr>
          <w:ilvl w:val="0"/>
          <w:numId w:val="1"/>
        </w:numPr>
      </w:pPr>
      <w:r>
        <w:rPr>
          <w:sz w:val="21"/>
          <w:color w:val="000000"/>
        </w:rPr>
        <w:t>乙方应配备具有相应资质、特定经验的工作人员负责项目实施，按照本合同约定的标准、要求和时间完成项目。</w:t>
      </w:r>
    </w:p>
    <w:p>
      <w:pPr>
        <w:pStyle w:val="null3"/>
        <w:numPr>
          <w:ilvl w:val="0"/>
          <w:numId w:val="1"/>
        </w:numPr>
      </w:pPr>
      <w:r>
        <w:rPr>
          <w:sz w:val="21"/>
          <w:color w:val="000000"/>
        </w:rPr>
        <w:t>乙方不得以任何理由将本合同项下的服务项目转包给第三方承担。</w:t>
      </w:r>
    </w:p>
    <w:p>
      <w:pPr>
        <w:pStyle w:val="null3"/>
        <w:numPr>
          <w:ilvl w:val="0"/>
          <w:numId w:val="1"/>
        </w:numPr>
      </w:pPr>
      <w:r>
        <w:rPr>
          <w:sz w:val="21"/>
          <w:color w:val="000000"/>
        </w:rPr>
        <w:t>乙方应全面履行本项目实施过程中的相关安全管理职责，因乙方未尽管理职责发生安全事故的，由乙方承担相应的法律责任。</w:t>
      </w:r>
    </w:p>
    <w:p>
      <w:pPr>
        <w:pStyle w:val="null3"/>
        <w:numPr>
          <w:ilvl w:val="0"/>
          <w:numId w:val="1"/>
        </w:numPr>
      </w:pPr>
      <w:r>
        <w:rPr>
          <w:sz w:val="21"/>
          <w:color w:val="000000"/>
        </w:rPr>
        <w:t>乙方承诺根据本合同提供的服务、货物及相关的软件和技术资料，均已取得有关知识产权的权利人的合法授权。如发生涉及到专利权、著作权、商标权等争议，乙方负责处理并承担由此引起的全部法律及经济责任。</w:t>
      </w:r>
    </w:p>
    <w:p>
      <w:pPr>
        <w:pStyle w:val="null3"/>
        <w:numPr>
          <w:ilvl w:val="0"/>
          <w:numId w:val="1"/>
        </w:numPr>
      </w:pPr>
      <w:r>
        <w:rPr>
          <w:sz w:val="21"/>
          <w:color w:val="000000"/>
        </w:rPr>
        <w:t>乙方应接受并配合甲方或甲方组织的对本合同履行情况的监督与检查，对于甲方指出的问题，应及时作出合理解释或予以纠正。</w:t>
      </w:r>
    </w:p>
    <w:p>
      <w:pPr>
        <w:pStyle w:val="null3"/>
        <w:numPr>
          <w:ilvl w:val="0"/>
          <w:numId w:val="1"/>
        </w:numPr>
      </w:pPr>
      <w:r>
        <w:rPr>
          <w:sz w:val="21"/>
          <w:b/>
          <w:color w:val="000000"/>
        </w:rPr>
        <w:t>付款方式</w:t>
      </w:r>
      <w:r>
        <w:rPr>
          <w:sz w:val="21"/>
          <w:b/>
          <w:color w:val="000000"/>
        </w:rPr>
        <w:t>、时间及付款条件</w:t>
      </w:r>
    </w:p>
    <w:p>
      <w:pPr>
        <w:pStyle w:val="null3"/>
        <w:ind w:firstLine="411"/>
      </w:pPr>
      <w:r>
        <w:rPr>
          <w:sz w:val="21"/>
          <w:color w:val="000000"/>
        </w:rPr>
        <w:t>付款时间及条件：（按采购需求要求）</w:t>
      </w:r>
    </w:p>
    <w:p>
      <w:pPr>
        <w:pStyle w:val="null3"/>
        <w:ind w:firstLine="411"/>
      </w:pPr>
      <w:r>
        <w:rPr>
          <w:sz w:val="21"/>
          <w:color w:val="000000"/>
        </w:rPr>
        <w:t>付款方式：</w:t>
      </w:r>
    </w:p>
    <w:p>
      <w:pPr>
        <w:pStyle w:val="null3"/>
        <w:numPr>
          <w:ilvl w:val="0"/>
          <w:numId w:val="1"/>
        </w:numPr>
      </w:pPr>
      <w:r>
        <w:rPr>
          <w:sz w:val="21"/>
          <w:b/>
          <w:color w:val="000000"/>
        </w:rPr>
        <w:t>项目验收评估</w:t>
      </w:r>
    </w:p>
    <w:p>
      <w:pPr>
        <w:pStyle w:val="null3"/>
        <w:ind w:left="420"/>
      </w:pPr>
      <w:r>
        <w:rPr>
          <w:sz w:val="21"/>
          <w:color w:val="000000"/>
        </w:rPr>
        <w:t>1.</w:t>
      </w:r>
      <w:r>
        <w:rPr>
          <w:sz w:val="21"/>
          <w:color w:val="000000"/>
        </w:rPr>
        <w:t>具体要求以招标文件以及乙方的投标文件承诺为准，如招标文件与投标文件不一致时，以更有利于甲方的条款执行。</w:t>
      </w:r>
    </w:p>
    <w:p>
      <w:pPr>
        <w:pStyle w:val="null3"/>
        <w:ind w:left="420"/>
      </w:pPr>
      <w:r>
        <w:rPr>
          <w:sz w:val="21"/>
          <w:b/>
          <w:color w:val="000000"/>
        </w:rPr>
        <w:t>2.</w:t>
      </w:r>
      <w:r>
        <w:rPr>
          <w:sz w:val="21"/>
          <w:color w:val="000000"/>
        </w:rPr>
        <w:t xml:space="preserve"> </w:t>
      </w:r>
      <w:r>
        <w:rPr>
          <w:sz w:val="21"/>
          <w:color w:val="000000"/>
        </w:rPr>
        <w:t>验收期限：全部服务完成后</w:t>
      </w:r>
      <w:r>
        <w:rPr>
          <w:sz w:val="21"/>
          <w:color w:val="000000"/>
          <w:u w:val="single"/>
        </w:rPr>
        <w:t xml:space="preserve">   </w:t>
      </w:r>
      <w:r>
        <w:rPr>
          <w:sz w:val="21"/>
          <w:color w:val="000000"/>
        </w:rPr>
        <w:t>天内完成项目验收。</w:t>
      </w:r>
    </w:p>
    <w:p>
      <w:pPr>
        <w:pStyle w:val="null3"/>
        <w:numPr>
          <w:ilvl w:val="0"/>
          <w:numId w:val="1"/>
        </w:numPr>
      </w:pPr>
      <w:r>
        <w:rPr>
          <w:sz w:val="21"/>
          <w:b/>
          <w:color w:val="000000"/>
        </w:rPr>
        <w:t>知识产权归属</w:t>
      </w:r>
    </w:p>
    <w:p>
      <w:pPr>
        <w:pStyle w:val="null3"/>
        <w:ind w:firstLine="420"/>
      </w:pPr>
      <w:r>
        <w:rPr>
          <w:sz w:val="21"/>
          <w:color w:val="000000"/>
        </w:rPr>
        <w:t>乙方必须保证甲方在中华人民共和国境内使用投标资料、服务或其任何一部分时，享有不受限制的无偿使用权，不会产生因第三方提出侵犯其专利权、商标权或其它知识产权而引起的法律或经济纠纷。</w:t>
      </w:r>
    </w:p>
    <w:p>
      <w:pPr>
        <w:pStyle w:val="null3"/>
        <w:numPr>
          <w:ilvl w:val="0"/>
          <w:numId w:val="1"/>
        </w:numPr>
      </w:pPr>
      <w:r>
        <w:rPr>
          <w:sz w:val="21"/>
          <w:b/>
          <w:color w:val="000000"/>
        </w:rPr>
        <w:t>保密</w:t>
      </w:r>
    </w:p>
    <w:p>
      <w:pPr>
        <w:pStyle w:val="null3"/>
        <w:numPr>
          <w:ilvl w:val="0"/>
          <w:numId w:val="1"/>
        </w:numPr>
      </w:pPr>
      <w:r>
        <w:rPr>
          <w:sz w:val="21"/>
          <w:color w:val="000000"/>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numPr>
          <w:ilvl w:val="0"/>
          <w:numId w:val="1"/>
        </w:numPr>
      </w:pPr>
      <w:r>
        <w:rPr>
          <w:sz w:val="21"/>
          <w:color w:val="000000"/>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numPr>
          <w:ilvl w:val="0"/>
          <w:numId w:val="1"/>
        </w:numPr>
      </w:pPr>
      <w:r>
        <w:rPr>
          <w:sz w:val="21"/>
          <w:b/>
          <w:color w:val="000000"/>
        </w:rPr>
        <w:t>违约责任与赔偿损失</w:t>
      </w:r>
    </w:p>
    <w:p>
      <w:pPr>
        <w:pStyle w:val="null3"/>
        <w:numPr>
          <w:ilvl w:val="0"/>
          <w:numId w:val="1"/>
        </w:numPr>
      </w:pPr>
      <w:r>
        <w:rPr>
          <w:sz w:val="21"/>
          <w:color w:val="000000"/>
        </w:rPr>
        <w:t>乙方提供的服务不符合招标文件、投标文件或本合同规定的，甲方有权拒收，并且乙方须向甲方支付本合同总价</w:t>
      </w:r>
      <w:r>
        <w:rPr>
          <w:sz w:val="21"/>
          <w:color w:val="000000"/>
        </w:rPr>
        <w:t>5%的违约金。</w:t>
      </w:r>
    </w:p>
    <w:p>
      <w:pPr>
        <w:pStyle w:val="null3"/>
        <w:numPr>
          <w:ilvl w:val="0"/>
          <w:numId w:val="1"/>
        </w:numPr>
      </w:pPr>
      <w:r>
        <w:rPr>
          <w:sz w:val="21"/>
          <w:color w:val="000000"/>
        </w:rPr>
        <w:t xml:space="preserve"> </w:t>
      </w:r>
      <w:r>
        <w:rPr>
          <w:sz w:val="21"/>
          <w:color w:val="000000"/>
        </w:rPr>
        <w:t>乙方未能按本合同规定的交货时间提供服务，从逾期之日起每日按本合同总价</w:t>
      </w:r>
      <w:r>
        <w:rPr>
          <w:sz w:val="21"/>
          <w:color w:val="000000"/>
        </w:rPr>
        <w:t>3‰的数额向甲方支付违约金；逾期半个月以上的，甲方有权终止合同，由此造成的甲方经济损失由乙方承担。</w:t>
      </w:r>
    </w:p>
    <w:p>
      <w:pPr>
        <w:pStyle w:val="null3"/>
        <w:numPr>
          <w:ilvl w:val="0"/>
          <w:numId w:val="1"/>
        </w:numPr>
      </w:pPr>
      <w:r>
        <w:rPr>
          <w:sz w:val="21"/>
          <w:color w:val="000000"/>
        </w:rPr>
        <w:t>甲方无正当理由拒绝接受服务，到期拒付服务款项的，甲方向乙方偿付本合同总价的</w:t>
      </w:r>
      <w:r>
        <w:rPr>
          <w:sz w:val="21"/>
          <w:color w:val="000000"/>
        </w:rPr>
        <w:t>5%的违约金。甲方逾期付款，则每日按本合同总价的3‰向乙方偿付违约金。</w:t>
      </w:r>
    </w:p>
    <w:p>
      <w:pPr>
        <w:pStyle w:val="null3"/>
        <w:numPr>
          <w:ilvl w:val="0"/>
          <w:numId w:val="1"/>
        </w:numPr>
      </w:pPr>
      <w:r>
        <w:rPr>
          <w:sz w:val="21"/>
          <w:color w:val="000000"/>
        </w:rPr>
        <w:t>因甲方原因导致变更、中止或者终止政府采购合同的，甲方对乙方受到的损失予以赔偿或者补偿，赔偿或者补偿金额为：</w:t>
      </w:r>
      <w:r>
        <w:rPr>
          <w:sz w:val="21"/>
          <w:color w:val="000000"/>
          <w:u w:val="single"/>
        </w:rPr>
        <w:t xml:space="preserve"> </w:t>
      </w:r>
      <w:r>
        <w:rPr>
          <w:sz w:val="21"/>
          <w:color w:val="000000"/>
          <w:u w:val="single"/>
        </w:rPr>
        <w:t>按本合同总价的</w:t>
      </w:r>
      <w:r>
        <w:rPr>
          <w:sz w:val="21"/>
          <w:color w:val="000000"/>
          <w:u w:val="single"/>
        </w:rPr>
        <w:t>%</w:t>
      </w:r>
    </w:p>
    <w:p>
      <w:pPr>
        <w:pStyle w:val="null3"/>
        <w:numPr>
          <w:ilvl w:val="0"/>
          <w:numId w:val="1"/>
        </w:numPr>
      </w:pPr>
      <w:r>
        <w:rPr>
          <w:sz w:val="21"/>
          <w:color w:val="000000"/>
        </w:rPr>
        <w:t>其它违约责任按《中华人民共和国民法典》处理。</w:t>
      </w:r>
    </w:p>
    <w:p>
      <w:pPr>
        <w:pStyle w:val="null3"/>
        <w:numPr>
          <w:ilvl w:val="0"/>
          <w:numId w:val="1"/>
        </w:numPr>
      </w:pPr>
      <w:r>
        <w:rPr>
          <w:sz w:val="21"/>
          <w:b/>
          <w:color w:val="000000"/>
        </w:rPr>
        <w:t>争端的解决</w:t>
      </w:r>
    </w:p>
    <w:p>
      <w:pPr>
        <w:pStyle w:val="null3"/>
        <w:ind w:firstLine="420"/>
      </w:pPr>
      <w:r>
        <w:rPr>
          <w:sz w:val="21"/>
          <w:color w:val="000000"/>
        </w:rPr>
        <w:t>合同执行过程中发生的任何争议，如双方不能通过友好协商解决，</w:t>
      </w:r>
      <w:r>
        <w:rPr>
          <w:sz w:val="21"/>
          <w:color w:val="000000"/>
        </w:rPr>
        <w:t>则向甲方所在地有管辖权的人民法院提起诉讼</w:t>
      </w:r>
      <w:r>
        <w:rPr>
          <w:sz w:val="21"/>
          <w:color w:val="000000"/>
        </w:rPr>
        <w:t>。</w:t>
      </w:r>
    </w:p>
    <w:p>
      <w:pPr>
        <w:pStyle w:val="null3"/>
        <w:numPr>
          <w:ilvl w:val="0"/>
          <w:numId w:val="1"/>
        </w:numPr>
      </w:pPr>
      <w:r>
        <w:rPr>
          <w:sz w:val="21"/>
          <w:b/>
          <w:color w:val="000000"/>
        </w:rPr>
        <w:t>不可抗力</w:t>
      </w:r>
    </w:p>
    <w:p>
      <w:pPr>
        <w:pStyle w:val="null3"/>
        <w:ind w:firstLine="411"/>
      </w:pPr>
      <w:r>
        <w:rPr>
          <w:sz w:val="21"/>
          <w:color w:val="000000"/>
        </w:rPr>
        <w:t>任何一方由于不可抗力原因不能履行合同时，应在不可抗力事件结束后</w:t>
      </w:r>
      <w:r>
        <w:rPr>
          <w:sz w:val="21"/>
          <w:color w:val="000000"/>
        </w:rPr>
        <w:t>1日内向对方通报，以减轻可能给对方造成的损失，在取得有关机构的不可抗力证明或双方谅解确认后，允许延期履行或修订合同，并根据情况可部分或全部免于承担违约责任。</w:t>
      </w:r>
    </w:p>
    <w:p>
      <w:pPr>
        <w:pStyle w:val="null3"/>
        <w:numPr>
          <w:ilvl w:val="0"/>
          <w:numId w:val="1"/>
        </w:numPr>
      </w:pPr>
      <w:r>
        <w:rPr>
          <w:sz w:val="21"/>
          <w:b/>
          <w:color w:val="000000"/>
        </w:rPr>
        <w:t>税费</w:t>
      </w:r>
    </w:p>
    <w:p>
      <w:pPr>
        <w:pStyle w:val="null3"/>
        <w:ind w:firstLine="411"/>
      </w:pPr>
      <w:r>
        <w:rPr>
          <w:sz w:val="21"/>
          <w:color w:val="000000"/>
        </w:rPr>
        <w:t>在中国境内、外发生的与本合同执行有关的一切税费均由乙方负担。</w:t>
      </w:r>
    </w:p>
    <w:p>
      <w:pPr>
        <w:pStyle w:val="null3"/>
        <w:numPr>
          <w:ilvl w:val="0"/>
          <w:numId w:val="1"/>
        </w:numPr>
      </w:pPr>
      <w:r>
        <w:rPr>
          <w:sz w:val="21"/>
          <w:b/>
          <w:color w:val="000000"/>
        </w:rPr>
        <w:t>其它</w:t>
      </w:r>
    </w:p>
    <w:p>
      <w:pPr>
        <w:pStyle w:val="null3"/>
        <w:numPr>
          <w:ilvl w:val="0"/>
          <w:numId w:val="1"/>
        </w:numPr>
      </w:pPr>
      <w:r>
        <w:rPr>
          <w:sz w:val="21"/>
          <w:color w:val="000000"/>
        </w:rPr>
        <w:t>本合同所有附件、招标文件、投标文件、中标通知书均为合同的有效组成部分，与本合同具有同等法律效力。</w:t>
      </w:r>
    </w:p>
    <w:p>
      <w:pPr>
        <w:pStyle w:val="null3"/>
        <w:numPr>
          <w:ilvl w:val="0"/>
          <w:numId w:val="1"/>
        </w:numPr>
      </w:pPr>
      <w:r>
        <w:rPr>
          <w:sz w:val="21"/>
          <w:color w:val="000000"/>
        </w:rPr>
        <w:t>在执行本合同的过程中，所有经双方签署确认的文件（包括会议纪要、补充协议）即成为本合同的有效组成部分。</w:t>
      </w:r>
    </w:p>
    <w:p>
      <w:pPr>
        <w:pStyle w:val="null3"/>
        <w:numPr>
          <w:ilvl w:val="0"/>
          <w:numId w:val="1"/>
        </w:numPr>
      </w:pPr>
      <w:r>
        <w:rPr>
          <w:sz w:val="21"/>
          <w:color w:val="000000"/>
        </w:rPr>
        <w:t>如一方地址、电话、传真号码有变更，应在变更当日内书面通知对方，否则，应承担相应责任。</w:t>
      </w:r>
    </w:p>
    <w:p>
      <w:pPr>
        <w:pStyle w:val="null3"/>
        <w:numPr>
          <w:ilvl w:val="0"/>
          <w:numId w:val="1"/>
        </w:numPr>
      </w:pPr>
      <w:r>
        <w:rPr>
          <w:sz w:val="21"/>
          <w:color w:val="000000"/>
        </w:rPr>
        <w:t>除甲方事先书面同意外，乙方不得部分或全部转让其应履行的合同项下的义务。</w:t>
      </w:r>
    </w:p>
    <w:p>
      <w:pPr>
        <w:pStyle w:val="null3"/>
        <w:numPr>
          <w:ilvl w:val="0"/>
          <w:numId w:val="1"/>
        </w:numPr>
      </w:pPr>
      <w:r>
        <w:rPr>
          <w:sz w:val="21"/>
          <w:color w:val="000000"/>
        </w:rPr>
        <w:t>本合同正本一式</w:t>
      </w:r>
      <w:r>
        <w:rPr>
          <w:sz w:val="21"/>
          <w:color w:val="000000"/>
          <w:u w:val="single"/>
        </w:rPr>
        <w:t xml:space="preserve">    </w:t>
      </w:r>
      <w:r>
        <w:rPr>
          <w:sz w:val="21"/>
          <w:color w:val="000000"/>
        </w:rPr>
        <w:t>份，具有同等法律效力，甲、乙双方各执</w:t>
      </w:r>
      <w:r>
        <w:rPr>
          <w:sz w:val="21"/>
          <w:color w:val="000000"/>
          <w:u w:val="single"/>
        </w:rPr>
        <w:t xml:space="preserve">    </w:t>
      </w:r>
      <w:r>
        <w:rPr>
          <w:sz w:val="21"/>
          <w:color w:val="000000"/>
        </w:rPr>
        <w:t>份，采购代理机构壹份。合同自双方签字或盖章之日起即时生效。</w:t>
      </w:r>
    </w:p>
    <w:p>
      <w:pPr>
        <w:pStyle w:val="null3"/>
        <w:numPr>
          <w:ilvl w:val="0"/>
          <w:numId w:val="1"/>
        </w:numPr>
      </w:pPr>
      <w:r>
        <w:rPr>
          <w:sz w:val="21"/>
          <w:color w:val="000000"/>
        </w:rPr>
        <w:t>本合同未尽事宜，由双方协商处理。</w:t>
      </w:r>
    </w:p>
    <w:p>
      <w:pPr>
        <w:pStyle w:val="null3"/>
        <w:ind w:left="825"/>
      </w:pPr>
      <w:r>
        <w:rPr>
          <w:sz w:val="21"/>
          <w:color w:val="000000"/>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34"/>
      </w:tblGrid>
      <w:tr>
        <w:tc>
          <w:tcPr>
            <w:tcW w:type="dxa" w:w="365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甲方（公章）：</w:t>
            </w:r>
            <w:r>
              <w:rPr>
                <w:sz w:val="21"/>
                <w:color w:val="000000"/>
              </w:rPr>
              <w:t xml:space="preserve"> </w:t>
            </w:r>
          </w:p>
          <w:p>
            <w:pPr>
              <w:pStyle w:val="null3"/>
            </w:pPr>
            <w:r>
              <w:rPr>
                <w:sz w:val="21"/>
                <w:color w:val="000000"/>
              </w:rPr>
              <w:t>联系人：</w:t>
            </w:r>
          </w:p>
          <w:p>
            <w:pPr>
              <w:pStyle w:val="null3"/>
            </w:pPr>
            <w:r>
              <w:rPr>
                <w:sz w:val="21"/>
                <w:color w:val="000000"/>
              </w:rPr>
              <w:t>开户名称：</w:t>
            </w:r>
          </w:p>
          <w:p>
            <w:pPr>
              <w:pStyle w:val="null3"/>
            </w:pPr>
            <w:r>
              <w:rPr>
                <w:sz w:val="21"/>
                <w:color w:val="000000"/>
              </w:rPr>
              <w:t>开户银行：</w:t>
            </w:r>
          </w:p>
          <w:p>
            <w:pPr>
              <w:pStyle w:val="null3"/>
            </w:pPr>
            <w:r>
              <w:rPr>
                <w:sz w:val="21"/>
                <w:color w:val="000000"/>
              </w:rPr>
              <w:t>银行账号：</w:t>
            </w:r>
          </w:p>
          <w:p>
            <w:pPr>
              <w:pStyle w:val="null3"/>
            </w:pPr>
            <w:r>
              <w:rPr>
                <w:sz w:val="21"/>
                <w:color w:val="000000"/>
              </w:rPr>
              <w:t>纳税人识别号：</w:t>
            </w:r>
          </w:p>
          <w:p>
            <w:pPr>
              <w:pStyle w:val="null3"/>
            </w:pPr>
            <w:r>
              <w:rPr>
                <w:sz w:val="21"/>
                <w:color w:val="000000"/>
              </w:rPr>
              <w:t>地址：</w:t>
            </w:r>
          </w:p>
          <w:p>
            <w:pPr>
              <w:pStyle w:val="null3"/>
            </w:pPr>
            <w:r>
              <w:rPr>
                <w:sz w:val="21"/>
                <w:color w:val="000000"/>
              </w:rPr>
              <w:t>联系方式：</w:t>
            </w:r>
          </w:p>
          <w:p>
            <w:pPr>
              <w:pStyle w:val="null3"/>
            </w:pPr>
            <w:r>
              <w:rPr>
                <w:sz w:val="21"/>
                <w:color w:val="000000"/>
              </w:rPr>
              <w:t>传真：</w:t>
            </w:r>
          </w:p>
          <w:p>
            <w:pPr>
              <w:pStyle w:val="null3"/>
            </w:pPr>
          </w:p>
        </w:tc>
        <w:tc>
          <w:tcPr>
            <w:tcW w:type="dxa" w:w="463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rPr>
              <w:t>乙方（公章）：</w:t>
            </w:r>
            <w:r>
              <w:rPr>
                <w:sz w:val="21"/>
                <w:color w:val="000000"/>
              </w:rPr>
              <w:t xml:space="preserve"> </w:t>
            </w:r>
          </w:p>
          <w:p>
            <w:pPr>
              <w:pStyle w:val="null3"/>
            </w:pPr>
            <w:r>
              <w:rPr>
                <w:sz w:val="21"/>
                <w:color w:val="000000"/>
              </w:rPr>
              <w:t>联系人：</w:t>
            </w:r>
          </w:p>
          <w:p>
            <w:pPr>
              <w:pStyle w:val="null3"/>
            </w:pPr>
            <w:r>
              <w:rPr>
                <w:sz w:val="21"/>
                <w:color w:val="000000"/>
              </w:rPr>
              <w:t>供应商规模：（大型企业</w:t>
            </w:r>
            <w:r>
              <w:rPr>
                <w:sz w:val="21"/>
                <w:color w:val="000000"/>
              </w:rPr>
              <w:t>/</w:t>
            </w:r>
            <w:r>
              <w:rPr>
                <w:sz w:val="21"/>
                <w:color w:val="000000"/>
              </w:rPr>
              <w:t>中型企业</w:t>
            </w:r>
            <w:r>
              <w:rPr>
                <w:sz w:val="21"/>
                <w:color w:val="000000"/>
              </w:rPr>
              <w:t>/</w:t>
            </w:r>
            <w:r>
              <w:rPr>
                <w:sz w:val="21"/>
                <w:color w:val="000000"/>
              </w:rPr>
              <w:t>小微型企业</w:t>
            </w:r>
            <w:r>
              <w:rPr>
                <w:sz w:val="21"/>
                <w:color w:val="000000"/>
              </w:rPr>
              <w:t>/</w:t>
            </w:r>
            <w:r>
              <w:rPr>
                <w:sz w:val="21"/>
                <w:color w:val="000000"/>
              </w:rPr>
              <w:t>其他）</w:t>
            </w:r>
          </w:p>
          <w:p>
            <w:pPr>
              <w:pStyle w:val="null3"/>
            </w:pPr>
            <w:r>
              <w:rPr>
                <w:sz w:val="21"/>
                <w:color w:val="000000"/>
              </w:rPr>
              <w:t>供应商特殊性质：（监狱企业</w:t>
            </w:r>
            <w:r>
              <w:rPr>
                <w:sz w:val="21"/>
                <w:color w:val="000000"/>
              </w:rPr>
              <w:t>/</w:t>
            </w:r>
            <w:r>
              <w:rPr>
                <w:sz w:val="21"/>
                <w:color w:val="000000"/>
              </w:rPr>
              <w:t>残疾人福利性单位</w:t>
            </w:r>
            <w:r>
              <w:rPr>
                <w:sz w:val="21"/>
                <w:color w:val="000000"/>
              </w:rPr>
              <w:t>/</w:t>
            </w:r>
            <w:r>
              <w:rPr>
                <w:sz w:val="21"/>
                <w:color w:val="000000"/>
              </w:rPr>
              <w:t>其他）</w:t>
            </w:r>
          </w:p>
          <w:p>
            <w:pPr>
              <w:pStyle w:val="null3"/>
            </w:pPr>
            <w:r>
              <w:rPr>
                <w:sz w:val="21"/>
                <w:color w:val="000000"/>
              </w:rPr>
              <w:t>开户名称：</w:t>
            </w:r>
          </w:p>
          <w:p>
            <w:pPr>
              <w:pStyle w:val="null3"/>
            </w:pPr>
            <w:r>
              <w:rPr>
                <w:sz w:val="21"/>
                <w:color w:val="000000"/>
              </w:rPr>
              <w:t>开户银行：</w:t>
            </w:r>
          </w:p>
          <w:p>
            <w:pPr>
              <w:pStyle w:val="null3"/>
            </w:pPr>
            <w:r>
              <w:rPr>
                <w:sz w:val="21"/>
                <w:color w:val="000000"/>
              </w:rPr>
              <w:t>银行账号：</w:t>
            </w:r>
          </w:p>
          <w:p>
            <w:pPr>
              <w:pStyle w:val="null3"/>
            </w:pPr>
            <w:r>
              <w:rPr>
                <w:sz w:val="21"/>
                <w:color w:val="000000"/>
              </w:rPr>
              <w:t>纳税人识别号：</w:t>
            </w:r>
          </w:p>
          <w:p>
            <w:pPr>
              <w:pStyle w:val="null3"/>
            </w:pPr>
            <w:r>
              <w:rPr>
                <w:sz w:val="21"/>
                <w:color w:val="000000"/>
              </w:rPr>
              <w:t>供应商所在区域：</w:t>
            </w:r>
          </w:p>
          <w:p>
            <w:pPr>
              <w:pStyle w:val="null3"/>
            </w:pPr>
            <w:r>
              <w:rPr>
                <w:sz w:val="21"/>
                <w:color w:val="000000"/>
              </w:rPr>
              <w:t>地址：</w:t>
            </w:r>
          </w:p>
          <w:p>
            <w:pPr>
              <w:pStyle w:val="null3"/>
            </w:pPr>
            <w:r>
              <w:rPr>
                <w:sz w:val="21"/>
                <w:color w:val="000000"/>
              </w:rPr>
              <w:t>联系方式：</w:t>
            </w:r>
          </w:p>
          <w:p>
            <w:pPr>
              <w:pStyle w:val="null3"/>
            </w:pPr>
            <w:r>
              <w:rPr>
                <w:sz w:val="21"/>
                <w:color w:val="000000"/>
              </w:rPr>
              <w:t>传真：</w:t>
            </w:r>
          </w:p>
        </w:tc>
      </w:tr>
    </w:tbl>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440201-2025-00735</w:t>
      </w:r>
    </w:p>
    <w:p>
      <w:pPr>
        <w:pStyle w:val="null3"/>
        <w:jc w:val="center"/>
        <w:outlineLvl w:val="3"/>
      </w:pPr>
      <w:r>
        <w:rPr>
          <w:sz w:val="24"/>
          <w:b/>
        </w:rPr>
        <w:t>采购项目编号：</w:t>
      </w:r>
      <w:r>
        <w:rPr>
          <w:sz w:val="24"/>
          <w:b/>
        </w:rPr>
        <w:t>ZX-GZ202503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中昕国际项目管理有限公司</w:t>
      </w:r>
    </w:p>
    <w:p>
      <w:pPr>
        <w:pStyle w:val="null3"/>
        <w:ind w:firstLine="480"/>
      </w:pPr>
      <w:r>
        <w:rPr/>
        <w:t xml:space="preserve"> 你方组织的</w:t>
      </w:r>
      <w:r>
        <w:rPr>
          <w:u w:val="single"/>
        </w:rPr>
        <w:t>“</w:t>
      </w:r>
      <w:r>
        <w:rPr>
          <w:u w:val="single"/>
        </w:rPr>
        <w:t>仁化县入河排污口规范化建设项目</w:t>
      </w:r>
      <w:r>
        <w:rPr>
          <w:u w:val="single"/>
        </w:rPr>
        <w:t>”</w:t>
      </w:r>
      <w:r>
        <w:rPr/>
        <w:t>项目的招标[采购项目编号为：</w:t>
      </w:r>
      <w:r>
        <w:rPr>
          <w:u w:val="single"/>
        </w:rPr>
        <w:t>ZX-GZ202503</w:t>
      </w:r>
      <w:r>
        <w:rPr/>
        <w:t>]，我方愿参与投标。</w:t>
      </w:r>
    </w:p>
    <w:p>
      <w:pPr>
        <w:pStyle w:val="null3"/>
        <w:ind w:firstLine="480"/>
      </w:pPr>
      <w:r>
        <w:rPr/>
        <w:t>我方确认收到贵方提供的</w:t>
      </w:r>
      <w:r>
        <w:rPr>
          <w:u w:val="single"/>
        </w:rPr>
        <w:t>“</w:t>
      </w:r>
      <w:r>
        <w:rPr>
          <w:u w:val="single"/>
        </w:rPr>
        <w:t>仁化县入河排污口规范化建设项目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中昕国际项目管理有限公司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仁化县入河排污口规范化建设项目</w:t>
      </w:r>
      <w:r>
        <w:rPr/>
        <w:t>”项目采购[采购项目编号为</w:t>
      </w:r>
      <w:r>
        <w:rPr/>
        <w:t>ZX-GZ202503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韶关市生态环境局仁化分局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中昕国际项目管理有限公司</w:t>
      </w:r>
    </w:p>
    <w:p>
      <w:pPr>
        <w:pStyle w:val="null3"/>
        <w:ind w:firstLine="480"/>
      </w:pPr>
      <w:r>
        <w:rPr/>
        <w:t xml:space="preserve"> 如果我方在贵采购代理机构组织的</w:t>
      </w:r>
      <w:r>
        <w:rPr/>
        <w:t>仁化县入河排污口规范化建设项目</w:t>
      </w:r>
      <w:r>
        <w:rPr/>
        <w:t>招标中获中标（采购项目编号：</w:t>
      </w:r>
      <w:r>
        <w:rPr/>
        <w:t>ZX-GZ202503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中昕国际项目管理有限公司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中昕国际项目管理有限公司</w:t>
      </w:r>
    </w:p>
    <w:p>
      <w:pPr>
        <w:pStyle w:val="null3"/>
        <w:ind w:firstLine="480"/>
      </w:pPr>
      <w:r>
        <w:rPr/>
        <w:t>我单位已登记并准备参与“</w:t>
      </w:r>
      <w:r>
        <w:rPr/>
        <w:t>仁化县入河排污口规范化建设项目</w:t>
      </w:r>
      <w:r>
        <w:rPr/>
        <w:t>”项目（采购项目编号：</w:t>
      </w:r>
      <w:r>
        <w:rPr/>
        <w:t>ZX-GZ202503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