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版本号：N513211202500004820250407001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阿坝州新污染调查评估项目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N5132112025000048</w:t>
      </w:r>
    </w:p>
    <w:p>
      <w:pPr>
        <w:pStyle w:val="null3"/>
        <w:jc w:val="center"/>
        <w:outlineLvl w:val="2"/>
      </w:pPr>
      <w:r>
        <w:rPr>
          <w:rFonts w:ascii="仿宋_GB2312" w:hAnsi="仿宋_GB2312" w:cs="仿宋_GB2312" w:eastAsia="仿宋_GB2312"/>
          <w:sz w:val="28"/>
          <w:b/>
        </w:rPr>
        <w:t>阿坝藏族羌族自治州生态环境局</w:t>
      </w:r>
    </w:p>
    <w:p>
      <w:pPr>
        <w:pStyle w:val="null3"/>
        <w:jc w:val="center"/>
        <w:outlineLvl w:val="2"/>
      </w:pPr>
      <w:r>
        <w:rPr>
          <w:rFonts w:ascii="仿宋_GB2312" w:hAnsi="仿宋_GB2312" w:cs="仿宋_GB2312" w:eastAsia="仿宋_GB2312"/>
          <w:sz w:val="28"/>
          <w:b/>
        </w:rPr>
        <w:t>四川众心合招标代理有限公司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四川众心合招标代理有限公司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阿坝藏族羌族自治州生态环境局</w:t>
      </w:r>
      <w:r>
        <w:rPr>
          <w:rFonts w:ascii="仿宋_GB2312" w:hAnsi="仿宋_GB2312" w:cs="仿宋_GB2312" w:eastAsia="仿宋_GB2312"/>
        </w:rPr>
        <w:t xml:space="preserve"> 委托，拟对 </w:t>
      </w:r>
      <w:r>
        <w:rPr>
          <w:rFonts w:ascii="仿宋_GB2312" w:hAnsi="仿宋_GB2312" w:cs="仿宋_GB2312" w:eastAsia="仿宋_GB2312"/>
        </w:rPr>
        <w:t>阿坝州新污染调查评估项目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阿坝藏族羌族自治州州本级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N5132112025000048</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阿坝州新污染调查评估项目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对重点流域、企业、园区开展新污染物调查，摸清区域新污染物的环境赋存分布特征，为四川省新污染物污染治理工作提供数据支撑。</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1、特殊资格条件（描述：1.本项目接受联合体磋商。 1）本项目允许联合体参加磋商，联合体所有成员不得超过（含）2家； 2）联合体各方之间应当签订联合体协议，明确约定联合体各方承担的工作和相应的责任；联合体参与磋商的，应在响应文件中提供联合体协议书； 3）以联合体形式参加磋商活动，联合体各方均为中小企业的，联合体视同中小企业。其中，联合体各方均为小微企业的，联合体视同小微企业。 2.提供行政主管部门颁发的检验检测机构资质认定证书（CMA）（提供证书复印件并加盖供应商电子签章）。 ）</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阿坝藏族羌族自治州生态环境局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马尔康市马尔康镇美谷街297-2号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624000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唐老师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0837-2828171</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四川众心合招标代理有限公司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安格斯峰汇中心（四川省成都市金牛区金科南路169号1栋6层621号）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610036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028-87788991 19130611940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采购包1：1,400,000.00元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代理服务费收费标准：1.参照原国家计委“计价格[2002]1980 号”及“发改办价格[2003]857 号”按照预算金额的1.5%再下浮10%收取。2.收取方式：由成交供应商在领取成交通知书时一次性支付至采购代理机构。3.银行账号：收款单位：四川众心合招标代理有限公司 开户行：中国农业银行股份有限公司成都茶店子支行 银行账号：22811301040027329 4.邮箱：1469541528@qq.com</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阿坝藏族羌族自治州生态环境局</w:t>
      </w:r>
      <w:r>
        <w:rPr>
          <w:rFonts w:ascii="仿宋_GB2312" w:hAnsi="仿宋_GB2312" w:cs="仿宋_GB2312" w:eastAsia="仿宋_GB2312"/>
        </w:rPr>
        <w:t xml:space="preserve"> 和 </w:t>
      </w:r>
      <w:r>
        <w:rPr>
          <w:rFonts w:ascii="仿宋_GB2312" w:hAnsi="仿宋_GB2312" w:cs="仿宋_GB2312" w:eastAsia="仿宋_GB2312"/>
        </w:rPr>
        <w:t>四川众心合招标代理有限公司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阿坝藏族羌族自治州生态环境局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四川众心合招标代理有限公司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详见磋商文件第三章内容、响应文件及采购合同等相关项目资料</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详见磋商文件第三章内容、响应文件及采购合同等相关项目资料</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按照《财政部关于进一步加强政府采购需求和履约验收管理的指导意见》(财库〔2016〕205号)和财政部《政府采购需求管理办法》（财库[2021]22号）的要求，按照磋商文件要求及响应文件应答等内容进行验收。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阿坝藏族羌族自治州生态环境局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四川众心合招标代理有限公司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四川众心合招标代理有限公司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联系人：唐老师</w:t>
      </w:r>
    </w:p>
    <w:p>
      <w:pPr>
        <w:pStyle w:val="null3"/>
        <w:jc w:val="left"/>
      </w:pPr>
      <w:r>
        <w:rPr>
          <w:rFonts w:ascii="仿宋_GB2312" w:hAnsi="仿宋_GB2312" w:cs="仿宋_GB2312" w:eastAsia="仿宋_GB2312"/>
        </w:rPr>
        <w:t>联系电话：0837-2828171</w:t>
      </w:r>
    </w:p>
    <w:p>
      <w:pPr>
        <w:pStyle w:val="null3"/>
        <w:jc w:val="left"/>
      </w:pPr>
      <w:r>
        <w:rPr>
          <w:rFonts w:ascii="仿宋_GB2312" w:hAnsi="仿宋_GB2312" w:cs="仿宋_GB2312" w:eastAsia="仿宋_GB2312"/>
        </w:rPr>
        <w:t>地址：马尔康市马尔康镇美谷街297-2号</w:t>
      </w:r>
    </w:p>
    <w:p>
      <w:pPr>
        <w:pStyle w:val="null3"/>
        <w:jc w:val="left"/>
      </w:pPr>
      <w:r>
        <w:rPr>
          <w:rFonts w:ascii="仿宋_GB2312" w:hAnsi="仿宋_GB2312" w:cs="仿宋_GB2312" w:eastAsia="仿宋_GB2312"/>
        </w:rPr>
        <w:t>邮编：624000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联系人：王女士</w:t>
      </w:r>
    </w:p>
    <w:p>
      <w:pPr>
        <w:pStyle w:val="null3"/>
        <w:jc w:val="left"/>
      </w:pPr>
      <w:r>
        <w:rPr>
          <w:rFonts w:ascii="仿宋_GB2312" w:hAnsi="仿宋_GB2312" w:cs="仿宋_GB2312" w:eastAsia="仿宋_GB2312"/>
        </w:rPr>
        <w:t>联系电话：028-87788991 19130611940</w:t>
      </w:r>
    </w:p>
    <w:p>
      <w:pPr>
        <w:pStyle w:val="null3"/>
        <w:jc w:val="left"/>
      </w:pPr>
      <w:r>
        <w:rPr>
          <w:rFonts w:ascii="仿宋_GB2312" w:hAnsi="仿宋_GB2312" w:cs="仿宋_GB2312" w:eastAsia="仿宋_GB2312"/>
        </w:rPr>
        <w:t>地址：安格斯峰汇中心（四川省成都市金牛区金科南路169号1栋6层621号）</w:t>
      </w:r>
    </w:p>
    <w:p>
      <w:pPr>
        <w:pStyle w:val="null3"/>
        <w:jc w:val="left"/>
      </w:pPr>
      <w:r>
        <w:rPr>
          <w:rFonts w:ascii="仿宋_GB2312" w:hAnsi="仿宋_GB2312" w:cs="仿宋_GB2312" w:eastAsia="仿宋_GB2312"/>
        </w:rPr>
        <w:t>邮编：610036</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1,400,000.00</w:t>
      </w:r>
    </w:p>
    <w:p>
      <w:pPr>
        <w:pStyle w:val="null3"/>
        <w:jc w:val="left"/>
      </w:pPr>
      <w:r>
        <w:rPr>
          <w:rFonts w:ascii="仿宋_GB2312" w:hAnsi="仿宋_GB2312" w:cs="仿宋_GB2312" w:eastAsia="仿宋_GB2312"/>
        </w:rPr>
        <w:t>采购包最高限价（元）: 1,400,000.00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C07010100 生态资源调查与监测服务</w:t>
            </w:r>
          </w:p>
        </w:tc>
        <w:tc>
          <w:tcPr>
            <w:tcW w:type="dxa" w:w="821"/>
          </w:tcPr>
          <w:p>
            <w:pPr>
              <w:pStyle w:val="null3"/>
              <w:jc w:val="left"/>
            </w:pPr>
            <w:r>
              <w:rPr>
                <w:rFonts w:ascii="仿宋_GB2312" w:hAnsi="仿宋_GB2312" w:cs="仿宋_GB2312" w:eastAsia="仿宋_GB2312"/>
              </w:rPr>
              <w:t>阿坝州新污染调查评估项目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1,400,000.00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阿坝州新污染调查评估项目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1,400,000.00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标的名称：阿坝州新污染调查评估项目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ind w:firstLine="552"/>
              <w:jc w:val="left"/>
            </w:pPr>
            <w:r>
              <w:rPr>
                <w:rFonts w:ascii="仿宋_GB2312" w:hAnsi="仿宋_GB2312" w:cs="仿宋_GB2312" w:eastAsia="仿宋_GB2312"/>
                <w:sz w:val="28"/>
                <w:b/>
              </w:rPr>
              <w:t>一）</w:t>
            </w:r>
            <w:r>
              <w:rPr>
                <w:rFonts w:ascii="仿宋_GB2312" w:hAnsi="仿宋_GB2312" w:cs="仿宋_GB2312" w:eastAsia="仿宋_GB2312"/>
                <w:sz w:val="28"/>
                <w:b/>
              </w:rPr>
              <w:t>工作内容</w:t>
            </w:r>
          </w:p>
          <w:p>
            <w:pPr>
              <w:pStyle w:val="null3"/>
              <w:ind w:firstLine="552"/>
              <w:jc w:val="left"/>
            </w:pPr>
            <w:r>
              <w:rPr>
                <w:rFonts w:ascii="仿宋_GB2312" w:hAnsi="仿宋_GB2312" w:cs="仿宋_GB2312" w:eastAsia="仿宋_GB2312"/>
                <w:sz w:val="28"/>
              </w:rPr>
              <w:t>落实《四川省新污染物治理工作方案》（川办发〔</w:t>
            </w:r>
            <w:r>
              <w:rPr>
                <w:rFonts w:ascii="仿宋_GB2312" w:hAnsi="仿宋_GB2312" w:cs="仿宋_GB2312" w:eastAsia="仿宋_GB2312"/>
                <w:sz w:val="28"/>
              </w:rPr>
              <w:t>2022〕77号）、《关于加快推进新污染物川渝联合调查和化学物质环境风险优先评估工作的通知》（川环办函〔2024〕528号）任</w:t>
            </w:r>
            <w:r>
              <w:rPr>
                <w:rFonts w:ascii="仿宋_GB2312" w:hAnsi="仿宋_GB2312" w:cs="仿宋_GB2312" w:eastAsia="仿宋_GB2312"/>
                <w:sz w:val="28"/>
              </w:rPr>
              <w:t>务要求，完成《新污染物川渝联合调查工作方案》（川环函〔</w:t>
            </w:r>
            <w:r>
              <w:rPr>
                <w:rFonts w:ascii="仿宋_GB2312" w:hAnsi="仿宋_GB2312" w:cs="仿宋_GB2312" w:eastAsia="仿宋_GB2312"/>
                <w:sz w:val="28"/>
              </w:rPr>
              <w:t>2023〕830号）和《四川省化学物质环境风险优先评估工作方案》（川环办函〔2023〕537号）中的现场踏勘、资料收集、监测布点方案编制、样品采集和检测、开展环境与健康风险评估等工作，并做好阿坝藏族羌族自治州（以下简称阿坝州）境内化学物质环境风险评估。</w:t>
            </w:r>
          </w:p>
          <w:p>
            <w:pPr>
              <w:pStyle w:val="null3"/>
              <w:ind w:firstLine="552"/>
              <w:jc w:val="left"/>
            </w:pPr>
            <w:r>
              <w:rPr>
                <w:rFonts w:ascii="仿宋_GB2312" w:hAnsi="仿宋_GB2312" w:cs="仿宋_GB2312" w:eastAsia="仿宋_GB2312"/>
                <w:sz w:val="28"/>
                <w:b/>
              </w:rPr>
              <w:t>二）</w:t>
            </w:r>
            <w:r>
              <w:rPr>
                <w:rFonts w:ascii="仿宋_GB2312" w:hAnsi="仿宋_GB2312" w:cs="仿宋_GB2312" w:eastAsia="仿宋_GB2312"/>
                <w:sz w:val="28"/>
                <w:b/>
              </w:rPr>
              <w:t>调查对象</w:t>
            </w:r>
          </w:p>
          <w:p>
            <w:pPr>
              <w:pStyle w:val="null3"/>
              <w:ind w:firstLine="552"/>
              <w:jc w:val="left"/>
            </w:pPr>
            <w:r>
              <w:rPr>
                <w:rFonts w:ascii="仿宋_GB2312" w:hAnsi="仿宋_GB2312" w:cs="仿宋_GB2312" w:eastAsia="仿宋_GB2312"/>
                <w:sz w:val="28"/>
              </w:rPr>
              <w:t>根据《新污染物川渝联合调查工作方案》（川环函〔</w:t>
            </w:r>
            <w:r>
              <w:rPr>
                <w:rFonts w:ascii="仿宋_GB2312" w:hAnsi="仿宋_GB2312" w:cs="仿宋_GB2312" w:eastAsia="仿宋_GB2312"/>
                <w:sz w:val="28"/>
              </w:rPr>
              <w:t>2023〕830号）和《关于加快推进新污染物川渝联合调查和化学物质环境风险优先评估工作的通知》（川环函﹝2024﹞528号）的要求，本项工作阿坝州新污染物调查对象见表1。</w:t>
            </w:r>
          </w:p>
          <w:p>
            <w:pPr>
              <w:pStyle w:val="null3"/>
              <w:ind w:firstLine="412"/>
              <w:jc w:val="center"/>
            </w:pPr>
            <w:r>
              <w:rPr>
                <w:rFonts w:ascii="仿宋_GB2312" w:hAnsi="仿宋_GB2312" w:cs="仿宋_GB2312" w:eastAsia="仿宋_GB2312"/>
                <w:sz w:val="21"/>
                <w:b/>
              </w:rPr>
              <w:t>表</w:t>
            </w:r>
            <w:r>
              <w:rPr>
                <w:rFonts w:ascii="仿宋_GB2312" w:hAnsi="仿宋_GB2312" w:cs="仿宋_GB2312" w:eastAsia="仿宋_GB2312"/>
                <w:sz w:val="21"/>
                <w:b/>
              </w:rPr>
              <w:t>1  调查点位清单</w:t>
            </w:r>
          </w:p>
          <w:tbl>
            <w:tblPr>
              <w:tblBorders>
                <w:top w:val="none" w:color="000000" w:sz="4"/>
                <w:left w:val="none" w:color="000000" w:sz="4"/>
                <w:bottom w:val="none" w:color="000000" w:sz="4"/>
                <w:right w:val="none" w:color="000000" w:sz="4"/>
                <w:insideH w:val="none"/>
                <w:insideV w:val="none"/>
              </w:tblBorders>
            </w:tblPr>
            <w:tblGrid>
              <w:gridCol w:w="1144"/>
              <w:gridCol w:w="1469"/>
              <w:gridCol w:w="762"/>
              <w:gridCol w:w="2187"/>
            </w:tblGrid>
            <w:tr>
              <w:tc>
                <w:tcPr>
                  <w:tcW w:type="dxa" w:w="1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任务来源</w:t>
                  </w:r>
                </w:p>
              </w:tc>
              <w:tc>
                <w:tcPr>
                  <w:tcW w:type="dxa" w:w="14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调查对象类型</w:t>
                  </w:r>
                </w:p>
              </w:tc>
              <w:tc>
                <w:tcPr>
                  <w:tcW w:type="dxa" w:w="7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调查对象名称</w:t>
                  </w:r>
                </w:p>
              </w:tc>
            </w:tr>
            <w:tr>
              <w:tc>
                <w:tcPr>
                  <w:tcW w:type="dxa" w:w="114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川渝联合调查</w:t>
                  </w:r>
                </w:p>
              </w:tc>
              <w:tc>
                <w:tcPr>
                  <w:tcW w:type="dxa" w:w="146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饮用水水源地</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大郎足沟查北村水源地</w:t>
                  </w:r>
                </w:p>
              </w:tc>
            </w:tr>
            <w:tr>
              <w:tc>
                <w:tcPr>
                  <w:tcW w:type="dxa" w:w="1144"/>
                  <w:vMerge/>
                  <w:tcBorders>
                    <w:top w:val="none" w:color="000000" w:sz="4"/>
                    <w:left w:val="single" w:color="000000" w:sz="4"/>
                    <w:bottom w:val="none" w:color="000000" w:sz="4"/>
                    <w:right w:val="single" w:color="000000" w:sz="4"/>
                  </w:tcBorders>
                </w:tcPr>
                <w:p/>
              </w:tc>
              <w:tc>
                <w:tcPr>
                  <w:tcW w:type="dxa" w:w="1469"/>
                  <w:vMerge/>
                  <w:tcBorders>
                    <w:top w:val="none" w:color="000000" w:sz="4"/>
                    <w:left w:val="none" w:color="000000" w:sz="4"/>
                    <w:bottom w:val="none" w:color="000000" w:sz="4"/>
                    <w:right w:val="single" w:color="000000" w:sz="4"/>
                  </w:tcBorders>
                </w:tcP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磨子沟水源地</w:t>
                  </w:r>
                </w:p>
              </w:tc>
            </w:tr>
            <w:tr>
              <w:tc>
                <w:tcPr>
                  <w:tcW w:type="dxa" w:w="1144"/>
                  <w:vMerge/>
                  <w:tcBorders>
                    <w:top w:val="none" w:color="000000" w:sz="4"/>
                    <w:left w:val="single" w:color="000000" w:sz="4"/>
                    <w:bottom w:val="none" w:color="000000" w:sz="4"/>
                    <w:right w:val="single" w:color="000000" w:sz="4"/>
                  </w:tcBorders>
                </w:tcPr>
                <w:p/>
              </w:tc>
              <w:tc>
                <w:tcPr>
                  <w:tcW w:type="dxa" w:w="1469"/>
                  <w:vMerge/>
                  <w:tcBorders>
                    <w:top w:val="none" w:color="000000" w:sz="4"/>
                    <w:left w:val="none" w:color="000000" w:sz="4"/>
                    <w:bottom w:val="none" w:color="000000" w:sz="4"/>
                    <w:right w:val="single" w:color="000000" w:sz="4"/>
                  </w:tcBorders>
                </w:tcP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西洛足卡沟水源地</w:t>
                  </w:r>
                </w:p>
              </w:tc>
            </w:tr>
            <w:tr>
              <w:tc>
                <w:tcPr>
                  <w:tcW w:type="dxa" w:w="1144"/>
                  <w:vMerge/>
                  <w:tcBorders>
                    <w:top w:val="none" w:color="000000" w:sz="4"/>
                    <w:left w:val="single" w:color="000000" w:sz="4"/>
                    <w:bottom w:val="none" w:color="000000" w:sz="4"/>
                    <w:right w:val="single" w:color="000000" w:sz="4"/>
                  </w:tcBorders>
                </w:tcPr>
                <w:p/>
              </w:tc>
              <w:tc>
                <w:tcPr>
                  <w:tcW w:type="dxa" w:w="1469"/>
                  <w:vMerge/>
                  <w:tcBorders>
                    <w:top w:val="none" w:color="000000" w:sz="4"/>
                    <w:left w:val="none" w:color="000000" w:sz="4"/>
                    <w:bottom w:val="none" w:color="000000" w:sz="4"/>
                    <w:right w:val="single" w:color="000000" w:sz="4"/>
                  </w:tcBorders>
                </w:tcP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卡木拉足沟水源地</w:t>
                  </w:r>
                </w:p>
              </w:tc>
            </w:tr>
            <w:tr>
              <w:tc>
                <w:tcPr>
                  <w:tcW w:type="dxa" w:w="1144"/>
                  <w:vMerge/>
                  <w:tcBorders>
                    <w:top w:val="none" w:color="000000" w:sz="4"/>
                    <w:left w:val="single" w:color="000000" w:sz="4"/>
                    <w:bottom w:val="none" w:color="000000" w:sz="4"/>
                    <w:right w:val="single" w:color="000000" w:sz="4"/>
                  </w:tcBorders>
                </w:tcPr>
                <w:p/>
              </w:tc>
              <w:tc>
                <w:tcPr>
                  <w:tcW w:type="dxa" w:w="1469"/>
                  <w:vMerge/>
                  <w:tcBorders>
                    <w:top w:val="none" w:color="000000" w:sz="4"/>
                    <w:left w:val="none" w:color="000000" w:sz="4"/>
                    <w:bottom w:val="none" w:color="000000" w:sz="4"/>
                    <w:right w:val="single" w:color="000000" w:sz="4"/>
                  </w:tcBorders>
                </w:tcP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燃灯足沟水源地</w:t>
                  </w:r>
                </w:p>
              </w:tc>
            </w:tr>
            <w:tr>
              <w:tc>
                <w:tcPr>
                  <w:tcW w:type="dxa" w:w="1144"/>
                  <w:vMerge/>
                  <w:tcBorders>
                    <w:top w:val="none" w:color="000000" w:sz="4"/>
                    <w:left w:val="single" w:color="000000" w:sz="4"/>
                    <w:bottom w:val="none" w:color="000000" w:sz="4"/>
                    <w:right w:val="single" w:color="000000" w:sz="4"/>
                  </w:tcBorders>
                </w:tcPr>
                <w:p/>
              </w:tc>
              <w:tc>
                <w:tcPr>
                  <w:tcW w:type="dxa" w:w="1469"/>
                  <w:vMerge/>
                  <w:tcBorders>
                    <w:top w:val="none" w:color="000000" w:sz="4"/>
                    <w:left w:val="none" w:color="000000" w:sz="4"/>
                    <w:bottom w:val="none" w:color="000000" w:sz="4"/>
                    <w:right w:val="single" w:color="000000" w:sz="4"/>
                  </w:tcBorders>
                </w:tcP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热卡足沟水源地</w:t>
                  </w:r>
                </w:p>
              </w:tc>
            </w:tr>
            <w:tr>
              <w:tc>
                <w:tcPr>
                  <w:tcW w:type="dxa" w:w="1144"/>
                  <w:vMerge/>
                  <w:tcBorders>
                    <w:top w:val="none" w:color="000000" w:sz="4"/>
                    <w:left w:val="single" w:color="000000" w:sz="4"/>
                    <w:bottom w:val="none" w:color="000000" w:sz="4"/>
                    <w:right w:val="single" w:color="000000" w:sz="4"/>
                  </w:tcBorders>
                </w:tcPr>
                <w:p/>
              </w:tc>
              <w:tc>
                <w:tcPr>
                  <w:tcW w:type="dxa" w:w="1469"/>
                  <w:vMerge/>
                  <w:tcBorders>
                    <w:top w:val="none" w:color="000000" w:sz="4"/>
                    <w:left w:val="none" w:color="000000" w:sz="4"/>
                    <w:bottom w:val="none" w:color="000000" w:sz="4"/>
                    <w:right w:val="single" w:color="000000" w:sz="4"/>
                  </w:tcBorders>
                </w:tcP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二台子沟水源地</w:t>
                  </w:r>
                </w:p>
              </w:tc>
            </w:tr>
            <w:tr>
              <w:tc>
                <w:tcPr>
                  <w:tcW w:type="dxa" w:w="1144"/>
                  <w:vMerge/>
                  <w:tcBorders>
                    <w:top w:val="none" w:color="000000" w:sz="4"/>
                    <w:left w:val="single" w:color="000000" w:sz="4"/>
                    <w:bottom w:val="none" w:color="000000" w:sz="4"/>
                    <w:right w:val="single" w:color="000000" w:sz="4"/>
                  </w:tcBorders>
                </w:tcPr>
                <w:p/>
              </w:tc>
              <w:tc>
                <w:tcPr>
                  <w:tcW w:type="dxa" w:w="14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流域断面（含排口点位）</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渭门桥</w:t>
                  </w:r>
                </w:p>
              </w:tc>
            </w:tr>
            <w:tr>
              <w:tc>
                <w:tcPr>
                  <w:tcW w:type="dxa" w:w="1144"/>
                  <w:vMerge/>
                  <w:tcBorders>
                    <w:top w:val="none" w:color="000000" w:sz="4"/>
                    <w:left w:val="single" w:color="000000" w:sz="4"/>
                    <w:bottom w:val="none" w:color="000000" w:sz="4"/>
                    <w:right w:val="single" w:color="000000" w:sz="4"/>
                  </w:tcBorders>
                </w:tcPr>
                <w:p/>
              </w:tc>
              <w:tc>
                <w:tcPr>
                  <w:tcW w:type="dxa" w:w="1469"/>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镇平乡</w:t>
                  </w:r>
                </w:p>
              </w:tc>
            </w:tr>
            <w:tr>
              <w:tc>
                <w:tcPr>
                  <w:tcW w:type="dxa" w:w="1144"/>
                  <w:vMerge/>
                  <w:tcBorders>
                    <w:top w:val="none" w:color="000000" w:sz="4"/>
                    <w:left w:val="single" w:color="000000" w:sz="4"/>
                    <w:bottom w:val="none" w:color="000000" w:sz="4"/>
                    <w:right w:val="single" w:color="000000" w:sz="4"/>
                  </w:tcBorders>
                </w:tcPr>
                <w:p/>
              </w:tc>
              <w:tc>
                <w:tcPr>
                  <w:tcW w:type="dxa" w:w="1469"/>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映秀</w:t>
                  </w:r>
                </w:p>
              </w:tc>
            </w:tr>
            <w:tr>
              <w:tc>
                <w:tcPr>
                  <w:tcW w:type="dxa" w:w="1144"/>
                  <w:vMerge/>
                  <w:tcBorders>
                    <w:top w:val="none" w:color="000000" w:sz="4"/>
                    <w:left w:val="single" w:color="000000" w:sz="4"/>
                    <w:bottom w:val="none" w:color="000000" w:sz="4"/>
                    <w:right w:val="single" w:color="000000" w:sz="4"/>
                  </w:tcBorders>
                </w:tcPr>
                <w:p/>
              </w:tc>
              <w:tc>
                <w:tcPr>
                  <w:tcW w:type="dxa" w:w="1469"/>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牟托</w:t>
                  </w:r>
                </w:p>
              </w:tc>
            </w:tr>
            <w:tr>
              <w:tc>
                <w:tcPr>
                  <w:tcW w:type="dxa" w:w="1144"/>
                  <w:vMerge/>
                  <w:tcBorders>
                    <w:top w:val="none" w:color="000000" w:sz="4"/>
                    <w:left w:val="single" w:color="000000" w:sz="4"/>
                    <w:bottom w:val="none" w:color="000000" w:sz="4"/>
                    <w:right w:val="single" w:color="000000" w:sz="4"/>
                  </w:tcBorders>
                </w:tcPr>
                <w:p/>
              </w:tc>
              <w:tc>
                <w:tcPr>
                  <w:tcW w:type="dxa" w:w="1469"/>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四川阿坝工业园区污水处理厂</w:t>
                  </w:r>
                </w:p>
              </w:tc>
            </w:tr>
            <w:tr>
              <w:tc>
                <w:tcPr>
                  <w:tcW w:type="dxa" w:w="1144"/>
                  <w:vMerge/>
                  <w:tcBorders>
                    <w:top w:val="none" w:color="000000" w:sz="4"/>
                    <w:left w:val="single" w:color="000000" w:sz="4"/>
                    <w:bottom w:val="none" w:color="000000" w:sz="4"/>
                    <w:right w:val="single" w:color="000000" w:sz="4"/>
                  </w:tcBorders>
                </w:tcP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工业园区</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汶川县工业园区（漩口、桃关）</w:t>
                  </w:r>
                </w:p>
              </w:tc>
            </w:tr>
            <w:tr>
              <w:tc>
                <w:tcPr>
                  <w:tcW w:type="dxa" w:w="1144"/>
                  <w:vMerge/>
                  <w:tcBorders>
                    <w:top w:val="none" w:color="000000" w:sz="4"/>
                    <w:left w:val="single" w:color="000000" w:sz="4"/>
                    <w:bottom w:val="none" w:color="000000" w:sz="4"/>
                    <w:right w:val="single" w:color="000000" w:sz="4"/>
                  </w:tcBorders>
                </w:tcPr>
                <w:p/>
              </w:tc>
              <w:tc>
                <w:tcPr>
                  <w:tcW w:type="dxa" w:w="146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生活污水处理厂</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马尔康污水处理厂</w:t>
                  </w:r>
                </w:p>
              </w:tc>
            </w:tr>
            <w:tr>
              <w:tc>
                <w:tcPr>
                  <w:tcW w:type="dxa" w:w="1144"/>
                  <w:vMerge/>
                  <w:tcBorders>
                    <w:top w:val="none" w:color="000000" w:sz="4"/>
                    <w:left w:val="single" w:color="000000" w:sz="4"/>
                    <w:bottom w:val="none" w:color="000000" w:sz="4"/>
                    <w:right w:val="single" w:color="000000" w:sz="4"/>
                  </w:tcBorders>
                </w:tcPr>
                <w:p/>
              </w:tc>
              <w:tc>
                <w:tcPr>
                  <w:tcW w:type="dxa" w:w="1469"/>
                  <w:vMerge/>
                  <w:tcBorders>
                    <w:top w:val="none" w:color="000000" w:sz="4"/>
                    <w:left w:val="none" w:color="000000" w:sz="4"/>
                    <w:bottom w:val="none" w:color="000000" w:sz="4"/>
                    <w:right w:val="single" w:color="000000" w:sz="4"/>
                  </w:tcBorders>
                </w:tcP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汶川县城市生活污水处理厂</w:t>
                  </w:r>
                </w:p>
              </w:tc>
            </w:tr>
            <w:tr>
              <w:tc>
                <w:tcPr>
                  <w:tcW w:type="dxa" w:w="1144"/>
                  <w:vMerge/>
                  <w:tcBorders>
                    <w:top w:val="none" w:color="000000" w:sz="4"/>
                    <w:left w:val="single" w:color="000000" w:sz="4"/>
                    <w:bottom w:val="none" w:color="000000" w:sz="4"/>
                    <w:right w:val="single" w:color="000000" w:sz="4"/>
                  </w:tcBorders>
                </w:tcPr>
                <w:p/>
              </w:tc>
              <w:tc>
                <w:tcPr>
                  <w:tcW w:type="dxa" w:w="146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生活垃圾处置设施</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马尔康垃圾填埋场</w:t>
                  </w:r>
                </w:p>
              </w:tc>
            </w:tr>
            <w:tr>
              <w:tc>
                <w:tcPr>
                  <w:tcW w:type="dxa" w:w="1144"/>
                  <w:vMerge/>
                  <w:tcBorders>
                    <w:top w:val="none" w:color="000000" w:sz="4"/>
                    <w:left w:val="single" w:color="000000" w:sz="4"/>
                    <w:bottom w:val="none" w:color="000000" w:sz="4"/>
                    <w:right w:val="single" w:color="000000" w:sz="4"/>
                  </w:tcBorders>
                </w:tcPr>
                <w:p/>
              </w:tc>
              <w:tc>
                <w:tcPr>
                  <w:tcW w:type="dxa" w:w="1469"/>
                  <w:vMerge/>
                  <w:tcBorders>
                    <w:top w:val="none" w:color="000000" w:sz="4"/>
                    <w:left w:val="none" w:color="000000" w:sz="4"/>
                    <w:bottom w:val="none" w:color="000000" w:sz="4"/>
                    <w:right w:val="single" w:color="000000" w:sz="4"/>
                  </w:tcBorders>
                </w:tcP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绵虒镇半坡生活垃圾填埋场</w:t>
                  </w:r>
                </w:p>
              </w:tc>
            </w:tr>
            <w:tr>
              <w:tc>
                <w:tcPr>
                  <w:tcW w:type="dxa" w:w="1144"/>
                  <w:vMerge/>
                  <w:tcBorders>
                    <w:top w:val="none" w:color="000000" w:sz="4"/>
                    <w:left w:val="single" w:color="000000" w:sz="4"/>
                    <w:bottom w:val="none" w:color="000000" w:sz="4"/>
                    <w:right w:val="single" w:color="000000" w:sz="4"/>
                  </w:tcBorders>
                </w:tcPr>
                <w:p/>
              </w:tc>
              <w:tc>
                <w:tcPr>
                  <w:tcW w:type="dxa" w:w="1469"/>
                  <w:vMerge/>
                  <w:tcBorders>
                    <w:top w:val="none" w:color="000000" w:sz="4"/>
                    <w:left w:val="none" w:color="000000" w:sz="4"/>
                    <w:bottom w:val="none" w:color="000000" w:sz="4"/>
                    <w:right w:val="single" w:color="000000" w:sz="4"/>
                  </w:tcBorders>
                </w:tcP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水磨镇生活填埋场</w:t>
                  </w:r>
                </w:p>
              </w:tc>
            </w:tr>
            <w:tr>
              <w:tc>
                <w:tcPr>
                  <w:tcW w:type="dxa" w:w="11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化学物质环境风险优先评估</w:t>
                  </w:r>
                </w:p>
              </w:tc>
              <w:tc>
                <w:tcPr>
                  <w:tcW w:type="dxa" w:w="14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重点企业</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四川希望水电开发有限公司</w:t>
                  </w:r>
                </w:p>
              </w:tc>
            </w:tr>
            <w:tr>
              <w:tc>
                <w:tcPr>
                  <w:tcW w:type="dxa" w:w="1144"/>
                  <w:vMerge/>
                  <w:tcBorders>
                    <w:top w:val="none" w:color="000000" w:sz="4"/>
                    <w:left w:val="single" w:color="000000" w:sz="4"/>
                    <w:bottom w:val="single" w:color="000000" w:sz="4"/>
                    <w:right w:val="single" w:color="000000" w:sz="4"/>
                  </w:tcBorders>
                </w:tcPr>
                <w:p/>
              </w:tc>
              <w:tc>
                <w:tcPr>
                  <w:tcW w:type="dxa" w:w="14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四川集康化工有限公司</w:t>
                  </w:r>
                </w:p>
              </w:tc>
            </w:tr>
            <w:tr>
              <w:tc>
                <w:tcPr>
                  <w:tcW w:type="dxa" w:w="1144"/>
                  <w:vMerge/>
                  <w:tcBorders>
                    <w:top w:val="none" w:color="000000" w:sz="4"/>
                    <w:left w:val="single" w:color="000000" w:sz="4"/>
                    <w:bottom w:val="single" w:color="000000" w:sz="4"/>
                    <w:right w:val="single" w:color="000000" w:sz="4"/>
                  </w:tcBorders>
                </w:tcPr>
                <w:p/>
              </w:tc>
              <w:tc>
                <w:tcPr>
                  <w:tcW w:type="dxa" w:w="14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四川长化宏光盐化工有限公司</w:t>
                  </w:r>
                </w:p>
              </w:tc>
            </w:tr>
            <w:tr>
              <w:tc>
                <w:tcPr>
                  <w:tcW w:type="dxa" w:w="1144"/>
                  <w:vMerge/>
                  <w:tcBorders>
                    <w:top w:val="none" w:color="000000" w:sz="4"/>
                    <w:left w:val="single" w:color="000000" w:sz="4"/>
                    <w:bottom w:val="single" w:color="000000" w:sz="4"/>
                    <w:right w:val="single" w:color="000000" w:sz="4"/>
                  </w:tcBorders>
                </w:tcPr>
                <w:p/>
              </w:tc>
              <w:tc>
                <w:tcPr>
                  <w:tcW w:type="dxa" w:w="14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马尔康垃圾填埋场</w:t>
                  </w:r>
                </w:p>
              </w:tc>
            </w:tr>
          </w:tbl>
          <w:p>
            <w:pPr>
              <w:pStyle w:val="null3"/>
              <w:jc w:val="both"/>
            </w:pPr>
            <w:r>
              <w:rPr>
                <w:rFonts w:ascii="仿宋_GB2312" w:hAnsi="仿宋_GB2312" w:cs="仿宋_GB2312" w:eastAsia="仿宋_GB2312"/>
                <w:sz w:val="32"/>
              </w:rPr>
              <w:t xml:space="preserve">  </w:t>
            </w:r>
            <w:r>
              <w:rPr>
                <w:rFonts w:ascii="仿宋_GB2312" w:hAnsi="仿宋_GB2312" w:cs="仿宋_GB2312" w:eastAsia="仿宋_GB2312"/>
                <w:sz w:val="28"/>
                <w:b/>
              </w:rPr>
              <w:t xml:space="preserve">  </w:t>
            </w:r>
            <w:r>
              <w:rPr>
                <w:rFonts w:ascii="仿宋_GB2312" w:hAnsi="仿宋_GB2312" w:cs="仿宋_GB2312" w:eastAsia="仿宋_GB2312"/>
                <w:sz w:val="28"/>
                <w:b/>
              </w:rPr>
              <w:t>注：最终调查对象应根据四川省生态环境厅核定的调查点位清单进行相应调整。</w:t>
            </w:r>
          </w:p>
          <w:p>
            <w:pPr>
              <w:pStyle w:val="null3"/>
              <w:ind w:firstLine="552"/>
              <w:jc w:val="both"/>
            </w:pPr>
            <w:r>
              <w:rPr>
                <w:rFonts w:ascii="仿宋_GB2312" w:hAnsi="仿宋_GB2312" w:cs="仿宋_GB2312" w:eastAsia="仿宋_GB2312"/>
                <w:sz w:val="28"/>
                <w:b/>
              </w:rPr>
              <w:t>三）</w:t>
            </w:r>
            <w:r>
              <w:rPr>
                <w:rFonts w:ascii="仿宋_GB2312" w:hAnsi="仿宋_GB2312" w:cs="仿宋_GB2312" w:eastAsia="仿宋_GB2312"/>
                <w:sz w:val="28"/>
                <w:b/>
              </w:rPr>
              <w:t>资料收集</w:t>
            </w:r>
          </w:p>
          <w:p>
            <w:pPr>
              <w:pStyle w:val="null3"/>
              <w:ind w:firstLine="552"/>
              <w:jc w:val="both"/>
            </w:pPr>
            <w:r>
              <w:rPr>
                <w:rFonts w:ascii="仿宋_GB2312" w:hAnsi="仿宋_GB2312" w:cs="仿宋_GB2312" w:eastAsia="仿宋_GB2312"/>
                <w:sz w:val="28"/>
              </w:rPr>
              <w:t>对调查对象开展资料收集和现场查勘访谈。收集调查对象的基本情况，包含但不限于地理位置信息、社会经济概况、规划布局、环境影响评价报告、地块平面布置及周边外环境、产品及原辅料、生产工艺及产废环节、污染治理工艺及设施、污染物排放等信息资料。视情开展现场查勘访谈，进一步核实已收集资料的准确性、更新资料变更信息或补充其他信息。</w:t>
            </w:r>
          </w:p>
          <w:p>
            <w:pPr>
              <w:pStyle w:val="null3"/>
              <w:ind w:firstLine="552"/>
              <w:jc w:val="left"/>
            </w:pPr>
            <w:r>
              <w:rPr>
                <w:rFonts w:ascii="仿宋_GB2312" w:hAnsi="仿宋_GB2312" w:cs="仿宋_GB2312" w:eastAsia="仿宋_GB2312"/>
                <w:sz w:val="28"/>
                <w:b/>
              </w:rPr>
              <w:t>四）</w:t>
            </w:r>
            <w:r>
              <w:rPr>
                <w:rFonts w:ascii="仿宋_GB2312" w:hAnsi="仿宋_GB2312" w:cs="仿宋_GB2312" w:eastAsia="仿宋_GB2312"/>
                <w:sz w:val="28"/>
                <w:b/>
              </w:rPr>
              <w:t>布点方案编制</w:t>
            </w:r>
            <w:r>
              <w:rPr>
                <w:rFonts w:ascii="仿宋_GB2312" w:hAnsi="仿宋_GB2312" w:cs="仿宋_GB2312" w:eastAsia="仿宋_GB2312"/>
                <w:sz w:val="28"/>
                <w:b/>
              </w:rPr>
              <w:t>要求</w:t>
            </w:r>
          </w:p>
          <w:p>
            <w:pPr>
              <w:pStyle w:val="null3"/>
              <w:ind w:firstLine="552"/>
              <w:jc w:val="left"/>
            </w:pPr>
            <w:r>
              <w:rPr>
                <w:rFonts w:ascii="仿宋_GB2312" w:hAnsi="仿宋_GB2312" w:cs="仿宋_GB2312" w:eastAsia="仿宋_GB2312"/>
                <w:sz w:val="28"/>
                <w:b/>
              </w:rPr>
              <w:t>1.</w:t>
            </w:r>
            <w:r>
              <w:rPr>
                <w:rFonts w:ascii="仿宋_GB2312" w:hAnsi="仿宋_GB2312" w:cs="仿宋_GB2312" w:eastAsia="仿宋_GB2312"/>
                <w:sz w:val="28"/>
                <w:b/>
              </w:rPr>
              <w:t>川渝联合调查</w:t>
            </w:r>
          </w:p>
          <w:p>
            <w:pPr>
              <w:pStyle w:val="null3"/>
              <w:ind w:firstLine="552"/>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新污染物川渝联合调查</w:t>
            </w:r>
            <w:r>
              <w:rPr>
                <w:rFonts w:ascii="仿宋_GB2312" w:hAnsi="仿宋_GB2312" w:cs="仿宋_GB2312" w:eastAsia="仿宋_GB2312"/>
                <w:sz w:val="28"/>
              </w:rPr>
              <w:t>——饮用水水源地</w:t>
            </w:r>
          </w:p>
          <w:p>
            <w:pPr>
              <w:pStyle w:val="null3"/>
              <w:ind w:firstLine="552"/>
              <w:jc w:val="left"/>
            </w:pPr>
            <w:r>
              <w:rPr>
                <w:rFonts w:ascii="仿宋_GB2312" w:hAnsi="仿宋_GB2312" w:cs="仿宋_GB2312" w:eastAsia="仿宋_GB2312"/>
                <w:sz w:val="28"/>
              </w:rPr>
              <w:t>1）</w:t>
            </w:r>
            <w:r>
              <w:rPr>
                <w:rFonts w:ascii="仿宋_GB2312" w:hAnsi="仿宋_GB2312" w:cs="仿宋_GB2312" w:eastAsia="仿宋_GB2312"/>
                <w:sz w:val="28"/>
              </w:rPr>
              <w:t>点位布设</w:t>
            </w:r>
          </w:p>
          <w:p>
            <w:pPr>
              <w:pStyle w:val="null3"/>
              <w:ind w:firstLine="552"/>
              <w:jc w:val="left"/>
            </w:pPr>
            <w:r>
              <w:rPr>
                <w:rFonts w:ascii="仿宋_GB2312" w:hAnsi="仿宋_GB2312" w:cs="仿宋_GB2312" w:eastAsia="仿宋_GB2312"/>
                <w:sz w:val="28"/>
              </w:rPr>
              <w:t>地表水饮用水水源地：在每个水源地取水口周边</w:t>
            </w:r>
            <w:r>
              <w:rPr>
                <w:rFonts w:ascii="仿宋_GB2312" w:hAnsi="仿宋_GB2312" w:cs="仿宋_GB2312" w:eastAsia="仿宋_GB2312"/>
                <w:sz w:val="28"/>
              </w:rPr>
              <w:t>50米范围内布设1个监测点位，采集1个</w:t>
            </w:r>
            <w:r>
              <w:rPr>
                <w:rFonts w:ascii="仿宋_GB2312" w:hAnsi="仿宋_GB2312" w:cs="仿宋_GB2312" w:eastAsia="仿宋_GB2312"/>
                <w:sz w:val="28"/>
              </w:rPr>
              <w:t>水样，采样深度与取水口深度一致。若有多个取水口的，选取</w:t>
            </w:r>
            <w:r>
              <w:rPr>
                <w:rFonts w:ascii="仿宋_GB2312" w:hAnsi="仿宋_GB2312" w:cs="仿宋_GB2312" w:eastAsia="仿宋_GB2312"/>
                <w:sz w:val="28"/>
              </w:rPr>
              <w:t>1个具有代表性的取水口进行采集。</w:t>
            </w:r>
          </w:p>
          <w:p>
            <w:pPr>
              <w:pStyle w:val="null3"/>
              <w:ind w:firstLine="552"/>
              <w:jc w:val="both"/>
            </w:pPr>
            <w:r>
              <w:rPr>
                <w:rFonts w:ascii="仿宋_GB2312" w:hAnsi="仿宋_GB2312" w:cs="仿宋_GB2312" w:eastAsia="仿宋_GB2312"/>
                <w:sz w:val="28"/>
              </w:rPr>
              <w:t>2）</w:t>
            </w:r>
            <w:r>
              <w:rPr>
                <w:rFonts w:ascii="仿宋_GB2312" w:hAnsi="仿宋_GB2312" w:cs="仿宋_GB2312" w:eastAsia="仿宋_GB2312"/>
                <w:sz w:val="28"/>
              </w:rPr>
              <w:t>监测频次</w:t>
            </w:r>
          </w:p>
          <w:p>
            <w:pPr>
              <w:pStyle w:val="null3"/>
              <w:ind w:firstLine="552"/>
              <w:jc w:val="both"/>
            </w:pPr>
            <w:r>
              <w:rPr>
                <w:rFonts w:ascii="仿宋_GB2312" w:hAnsi="仿宋_GB2312" w:cs="仿宋_GB2312" w:eastAsia="仿宋_GB2312"/>
                <w:sz w:val="28"/>
              </w:rPr>
              <w:t>每个点位枯、丰水期各监测</w:t>
            </w:r>
            <w:r>
              <w:rPr>
                <w:rFonts w:ascii="仿宋_GB2312" w:hAnsi="仿宋_GB2312" w:cs="仿宋_GB2312" w:eastAsia="仿宋_GB2312"/>
                <w:sz w:val="28"/>
              </w:rPr>
              <w:t>1次，共2次。</w:t>
            </w:r>
          </w:p>
          <w:p>
            <w:pPr>
              <w:pStyle w:val="null3"/>
              <w:ind w:firstLine="552"/>
              <w:jc w:val="both"/>
            </w:pPr>
            <w:r>
              <w:rPr>
                <w:rFonts w:ascii="仿宋_GB2312" w:hAnsi="仿宋_GB2312" w:cs="仿宋_GB2312" w:eastAsia="仿宋_GB2312"/>
                <w:sz w:val="28"/>
              </w:rPr>
              <w:t>3）</w:t>
            </w:r>
            <w:r>
              <w:rPr>
                <w:rFonts w:ascii="仿宋_GB2312" w:hAnsi="仿宋_GB2312" w:cs="仿宋_GB2312" w:eastAsia="仿宋_GB2312"/>
                <w:sz w:val="28"/>
              </w:rPr>
              <w:t>监测因子</w:t>
            </w:r>
          </w:p>
          <w:p>
            <w:pPr>
              <w:pStyle w:val="null3"/>
              <w:ind w:firstLine="552"/>
              <w:jc w:val="both"/>
            </w:pPr>
            <w:r>
              <w:rPr>
                <w:rFonts w:ascii="仿宋_GB2312" w:hAnsi="仿宋_GB2312" w:cs="仿宋_GB2312" w:eastAsia="仿宋_GB2312"/>
                <w:sz w:val="28"/>
              </w:rPr>
              <w:t>《重点管控新污染物清单（</w:t>
            </w:r>
            <w:r>
              <w:rPr>
                <w:rFonts w:ascii="仿宋_GB2312" w:hAnsi="仿宋_GB2312" w:cs="仿宋_GB2312" w:eastAsia="仿宋_GB2312"/>
                <w:sz w:val="28"/>
              </w:rPr>
              <w:t>2023年版）》中除抗生素和淘汰类外前12类、《第一批化学物质环境风险优先评估计划》中20类化学物质。</w:t>
            </w:r>
          </w:p>
          <w:p>
            <w:pPr>
              <w:pStyle w:val="null3"/>
              <w:ind w:firstLine="552"/>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新污染物川渝联合调查</w:t>
            </w:r>
            <w:r>
              <w:rPr>
                <w:rFonts w:ascii="仿宋_GB2312" w:hAnsi="仿宋_GB2312" w:cs="仿宋_GB2312" w:eastAsia="仿宋_GB2312"/>
                <w:sz w:val="28"/>
              </w:rPr>
              <w:t>——流域断面（含排口点位）</w:t>
            </w:r>
          </w:p>
          <w:p>
            <w:pPr>
              <w:pStyle w:val="null3"/>
              <w:ind w:firstLine="552"/>
              <w:jc w:val="both"/>
            </w:pPr>
            <w:r>
              <w:rPr>
                <w:rFonts w:ascii="仿宋_GB2312" w:hAnsi="仿宋_GB2312" w:cs="仿宋_GB2312" w:eastAsia="仿宋_GB2312"/>
                <w:sz w:val="28"/>
              </w:rPr>
              <w:t>1）</w:t>
            </w:r>
            <w:r>
              <w:rPr>
                <w:rFonts w:ascii="仿宋_GB2312" w:hAnsi="仿宋_GB2312" w:cs="仿宋_GB2312" w:eastAsia="仿宋_GB2312"/>
                <w:sz w:val="28"/>
              </w:rPr>
              <w:t>点位布设</w:t>
            </w:r>
          </w:p>
          <w:p>
            <w:pPr>
              <w:pStyle w:val="null3"/>
              <w:ind w:firstLine="552"/>
              <w:jc w:val="both"/>
            </w:pPr>
            <w:r>
              <w:rPr>
                <w:rFonts w:ascii="仿宋_GB2312" w:hAnsi="仿宋_GB2312" w:cs="仿宋_GB2312" w:eastAsia="仿宋_GB2312"/>
                <w:sz w:val="28"/>
              </w:rPr>
              <w:t>根据流域长度，在流域上游和下游各布设</w:t>
            </w:r>
            <w:r>
              <w:rPr>
                <w:rFonts w:ascii="仿宋_GB2312" w:hAnsi="仿宋_GB2312" w:cs="仿宋_GB2312" w:eastAsia="仿宋_GB2312"/>
                <w:sz w:val="28"/>
              </w:rPr>
              <w:t>1个监测点位；根据流域内排污口情况，原则上有集中式废水排放口的区域(工业园区污水集中排放口、县城以上生活污水处理厂排放口)，在排口下游1km范围内增加1个监测点位。</w:t>
            </w:r>
          </w:p>
          <w:p>
            <w:pPr>
              <w:pStyle w:val="null3"/>
              <w:ind w:firstLine="552"/>
              <w:jc w:val="both"/>
            </w:pPr>
            <w:r>
              <w:rPr>
                <w:rFonts w:ascii="仿宋_GB2312" w:hAnsi="仿宋_GB2312" w:cs="仿宋_GB2312" w:eastAsia="仿宋_GB2312"/>
                <w:sz w:val="28"/>
              </w:rPr>
              <w:t>2）</w:t>
            </w:r>
            <w:r>
              <w:rPr>
                <w:rFonts w:ascii="仿宋_GB2312" w:hAnsi="仿宋_GB2312" w:cs="仿宋_GB2312" w:eastAsia="仿宋_GB2312"/>
                <w:sz w:val="28"/>
              </w:rPr>
              <w:t>监测频次</w:t>
            </w:r>
          </w:p>
          <w:p>
            <w:pPr>
              <w:pStyle w:val="null3"/>
              <w:ind w:firstLine="552"/>
              <w:jc w:val="both"/>
            </w:pPr>
            <w:r>
              <w:rPr>
                <w:rFonts w:ascii="仿宋_GB2312" w:hAnsi="仿宋_GB2312" w:cs="仿宋_GB2312" w:eastAsia="仿宋_GB2312"/>
                <w:sz w:val="28"/>
              </w:rPr>
              <w:t>每个点位枯、丰水期各监测</w:t>
            </w:r>
            <w:r>
              <w:rPr>
                <w:rFonts w:ascii="仿宋_GB2312" w:hAnsi="仿宋_GB2312" w:cs="仿宋_GB2312" w:eastAsia="仿宋_GB2312"/>
                <w:sz w:val="28"/>
              </w:rPr>
              <w:t>1次，共2次。</w:t>
            </w:r>
          </w:p>
          <w:p>
            <w:pPr>
              <w:pStyle w:val="null3"/>
              <w:ind w:firstLine="552"/>
              <w:jc w:val="both"/>
            </w:pPr>
            <w:r>
              <w:rPr>
                <w:rFonts w:ascii="仿宋_GB2312" w:hAnsi="仿宋_GB2312" w:cs="仿宋_GB2312" w:eastAsia="仿宋_GB2312"/>
                <w:sz w:val="28"/>
              </w:rPr>
              <w:t>3）</w:t>
            </w:r>
            <w:r>
              <w:rPr>
                <w:rFonts w:ascii="仿宋_GB2312" w:hAnsi="仿宋_GB2312" w:cs="仿宋_GB2312" w:eastAsia="仿宋_GB2312"/>
                <w:sz w:val="28"/>
              </w:rPr>
              <w:t>监测因子</w:t>
            </w:r>
          </w:p>
          <w:p>
            <w:pPr>
              <w:pStyle w:val="null3"/>
              <w:ind w:firstLine="552"/>
              <w:jc w:val="both"/>
            </w:pPr>
            <w:r>
              <w:rPr>
                <w:rFonts w:ascii="仿宋_GB2312" w:hAnsi="仿宋_GB2312" w:cs="仿宋_GB2312" w:eastAsia="仿宋_GB2312"/>
                <w:sz w:val="28"/>
              </w:rPr>
              <w:t>《重点管控新污染物清单</w:t>
            </w:r>
            <w:r>
              <w:rPr>
                <w:rFonts w:ascii="仿宋_GB2312" w:hAnsi="仿宋_GB2312" w:cs="仿宋_GB2312" w:eastAsia="仿宋_GB2312"/>
                <w:sz w:val="28"/>
              </w:rPr>
              <w:t>(2023年版)》中除抗生素和淘汰类外前 12 类、《第一批化学物质环境风险优先评估计划》中 20类化学物质为必查项目，并视情增加《2023年新污染物环境监测试点工作方案》中列举的化学物质(含监测物质参考清单)为补充调查项目。对不少于3个监测点位开展一次非靶向筛查，定性分析流域内各类新污染物情况。</w:t>
            </w:r>
          </w:p>
          <w:p>
            <w:pPr>
              <w:pStyle w:val="null3"/>
              <w:ind w:firstLine="552"/>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新污染物川渝联合调查</w:t>
            </w:r>
            <w:r>
              <w:rPr>
                <w:rFonts w:ascii="仿宋_GB2312" w:hAnsi="仿宋_GB2312" w:cs="仿宋_GB2312" w:eastAsia="仿宋_GB2312"/>
                <w:sz w:val="28"/>
              </w:rPr>
              <w:t>——</w:t>
            </w:r>
            <w:r>
              <w:rPr>
                <w:rFonts w:ascii="仿宋_GB2312" w:hAnsi="仿宋_GB2312" w:cs="仿宋_GB2312" w:eastAsia="仿宋_GB2312"/>
                <w:sz w:val="28"/>
              </w:rPr>
              <w:t>工业园区</w:t>
            </w:r>
          </w:p>
          <w:p>
            <w:pPr>
              <w:pStyle w:val="null3"/>
              <w:ind w:firstLine="552"/>
              <w:jc w:val="both"/>
            </w:pPr>
            <w:r>
              <w:rPr>
                <w:rFonts w:ascii="仿宋_GB2312" w:hAnsi="仿宋_GB2312" w:cs="仿宋_GB2312" w:eastAsia="仿宋_GB2312"/>
                <w:sz w:val="28"/>
              </w:rPr>
              <w:t>1）</w:t>
            </w:r>
            <w:r>
              <w:rPr>
                <w:rFonts w:ascii="仿宋_GB2312" w:hAnsi="仿宋_GB2312" w:cs="仿宋_GB2312" w:eastAsia="仿宋_GB2312"/>
                <w:sz w:val="28"/>
              </w:rPr>
              <w:t>点位布设</w:t>
            </w:r>
          </w:p>
          <w:p>
            <w:pPr>
              <w:pStyle w:val="null3"/>
              <w:ind w:firstLine="552"/>
              <w:jc w:val="both"/>
            </w:pPr>
            <w:r>
              <w:rPr>
                <w:rFonts w:ascii="仿宋_GB2312" w:hAnsi="仿宋_GB2312" w:cs="仿宋_GB2312" w:eastAsia="仿宋_GB2312"/>
                <w:sz w:val="28"/>
              </w:rPr>
              <w:t>①土壤监测点</w:t>
            </w:r>
          </w:p>
          <w:p>
            <w:pPr>
              <w:pStyle w:val="null3"/>
              <w:ind w:firstLine="552"/>
              <w:jc w:val="both"/>
            </w:pPr>
            <w:r>
              <w:rPr>
                <w:rFonts w:ascii="仿宋_GB2312" w:hAnsi="仿宋_GB2312" w:cs="仿宋_GB2312" w:eastAsia="仿宋_GB2312"/>
                <w:sz w:val="28"/>
              </w:rPr>
              <w:t>综合考虑污染物迁移方向和周边敏感目标位置等因素，在每一个涉及新污染物废气排放企业的主导风向下风侧</w:t>
            </w:r>
            <w:r>
              <w:rPr>
                <w:rFonts w:ascii="仿宋_GB2312" w:hAnsi="仿宋_GB2312" w:cs="仿宋_GB2312" w:eastAsia="仿宋_GB2312"/>
                <w:sz w:val="28"/>
              </w:rPr>
              <w:t>1km范围内布设不少于1个监测点，在每一个涉及地表径流可能造成新污染物排放的企业周边布设不少于1个点位；结合企业分布情况，涉及多个相邻监测点位的可适当合并优化监测点位，同时在工业园区主导风向上风侧2km范围外受人为活动干扰较少区域布设1个对照点，优先选择在裸露土壤区域布点。若园区1km范围内存在农用地，根据农用地分布情况和农用地面积，在不同方位布设不少于4个点位。</w:t>
            </w:r>
          </w:p>
          <w:p>
            <w:pPr>
              <w:pStyle w:val="null3"/>
              <w:ind w:firstLine="552"/>
              <w:jc w:val="both"/>
            </w:pPr>
            <w:r>
              <w:rPr>
                <w:rFonts w:ascii="仿宋_GB2312" w:hAnsi="仿宋_GB2312" w:cs="仿宋_GB2312" w:eastAsia="仿宋_GB2312"/>
                <w:sz w:val="28"/>
              </w:rPr>
              <w:t>②地下水监测点</w:t>
            </w:r>
          </w:p>
          <w:p>
            <w:pPr>
              <w:pStyle w:val="null3"/>
              <w:ind w:firstLine="552"/>
              <w:jc w:val="both"/>
            </w:pPr>
            <w:r>
              <w:rPr>
                <w:rFonts w:ascii="仿宋_GB2312" w:hAnsi="仿宋_GB2312" w:cs="仿宋_GB2312" w:eastAsia="仿宋_GB2312"/>
                <w:sz w:val="28"/>
              </w:rPr>
              <w:t>在地下水进入园区的上游布设</w:t>
            </w:r>
            <w:r>
              <w:rPr>
                <w:rFonts w:ascii="仿宋_GB2312" w:hAnsi="仿宋_GB2312" w:cs="仿宋_GB2312" w:eastAsia="仿宋_GB2312"/>
                <w:sz w:val="28"/>
              </w:rPr>
              <w:t>1个对照点位，在园区内根据企业分布情况布设不少于1个点位，在园区地下水下游边界布设不少于1个点位，每个点位采集1个地下水样品。若园区周边不同区域有取水井的，在每个区域至少采集1个地下水样品。</w:t>
            </w:r>
          </w:p>
          <w:p>
            <w:pPr>
              <w:pStyle w:val="null3"/>
              <w:ind w:firstLine="552"/>
              <w:jc w:val="both"/>
            </w:pPr>
            <w:r>
              <w:rPr>
                <w:rFonts w:ascii="仿宋_GB2312" w:hAnsi="仿宋_GB2312" w:cs="仿宋_GB2312" w:eastAsia="仿宋_GB2312"/>
                <w:sz w:val="28"/>
              </w:rPr>
              <w:t>③废水监测点</w:t>
            </w:r>
          </w:p>
          <w:p>
            <w:pPr>
              <w:pStyle w:val="null3"/>
              <w:ind w:firstLine="552"/>
              <w:jc w:val="both"/>
            </w:pPr>
            <w:r>
              <w:rPr>
                <w:rFonts w:ascii="仿宋_GB2312" w:hAnsi="仿宋_GB2312" w:cs="仿宋_GB2312" w:eastAsia="仿宋_GB2312"/>
                <w:sz w:val="28"/>
              </w:rPr>
              <w:t>在集中式污水处理厂废水进口和排口各布设</w:t>
            </w:r>
            <w:r>
              <w:rPr>
                <w:rFonts w:ascii="仿宋_GB2312" w:hAnsi="仿宋_GB2312" w:cs="仿宋_GB2312" w:eastAsia="仿宋_GB2312"/>
                <w:sz w:val="28"/>
              </w:rPr>
              <w:t>1个点位，如存在园区内企业新污染物单独排放的情况，每个进口和排口均应布设1个点位，在排污口入河处下游1km处布设1个点位。周边农用地涉及有灌渠，至少布设1个水样点位和1个底泥点位。</w:t>
            </w:r>
          </w:p>
          <w:p>
            <w:pPr>
              <w:pStyle w:val="null3"/>
              <w:ind w:firstLine="552"/>
              <w:jc w:val="both"/>
            </w:pPr>
            <w:r>
              <w:rPr>
                <w:rFonts w:ascii="仿宋_GB2312" w:hAnsi="仿宋_GB2312" w:cs="仿宋_GB2312" w:eastAsia="仿宋_GB2312"/>
                <w:sz w:val="28"/>
              </w:rPr>
              <w:t>④大气监测点（选测）</w:t>
            </w:r>
          </w:p>
          <w:p>
            <w:pPr>
              <w:pStyle w:val="null3"/>
              <w:ind w:firstLine="552"/>
              <w:jc w:val="both"/>
            </w:pPr>
            <w:r>
              <w:rPr>
                <w:rFonts w:ascii="仿宋_GB2312" w:hAnsi="仿宋_GB2312" w:cs="仿宋_GB2312" w:eastAsia="仿宋_GB2312"/>
                <w:sz w:val="28"/>
              </w:rPr>
              <w:t>对具备监测条件的因子（如二氯甲烷、三氯甲烷等）在园区主导风向上风向和下风向边界内各布设</w:t>
            </w:r>
            <w:r>
              <w:rPr>
                <w:rFonts w:ascii="仿宋_GB2312" w:hAnsi="仿宋_GB2312" w:cs="仿宋_GB2312" w:eastAsia="仿宋_GB2312"/>
                <w:sz w:val="28"/>
              </w:rPr>
              <w:t>1个采样点，在园区内部存在污染物集中排放区域均应布设1个点位，相邻监测点位的可适当合并优化合并，在集中式污水处理厂布设1个点位（选择在曝气池上方等挥发较大的区域）。</w:t>
            </w:r>
          </w:p>
          <w:p>
            <w:pPr>
              <w:pStyle w:val="null3"/>
              <w:ind w:firstLine="552"/>
              <w:jc w:val="both"/>
            </w:pPr>
            <w:r>
              <w:rPr>
                <w:rFonts w:ascii="仿宋_GB2312" w:hAnsi="仿宋_GB2312" w:cs="仿宋_GB2312" w:eastAsia="仿宋_GB2312"/>
                <w:sz w:val="28"/>
              </w:rPr>
              <w:t>2）</w:t>
            </w:r>
            <w:r>
              <w:rPr>
                <w:rFonts w:ascii="仿宋_GB2312" w:hAnsi="仿宋_GB2312" w:cs="仿宋_GB2312" w:eastAsia="仿宋_GB2312"/>
                <w:sz w:val="28"/>
              </w:rPr>
              <w:t>监测频次</w:t>
            </w:r>
          </w:p>
          <w:p>
            <w:pPr>
              <w:pStyle w:val="null3"/>
              <w:ind w:firstLine="552"/>
              <w:jc w:val="both"/>
            </w:pPr>
            <w:r>
              <w:rPr>
                <w:rFonts w:ascii="仿宋_GB2312" w:hAnsi="仿宋_GB2312" w:cs="仿宋_GB2312" w:eastAsia="仿宋_GB2312"/>
                <w:sz w:val="28"/>
              </w:rPr>
              <w:t>监测</w:t>
            </w:r>
            <w:r>
              <w:rPr>
                <w:rFonts w:ascii="仿宋_GB2312" w:hAnsi="仿宋_GB2312" w:cs="仿宋_GB2312" w:eastAsia="仿宋_GB2312"/>
                <w:sz w:val="28"/>
              </w:rPr>
              <w:t>1次</w:t>
            </w:r>
          </w:p>
          <w:p>
            <w:pPr>
              <w:pStyle w:val="null3"/>
              <w:ind w:firstLine="552"/>
              <w:jc w:val="both"/>
            </w:pPr>
            <w:r>
              <w:rPr>
                <w:rFonts w:ascii="仿宋_GB2312" w:hAnsi="仿宋_GB2312" w:cs="仿宋_GB2312" w:eastAsia="仿宋_GB2312"/>
                <w:sz w:val="28"/>
              </w:rPr>
              <w:t>3）</w:t>
            </w:r>
            <w:r>
              <w:rPr>
                <w:rFonts w:ascii="仿宋_GB2312" w:hAnsi="仿宋_GB2312" w:cs="仿宋_GB2312" w:eastAsia="仿宋_GB2312"/>
                <w:sz w:val="28"/>
              </w:rPr>
              <w:t>监测因子</w:t>
            </w:r>
          </w:p>
          <w:p>
            <w:pPr>
              <w:pStyle w:val="null3"/>
              <w:ind w:firstLine="552"/>
              <w:jc w:val="both"/>
            </w:pPr>
            <w:r>
              <w:rPr>
                <w:rFonts w:ascii="仿宋_GB2312" w:hAnsi="仿宋_GB2312" w:cs="仿宋_GB2312" w:eastAsia="仿宋_GB2312"/>
                <w:sz w:val="28"/>
              </w:rPr>
              <w:t>结合园区实际情况确定，原则上每一个企业生产或使用的涉及新污染物产生和排放的化学物质都纳入监测。</w:t>
            </w:r>
          </w:p>
          <w:p>
            <w:pPr>
              <w:pStyle w:val="null3"/>
              <w:ind w:firstLine="552"/>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新污染物川渝联合调查</w:t>
            </w:r>
            <w:r>
              <w:rPr>
                <w:rFonts w:ascii="仿宋_GB2312" w:hAnsi="仿宋_GB2312" w:cs="仿宋_GB2312" w:eastAsia="仿宋_GB2312"/>
                <w:sz w:val="28"/>
              </w:rPr>
              <w:t>——生活污水处理厂</w:t>
            </w:r>
          </w:p>
          <w:p>
            <w:pPr>
              <w:pStyle w:val="null3"/>
              <w:ind w:firstLine="552"/>
              <w:jc w:val="both"/>
            </w:pPr>
            <w:r>
              <w:rPr>
                <w:rFonts w:ascii="仿宋_GB2312" w:hAnsi="仿宋_GB2312" w:cs="仿宋_GB2312" w:eastAsia="仿宋_GB2312"/>
                <w:sz w:val="28"/>
              </w:rPr>
              <w:t>1）点位布设</w:t>
            </w:r>
          </w:p>
          <w:p>
            <w:pPr>
              <w:pStyle w:val="null3"/>
              <w:ind w:firstLine="552"/>
              <w:jc w:val="both"/>
            </w:pPr>
            <w:r>
              <w:rPr>
                <w:rFonts w:ascii="仿宋_GB2312" w:hAnsi="仿宋_GB2312" w:cs="仿宋_GB2312" w:eastAsia="仿宋_GB2312"/>
                <w:sz w:val="28"/>
              </w:rPr>
              <w:t>在污水处理厂污水进口处设置</w:t>
            </w:r>
            <w:r>
              <w:rPr>
                <w:rFonts w:ascii="仿宋_GB2312" w:hAnsi="仿宋_GB2312" w:cs="仿宋_GB2312" w:eastAsia="仿宋_GB2312"/>
                <w:sz w:val="28"/>
              </w:rPr>
              <w:t>1个监测点位，总排口布设1个监测点位，各采集1个废水样品。污水处理设施末端入河处的下游1km处布设1个监测点位。经脱水处理后的污泥采集1个样品。</w:t>
            </w:r>
          </w:p>
          <w:p>
            <w:pPr>
              <w:pStyle w:val="null3"/>
              <w:ind w:firstLine="552"/>
              <w:jc w:val="both"/>
            </w:pPr>
            <w:r>
              <w:rPr>
                <w:rFonts w:ascii="仿宋_GB2312" w:hAnsi="仿宋_GB2312" w:cs="仿宋_GB2312" w:eastAsia="仿宋_GB2312"/>
                <w:sz w:val="28"/>
              </w:rPr>
              <w:t>2）监测频次</w:t>
            </w:r>
          </w:p>
          <w:p>
            <w:pPr>
              <w:pStyle w:val="null3"/>
              <w:ind w:firstLine="552"/>
              <w:jc w:val="both"/>
            </w:pPr>
            <w:r>
              <w:rPr>
                <w:rFonts w:ascii="仿宋_GB2312" w:hAnsi="仿宋_GB2312" w:cs="仿宋_GB2312" w:eastAsia="仿宋_GB2312"/>
                <w:sz w:val="28"/>
              </w:rPr>
              <w:t>监测</w:t>
            </w:r>
            <w:r>
              <w:rPr>
                <w:rFonts w:ascii="仿宋_GB2312" w:hAnsi="仿宋_GB2312" w:cs="仿宋_GB2312" w:eastAsia="仿宋_GB2312"/>
                <w:sz w:val="28"/>
              </w:rPr>
              <w:t>1次。监测时段应根据污水处理设施工况而定，若为间歇性排放，则尽量选择污水排放量高峰时段取样；若为连续稳定排放，则选择正常工况下任意时间点进行取样。</w:t>
            </w:r>
          </w:p>
          <w:p>
            <w:pPr>
              <w:pStyle w:val="null3"/>
              <w:ind w:firstLine="552"/>
              <w:jc w:val="both"/>
            </w:pPr>
            <w:r>
              <w:rPr>
                <w:rFonts w:ascii="仿宋_GB2312" w:hAnsi="仿宋_GB2312" w:cs="仿宋_GB2312" w:eastAsia="仿宋_GB2312"/>
                <w:sz w:val="28"/>
              </w:rPr>
              <w:t>3）监测因子</w:t>
            </w:r>
          </w:p>
          <w:p>
            <w:pPr>
              <w:pStyle w:val="null3"/>
              <w:ind w:firstLine="552"/>
              <w:jc w:val="both"/>
            </w:pPr>
            <w:r>
              <w:rPr>
                <w:rFonts w:ascii="仿宋_GB2312" w:hAnsi="仿宋_GB2312" w:cs="仿宋_GB2312" w:eastAsia="仿宋_GB2312"/>
                <w:sz w:val="28"/>
              </w:rPr>
              <w:t>《重点管控新污染物清单（</w:t>
            </w:r>
            <w:r>
              <w:rPr>
                <w:rFonts w:ascii="仿宋_GB2312" w:hAnsi="仿宋_GB2312" w:cs="仿宋_GB2312" w:eastAsia="仿宋_GB2312"/>
                <w:sz w:val="28"/>
              </w:rPr>
              <w:t>2023年版）》中除抗生素和淘汰类外前12类、《第一批化学物质环境风险优先评估计划》中20类化学物质为必查项目，并视情增加《2023年新污染物环境监测试点工作方案》中列举的化学物质（含监测物质参考清单）为补充调查项目。开展1次非靶向筛查，定性分析废水中各类新污染物情况。</w:t>
            </w:r>
          </w:p>
          <w:p>
            <w:pPr>
              <w:pStyle w:val="null3"/>
              <w:ind w:firstLine="552"/>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新污染物川渝联合调查</w:t>
            </w:r>
            <w:r>
              <w:rPr>
                <w:rFonts w:ascii="仿宋_GB2312" w:hAnsi="仿宋_GB2312" w:cs="仿宋_GB2312" w:eastAsia="仿宋_GB2312"/>
                <w:sz w:val="28"/>
              </w:rPr>
              <w:t>——生活垃圾处置设施（仅涉及垃圾填埋场）</w:t>
            </w:r>
          </w:p>
          <w:p>
            <w:pPr>
              <w:pStyle w:val="null3"/>
              <w:ind w:firstLine="552"/>
              <w:jc w:val="both"/>
            </w:pPr>
            <w:r>
              <w:rPr>
                <w:rFonts w:ascii="仿宋_GB2312" w:hAnsi="仿宋_GB2312" w:cs="仿宋_GB2312" w:eastAsia="仿宋_GB2312"/>
                <w:sz w:val="28"/>
              </w:rPr>
              <w:t>1）点位布设</w:t>
            </w:r>
          </w:p>
          <w:p>
            <w:pPr>
              <w:pStyle w:val="null3"/>
              <w:ind w:firstLine="552"/>
              <w:jc w:val="both"/>
            </w:pPr>
            <w:r>
              <w:rPr>
                <w:rFonts w:ascii="仿宋_GB2312" w:hAnsi="仿宋_GB2312" w:cs="仿宋_GB2312" w:eastAsia="仿宋_GB2312"/>
                <w:sz w:val="28"/>
              </w:rPr>
              <w:t>①土壤监测点</w:t>
            </w:r>
          </w:p>
          <w:p>
            <w:pPr>
              <w:pStyle w:val="null3"/>
              <w:ind w:firstLine="552"/>
              <w:jc w:val="both"/>
            </w:pPr>
            <w:r>
              <w:rPr>
                <w:rFonts w:ascii="仿宋_GB2312" w:hAnsi="仿宋_GB2312" w:cs="仿宋_GB2312" w:eastAsia="仿宋_GB2312"/>
                <w:sz w:val="28"/>
              </w:rPr>
              <w:t>在填埋场坝体下游布设不少于</w:t>
            </w:r>
            <w:r>
              <w:rPr>
                <w:rFonts w:ascii="仿宋_GB2312" w:hAnsi="仿宋_GB2312" w:cs="仿宋_GB2312" w:eastAsia="仿宋_GB2312"/>
                <w:sz w:val="28"/>
              </w:rPr>
              <w:t>1个监测点位，若下游1km范围内存在农用地的情况，根据农用地分布情况和农用地面积，需增设不少于1个点位。同时，在填埋场上游布设1个对照点，优先选择在裸露土壤区域布点。</w:t>
            </w:r>
          </w:p>
          <w:p>
            <w:pPr>
              <w:pStyle w:val="null3"/>
              <w:ind w:firstLine="552"/>
              <w:jc w:val="both"/>
            </w:pPr>
            <w:r>
              <w:rPr>
                <w:rFonts w:ascii="仿宋_GB2312" w:hAnsi="仿宋_GB2312" w:cs="仿宋_GB2312" w:eastAsia="仿宋_GB2312"/>
                <w:sz w:val="28"/>
              </w:rPr>
              <w:t>②地下水监测点</w:t>
            </w:r>
          </w:p>
          <w:p>
            <w:pPr>
              <w:pStyle w:val="null3"/>
              <w:ind w:firstLine="552"/>
              <w:jc w:val="both"/>
            </w:pPr>
            <w:r>
              <w:rPr>
                <w:rFonts w:ascii="仿宋_GB2312" w:hAnsi="仿宋_GB2312" w:cs="仿宋_GB2312" w:eastAsia="仿宋_GB2312"/>
                <w:sz w:val="28"/>
              </w:rPr>
              <w:t>在地下水进入场地的上游布设</w:t>
            </w:r>
            <w:r>
              <w:rPr>
                <w:rFonts w:ascii="仿宋_GB2312" w:hAnsi="仿宋_GB2312" w:cs="仿宋_GB2312" w:eastAsia="仿宋_GB2312"/>
                <w:sz w:val="28"/>
              </w:rPr>
              <w:t>1个对照点位，在场地边界地下水下游布设1个监测点位，每个点位采集1个地下水样品。若场地周边有取用水井的，采集1个地下水样品。</w:t>
            </w:r>
          </w:p>
          <w:p>
            <w:pPr>
              <w:pStyle w:val="null3"/>
              <w:ind w:firstLine="552"/>
              <w:jc w:val="both"/>
            </w:pPr>
            <w:r>
              <w:rPr>
                <w:rFonts w:ascii="仿宋_GB2312" w:hAnsi="仿宋_GB2312" w:cs="仿宋_GB2312" w:eastAsia="仿宋_GB2312"/>
                <w:sz w:val="28"/>
              </w:rPr>
              <w:t>③渗滤液监测点</w:t>
            </w:r>
          </w:p>
          <w:p>
            <w:pPr>
              <w:pStyle w:val="null3"/>
              <w:ind w:firstLine="552"/>
              <w:jc w:val="both"/>
            </w:pPr>
            <w:r>
              <w:rPr>
                <w:rFonts w:ascii="仿宋_GB2312" w:hAnsi="仿宋_GB2312" w:cs="仿宋_GB2312" w:eastAsia="仿宋_GB2312"/>
                <w:sz w:val="28"/>
              </w:rPr>
              <w:t>在污水处理设施进口和总排放口各布设</w:t>
            </w:r>
            <w:r>
              <w:rPr>
                <w:rFonts w:ascii="仿宋_GB2312" w:hAnsi="仿宋_GB2312" w:cs="仿宋_GB2312" w:eastAsia="仿宋_GB2312"/>
                <w:sz w:val="28"/>
              </w:rPr>
              <w:t>1个监测点位；若有入河情况的，在排污口入河处的下游1km处布设1个监测点位。</w:t>
            </w:r>
          </w:p>
          <w:p>
            <w:pPr>
              <w:pStyle w:val="null3"/>
              <w:ind w:firstLine="552"/>
              <w:jc w:val="both"/>
            </w:pPr>
            <w:r>
              <w:rPr>
                <w:rFonts w:ascii="仿宋_GB2312" w:hAnsi="仿宋_GB2312" w:cs="仿宋_GB2312" w:eastAsia="仿宋_GB2312"/>
                <w:sz w:val="28"/>
              </w:rPr>
              <w:t>2）监测频次</w:t>
            </w:r>
          </w:p>
          <w:p>
            <w:pPr>
              <w:pStyle w:val="null3"/>
              <w:ind w:firstLine="552"/>
              <w:jc w:val="both"/>
            </w:pPr>
            <w:r>
              <w:rPr>
                <w:rFonts w:ascii="仿宋_GB2312" w:hAnsi="仿宋_GB2312" w:cs="仿宋_GB2312" w:eastAsia="仿宋_GB2312"/>
                <w:sz w:val="28"/>
              </w:rPr>
              <w:t>监测</w:t>
            </w:r>
            <w:r>
              <w:rPr>
                <w:rFonts w:ascii="仿宋_GB2312" w:hAnsi="仿宋_GB2312" w:cs="仿宋_GB2312" w:eastAsia="仿宋_GB2312"/>
                <w:sz w:val="28"/>
              </w:rPr>
              <w:t>1次。</w:t>
            </w:r>
          </w:p>
          <w:p>
            <w:pPr>
              <w:pStyle w:val="null3"/>
              <w:ind w:firstLine="552"/>
              <w:jc w:val="both"/>
            </w:pPr>
            <w:r>
              <w:rPr>
                <w:rFonts w:ascii="仿宋_GB2312" w:hAnsi="仿宋_GB2312" w:cs="仿宋_GB2312" w:eastAsia="仿宋_GB2312"/>
                <w:sz w:val="28"/>
              </w:rPr>
              <w:t>3）监测因子</w:t>
            </w:r>
          </w:p>
          <w:p>
            <w:pPr>
              <w:pStyle w:val="null3"/>
              <w:ind w:firstLine="552"/>
              <w:jc w:val="both"/>
            </w:pPr>
            <w:r>
              <w:rPr>
                <w:rFonts w:ascii="仿宋_GB2312" w:hAnsi="仿宋_GB2312" w:cs="仿宋_GB2312" w:eastAsia="仿宋_GB2312"/>
                <w:sz w:val="28"/>
              </w:rPr>
              <w:t>《重点管控新污染物清单（</w:t>
            </w:r>
            <w:r>
              <w:rPr>
                <w:rFonts w:ascii="仿宋_GB2312" w:hAnsi="仿宋_GB2312" w:cs="仿宋_GB2312" w:eastAsia="仿宋_GB2312"/>
                <w:sz w:val="28"/>
              </w:rPr>
              <w:t>2023年版）》中除抗生素和淘汰类外前12类、《第一批化学物质环境风险优先评估计划》中20类化学物质为必查项目，并视情增加《2023年新污染物环境监测试点工作方案》中列举的化学物质（含监测物质参考清单）为补充调查项目。</w:t>
            </w:r>
          </w:p>
          <w:p>
            <w:pPr>
              <w:pStyle w:val="null3"/>
              <w:ind w:firstLine="552"/>
              <w:jc w:val="both"/>
            </w:pPr>
            <w:r>
              <w:rPr>
                <w:rFonts w:ascii="仿宋_GB2312" w:hAnsi="仿宋_GB2312" w:cs="仿宋_GB2312" w:eastAsia="仿宋_GB2312"/>
                <w:sz w:val="28"/>
                <w:b/>
              </w:rPr>
              <w:t>2.</w:t>
            </w:r>
            <w:r>
              <w:rPr>
                <w:rFonts w:ascii="仿宋_GB2312" w:hAnsi="仿宋_GB2312" w:cs="仿宋_GB2312" w:eastAsia="仿宋_GB2312"/>
                <w:sz w:val="28"/>
                <w:b/>
              </w:rPr>
              <w:t>化学物质环境风险优先评估</w:t>
            </w:r>
          </w:p>
          <w:p>
            <w:pPr>
              <w:pStyle w:val="null3"/>
              <w:ind w:firstLine="552"/>
              <w:jc w:val="both"/>
            </w:pPr>
            <w:r>
              <w:rPr>
                <w:rFonts w:ascii="仿宋_GB2312" w:hAnsi="仿宋_GB2312" w:cs="仿宋_GB2312" w:eastAsia="仿宋_GB2312"/>
                <w:sz w:val="28"/>
              </w:rPr>
              <w:t>阿坝州境内化学物质优先评估工作仅涉及重点工业企业，其布点原则如下：</w:t>
            </w:r>
          </w:p>
          <w:p>
            <w:pPr>
              <w:pStyle w:val="null3"/>
              <w:ind w:firstLine="552"/>
              <w:jc w:val="both"/>
            </w:pPr>
            <w:r>
              <w:rPr>
                <w:rFonts w:ascii="仿宋_GB2312" w:hAnsi="仿宋_GB2312" w:cs="仿宋_GB2312" w:eastAsia="仿宋_GB2312"/>
                <w:sz w:val="28"/>
              </w:rPr>
              <w:t>（</w:t>
            </w:r>
            <w:r>
              <w:rPr>
                <w:rFonts w:ascii="仿宋_GB2312" w:hAnsi="仿宋_GB2312" w:cs="仿宋_GB2312" w:eastAsia="仿宋_GB2312"/>
                <w:sz w:val="28"/>
              </w:rPr>
              <w:t>1）点位布设</w:t>
            </w:r>
          </w:p>
          <w:p>
            <w:pPr>
              <w:pStyle w:val="null3"/>
              <w:ind w:firstLine="552"/>
              <w:jc w:val="both"/>
            </w:pPr>
            <w:r>
              <w:rPr>
                <w:rFonts w:ascii="仿宋_GB2312" w:hAnsi="仿宋_GB2312" w:cs="仿宋_GB2312" w:eastAsia="仿宋_GB2312"/>
                <w:sz w:val="28"/>
              </w:rPr>
              <w:t>1）</w:t>
            </w:r>
            <w:r>
              <w:rPr>
                <w:rFonts w:ascii="仿宋_GB2312" w:hAnsi="仿宋_GB2312" w:cs="仿宋_GB2312" w:eastAsia="仿宋_GB2312"/>
                <w:sz w:val="28"/>
              </w:rPr>
              <w:t>土壤监测点</w:t>
            </w:r>
          </w:p>
          <w:p>
            <w:pPr>
              <w:pStyle w:val="null3"/>
              <w:ind w:firstLine="552"/>
              <w:jc w:val="both"/>
            </w:pPr>
            <w:r>
              <w:rPr>
                <w:rFonts w:ascii="仿宋_GB2312" w:hAnsi="仿宋_GB2312" w:cs="仿宋_GB2312" w:eastAsia="仿宋_GB2312"/>
                <w:sz w:val="28"/>
              </w:rPr>
              <w:t>综合考虑污染物迁移方向和周边敏感目标位置等因素，在场地内根据生产工艺布设不少于</w:t>
            </w:r>
            <w:r>
              <w:rPr>
                <w:rFonts w:ascii="仿宋_GB2312" w:hAnsi="仿宋_GB2312" w:cs="仿宋_GB2312" w:eastAsia="仿宋_GB2312"/>
                <w:sz w:val="28"/>
              </w:rPr>
              <w:t>1个点位，在场地边界主导风向下风向布设不少于1个点位，同时在场界外主导风向上风侧2km范围外受人为活动干扰较少区域布设1个对照点，优先选择在裸露土壤区域布点。若场地1km范围内存在农用地的情况，根据农用地分布情况和农用地面积，在不同方位布设不少于4个点位。</w:t>
            </w:r>
          </w:p>
          <w:p>
            <w:pPr>
              <w:pStyle w:val="null3"/>
              <w:ind w:firstLine="552"/>
              <w:jc w:val="both"/>
            </w:pPr>
            <w:r>
              <w:rPr>
                <w:rFonts w:ascii="仿宋_GB2312" w:hAnsi="仿宋_GB2312" w:cs="仿宋_GB2312" w:eastAsia="仿宋_GB2312"/>
                <w:sz w:val="28"/>
              </w:rPr>
              <w:t>2）</w:t>
            </w:r>
            <w:r>
              <w:rPr>
                <w:rFonts w:ascii="仿宋_GB2312" w:hAnsi="仿宋_GB2312" w:cs="仿宋_GB2312" w:eastAsia="仿宋_GB2312"/>
                <w:sz w:val="28"/>
              </w:rPr>
              <w:t>地下水监测点</w:t>
            </w:r>
          </w:p>
          <w:p>
            <w:pPr>
              <w:pStyle w:val="null3"/>
              <w:ind w:firstLine="552"/>
              <w:jc w:val="both"/>
            </w:pPr>
            <w:r>
              <w:rPr>
                <w:rFonts w:ascii="仿宋_GB2312" w:hAnsi="仿宋_GB2312" w:cs="仿宋_GB2312" w:eastAsia="仿宋_GB2312"/>
                <w:sz w:val="28"/>
              </w:rPr>
              <w:t>在地下水进入场地的上游布设</w:t>
            </w:r>
            <w:r>
              <w:rPr>
                <w:rFonts w:ascii="仿宋_GB2312" w:hAnsi="仿宋_GB2312" w:cs="仿宋_GB2312" w:eastAsia="仿宋_GB2312"/>
                <w:sz w:val="28"/>
              </w:rPr>
              <w:t>1个对照点位，在场地内根据生产工艺布设不少于1个点位，在场地边界下游布设不少于1个点位，每个点位采集1个地下水样品。若场地周边有取用水井的，至少采集1个地下水样品。</w:t>
            </w:r>
          </w:p>
          <w:p>
            <w:pPr>
              <w:pStyle w:val="null3"/>
              <w:ind w:firstLine="552"/>
              <w:jc w:val="both"/>
            </w:pPr>
            <w:r>
              <w:rPr>
                <w:rFonts w:ascii="仿宋_GB2312" w:hAnsi="仿宋_GB2312" w:cs="仿宋_GB2312" w:eastAsia="仿宋_GB2312"/>
                <w:sz w:val="28"/>
              </w:rPr>
              <w:t>3）</w:t>
            </w:r>
            <w:r>
              <w:rPr>
                <w:rFonts w:ascii="仿宋_GB2312" w:hAnsi="仿宋_GB2312" w:cs="仿宋_GB2312" w:eastAsia="仿宋_GB2312"/>
                <w:sz w:val="28"/>
              </w:rPr>
              <w:t>废水监测点</w:t>
            </w:r>
          </w:p>
          <w:p>
            <w:pPr>
              <w:pStyle w:val="null3"/>
              <w:ind w:firstLine="552"/>
              <w:jc w:val="both"/>
            </w:pPr>
            <w:r>
              <w:rPr>
                <w:rFonts w:ascii="仿宋_GB2312" w:hAnsi="仿宋_GB2312" w:cs="仿宋_GB2312" w:eastAsia="仿宋_GB2312"/>
                <w:sz w:val="28"/>
              </w:rPr>
              <w:t>在废水处理设施进口和排口各布设</w:t>
            </w:r>
            <w:r>
              <w:rPr>
                <w:rFonts w:ascii="仿宋_GB2312" w:hAnsi="仿宋_GB2312" w:cs="仿宋_GB2312" w:eastAsia="仿宋_GB2312"/>
                <w:sz w:val="28"/>
              </w:rPr>
              <w:t>1个点位，如进入园区废水处理厂处置，在园区废水进口和排口均应布设1个点位，在排污口入河处下游1km范围内布设1个点位。周边农用地涉及有灌渠，至少布设1个水样点位和1个底泥(沉积物)点位。</w:t>
            </w:r>
          </w:p>
          <w:p>
            <w:pPr>
              <w:pStyle w:val="null3"/>
              <w:ind w:firstLine="552"/>
              <w:jc w:val="both"/>
            </w:pPr>
            <w:r>
              <w:rPr>
                <w:rFonts w:ascii="仿宋_GB2312" w:hAnsi="仿宋_GB2312" w:cs="仿宋_GB2312" w:eastAsia="仿宋_GB2312"/>
                <w:sz w:val="28"/>
              </w:rPr>
              <w:t>4）</w:t>
            </w:r>
            <w:r>
              <w:rPr>
                <w:rFonts w:ascii="仿宋_GB2312" w:hAnsi="仿宋_GB2312" w:cs="仿宋_GB2312" w:eastAsia="仿宋_GB2312"/>
                <w:sz w:val="28"/>
              </w:rPr>
              <w:t>环境空气监测点</w:t>
            </w:r>
          </w:p>
          <w:p>
            <w:pPr>
              <w:pStyle w:val="null3"/>
              <w:ind w:firstLine="552"/>
              <w:jc w:val="both"/>
            </w:pPr>
            <w:r>
              <w:rPr>
                <w:rFonts w:ascii="仿宋_GB2312" w:hAnsi="仿宋_GB2312" w:cs="仿宋_GB2312" w:eastAsia="仿宋_GB2312"/>
                <w:sz w:val="28"/>
              </w:rPr>
              <w:t>对于涉及具有挥发性监测项目的企业，在企业主导风向上风向和下风向边界内各布设</w:t>
            </w:r>
            <w:r>
              <w:rPr>
                <w:rFonts w:ascii="仿宋_GB2312" w:hAnsi="仿宋_GB2312" w:cs="仿宋_GB2312" w:eastAsia="仿宋_GB2312"/>
                <w:sz w:val="28"/>
              </w:rPr>
              <w:t>1个采样点，在企业内部存在废气集中排放区域布设1个点位，在集中式污水处理厂布设1个点位(选择在曝气池上方等挥发较大的区域)。对于涉及具有重金属类监测项目的企业，在企业主导风向上风向和下风向边界内各布设1个采样点，在企业内部存在废气集中排放区域布设1个点位，采样测试颗粒物中重金属含量。采样高度位于地面上方1.5-2米处。</w:t>
            </w:r>
          </w:p>
          <w:p>
            <w:pPr>
              <w:pStyle w:val="null3"/>
              <w:ind w:firstLine="552"/>
              <w:jc w:val="both"/>
            </w:pPr>
            <w:r>
              <w:rPr>
                <w:rFonts w:ascii="仿宋_GB2312" w:hAnsi="仿宋_GB2312" w:cs="仿宋_GB2312" w:eastAsia="仿宋_GB2312"/>
                <w:sz w:val="28"/>
              </w:rPr>
              <w:t>（</w:t>
            </w:r>
            <w:r>
              <w:rPr>
                <w:rFonts w:ascii="仿宋_GB2312" w:hAnsi="仿宋_GB2312" w:cs="仿宋_GB2312" w:eastAsia="仿宋_GB2312"/>
                <w:sz w:val="28"/>
              </w:rPr>
              <w:t>2）监测频次</w:t>
            </w:r>
          </w:p>
          <w:p>
            <w:pPr>
              <w:pStyle w:val="null3"/>
              <w:ind w:firstLine="552"/>
              <w:jc w:val="both"/>
            </w:pPr>
            <w:r>
              <w:rPr>
                <w:rFonts w:ascii="仿宋_GB2312" w:hAnsi="仿宋_GB2312" w:cs="仿宋_GB2312" w:eastAsia="仿宋_GB2312"/>
                <w:sz w:val="28"/>
              </w:rPr>
              <w:t>废水监测点各点位在丰水期和枯水期各</w:t>
            </w:r>
            <w:r>
              <w:rPr>
                <w:rFonts w:ascii="仿宋_GB2312" w:hAnsi="仿宋_GB2312" w:cs="仿宋_GB2312" w:eastAsia="仿宋_GB2312"/>
                <w:sz w:val="28"/>
              </w:rPr>
              <w:t>1次，共2次。其余监测点点位采集1次。</w:t>
            </w:r>
          </w:p>
          <w:p>
            <w:pPr>
              <w:pStyle w:val="null3"/>
              <w:ind w:firstLine="552"/>
              <w:jc w:val="left"/>
            </w:pPr>
            <w:r>
              <w:rPr>
                <w:rFonts w:ascii="仿宋_GB2312" w:hAnsi="仿宋_GB2312" w:cs="仿宋_GB2312" w:eastAsia="仿宋_GB2312"/>
                <w:sz w:val="28"/>
              </w:rPr>
              <w:t>（</w:t>
            </w:r>
            <w:r>
              <w:rPr>
                <w:rFonts w:ascii="仿宋_GB2312" w:hAnsi="仿宋_GB2312" w:cs="仿宋_GB2312" w:eastAsia="仿宋_GB2312"/>
                <w:sz w:val="28"/>
              </w:rPr>
              <w:t>3）监测因子</w:t>
            </w:r>
          </w:p>
          <w:p>
            <w:pPr>
              <w:pStyle w:val="null3"/>
              <w:ind w:firstLine="552"/>
              <w:jc w:val="left"/>
            </w:pPr>
            <w:r>
              <w:rPr>
                <w:rFonts w:ascii="仿宋_GB2312" w:hAnsi="仿宋_GB2312" w:cs="仿宋_GB2312" w:eastAsia="仿宋_GB2312"/>
                <w:sz w:val="28"/>
              </w:rPr>
              <w:t>《四川省化学物质环境风险优先评估工作方案》中明确的化学物质。按照《关于加快推进新污染物川渝联合调查和化学物质环境风险优先评估工作的通知》要求，最终开展检测的工业企业和物质按四川省生态环境厅审核后反馈的名单执行。</w:t>
            </w:r>
          </w:p>
          <w:p>
            <w:pPr>
              <w:pStyle w:val="null3"/>
              <w:spacing w:after="120"/>
              <w:ind w:firstLine="552"/>
              <w:jc w:val="both"/>
            </w:pPr>
            <w:r>
              <w:rPr>
                <w:rFonts w:ascii="仿宋_GB2312" w:hAnsi="仿宋_GB2312" w:cs="仿宋_GB2312" w:eastAsia="仿宋_GB2312"/>
                <w:sz w:val="28"/>
                <w:b/>
              </w:rPr>
              <w:t>五）其他服务要求</w:t>
            </w:r>
          </w:p>
          <w:p>
            <w:pPr>
              <w:pStyle w:val="null3"/>
              <w:ind w:firstLine="552"/>
              <w:jc w:val="left"/>
            </w:pPr>
            <w:r>
              <w:rPr>
                <w:rFonts w:ascii="仿宋_GB2312" w:hAnsi="仿宋_GB2312" w:cs="仿宋_GB2312" w:eastAsia="仿宋_GB2312"/>
                <w:sz w:val="28"/>
              </w:rPr>
              <w:t>4.供应商应具备符合《新污染物川渝联合调查工作方案》（川环函〔2023〕830号）、《四川省化学物质环境风险优先评估工作方案》（川环函〔2023〕537号）中相关样品采集、分析检测、保存流转要求的仪器设备。</w:t>
            </w:r>
          </w:p>
          <w:p>
            <w:pPr>
              <w:pStyle w:val="null3"/>
              <w:ind w:firstLine="552"/>
              <w:jc w:val="left"/>
            </w:pPr>
            <w:r>
              <w:rPr>
                <w:rFonts w:ascii="仿宋_GB2312" w:hAnsi="仿宋_GB2312" w:cs="仿宋_GB2312" w:eastAsia="仿宋_GB2312"/>
                <w:sz w:val="28"/>
              </w:rPr>
              <w:t>5.</w:t>
            </w:r>
            <w:r>
              <w:rPr>
                <w:rFonts w:ascii="仿宋_GB2312" w:hAnsi="仿宋_GB2312" w:cs="仿宋_GB2312" w:eastAsia="仿宋_GB2312"/>
                <w:sz w:val="28"/>
              </w:rPr>
              <w:t>样品采集、保存、流转</w:t>
            </w:r>
            <w:r>
              <w:rPr>
                <w:rFonts w:ascii="仿宋_GB2312" w:hAnsi="仿宋_GB2312" w:cs="仿宋_GB2312" w:eastAsia="仿宋_GB2312"/>
                <w:sz w:val="28"/>
              </w:rPr>
              <w:t>：</w:t>
            </w:r>
            <w:r>
              <w:rPr>
                <w:rFonts w:ascii="仿宋_GB2312" w:hAnsi="仿宋_GB2312" w:cs="仿宋_GB2312" w:eastAsia="仿宋_GB2312"/>
                <w:sz w:val="28"/>
              </w:rPr>
              <w:t>土壤样品的采集、保存、流转参照</w:t>
            </w:r>
            <w:r>
              <w:rPr>
                <w:rFonts w:ascii="仿宋_GB2312" w:hAnsi="仿宋_GB2312" w:cs="仿宋_GB2312" w:eastAsia="仿宋_GB2312"/>
                <w:sz w:val="28"/>
              </w:rPr>
              <w:t>HJ/T166相关要求进行；地下水样品的采集、保存、流转参照HJ164相关要求进行；废水样品的采集、保存、流转参照HJ91.1相关要求进行；地表水样品的采集、保存、流转参照HJ91.2相关要求进行。</w:t>
            </w:r>
          </w:p>
          <w:p>
            <w:pPr>
              <w:pStyle w:val="null3"/>
              <w:ind w:firstLine="552"/>
              <w:jc w:val="left"/>
            </w:pPr>
            <w:r>
              <w:rPr>
                <w:rFonts w:ascii="仿宋_GB2312" w:hAnsi="仿宋_GB2312" w:cs="仿宋_GB2312" w:eastAsia="仿宋_GB2312"/>
                <w:sz w:val="28"/>
              </w:rPr>
              <w:t>6</w:t>
            </w:r>
            <w:r>
              <w:rPr>
                <w:rFonts w:ascii="仿宋_GB2312" w:hAnsi="仿宋_GB2312" w:cs="仿宋_GB2312" w:eastAsia="仿宋_GB2312"/>
                <w:sz w:val="28"/>
              </w:rPr>
              <w:t>.样品分析</w:t>
            </w:r>
            <w:r>
              <w:rPr>
                <w:rFonts w:ascii="仿宋_GB2312" w:hAnsi="仿宋_GB2312" w:cs="仿宋_GB2312" w:eastAsia="仿宋_GB2312"/>
                <w:sz w:val="28"/>
              </w:rPr>
              <w:t>：</w:t>
            </w:r>
          </w:p>
          <w:p>
            <w:pPr>
              <w:pStyle w:val="null3"/>
              <w:ind w:firstLine="552"/>
              <w:jc w:val="left"/>
            </w:pPr>
            <w:r>
              <w:rPr>
                <w:rFonts w:ascii="仿宋_GB2312" w:hAnsi="仿宋_GB2312" w:cs="仿宋_GB2312" w:eastAsia="仿宋_GB2312"/>
                <w:sz w:val="28"/>
              </w:rPr>
              <w:t>（</w:t>
            </w:r>
            <w:r>
              <w:rPr>
                <w:rFonts w:ascii="仿宋_GB2312" w:hAnsi="仿宋_GB2312" w:cs="仿宋_GB2312" w:eastAsia="仿宋_GB2312"/>
                <w:sz w:val="28"/>
              </w:rPr>
              <w:t>1）有方法标准或行业技术文件且满足监测要求的，按照方法标准或行业技术文件执行，初次使用前，监测单位应按照《检验检测机构资质认定生态环境监测机构评审补充要求》（市场监管总局生态环境部国市监检测〔2018〕245号）的要求并参考HJ168开展方法验证；</w:t>
            </w:r>
          </w:p>
          <w:p>
            <w:pPr>
              <w:pStyle w:val="null3"/>
              <w:ind w:firstLine="552"/>
              <w:jc w:val="left"/>
            </w:pPr>
            <w:r>
              <w:rPr>
                <w:rFonts w:ascii="仿宋_GB2312" w:hAnsi="仿宋_GB2312" w:cs="仿宋_GB2312" w:eastAsia="仿宋_GB2312"/>
                <w:sz w:val="28"/>
              </w:rPr>
              <w:t>（</w:t>
            </w:r>
            <w:r>
              <w:rPr>
                <w:rFonts w:ascii="仿宋_GB2312" w:hAnsi="仿宋_GB2312" w:cs="仿宋_GB2312" w:eastAsia="仿宋_GB2312"/>
                <w:sz w:val="28"/>
              </w:rPr>
              <w:t>2）无方法标准的，或现有方法标准无法满足监测要求的，参照《关于印发新污染物环境调查评估加密监测布点方案模板的通知》（川环函〔2024〕769号）附件2作业指导书进行方法验证，验证通过后方可执行。</w:t>
            </w:r>
          </w:p>
          <w:p>
            <w:pPr>
              <w:pStyle w:val="null3"/>
              <w:ind w:firstLine="552"/>
              <w:jc w:val="left"/>
            </w:pPr>
            <w:r>
              <w:rPr>
                <w:rFonts w:ascii="仿宋_GB2312" w:hAnsi="仿宋_GB2312" w:cs="仿宋_GB2312" w:eastAsia="仿宋_GB2312"/>
                <w:sz w:val="28"/>
              </w:rPr>
              <w:t>7.质量控制：严格执行《新污染物川渝联合调查工作方案》（川环函〔2023〕830号）、《四川省化学物质环境风险优先评估工作方案》（川环函〔2023〕537号）、《关于印发新污染物川渝联合调查和化学物质环境风险优先评估工作加密监测布点方案（模板）及作业指导书的通知》（川环函〔2024〕769号）中的相关质量控制要求。</w:t>
            </w:r>
          </w:p>
          <w:p>
            <w:pPr>
              <w:pStyle w:val="null3"/>
              <w:spacing w:after="120"/>
              <w:ind w:firstLine="552"/>
              <w:jc w:val="both"/>
            </w:pP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spacing w:after="120"/>
              <w:ind w:firstLine="552"/>
              <w:jc w:val="both"/>
            </w:pPr>
            <w:r>
              <w:rPr>
                <w:rFonts w:ascii="仿宋_GB2312" w:hAnsi="仿宋_GB2312" w:cs="仿宋_GB2312" w:eastAsia="仿宋_GB2312"/>
                <w:sz w:val="28"/>
                <w:b/>
              </w:rPr>
              <w:t>五）其他服务要求</w:t>
            </w:r>
          </w:p>
          <w:p>
            <w:pPr>
              <w:pStyle w:val="null3"/>
              <w:ind w:firstLine="552"/>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供应商在</w:t>
            </w:r>
            <w:r>
              <w:rPr>
                <w:rFonts w:ascii="仿宋_GB2312" w:hAnsi="仿宋_GB2312" w:cs="仿宋_GB2312" w:eastAsia="仿宋_GB2312"/>
                <w:sz w:val="28"/>
              </w:rPr>
              <w:t>服务</w:t>
            </w:r>
            <w:r>
              <w:rPr>
                <w:rFonts w:ascii="仿宋_GB2312" w:hAnsi="仿宋_GB2312" w:cs="仿宋_GB2312" w:eastAsia="仿宋_GB2312"/>
                <w:sz w:val="28"/>
              </w:rPr>
              <w:t>过程中由于供应商自身原因造成的全部安全责任由供应商自行负责，</w:t>
            </w:r>
            <w:r>
              <w:rPr>
                <w:rFonts w:ascii="仿宋_GB2312" w:hAnsi="仿宋_GB2312" w:cs="仿宋_GB2312" w:eastAsia="仿宋_GB2312"/>
                <w:sz w:val="28"/>
              </w:rPr>
              <w:t>采购人不承担任何安全责任</w:t>
            </w:r>
            <w:r>
              <w:rPr>
                <w:rFonts w:ascii="仿宋_GB2312" w:hAnsi="仿宋_GB2312" w:cs="仿宋_GB2312" w:eastAsia="仿宋_GB2312"/>
                <w:sz w:val="28"/>
              </w:rPr>
              <w:t>。</w:t>
            </w:r>
            <w:r>
              <w:rPr>
                <w:rFonts w:ascii="仿宋_GB2312" w:hAnsi="仿宋_GB2312" w:cs="仿宋_GB2312" w:eastAsia="仿宋_GB2312"/>
                <w:sz w:val="28"/>
                <w:b/>
              </w:rPr>
              <w:t>（提供承诺函，格式自拟，</w:t>
            </w:r>
            <w:r>
              <w:rPr>
                <w:rFonts w:ascii="仿宋_GB2312" w:hAnsi="仿宋_GB2312" w:cs="仿宋_GB2312" w:eastAsia="仿宋_GB2312"/>
                <w:sz w:val="28"/>
                <w:b/>
              </w:rPr>
              <w:t>未提供的作为无效响应处理</w:t>
            </w:r>
            <w:r>
              <w:rPr>
                <w:rFonts w:ascii="仿宋_GB2312" w:hAnsi="仿宋_GB2312" w:cs="仿宋_GB2312" w:eastAsia="仿宋_GB2312"/>
                <w:sz w:val="28"/>
                <w:b/>
              </w:rPr>
              <w:t>）</w:t>
            </w:r>
          </w:p>
          <w:p>
            <w:pPr>
              <w:pStyle w:val="null3"/>
              <w:ind w:firstLine="552"/>
              <w:jc w:val="left"/>
            </w:pPr>
            <w:r>
              <w:rPr>
                <w:rFonts w:ascii="仿宋_GB2312" w:hAnsi="仿宋_GB2312" w:cs="仿宋_GB2312" w:eastAsia="仿宋_GB2312"/>
                <w:sz w:val="28"/>
              </w:rPr>
              <w:t>★2.如因供应商在履行过程中的疏忽、失职、过错等故意或者过失原因给采购人造成损失或侵害，包括但不限于采购人本身的财产损失、由此而导致的采购人对任何第三方的法律责任等，供应商对此均应承担全部的赔偿责任。</w:t>
            </w:r>
            <w:r>
              <w:rPr>
                <w:rFonts w:ascii="仿宋_GB2312" w:hAnsi="仿宋_GB2312" w:cs="仿宋_GB2312" w:eastAsia="仿宋_GB2312"/>
                <w:sz w:val="28"/>
                <w:b/>
              </w:rPr>
              <w:t>（提供承诺函，格式自拟，</w:t>
            </w:r>
            <w:r>
              <w:rPr>
                <w:rFonts w:ascii="仿宋_GB2312" w:hAnsi="仿宋_GB2312" w:cs="仿宋_GB2312" w:eastAsia="仿宋_GB2312"/>
                <w:sz w:val="28"/>
                <w:b/>
              </w:rPr>
              <w:t>未提供的作为无效响应处理</w:t>
            </w:r>
            <w:r>
              <w:rPr>
                <w:rFonts w:ascii="仿宋_GB2312" w:hAnsi="仿宋_GB2312" w:cs="仿宋_GB2312" w:eastAsia="仿宋_GB2312"/>
                <w:sz w:val="28"/>
                <w:b/>
              </w:rPr>
              <w:t>）</w:t>
            </w:r>
          </w:p>
          <w:p>
            <w:pPr>
              <w:pStyle w:val="null3"/>
              <w:ind w:firstLine="552"/>
              <w:jc w:val="left"/>
            </w:pPr>
            <w:r>
              <w:rPr>
                <w:rFonts w:ascii="仿宋_GB2312" w:hAnsi="仿宋_GB2312" w:cs="仿宋_GB2312" w:eastAsia="仿宋_GB2312"/>
                <w:sz w:val="28"/>
              </w:rPr>
              <w:t>★3.保密要求：对采购人所提供的基础资料及本项目合同执行过程中接触或产生的资料负有保密义务，未经采购人书面许可，供应商不得向任何第三方披露；如果因供应商原因造成发生任何有损于其保密性的事情，供应商有责任采取补救措施，且须向采购人赔偿相应损失。</w:t>
            </w:r>
            <w:r>
              <w:rPr>
                <w:rFonts w:ascii="仿宋_GB2312" w:hAnsi="仿宋_GB2312" w:cs="仿宋_GB2312" w:eastAsia="仿宋_GB2312"/>
                <w:sz w:val="28"/>
                <w:b/>
              </w:rPr>
              <w:t>（提供承诺函，格式自拟，</w:t>
            </w:r>
            <w:r>
              <w:rPr>
                <w:rFonts w:ascii="仿宋_GB2312" w:hAnsi="仿宋_GB2312" w:cs="仿宋_GB2312" w:eastAsia="仿宋_GB2312"/>
                <w:sz w:val="28"/>
                <w:b/>
              </w:rPr>
              <w:t>未提供的作为无效响应处理</w:t>
            </w:r>
            <w:r>
              <w:rPr>
                <w:rFonts w:ascii="仿宋_GB2312" w:hAnsi="仿宋_GB2312" w:cs="仿宋_GB2312" w:eastAsia="仿宋_GB2312"/>
                <w:sz w:val="28"/>
                <w:b/>
              </w:rPr>
              <w:t>）</w:t>
            </w:r>
          </w:p>
          <w:p>
            <w:pPr>
              <w:pStyle w:val="null3"/>
              <w:ind w:firstLine="552"/>
              <w:jc w:val="both"/>
            </w:pPr>
            <w:r>
              <w:rPr>
                <w:rFonts w:ascii="仿宋_GB2312" w:hAnsi="仿宋_GB2312" w:cs="仿宋_GB2312" w:eastAsia="仿宋_GB2312"/>
                <w:sz w:val="28"/>
                <w:b/>
              </w:rPr>
              <w:t>★</w:t>
            </w:r>
            <w:r>
              <w:rPr>
                <w:rFonts w:ascii="仿宋_GB2312" w:hAnsi="仿宋_GB2312" w:cs="仿宋_GB2312" w:eastAsia="仿宋_GB2312"/>
                <w:sz w:val="28"/>
                <w:b/>
              </w:rPr>
              <w:t>六</w:t>
            </w:r>
            <w:r>
              <w:rPr>
                <w:rFonts w:ascii="仿宋_GB2312" w:hAnsi="仿宋_GB2312" w:cs="仿宋_GB2312" w:eastAsia="仿宋_GB2312"/>
                <w:sz w:val="28"/>
                <w:b/>
              </w:rPr>
              <w:t>）成果</w:t>
            </w:r>
            <w:r>
              <w:rPr>
                <w:rFonts w:ascii="仿宋_GB2312" w:hAnsi="仿宋_GB2312" w:cs="仿宋_GB2312" w:eastAsia="仿宋_GB2312"/>
                <w:sz w:val="28"/>
                <w:b/>
              </w:rPr>
              <w:t>要求</w:t>
            </w:r>
          </w:p>
          <w:p>
            <w:pPr>
              <w:pStyle w:val="null3"/>
              <w:ind w:firstLine="552"/>
              <w:jc w:val="left"/>
            </w:pPr>
            <w:r>
              <w:rPr>
                <w:rFonts w:ascii="仿宋_GB2312" w:hAnsi="仿宋_GB2312" w:cs="仿宋_GB2312" w:eastAsia="仿宋_GB2312"/>
                <w:sz w:val="28"/>
              </w:rPr>
              <w:t>1.</w:t>
            </w:r>
            <w:r>
              <w:rPr>
                <w:rFonts w:ascii="仿宋_GB2312" w:hAnsi="仿宋_GB2312" w:cs="仿宋_GB2312" w:eastAsia="仿宋_GB2312"/>
                <w:sz w:val="28"/>
              </w:rPr>
              <w:t>按照《关于加快推进新污染物川渝联合调查和化学物质环境风险优先评估工作的通知（川环办函〔</w:t>
            </w:r>
            <w:r>
              <w:rPr>
                <w:rFonts w:ascii="仿宋_GB2312" w:hAnsi="仿宋_GB2312" w:cs="仿宋_GB2312" w:eastAsia="仿宋_GB2312"/>
                <w:sz w:val="28"/>
              </w:rPr>
              <w:t>2024〕528号）》《新污染物川渝联合调查工作方案（川环函〔2023〕830号）》《四川省化学物质环境风险优先评估工作方案（川环办函〔2023〕537号）》要求开展工作，成果数据满足省级或市级相关部门要求。</w:t>
            </w:r>
          </w:p>
          <w:p>
            <w:pPr>
              <w:pStyle w:val="null3"/>
              <w:ind w:firstLine="552"/>
              <w:jc w:val="left"/>
            </w:pPr>
            <w:r>
              <w:rPr>
                <w:rFonts w:ascii="仿宋_GB2312" w:hAnsi="仿宋_GB2312" w:cs="仿宋_GB2312" w:eastAsia="仿宋_GB2312"/>
                <w:sz w:val="28"/>
              </w:rPr>
              <w:t>2.</w:t>
            </w:r>
            <w:r>
              <w:rPr>
                <w:rFonts w:ascii="仿宋_GB2312" w:hAnsi="仿宋_GB2312" w:cs="仿宋_GB2312" w:eastAsia="仿宋_GB2312"/>
                <w:sz w:val="28"/>
              </w:rPr>
              <w:t>成果资料：</w:t>
            </w:r>
          </w:p>
          <w:p>
            <w:pPr>
              <w:pStyle w:val="null3"/>
              <w:ind w:firstLine="552"/>
              <w:jc w:val="left"/>
            </w:pPr>
            <w:r>
              <w:rPr>
                <w:rFonts w:ascii="仿宋_GB2312" w:hAnsi="仿宋_GB2312" w:cs="仿宋_GB2312" w:eastAsia="仿宋_GB2312"/>
                <w:sz w:val="28"/>
              </w:rPr>
              <w:t>（</w:t>
            </w:r>
            <w:r>
              <w:rPr>
                <w:rFonts w:ascii="仿宋_GB2312" w:hAnsi="仿宋_GB2312" w:cs="仿宋_GB2312" w:eastAsia="仿宋_GB2312"/>
                <w:sz w:val="28"/>
              </w:rPr>
              <w:t>1）新污染物川渝联合调查省级任务所有调查点位布点方案</w:t>
            </w:r>
            <w:r>
              <w:rPr>
                <w:rFonts w:ascii="仿宋_GB2312" w:hAnsi="仿宋_GB2312" w:cs="仿宋_GB2312" w:eastAsia="仿宋_GB2312"/>
                <w:sz w:val="28"/>
              </w:rPr>
              <w:t>。</w:t>
            </w:r>
          </w:p>
          <w:p>
            <w:pPr>
              <w:pStyle w:val="null3"/>
              <w:ind w:firstLine="552"/>
              <w:jc w:val="left"/>
            </w:pPr>
            <w:r>
              <w:rPr>
                <w:rFonts w:ascii="仿宋_GB2312" w:hAnsi="仿宋_GB2312" w:cs="仿宋_GB2312" w:eastAsia="仿宋_GB2312"/>
                <w:sz w:val="28"/>
              </w:rPr>
              <w:t>（</w:t>
            </w:r>
            <w:r>
              <w:rPr>
                <w:rFonts w:ascii="仿宋_GB2312" w:hAnsi="仿宋_GB2312" w:cs="仿宋_GB2312" w:eastAsia="仿宋_GB2312"/>
                <w:sz w:val="28"/>
              </w:rPr>
              <w:t>2）新污染物川渝联合调查省级任务所有调查点位加密监测数据（含检测报告）</w:t>
            </w:r>
            <w:r>
              <w:rPr>
                <w:rFonts w:ascii="仿宋_GB2312" w:hAnsi="仿宋_GB2312" w:cs="仿宋_GB2312" w:eastAsia="仿宋_GB2312"/>
                <w:sz w:val="28"/>
              </w:rPr>
              <w:t>。</w:t>
            </w:r>
          </w:p>
          <w:p>
            <w:pPr>
              <w:pStyle w:val="null3"/>
              <w:ind w:firstLine="552"/>
              <w:jc w:val="left"/>
            </w:pPr>
            <w:r>
              <w:rPr>
                <w:rFonts w:ascii="仿宋_GB2312" w:hAnsi="仿宋_GB2312" w:cs="仿宋_GB2312" w:eastAsia="仿宋_GB2312"/>
                <w:sz w:val="28"/>
              </w:rPr>
              <w:t>（</w:t>
            </w:r>
            <w:r>
              <w:rPr>
                <w:rFonts w:ascii="仿宋_GB2312" w:hAnsi="仿宋_GB2312" w:cs="仿宋_GB2312" w:eastAsia="仿宋_GB2312"/>
                <w:sz w:val="28"/>
              </w:rPr>
              <w:t>3）新污染物川渝联合调查抗生素专项所有调查点位布点方案</w:t>
            </w:r>
            <w:r>
              <w:rPr>
                <w:rFonts w:ascii="仿宋_GB2312" w:hAnsi="仿宋_GB2312" w:cs="仿宋_GB2312" w:eastAsia="仿宋_GB2312"/>
                <w:sz w:val="28"/>
              </w:rPr>
              <w:t>。</w:t>
            </w:r>
          </w:p>
          <w:p>
            <w:pPr>
              <w:pStyle w:val="null3"/>
              <w:ind w:firstLine="552"/>
              <w:jc w:val="left"/>
            </w:pPr>
            <w:r>
              <w:rPr>
                <w:rFonts w:ascii="仿宋_GB2312" w:hAnsi="仿宋_GB2312" w:cs="仿宋_GB2312" w:eastAsia="仿宋_GB2312"/>
                <w:sz w:val="28"/>
              </w:rPr>
              <w:t>（</w:t>
            </w:r>
            <w:r>
              <w:rPr>
                <w:rFonts w:ascii="仿宋_GB2312" w:hAnsi="仿宋_GB2312" w:cs="仿宋_GB2312" w:eastAsia="仿宋_GB2312"/>
                <w:sz w:val="28"/>
              </w:rPr>
              <w:t>4）新污染物川渝联合调查抗生素专项所有调查点位环境抗生素残留、环境微 生物耐药特征和耐药基因筛查监测数据（含检测报告）</w:t>
            </w:r>
            <w:r>
              <w:rPr>
                <w:rFonts w:ascii="仿宋_GB2312" w:hAnsi="仿宋_GB2312" w:cs="仿宋_GB2312" w:eastAsia="仿宋_GB2312"/>
                <w:sz w:val="28"/>
              </w:rPr>
              <w:t>。</w:t>
            </w:r>
          </w:p>
          <w:p>
            <w:pPr>
              <w:pStyle w:val="null3"/>
              <w:ind w:firstLine="552"/>
              <w:jc w:val="left"/>
            </w:pPr>
            <w:r>
              <w:rPr>
                <w:rFonts w:ascii="仿宋_GB2312" w:hAnsi="仿宋_GB2312" w:cs="仿宋_GB2312" w:eastAsia="仿宋_GB2312"/>
                <w:sz w:val="28"/>
              </w:rPr>
              <w:t>（</w:t>
            </w:r>
            <w:r>
              <w:rPr>
                <w:rFonts w:ascii="仿宋_GB2312" w:hAnsi="仿宋_GB2312" w:cs="仿宋_GB2312" w:eastAsia="仿宋_GB2312"/>
                <w:sz w:val="28"/>
              </w:rPr>
              <w:t>5）化学物质环境风险优先评估任务所有调查点位布点方案</w:t>
            </w:r>
            <w:r>
              <w:rPr>
                <w:rFonts w:ascii="仿宋_GB2312" w:hAnsi="仿宋_GB2312" w:cs="仿宋_GB2312" w:eastAsia="仿宋_GB2312"/>
                <w:sz w:val="28"/>
              </w:rPr>
              <w:t>。</w:t>
            </w:r>
          </w:p>
          <w:p>
            <w:pPr>
              <w:pStyle w:val="null3"/>
              <w:ind w:firstLine="552"/>
              <w:jc w:val="left"/>
            </w:pPr>
            <w:r>
              <w:rPr>
                <w:rFonts w:ascii="仿宋_GB2312" w:hAnsi="仿宋_GB2312" w:cs="仿宋_GB2312" w:eastAsia="仿宋_GB2312"/>
                <w:sz w:val="28"/>
              </w:rPr>
              <w:t>（</w:t>
            </w:r>
            <w:r>
              <w:rPr>
                <w:rFonts w:ascii="仿宋_GB2312" w:hAnsi="仿宋_GB2312" w:cs="仿宋_GB2312" w:eastAsia="仿宋_GB2312"/>
                <w:sz w:val="28"/>
              </w:rPr>
              <w:t>6）化学物质环境风险优先评估任务中饮用水水源地、生活污水处理厂、生活 垃圾处置设施、重点企业等需要开展采样监测工作的调查对象监测数据（含检测报告 ）。</w:t>
            </w:r>
          </w:p>
          <w:p>
            <w:pPr>
              <w:pStyle w:val="null3"/>
              <w:ind w:firstLine="552"/>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以上所有成果资料，成交供应商需向采购人提供纸质文件不少于</w:t>
            </w:r>
            <w:r>
              <w:rPr>
                <w:rFonts w:ascii="仿宋_GB2312" w:hAnsi="仿宋_GB2312" w:cs="仿宋_GB2312" w:eastAsia="仿宋_GB2312"/>
                <w:sz w:val="28"/>
              </w:rPr>
              <w:t>6</w:t>
            </w:r>
            <w:r>
              <w:rPr>
                <w:rFonts w:ascii="仿宋_GB2312" w:hAnsi="仿宋_GB2312" w:cs="仿宋_GB2312" w:eastAsia="仿宋_GB2312"/>
                <w:sz w:val="28"/>
              </w:rPr>
              <w:t>套，电子文件（</w:t>
            </w:r>
            <w:r>
              <w:rPr>
                <w:rFonts w:ascii="仿宋_GB2312" w:hAnsi="仿宋_GB2312" w:cs="仿宋_GB2312" w:eastAsia="仿宋_GB2312"/>
                <w:sz w:val="28"/>
              </w:rPr>
              <w:t>U盘）不少于1套。</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2025年12月10日前完成，具体起止时间以采购合同约定为准。</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采购人指定地点（阿坝州范围内）</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验收标准：采购人将严格按照《财政部关于进一步加强政府采购需求和履约验收管理的指导意见》(财库〔2016〕205号)和财政部《政府采购需求管理办法》（财库[2021]22号）的要求，按照磋商文件要求及响应文件应答等内容进行验收。 验收方式:按照采购项目的具体要求组织验收。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1、①合同签订生效后，采购人收到成交供应商出具的真实合法有效发票之日起，达到付款条件起15日内，支付合同总金额的40.00%</w:t>
            </w:r>
          </w:p>
          <w:p>
            <w:pPr>
              <w:pStyle w:val="null3"/>
              <w:jc w:val="left"/>
            </w:pPr>
            <w:r>
              <w:rPr>
                <w:rFonts w:ascii="仿宋_GB2312" w:hAnsi="仿宋_GB2312" w:cs="仿宋_GB2312" w:eastAsia="仿宋_GB2312"/>
              </w:rPr>
              <w:t>2、项目完成并提交最终成果资料经采购人审核验收合格后，采购人收到成交供应商出具的真实合法有效发票之日起，达到付款条件起15日内，支付合同总金额的60.00%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①双方必须遵守采购合同并执行合同中的各项规定，保证采购合同的正常履行。 ②如因履约供应商工作人员在履行职务过程中的疏忽、失职、过错等故意或者过失原因给采购人造成损失或侵害，包括但不限于采购人本身的财产损失、由此而导致的采购人对任何第三方的法律责任等，履约供应商对此均应依法承担全部的赔偿责任。 ③履约供应商必须遵守采购合同，按时完成合同相关工作，若因履约供应商原因导致合同迟延履行，采购人有权终止采购合同并要求履约供应商赔偿所有损失。 ④履约供应商应当遵守采购人的相关项目需求及相关技术要求及实质性条款，实施采购合同应当完全满足相关项目需求及相关技术要求及实质性条款，若履约供应商瑕疵履行采购合同，采购人有权向履约供应商要求赔偿，若造成相关损失的，采购人有权要求履约供应商承担所有赔偿责任。 ⑤解决争议的方式：合同履行期间，若双方发生争议，可协商或由有关部门调解解决，协商或调解不成的，向采购人所在地人民法院提起诉讼。</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一）因系统固化，将3.3.2.商务要求补充备注说明：★商务要求：1.付款方式：①合同签订生效后，采购人收到成交供应商出具的真实合法有效发票之日起15日内向成交供应商支付合同总金额的40.00%作为预付款。 ②项目完成并提交最终成果资料经采购人审核验收合格后，采购人收到成交供应商出具的真实合法有效发票之日起15日内向成交供应商支付合同总金额的60.00%。 ③付款前7个工作日内,成交供应商没有按照约定向采购人出具真实合法有效票据及凭证资料进行支付结算的，采购人有权拒绝付款，并不向成交供应商承担任何违约责任。 ④因财政拨款迟延等客观原因造成逾期支付合同价款的，采购人不构成违约。2.其他商务要求：供应商的报价的最终报价是履行合同的最终价格，应包括人工劳务、资料收集、调研、资料整理分析、咨询、论证、差旅、编制、成果、税费、利润、招标代理服务费以及其他不可预见费等完成本项目采购内容所需的一切含税费用，采购人不再支付任何费用；报价估算错误等引起的风险由供应商自行承担。3.其他未尽事宜，由采购人与成交供应商双方在采购合同中约定。 注：★项为实质性要求，不允许负偏离,否则视为无效响应。 二） 针对本次项目内容，提供详细的项目实施方案，至少应包含： 1.项目分析方案：①项目基本情况和调查需求分析；②项目重难点分析及解决方法；2.项目实施方案：①项目进度安排；②团队人员配置及职责分工；③布点方案编制思路和提纲；④采样实施方案；⑤检测分析实施方案；⑥质量保证和质量控制措施；⑦后续服务方案（须包含评估报告后续完善修改方案）；3.应急预案：①安全应急保障措施；②相关设备故障应急处理措施；③极端天气应对及人员紧急调度方案； 三）供应商具备相应的设施设备、履约能力 四）具备相应的专业技术人员：项目负责人（1人）、技术负责人（1人）、质量负责人（1人）、项目其他人员； 五）具备实施类似项目的经验；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磋商文件第三章</w:t>
      </w:r>
      <w:r>
        <w:rPr>
          <w:rFonts w:ascii="仿宋_GB2312" w:hAnsi="仿宋_GB2312" w:cs="仿宋_GB2312" w:eastAsia="仿宋_GB2312"/>
        </w:rPr>
        <w:t>“技术、服务及其他要求”中“3.2.技术要求”，“3.3.服务要求”的要求</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磋商文件第七章</w:t>
      </w:r>
      <w:r>
        <w:rPr>
          <w:rFonts w:ascii="仿宋_GB2312" w:hAnsi="仿宋_GB2312" w:cs="仿宋_GB2312" w:eastAsia="仿宋_GB2312"/>
        </w:rPr>
        <w:t>“拟签订采购合同文本”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供应商若为企业法人：提供“统一社会信用代码营业执照”；②若为事业法人：提供“统一社会信用代码法人登记证书”；③若为其他组织：提供“对应主管部门颁发的准许执业证明文件或营业执照”；④若为自然人：提供“身份证明材料” 。以上均提供复印件并进行电子签章。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可提供2023年度或2024年度经审计的财务报告（包含审计报告和审计报告中所涉及的财务报表、报表附注和出具报告机构、人员的证照）复印件②也可提供供应商内部出具的2023年度或2024年度财务报表复印件（至少包含资产负债表）③也可提供距响应文件递交截止日一年内银行出具的资信证明（复印件）④供应商注册时间至响应文件递交截止日不足一年的，也可提供在相关主管部门备案的公司章程等证明材料。供应商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特殊资格条件</w:t>
            </w:r>
          </w:p>
        </w:tc>
        <w:tc>
          <w:tcPr>
            <w:tcW w:type="dxa" w:w="3322"/>
          </w:tcPr>
          <w:p>
            <w:pPr>
              <w:pStyle w:val="null3"/>
              <w:jc w:val="left"/>
            </w:pPr>
            <w:r>
              <w:rPr>
                <w:rFonts w:ascii="仿宋_GB2312" w:hAnsi="仿宋_GB2312" w:cs="仿宋_GB2312" w:eastAsia="仿宋_GB2312"/>
              </w:rPr>
              <w:t>1.本项目接受联合体磋商。 1）本项目允许联合体参加磋商，联合体所有成员不得超过（含）2家； 2）联合体各方之间应当签订联合体协议，明确约定联合体各方承担的工作和相应的责任；联合体参与磋商的，应在响应文件中提供联合体协议书； 3）以联合体形式参加磋商活动，联合体各方均为中小企业的，联合体视同中小企业。其中，联合体各方均为小微企业的，联合体视同小微企业。 2.提供行政主管部门颁发的检验检测机构资质认定证书（CMA）（提供证书复印件并加盖供应商电子签章）。</w:t>
            </w:r>
          </w:p>
        </w:tc>
        <w:tc>
          <w:tcPr>
            <w:tcW w:type="dxa" w:w="1910"/>
          </w:tcPr>
          <w:p>
            <w:pPr>
              <w:pStyle w:val="null3"/>
              <w:jc w:val="left"/>
            </w:pPr>
            <w:r>
              <w:rPr>
                <w:rFonts w:ascii="仿宋_GB2312" w:hAnsi="仿宋_GB2312" w:cs="仿宋_GB2312" w:eastAsia="仿宋_GB2312"/>
              </w:rPr>
              <w:t>供应商应提交的相关证明材料,联合体协议书.docx</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符合磋商文件的实质性要求</w:t>
            </w:r>
          </w:p>
        </w:tc>
        <w:tc>
          <w:tcPr>
            <w:tcW w:type="dxa" w:w="3322"/>
          </w:tcPr>
          <w:p>
            <w:pPr>
              <w:pStyle w:val="null3"/>
              <w:jc w:val="left"/>
            </w:pPr>
            <w:r>
              <w:rPr>
                <w:rFonts w:ascii="仿宋_GB2312" w:hAnsi="仿宋_GB2312" w:cs="仿宋_GB2312" w:eastAsia="仿宋_GB2312"/>
              </w:rPr>
              <w:t>满足磋商文件的所有实质性要求</w:t>
            </w:r>
          </w:p>
        </w:tc>
        <w:tc>
          <w:tcPr>
            <w:tcW w:type="dxa" w:w="1910"/>
          </w:tcPr>
          <w:p>
            <w:pPr>
              <w:pStyle w:val="null3"/>
              <w:jc w:val="left"/>
            </w:pPr>
            <w:r>
              <w:rPr>
                <w:rFonts w:ascii="仿宋_GB2312" w:hAnsi="仿宋_GB2312" w:cs="仿宋_GB2312" w:eastAsia="仿宋_GB2312"/>
              </w:rPr>
              <w:t>技术、服务要求应答表.docx,其他实质性承诺函.docx,商务要求应答表.docx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第三章 技术、服务及其他要求</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项目分析方案</w:t>
            </w:r>
          </w:p>
        </w:tc>
        <w:tc>
          <w:tcPr>
            <w:tcW w:type="dxa" w:w="2575"/>
          </w:tcPr>
          <w:p>
            <w:pPr>
              <w:pStyle w:val="null3"/>
              <w:jc w:val="left"/>
            </w:pPr>
            <w:r>
              <w:rPr>
                <w:rFonts w:ascii="仿宋_GB2312" w:hAnsi="仿宋_GB2312" w:cs="仿宋_GB2312" w:eastAsia="仿宋_GB2312"/>
              </w:rPr>
              <w:t>根据供应商提供的项目分析方案包含但不限于：①项目基本情况和调查需求分析；②项目重难点分析及解决方法；以上内容详细、完整、符合项目实际的得6分；存在漏项的，每有一项扣3分，每有一处内容存在缺陷（缺陷是指:存在项目名称、履约期限描述错误的内容；对项目需求理解存在偏差，实际方案存在相互矛盾，照搬其他项目方案而存在与本项目执行无关的内容；只有简单复制粘贴需求内容而无自己针对性的描述；方案内容实际操作中不能运用；不满足采购需求中非实质性要求的情形）扣1.5分，直至该项分数扣完为止，未提供方案不得分。</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项目实施方案.docx</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根据供应商提供的项目实施方案包含但不限于：①项目进度安排；②团队人员配置及职责分工；③布点方案编制思路和提纲；④采样实施方案；⑤检测分析实施方案；⑥质量保证和质量控制措施；⑦后续服务方案（须包含评估报告后续完善修改方案）；以上内容详细、完整、符合项目实际的得35分；存在漏项的，每有一项扣5分，每有一处内容存在缺陷（缺陷是指:存在项目名称、履约期限描述错误的内容；对项目需求理解存在偏差，实际方案存在相互矛盾，照搬其他项目方案而存在与本项目执行无关的内容；只有简单复制粘贴需求内容而无自己针对性的描述；方案内容实际操作中不能运用；不满足采购需求中非实质性要求的情形）扣2.5分，直至该项分数扣完为止，未提供方案不得分。</w:t>
            </w:r>
          </w:p>
        </w:tc>
        <w:tc>
          <w:tcPr>
            <w:tcW w:type="dxa" w:w="831"/>
          </w:tcPr>
          <w:p>
            <w:pPr>
              <w:pStyle w:val="null3"/>
              <w:jc w:val="center"/>
            </w:pPr>
            <w:r>
              <w:rPr>
                <w:rFonts w:ascii="仿宋_GB2312" w:hAnsi="仿宋_GB2312" w:cs="仿宋_GB2312" w:eastAsia="仿宋_GB2312"/>
              </w:rPr>
              <w:t>35.0000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项目实施方案.docx</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575"/>
          </w:tcPr>
          <w:p>
            <w:pPr>
              <w:pStyle w:val="null3"/>
              <w:jc w:val="left"/>
            </w:pPr>
            <w:r>
              <w:rPr>
                <w:rFonts w:ascii="仿宋_GB2312" w:hAnsi="仿宋_GB2312" w:cs="仿宋_GB2312" w:eastAsia="仿宋_GB2312"/>
              </w:rPr>
              <w:t>根据供应商提供的应急预案包括但不限于：①安全应急保障措施；②相关设备故障应急处理措施；③极端天气应对及人员紧急调度方案；以上内容详细、完整、符合项目实际的得9分；存在漏项的，每有一项扣3分，每有一处内容存在缺陷（缺陷是指:存在项目名称、履约期限描述错误的内容；对项目需求理解存在偏差，实际方案存在相互矛盾，照搬其他项目方案而存在与本项目执行无关的内容；只有简单复制粘贴需求内容而无自己针对性的描述；方案内容实际操作中不能运用；不满足采购需求中非实质性要求的情形）扣1.5分，直至该项分数扣完为止，未提供方案不得分。</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项目实施方案.docx</w:t>
            </w:r>
          </w:p>
        </w:tc>
      </w:tr>
      <w:tr>
        <w:tc>
          <w:tcPr>
            <w:tcW w:type="dxa" w:w="831"/>
            <w:vMerge/>
          </w:tcPr>
          <w:p/>
        </w:tc>
        <w:tc>
          <w:tcPr>
            <w:tcW w:type="dxa" w:w="1661"/>
          </w:tcPr>
          <w:p>
            <w:pPr>
              <w:pStyle w:val="null3"/>
              <w:jc w:val="left"/>
            </w:pPr>
            <w:r>
              <w:rPr>
                <w:rFonts w:ascii="仿宋_GB2312" w:hAnsi="仿宋_GB2312" w:cs="仿宋_GB2312" w:eastAsia="仿宋_GB2312"/>
              </w:rPr>
              <w:t>供应商综合实力</w:t>
            </w:r>
          </w:p>
        </w:tc>
        <w:tc>
          <w:tcPr>
            <w:tcW w:type="dxa" w:w="2575"/>
          </w:tcPr>
          <w:p>
            <w:pPr>
              <w:pStyle w:val="null3"/>
              <w:jc w:val="left"/>
            </w:pPr>
            <w:r>
              <w:rPr>
                <w:rFonts w:ascii="仿宋_GB2312" w:hAnsi="仿宋_GB2312" w:cs="仿宋_GB2312" w:eastAsia="仿宋_GB2312"/>
              </w:rPr>
              <w:t>1.设施设备： ①具有液相色谱三重四级杆质谱仪1台的得1分，本项最多得1分； ②具有气相色谱高分辨质谱仪的得1分，本项最多得1分； ③具有气相色谱质谱联用仪的得1分，本项最多得1分； ④具有电感耦合等离子发射光谱仪的得1分，本项最多得1分； 注：设施设备自有的情况下提供仪器设备照片、有效检定（校准）证书复印件、购买发票复印件并加盖供应商电子签章，不提供则不得分；设施设备为租赁的情况下提供仪器设备照片、有效检定（校准）证书复印件、有效期内的租赁合同、出租方的购买发票复印件并加盖供应商电子签章，不提供则不得分。 2.供应商具备新污染物科研平台或具备环境保护类实验室的得3分，本项最多得3分； 注：提供相关证明材料并加盖供应商电子签章，不提供则不得分。</w:t>
            </w:r>
          </w:p>
        </w:tc>
        <w:tc>
          <w:tcPr>
            <w:tcW w:type="dxa" w:w="831"/>
          </w:tcPr>
          <w:p>
            <w:pPr>
              <w:pStyle w:val="null3"/>
              <w:jc w:val="center"/>
            </w:pPr>
            <w:r>
              <w:rPr>
                <w:rFonts w:ascii="仿宋_GB2312" w:hAnsi="仿宋_GB2312" w:cs="仿宋_GB2312" w:eastAsia="仿宋_GB2312"/>
              </w:rPr>
              <w:t>7.0000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供应商认为需要提供的其他文件和资料.docx</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1.项目负责人（1人）：具备环境类专业正高级技术职称的得3分，具备环境专业副高级技术职称的得2分；同时具备环境影响评价工程师证书的加2分，本项最多得5分； 2.技术负责人（1人）：具备环境类专业副高级及以上技术职称的得2分，具备环境类专业中级技术职称的得1分；同时具备注册环保工程师证书的加2分，本项最多得4分； 3.质量负责人（1人）：具备环境类专业副高级及以上技术职称得2分，具备环境类专业中级技术职称得1分；同时具备注册环保工程师证书的加2分，本项最多得4分； 4.项目其他人员（除项目负责人、技术负责人、质量负责人外）：具备环境类专业正高级技术职称的，每提供1个得2分，最高得8分；具备环境类专业副高级及以上技术职称的，每提供1个得1分，最高得5分；具备环境类专业中级职称的，每提供1个得0.5分，最高得2分；本项最多得15分。 注：①以上人员不得重复使用，重复人员不得分； ②需提供人员服务于本项目的证明材料及对应人员的有效身份证和有效的证书复印件并加盖供应商电子签章。</w:t>
            </w:r>
          </w:p>
        </w:tc>
        <w:tc>
          <w:tcPr>
            <w:tcW w:type="dxa" w:w="831"/>
          </w:tcPr>
          <w:p>
            <w:pPr>
              <w:pStyle w:val="null3"/>
              <w:jc w:val="center"/>
            </w:pPr>
            <w:r>
              <w:rPr>
                <w:rFonts w:ascii="仿宋_GB2312" w:hAnsi="仿宋_GB2312" w:cs="仿宋_GB2312" w:eastAsia="仿宋_GB2312"/>
              </w:rPr>
              <w:t>28.0000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供应商本项目管理、技术、服务人员情况表.docx</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供应商2021年1月1日（含1日）以来，每提供一个类似项目业绩的得1分，本项最多得5分。 注：类似项目业绩是指新污染物或土壤污染或地下水相关的环境调查类或评估类等类似业绩，提供合同复印件或中标（成交）通知书复印件并加盖供应商电子签章，合同复印件以合同签订日期为准，中标（成交）通知书以落款日期为准。</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供应商类似项目业绩一览表.docx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报价</w:t>
            </w:r>
          </w:p>
        </w:tc>
        <w:tc>
          <w:tcPr>
            <w:tcW w:type="dxa" w:w="2575"/>
          </w:tcPr>
          <w:p>
            <w:pPr>
              <w:pStyle w:val="null3"/>
              <w:jc w:val="left"/>
            </w:pPr>
            <w:r>
              <w:rPr>
                <w:rFonts w:ascii="仿宋_GB2312" w:hAnsi="仿宋_GB2312" w:cs="仿宋_GB2312" w:eastAsia="仿宋_GB2312"/>
              </w:rPr>
              <w:t>以本次有效的最低磋商报价为磋商基准价，磋商报价得分=(磋商基准价／最后磋商报价)*10*100%。 注：1.根据财库[2020]46号文及财库[2022]19号文，对小型和微型、监狱、残疾人福利性单位企业产品的价格给予20%的扣除，用扣除后的价格参与评审。 2.根据财库[2020]46号文及财库[2022]19号文，对大中型企业和其他自然人、法人或者其他组织与小型、微型企业组成联合体共同参加非专门面向中小企业的政府采购活动的，联合体磋商协议中约定，小型、微型企业的协议合同金额占到联合体磋商协议合同总金额30%以上的，可给予联合体6%的价格扣除。联合体各方均为小型、微型企业的，联合体视同为小型、微型企业享受规定的扶持政策。</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r>
        <w:tc>
          <w:tcPr>
            <w:tcW w:type="dxa" w:w="58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本采购包接受大中型企业与小微企业组成联合体，对联合协议约定小微企业的合同份额占到合同总金额30%以上的，对联合体的报价给予扣除，用扣除后的价格参加评审。组成联合体的小微企业与联合体内其他企业之间存在直接控股、管理关系的，不享受价格扣除优惠政策。</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中小企业声明函,残疾人福利性单位声明函,报价表,联合体协议书.docx,监狱企业的证明文件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详见附件：供应商本项目管理、技术、服务人员情况表.docx</w:t>
      </w:r>
    </w:p>
    <w:p>
      <w:pPr>
        <w:pStyle w:val="null3"/>
        <w:ind w:firstLine="960"/>
        <w:jc w:val="left"/>
      </w:pPr>
      <w:r>
        <w:rPr>
          <w:rFonts w:ascii="仿宋_GB2312" w:hAnsi="仿宋_GB2312" w:cs="仿宋_GB2312" w:eastAsia="仿宋_GB2312"/>
        </w:rPr>
        <w:t>详见附件：供应商类似项目业绩一览表.docx</w:t>
      </w:r>
    </w:p>
    <w:p>
      <w:pPr>
        <w:pStyle w:val="null3"/>
        <w:ind w:firstLine="960"/>
        <w:jc w:val="left"/>
      </w:pPr>
      <w:r>
        <w:rPr>
          <w:rFonts w:ascii="仿宋_GB2312" w:hAnsi="仿宋_GB2312" w:cs="仿宋_GB2312" w:eastAsia="仿宋_GB2312"/>
        </w:rPr>
        <w:t>详见附件：技术、服务要求应答表.docx</w:t>
      </w:r>
    </w:p>
    <w:p>
      <w:pPr>
        <w:pStyle w:val="null3"/>
        <w:ind w:firstLine="960"/>
        <w:jc w:val="left"/>
      </w:pPr>
      <w:r>
        <w:rPr>
          <w:rFonts w:ascii="仿宋_GB2312" w:hAnsi="仿宋_GB2312" w:cs="仿宋_GB2312" w:eastAsia="仿宋_GB2312"/>
        </w:rPr>
        <w:t>详见附件：其他实质性承诺函.docx</w:t>
      </w:r>
    </w:p>
    <w:p>
      <w:pPr>
        <w:pStyle w:val="null3"/>
        <w:ind w:firstLine="960"/>
        <w:jc w:val="left"/>
      </w:pPr>
      <w:r>
        <w:rPr>
          <w:rFonts w:ascii="仿宋_GB2312" w:hAnsi="仿宋_GB2312" w:cs="仿宋_GB2312" w:eastAsia="仿宋_GB2312"/>
        </w:rPr>
        <w:t>详见附件：联合体协议书.docx</w:t>
      </w:r>
    </w:p>
    <w:p>
      <w:pPr>
        <w:pStyle w:val="null3"/>
        <w:ind w:firstLine="960"/>
        <w:jc w:val="left"/>
      </w:pPr>
      <w:r>
        <w:rPr>
          <w:rFonts w:ascii="仿宋_GB2312" w:hAnsi="仿宋_GB2312" w:cs="仿宋_GB2312" w:eastAsia="仿宋_GB2312"/>
        </w:rPr>
        <w:t>详见附件：商务要求应答表.docx</w:t>
      </w:r>
    </w:p>
    <w:p>
      <w:pPr>
        <w:pStyle w:val="null3"/>
        <w:ind w:firstLine="960"/>
        <w:jc w:val="left"/>
      </w:pPr>
      <w:r>
        <w:rPr>
          <w:rFonts w:ascii="仿宋_GB2312" w:hAnsi="仿宋_GB2312" w:cs="仿宋_GB2312" w:eastAsia="仿宋_GB2312"/>
        </w:rPr>
        <w:t>详见附件：项目实施方案.docx</w:t>
      </w:r>
    </w:p>
    <w:p>
      <w:pPr>
        <w:pStyle w:val="null3"/>
        <w:ind w:firstLine="960"/>
        <w:jc w:val="left"/>
      </w:pPr>
      <w:r>
        <w:rPr>
          <w:rFonts w:ascii="仿宋_GB2312" w:hAnsi="仿宋_GB2312" w:cs="仿宋_GB2312" w:eastAsia="仿宋_GB2312"/>
        </w:rPr>
        <w:t>详见附件：供应商认为需要提供的其他文件和资料.docx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