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版本号：N511504202500002220250328001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云服务与集成维保服务项目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N5115042025000022</w:t>
      </w:r>
    </w:p>
    <w:p>
      <w:pPr>
        <w:pStyle w:val="null3"/>
        <w:jc w:val="left"/>
        <w:outlineLvl w:val="2"/>
      </w:pPr>
      <w:r>
        <w:rPr>
          <w:rFonts w:ascii="仿宋_GB2312" w:hAnsi="仿宋_GB2312" w:cs="仿宋_GB2312" w:eastAsia="仿宋_GB2312"/>
          <w:sz w:val="28"/>
          <w:b/>
        </w:rPr>
        <w:t>宜宾市第六人民医院</w:t>
      </w:r>
    </w:p>
    <w:p>
      <w:pPr>
        <w:pStyle w:val="null3"/>
        <w:jc w:val="center"/>
        <w:outlineLvl w:val="2"/>
      </w:pPr>
      <w:r>
        <w:rPr>
          <w:rFonts w:ascii="仿宋_GB2312" w:hAnsi="仿宋_GB2312" w:cs="仿宋_GB2312" w:eastAsia="仿宋_GB2312"/>
          <w:sz w:val="28"/>
          <w:b/>
        </w:rPr>
        <w:t>宜宾市政府采购中心叙州区分中心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宜宾市政府采购中心叙州区分中心</w:t>
      </w:r>
      <w:r>
        <w:rPr>
          <w:rFonts w:ascii="仿宋_GB2312" w:hAnsi="仿宋_GB2312" w:cs="仿宋_GB2312" w:eastAsia="仿宋_GB2312"/>
        </w:rPr>
        <w:t xml:space="preserve"> （以下简称“代理机构”）受 </w:t>
      </w:r>
      <w:r>
        <w:rPr>
          <w:rFonts w:ascii="仿宋_GB2312" w:hAnsi="仿宋_GB2312" w:cs="仿宋_GB2312" w:eastAsia="仿宋_GB2312"/>
        </w:rPr>
        <w:t>宜宾市第六人民医院</w:t>
      </w:r>
      <w:r>
        <w:rPr>
          <w:rFonts w:ascii="仿宋_GB2312" w:hAnsi="仿宋_GB2312" w:cs="仿宋_GB2312" w:eastAsia="仿宋_GB2312"/>
        </w:rPr>
        <w:t xml:space="preserve"> 委托，拟对 </w:t>
      </w:r>
      <w:r>
        <w:rPr>
          <w:rFonts w:ascii="仿宋_GB2312" w:hAnsi="仿宋_GB2312" w:cs="仿宋_GB2312" w:eastAsia="仿宋_GB2312"/>
        </w:rPr>
        <w:t>云服务与集成维保服务项目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宜宾市叙州区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N5115042025000022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云服务与集成维保服务项目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主要用途：移动服务、云桌面、安全产品、专用光网数据传输、综合网络运维、IDC机房托管、云专网</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宜宾市第六人民医院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宜宾市叙州区柏溪街道育才路2号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唐缙仕</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18113781252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宜宾市政府采购中心叙州区分中心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四川省宜宾市叙州区柏溪镇城北新区康宁路</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08315698307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采购包1：850,000.00元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宜宾市第六人民医院</w:t>
      </w:r>
      <w:r>
        <w:rPr>
          <w:rFonts w:ascii="仿宋_GB2312" w:hAnsi="仿宋_GB2312" w:cs="仿宋_GB2312" w:eastAsia="仿宋_GB2312"/>
        </w:rPr>
        <w:t xml:space="preserve"> 和 </w:t>
      </w:r>
      <w:r>
        <w:rPr>
          <w:rFonts w:ascii="仿宋_GB2312" w:hAnsi="仿宋_GB2312" w:cs="仿宋_GB2312" w:eastAsia="仿宋_GB2312"/>
        </w:rPr>
        <w:t>宜宾市政府采购中心叙州区分中心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宜宾市第六人民医院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宜宾市政府采购中心叙州区分中心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一次性验收</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由宜宾市第六人民医院信息科组织验收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本项目约定的全部内容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本项目约定的全部内容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㈠严格按照《财政部关于进一步加强政府采购需求和履约验收管理的指导意见》(财库〔2016〕205号)和参照《四川省政府采购项目需求论证和履约验收管理办法》(川财采〔2015〕32号)要求进行验收。须符合国家有关规定、磋商文件的质量要求和技术指标、供应商的响应文件及承诺以及合同条款。 ㈡甲乙双方如对质量要求和技术指标的约定标准有相互抵触或异议的事项，由甲方在响应文件中按质量要求和技术指标比较优胜的原则确定该项的约定标准进行验收； ㈢如质量验收合格，双方签署质量验收报告。</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㈠严格按照《财政部关于进一步加强政府采购需求和履约验收管理的指导意见》(财库〔2016〕205号)和参照《四川省政府采购项目需求论证和履约验收管理办法》(川财采〔2015〕32号)要求进行验收。须符合国家有关规定、磋商文件的质量要求和技术指标、供应商的响应文件及承诺以及合同条款。 ㈡甲乙双方如对质量要求和技术指标的约定标准有相互抵触或异议的事项，由甲方在响应文件中按质量要求和技术指标比较优胜的原则确定该项的约定标准进行验收； ㈢如质量验收合格，双方签署质量验收报告。</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宜宾市第六人民医院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宜宾市政府采购中心叙州区分中心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宜宾市政府采购中心叙州区分中心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联系人：唐缙仕</w:t>
      </w:r>
    </w:p>
    <w:p>
      <w:pPr>
        <w:pStyle w:val="null3"/>
        <w:jc w:val="left"/>
      </w:pPr>
      <w:r>
        <w:rPr>
          <w:rFonts w:ascii="仿宋_GB2312" w:hAnsi="仿宋_GB2312" w:cs="仿宋_GB2312" w:eastAsia="仿宋_GB2312"/>
        </w:rPr>
        <w:t>联系电话：18113781252</w:t>
      </w:r>
    </w:p>
    <w:p>
      <w:pPr>
        <w:pStyle w:val="null3"/>
        <w:jc w:val="left"/>
      </w:pPr>
      <w:r>
        <w:rPr>
          <w:rFonts w:ascii="仿宋_GB2312" w:hAnsi="仿宋_GB2312" w:cs="仿宋_GB2312" w:eastAsia="仿宋_GB2312"/>
        </w:rPr>
        <w:t>地址：宜宾市叙州区柏溪街道育才路2号</w:t>
      </w:r>
    </w:p>
    <w:p>
      <w:pPr>
        <w:pStyle w:val="null3"/>
        <w:jc w:val="left"/>
      </w:pPr>
      <w:r>
        <w:rPr>
          <w:rFonts w:ascii="仿宋_GB2312" w:hAnsi="仿宋_GB2312" w:cs="仿宋_GB2312" w:eastAsia="仿宋_GB2312"/>
        </w:rPr>
        <w:t>邮编：644600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850,000.00</w:t>
      </w:r>
    </w:p>
    <w:p>
      <w:pPr>
        <w:pStyle w:val="null3"/>
        <w:jc w:val="left"/>
      </w:pPr>
      <w:r>
        <w:rPr>
          <w:rFonts w:ascii="仿宋_GB2312" w:hAnsi="仿宋_GB2312" w:cs="仿宋_GB2312" w:eastAsia="仿宋_GB2312"/>
        </w:rPr>
        <w:t>采购包最高限价（元）: 850,000.00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C16040000 云计算服务</w:t>
            </w:r>
          </w:p>
        </w:tc>
        <w:tc>
          <w:tcPr>
            <w:tcW w:type="dxa" w:w="821"/>
          </w:tcPr>
          <w:p>
            <w:pPr>
              <w:pStyle w:val="null3"/>
              <w:jc w:val="left"/>
            </w:pPr>
            <w:r>
              <w:rPr>
                <w:rFonts w:ascii="仿宋_GB2312" w:hAnsi="仿宋_GB2312" w:cs="仿宋_GB2312" w:eastAsia="仿宋_GB2312"/>
              </w:rPr>
              <w:t>云服务与集成维保服务项目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850,000.00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云服务与集成维保服务项目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标的名称：云服务与集成维保服务项目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1.云主机服务参数要求</w:t>
            </w:r>
          </w:p>
        </w:tc>
        <w:tc>
          <w:tcPr>
            <w:tcW w:type="dxa" w:w="5814"/>
          </w:tcPr>
          <w:p>
            <w:pPr>
              <w:pStyle w:val="null3"/>
              <w:ind w:firstLine="482"/>
              <w:jc w:val="left"/>
            </w:pPr>
            <w:r>
              <w:rPr>
                <w:rFonts w:ascii="仿宋_GB2312" w:hAnsi="仿宋_GB2312" w:cs="仿宋_GB2312" w:eastAsia="仿宋_GB2312"/>
              </w:rPr>
              <w:t>▲1.云主机可以支持单机≥100核CPU，≥3500G内存，并提供通用型、计算型、网络优化型、内存型、GPU型等实例类型。(提供相关证明材料或官网截图证明，并加盖公章)</w:t>
            </w:r>
            <w:r>
              <w:br/>
            </w:r>
            <w:r>
              <w:rPr>
                <w:rFonts w:ascii="仿宋_GB2312" w:hAnsi="仿宋_GB2312" w:cs="仿宋_GB2312" w:eastAsia="仿宋_GB2312"/>
              </w:rPr>
              <w:t xml:space="preserve"> ▲2.云主机基频最大支持3.4GHz，睿频4.1GHz。(提供相关证明材料或官网截图证明，并加盖公章)</w:t>
            </w:r>
            <w:r>
              <w:br/>
            </w:r>
            <w:r>
              <w:rPr>
                <w:rFonts w:ascii="仿宋_GB2312" w:hAnsi="仿宋_GB2312" w:cs="仿宋_GB2312" w:eastAsia="仿宋_GB2312"/>
              </w:rPr>
              <w:t xml:space="preserve"> ▲3.单台云主机挂载≥22块弹性云硬盘作为数据盘、单盘≥32TB，系统盘支持在线扩容。(提供相关证明材料或官网截图证明，并加盖公章)</w:t>
            </w:r>
            <w:r>
              <w:br/>
            </w:r>
            <w:r>
              <w:rPr>
                <w:rFonts w:ascii="仿宋_GB2312" w:hAnsi="仿宋_GB2312" w:cs="仿宋_GB2312" w:eastAsia="仿宋_GB2312"/>
              </w:rPr>
              <w:t xml:space="preserve"> ▲4.可导入RAW、VHD、QCOW2格式镜像，并且基于导入镜像创建云主机。(提供相关证明材料或官网截图证明，并加盖公章)</w:t>
            </w:r>
            <w:r>
              <w:br/>
            </w:r>
            <w:r>
              <w:rPr>
                <w:rFonts w:ascii="仿宋_GB2312" w:hAnsi="仿宋_GB2312" w:cs="仿宋_GB2312" w:eastAsia="仿宋_GB2312"/>
              </w:rPr>
              <w:t xml:space="preserve"> ▲5.可指定用户预先配置好的镜像文件作为模板进行云主机的创建。(提供相关证明材料或官网截图证明，并加盖公章)</w:t>
            </w:r>
            <w:r>
              <w:br/>
            </w:r>
            <w:r>
              <w:rPr>
                <w:rFonts w:ascii="仿宋_GB2312" w:hAnsi="仿宋_GB2312" w:cs="仿宋_GB2312" w:eastAsia="仿宋_GB2312"/>
              </w:rPr>
              <w:t xml:space="preserve"> ▲6.主机服务采用全冗余架构，无单点故障，可用性≥99.975%。(提供相关证明材料或官网截图证明，并加盖公章)</w:t>
            </w:r>
            <w:r>
              <w:br/>
            </w:r>
            <w:r>
              <w:rPr>
                <w:rFonts w:ascii="仿宋_GB2312" w:hAnsi="仿宋_GB2312" w:cs="仿宋_GB2312" w:eastAsia="仿宋_GB2312"/>
              </w:rPr>
              <w:t xml:space="preserve"> ▲7.支持计算能力的弹性伸缩，增加或减少云服务器实例。(提供相关证明材料或官网截图证明，并加盖公章)</w:t>
            </w:r>
            <w:r>
              <w:br/>
            </w:r>
            <w:r>
              <w:rPr>
                <w:rFonts w:ascii="仿宋_GB2312" w:hAnsi="仿宋_GB2312" w:cs="仿宋_GB2312" w:eastAsia="仿宋_GB2312"/>
              </w:rPr>
              <w:t xml:space="preserve"> ▲8.子网协议:子网协议支持三种，IPv4、IPv6和双栈（IPv4+IPv6)。(提供相关证明材料或官网截图证明，并加盖公章)</w:t>
            </w:r>
            <w:r>
              <w:br/>
            </w:r>
            <w:r>
              <w:rPr>
                <w:rFonts w:ascii="仿宋_GB2312" w:hAnsi="仿宋_GB2312" w:cs="仿宋_GB2312" w:eastAsia="仿宋_GB2312"/>
              </w:rPr>
              <w:t xml:space="preserve"> ▲9.弹性网卡类型:子网支持裸金属子网和云主机子网:弹性网卡支持裸金属和云主机网卡。(提供相关证明材料或官网截图证明，并加盖公章)</w:t>
            </w:r>
            <w:r>
              <w:br/>
            </w:r>
            <w:r>
              <w:rPr>
                <w:rFonts w:ascii="仿宋_GB2312" w:hAnsi="仿宋_GB2312" w:cs="仿宋_GB2312" w:eastAsia="仿宋_GB2312"/>
              </w:rPr>
              <w:t xml:space="preserve"> ▲10.创建Havip，包括名称、描述、子网类型、网络配置可根据名称查询Havip。(提供相关证明材料或官网截图证明，并加盖公章)</w:t>
            </w:r>
            <w:r>
              <w:br/>
            </w:r>
            <w:r>
              <w:rPr>
                <w:rFonts w:ascii="仿宋_GB2312" w:hAnsi="仿宋_GB2312" w:cs="仿宋_GB2312" w:eastAsia="仿宋_GB2312"/>
              </w:rPr>
              <w:t xml:space="preserve"> ▲11.Havip绑定资源:绑定资源包括云主机、裸金属、独享带宽公网IP、共享带宽公网IP、云堡垒机和弹性裸金属。(提供相关证明材料或官网截图证明，并加盖公章)</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2.云安全维保服务要求</w:t>
            </w:r>
          </w:p>
        </w:tc>
        <w:tc>
          <w:tcPr>
            <w:tcW w:type="dxa" w:w="5814"/>
          </w:tcPr>
          <w:p>
            <w:pPr>
              <w:pStyle w:val="null3"/>
              <w:jc w:val="left"/>
            </w:pPr>
            <w:r>
              <w:rPr>
                <w:rFonts w:ascii="仿宋_GB2312" w:hAnsi="仿宋_GB2312" w:cs="仿宋_GB2312" w:eastAsia="仿宋_GB2312"/>
              </w:rPr>
              <w:t xml:space="preserve">   1.远程设备软件升级支持服务</w:t>
            </w:r>
          </w:p>
          <w:p>
            <w:pPr>
              <w:pStyle w:val="null3"/>
              <w:jc w:val="left"/>
            </w:pPr>
            <w:r>
              <w:rPr>
                <w:rFonts w:ascii="仿宋_GB2312" w:hAnsi="仿宋_GB2312" w:cs="仿宋_GB2312" w:eastAsia="仿宋_GB2312"/>
              </w:rPr>
              <w:t>技术支持内容将包含但不仅限于：产品技术咨询、设备配置与使用指导、硬件或软件故障诊断、软件升级指导。必要时供应商需登录到设备，以进行故障诊断或下载软件补丁。</w:t>
            </w:r>
          </w:p>
          <w:p>
            <w:pPr>
              <w:pStyle w:val="null3"/>
              <w:jc w:val="left"/>
            </w:pPr>
            <w:r>
              <w:rPr>
                <w:rFonts w:ascii="仿宋_GB2312" w:hAnsi="仿宋_GB2312" w:cs="仿宋_GB2312" w:eastAsia="仿宋_GB2312"/>
              </w:rPr>
              <w:t xml:space="preserve">   2.软件更新服务</w:t>
            </w:r>
          </w:p>
          <w:p>
            <w:pPr>
              <w:pStyle w:val="null3"/>
              <w:jc w:val="left"/>
            </w:pPr>
            <w:r>
              <w:rPr>
                <w:rFonts w:ascii="仿宋_GB2312" w:hAnsi="仿宋_GB2312" w:cs="仿宋_GB2312" w:eastAsia="仿宋_GB2312"/>
              </w:rPr>
              <w:t>供应商需在本项服务的有效期内，根据用户的实际情况获取并升级所购设备的主机软件更新或软件补丁，如BUG修补文件、新版本的主机软件，以及这些软件的配套文档资料。升级范围详见维保服务内容需求表中的设备.</w:t>
            </w:r>
          </w:p>
          <w:tbl>
            <w:tblPr>
              <w:tblBorders>
                <w:top w:val="single"/>
                <w:left w:val="single"/>
                <w:bottom w:val="single"/>
                <w:right w:val="single"/>
                <w:insideH w:val="single"/>
                <w:insideV w:val="single"/>
              </w:tblBorders>
            </w:tblPr>
            <w:tblGrid>
              <w:gridCol w:w="1400"/>
              <w:gridCol w:w="1400"/>
              <w:gridCol w:w="1400"/>
              <w:gridCol w:w="1400"/>
            </w:tblGrid>
            <w:tr>
              <w:tc>
                <w:tcPr>
                  <w:tcW w:type="dxa" w:w="1400"/>
                </w:tcPr>
                <w:p>
                  <w:pPr>
                    <w:pStyle w:val="null3"/>
                    <w:jc w:val="left"/>
                  </w:pPr>
                  <w:r>
                    <w:rPr>
                      <w:rFonts w:ascii="仿宋_GB2312" w:hAnsi="仿宋_GB2312" w:cs="仿宋_GB2312" w:eastAsia="仿宋_GB2312"/>
                      <w:b/>
                    </w:rPr>
                    <w:t>设备名称</w:t>
                  </w:r>
                </w:p>
              </w:tc>
              <w:tc>
                <w:tcPr>
                  <w:tcW w:type="dxa" w:w="1400"/>
                </w:tcPr>
                <w:p>
                  <w:pPr>
                    <w:pStyle w:val="null3"/>
                    <w:jc w:val="left"/>
                  </w:pPr>
                  <w:r>
                    <w:rPr>
                      <w:rFonts w:ascii="仿宋_GB2312" w:hAnsi="仿宋_GB2312" w:cs="仿宋_GB2312" w:eastAsia="仿宋_GB2312"/>
                      <w:b/>
                    </w:rPr>
                    <w:t>品牌</w:t>
                  </w:r>
                </w:p>
              </w:tc>
              <w:tc>
                <w:tcPr>
                  <w:tcW w:type="dxa" w:w="1400"/>
                </w:tcPr>
                <w:p>
                  <w:pPr>
                    <w:pStyle w:val="null3"/>
                    <w:jc w:val="left"/>
                  </w:pPr>
                  <w:r>
                    <w:rPr>
                      <w:rFonts w:ascii="仿宋_GB2312" w:hAnsi="仿宋_GB2312" w:cs="仿宋_GB2312" w:eastAsia="仿宋_GB2312"/>
                      <w:b/>
                    </w:rPr>
                    <w:t>型号</w:t>
                  </w:r>
                </w:p>
              </w:tc>
              <w:tc>
                <w:tcPr>
                  <w:tcW w:type="dxa" w:w="1400"/>
                </w:tcPr>
                <w:p>
                  <w:pPr>
                    <w:pStyle w:val="null3"/>
                    <w:jc w:val="left"/>
                  </w:pPr>
                  <w:r>
                    <w:rPr>
                      <w:rFonts w:ascii="仿宋_GB2312" w:hAnsi="仿宋_GB2312" w:cs="仿宋_GB2312" w:eastAsia="仿宋_GB2312"/>
                      <w:b/>
                    </w:rPr>
                    <w:t>数量</w:t>
                  </w:r>
                </w:p>
              </w:tc>
            </w:tr>
            <w:tr>
              <w:tc>
                <w:tcPr>
                  <w:tcW w:type="dxa" w:w="1400"/>
                </w:tcPr>
                <w:p>
                  <w:pPr>
                    <w:pStyle w:val="null3"/>
                    <w:jc w:val="left"/>
                  </w:pPr>
                  <w:r>
                    <w:rPr>
                      <w:rFonts w:ascii="仿宋_GB2312" w:hAnsi="仿宋_GB2312" w:cs="仿宋_GB2312" w:eastAsia="仿宋_GB2312"/>
                    </w:rPr>
                    <w:t>上网行为管理运维</w:t>
                  </w:r>
                </w:p>
              </w:tc>
              <w:tc>
                <w:tcPr>
                  <w:tcW w:type="dxa" w:w="1400"/>
                </w:tcPr>
                <w:p>
                  <w:pPr>
                    <w:pStyle w:val="null3"/>
                    <w:jc w:val="left"/>
                  </w:pPr>
                  <w:r>
                    <w:rPr>
                      <w:rFonts w:ascii="仿宋_GB2312" w:hAnsi="仿宋_GB2312" w:cs="仿宋_GB2312" w:eastAsia="仿宋_GB2312"/>
                    </w:rPr>
                    <w:t>深信服</w:t>
                  </w:r>
                </w:p>
              </w:tc>
              <w:tc>
                <w:tcPr>
                  <w:tcW w:type="dxa" w:w="1400"/>
                </w:tcPr>
                <w:p>
                  <w:pPr>
                    <w:pStyle w:val="null3"/>
                    <w:jc w:val="left"/>
                  </w:pPr>
                  <w:r>
                    <w:rPr>
                      <w:rFonts w:ascii="仿宋_GB2312" w:hAnsi="仿宋_GB2312" w:cs="仿宋_GB2312" w:eastAsia="仿宋_GB2312"/>
                    </w:rPr>
                    <w:t>AC-1000-B1500</w:t>
                  </w:r>
                </w:p>
              </w:tc>
              <w:tc>
                <w:tcPr>
                  <w:tcW w:type="dxa" w:w="1400"/>
                </w:tcPr>
                <w:p>
                  <w:pPr>
                    <w:pStyle w:val="null3"/>
                    <w:jc w:val="left"/>
                  </w:pPr>
                  <w:r>
                    <w:rPr>
                      <w:rFonts w:ascii="仿宋_GB2312" w:hAnsi="仿宋_GB2312" w:cs="仿宋_GB2312" w:eastAsia="仿宋_GB2312"/>
                    </w:rPr>
                    <w:t>1套</w:t>
                  </w:r>
                </w:p>
              </w:tc>
            </w:tr>
            <w:tr>
              <w:tc>
                <w:tcPr>
                  <w:tcW w:type="dxa" w:w="1400"/>
                </w:tcPr>
                <w:p>
                  <w:pPr>
                    <w:pStyle w:val="null3"/>
                    <w:jc w:val="left"/>
                  </w:pPr>
                  <w:r>
                    <w:rPr>
                      <w:rFonts w:ascii="仿宋_GB2312" w:hAnsi="仿宋_GB2312" w:cs="仿宋_GB2312" w:eastAsia="仿宋_GB2312"/>
                    </w:rPr>
                    <w:t>数据库审计运维</w:t>
                  </w:r>
                </w:p>
              </w:tc>
              <w:tc>
                <w:tcPr>
                  <w:tcW w:type="dxa" w:w="1400"/>
                </w:tcPr>
                <w:p>
                  <w:pPr>
                    <w:pStyle w:val="null3"/>
                    <w:jc w:val="left"/>
                  </w:pPr>
                  <w:r>
                    <w:rPr>
                      <w:rFonts w:ascii="仿宋_GB2312" w:hAnsi="仿宋_GB2312" w:cs="仿宋_GB2312" w:eastAsia="仿宋_GB2312"/>
                    </w:rPr>
                    <w:t>深信服</w:t>
                  </w:r>
                </w:p>
              </w:tc>
              <w:tc>
                <w:tcPr>
                  <w:tcW w:type="dxa" w:w="1400"/>
                </w:tcPr>
                <w:p>
                  <w:pPr>
                    <w:pStyle w:val="null3"/>
                    <w:jc w:val="left"/>
                  </w:pPr>
                  <w:r>
                    <w:rPr>
                      <w:rFonts w:ascii="仿宋_GB2312" w:hAnsi="仿宋_GB2312" w:cs="仿宋_GB2312" w:eastAsia="仿宋_GB2312"/>
                    </w:rPr>
                    <w:t>SD-DAS-400S</w:t>
                  </w:r>
                </w:p>
              </w:tc>
              <w:tc>
                <w:tcPr>
                  <w:tcW w:type="dxa" w:w="1400"/>
                </w:tcPr>
                <w:p>
                  <w:pPr>
                    <w:pStyle w:val="null3"/>
                    <w:jc w:val="left"/>
                  </w:pPr>
                  <w:r>
                    <w:rPr>
                      <w:rFonts w:ascii="仿宋_GB2312" w:hAnsi="仿宋_GB2312" w:cs="仿宋_GB2312" w:eastAsia="仿宋_GB2312"/>
                    </w:rPr>
                    <w:t>1套</w:t>
                  </w:r>
                </w:p>
              </w:tc>
            </w:tr>
            <w:tr>
              <w:tc>
                <w:tcPr>
                  <w:tcW w:type="dxa" w:w="1400"/>
                </w:tcPr>
                <w:p>
                  <w:pPr>
                    <w:pStyle w:val="null3"/>
                    <w:jc w:val="left"/>
                  </w:pPr>
                  <w:r>
                    <w:rPr>
                      <w:rFonts w:ascii="仿宋_GB2312" w:hAnsi="仿宋_GB2312" w:cs="仿宋_GB2312" w:eastAsia="仿宋_GB2312"/>
                    </w:rPr>
                    <w:t>下一代防火墙运维</w:t>
                  </w:r>
                </w:p>
              </w:tc>
              <w:tc>
                <w:tcPr>
                  <w:tcW w:type="dxa" w:w="1400"/>
                </w:tcPr>
                <w:p>
                  <w:pPr>
                    <w:pStyle w:val="null3"/>
                    <w:jc w:val="left"/>
                  </w:pPr>
                  <w:r>
                    <w:rPr>
                      <w:rFonts w:ascii="仿宋_GB2312" w:hAnsi="仿宋_GB2312" w:cs="仿宋_GB2312" w:eastAsia="仿宋_GB2312"/>
                    </w:rPr>
                    <w:t>深信服</w:t>
                  </w:r>
                </w:p>
              </w:tc>
              <w:tc>
                <w:tcPr>
                  <w:tcW w:type="dxa" w:w="1400"/>
                </w:tcPr>
                <w:p>
                  <w:pPr>
                    <w:pStyle w:val="null3"/>
                    <w:jc w:val="left"/>
                  </w:pPr>
                  <w:r>
                    <w:rPr>
                      <w:rFonts w:ascii="仿宋_GB2312" w:hAnsi="仿宋_GB2312" w:cs="仿宋_GB2312" w:eastAsia="仿宋_GB2312"/>
                    </w:rPr>
                    <w:t>AF-1000-B1600</w:t>
                  </w:r>
                </w:p>
              </w:tc>
              <w:tc>
                <w:tcPr>
                  <w:tcW w:type="dxa" w:w="1400"/>
                </w:tcPr>
                <w:p>
                  <w:pPr>
                    <w:pStyle w:val="null3"/>
                    <w:jc w:val="left"/>
                  </w:pPr>
                  <w:r>
                    <w:rPr>
                      <w:rFonts w:ascii="仿宋_GB2312" w:hAnsi="仿宋_GB2312" w:cs="仿宋_GB2312" w:eastAsia="仿宋_GB2312"/>
                    </w:rPr>
                    <w:t>1套</w:t>
                  </w:r>
                </w:p>
              </w:tc>
            </w:tr>
            <w:tr>
              <w:tc>
                <w:tcPr>
                  <w:tcW w:type="dxa" w:w="1400"/>
                </w:tcPr>
                <w:p>
                  <w:pPr>
                    <w:pStyle w:val="null3"/>
                    <w:jc w:val="left"/>
                  </w:pPr>
                  <w:r>
                    <w:rPr>
                      <w:rFonts w:ascii="仿宋_GB2312" w:hAnsi="仿宋_GB2312" w:cs="仿宋_GB2312" w:eastAsia="仿宋_GB2312"/>
                    </w:rPr>
                    <w:t>安全接入网关运维</w:t>
                  </w:r>
                </w:p>
              </w:tc>
              <w:tc>
                <w:tcPr>
                  <w:tcW w:type="dxa" w:w="1400"/>
                </w:tcPr>
                <w:p>
                  <w:pPr>
                    <w:pStyle w:val="null3"/>
                    <w:jc w:val="left"/>
                  </w:pPr>
                  <w:r>
                    <w:rPr>
                      <w:rFonts w:ascii="仿宋_GB2312" w:hAnsi="仿宋_GB2312" w:cs="仿宋_GB2312" w:eastAsia="仿宋_GB2312"/>
                    </w:rPr>
                    <w:t>深信服</w:t>
                  </w:r>
                </w:p>
              </w:tc>
              <w:tc>
                <w:tcPr>
                  <w:tcW w:type="dxa" w:w="1400"/>
                </w:tcPr>
                <w:p>
                  <w:pPr>
                    <w:pStyle w:val="null3"/>
                    <w:jc w:val="left"/>
                  </w:pPr>
                  <w:r>
                    <w:rPr>
                      <w:rFonts w:ascii="仿宋_GB2312" w:hAnsi="仿宋_GB2312" w:cs="仿宋_GB2312" w:eastAsia="仿宋_GB2312"/>
                    </w:rPr>
                    <w:t>vSSL-100</w:t>
                  </w:r>
                </w:p>
              </w:tc>
              <w:tc>
                <w:tcPr>
                  <w:tcW w:type="dxa" w:w="1400"/>
                </w:tcPr>
                <w:p>
                  <w:pPr>
                    <w:pStyle w:val="null3"/>
                    <w:jc w:val="left"/>
                  </w:pPr>
                  <w:r>
                    <w:rPr>
                      <w:rFonts w:ascii="仿宋_GB2312" w:hAnsi="仿宋_GB2312" w:cs="仿宋_GB2312" w:eastAsia="仿宋_GB2312"/>
                    </w:rPr>
                    <w:t>1套</w:t>
                  </w:r>
                </w:p>
              </w:tc>
            </w:tr>
            <w:tr>
              <w:tc>
                <w:tcPr>
                  <w:tcW w:type="dxa" w:w="1400"/>
                </w:tcPr>
                <w:p>
                  <w:pPr>
                    <w:pStyle w:val="null3"/>
                    <w:jc w:val="left"/>
                  </w:pPr>
                  <w:r>
                    <w:rPr>
                      <w:rFonts w:ascii="仿宋_GB2312" w:hAnsi="仿宋_GB2312" w:cs="仿宋_GB2312" w:eastAsia="仿宋_GB2312"/>
                    </w:rPr>
                    <w:t>终端安全防护软件运维</w:t>
                  </w:r>
                </w:p>
              </w:tc>
              <w:tc>
                <w:tcPr>
                  <w:tcW w:type="dxa" w:w="1400"/>
                </w:tcPr>
                <w:p>
                  <w:pPr>
                    <w:pStyle w:val="null3"/>
                    <w:jc w:val="left"/>
                  </w:pPr>
                  <w:r>
                    <w:rPr>
                      <w:rFonts w:ascii="仿宋_GB2312" w:hAnsi="仿宋_GB2312" w:cs="仿宋_GB2312" w:eastAsia="仿宋_GB2312"/>
                    </w:rPr>
                    <w:t>深信服</w:t>
                  </w:r>
                </w:p>
              </w:tc>
              <w:tc>
                <w:tcPr>
                  <w:tcW w:type="dxa" w:w="1400"/>
                </w:tcPr>
                <w:p>
                  <w:pPr>
                    <w:pStyle w:val="null3"/>
                    <w:jc w:val="left"/>
                  </w:pPr>
                  <w:r>
                    <w:rPr>
                      <w:rFonts w:ascii="仿宋_GB2312" w:hAnsi="仿宋_GB2312" w:cs="仿宋_GB2312" w:eastAsia="仿宋_GB2312"/>
                    </w:rPr>
                    <w:t>EDR</w:t>
                  </w:r>
                </w:p>
              </w:tc>
              <w:tc>
                <w:tcPr>
                  <w:tcW w:type="dxa" w:w="1400"/>
                </w:tcPr>
                <w:p>
                  <w:pPr>
                    <w:pStyle w:val="null3"/>
                    <w:jc w:val="left"/>
                  </w:pPr>
                  <w:r>
                    <w:rPr>
                      <w:rFonts w:ascii="仿宋_GB2312" w:hAnsi="仿宋_GB2312" w:cs="仿宋_GB2312" w:eastAsia="仿宋_GB2312"/>
                    </w:rPr>
                    <w:t>1套</w:t>
                  </w:r>
                </w:p>
              </w:tc>
            </w:tr>
            <w:tr>
              <w:tc>
                <w:tcPr>
                  <w:tcW w:type="dxa" w:w="1400"/>
                </w:tcPr>
                <w:p>
                  <w:pPr>
                    <w:pStyle w:val="null3"/>
                    <w:jc w:val="left"/>
                  </w:pPr>
                  <w:r>
                    <w:rPr>
                      <w:rFonts w:ascii="仿宋_GB2312" w:hAnsi="仿宋_GB2312" w:cs="仿宋_GB2312" w:eastAsia="仿宋_GB2312"/>
                    </w:rPr>
                    <w:t>堡垒机运维</w:t>
                  </w:r>
                </w:p>
              </w:tc>
              <w:tc>
                <w:tcPr>
                  <w:tcW w:type="dxa" w:w="1400"/>
                </w:tcPr>
                <w:p>
                  <w:pPr>
                    <w:pStyle w:val="null3"/>
                    <w:jc w:val="left"/>
                  </w:pPr>
                  <w:r>
                    <w:rPr>
                      <w:rFonts w:ascii="仿宋_GB2312" w:hAnsi="仿宋_GB2312" w:cs="仿宋_GB2312" w:eastAsia="仿宋_GB2312"/>
                    </w:rPr>
                    <w:t>深信服</w:t>
                  </w:r>
                </w:p>
              </w:tc>
              <w:tc>
                <w:tcPr>
                  <w:tcW w:type="dxa" w:w="1400"/>
                </w:tcPr>
                <w:p>
                  <w:pPr>
                    <w:pStyle w:val="null3"/>
                    <w:jc w:val="left"/>
                  </w:pPr>
                  <w:r>
                    <w:rPr>
                      <w:rFonts w:ascii="仿宋_GB2312" w:hAnsi="仿宋_GB2312" w:cs="仿宋_GB2312" w:eastAsia="仿宋_GB2312"/>
                    </w:rPr>
                    <w:t>OSM-1000-V100</w:t>
                  </w:r>
                </w:p>
              </w:tc>
              <w:tc>
                <w:tcPr>
                  <w:tcW w:type="dxa" w:w="1400"/>
                </w:tcPr>
                <w:p>
                  <w:pPr>
                    <w:pStyle w:val="null3"/>
                    <w:jc w:val="left"/>
                  </w:pPr>
                  <w:r>
                    <w:rPr>
                      <w:rFonts w:ascii="仿宋_GB2312" w:hAnsi="仿宋_GB2312" w:cs="仿宋_GB2312" w:eastAsia="仿宋_GB2312"/>
                    </w:rPr>
                    <w:t>1套</w:t>
                  </w:r>
                </w:p>
              </w:tc>
            </w:tr>
          </w:tbl>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3.云桌面集成运维服务要求</w:t>
            </w:r>
          </w:p>
        </w:tc>
        <w:tc>
          <w:tcPr>
            <w:tcW w:type="dxa" w:w="5814"/>
          </w:tcPr>
          <w:p>
            <w:pPr>
              <w:pStyle w:val="null3"/>
              <w:jc w:val="left"/>
            </w:pPr>
            <w:r>
              <w:rPr>
                <w:rFonts w:ascii="仿宋_GB2312" w:hAnsi="仿宋_GB2312" w:cs="仿宋_GB2312" w:eastAsia="仿宋_GB2312"/>
              </w:rPr>
              <w:t xml:space="preserve">  1.远程设备软件升级支持服务</w:t>
            </w:r>
          </w:p>
          <w:p>
            <w:pPr>
              <w:pStyle w:val="null3"/>
              <w:jc w:val="left"/>
            </w:pPr>
            <w:r>
              <w:rPr>
                <w:rFonts w:ascii="仿宋_GB2312" w:hAnsi="仿宋_GB2312" w:cs="仿宋_GB2312" w:eastAsia="仿宋_GB2312"/>
              </w:rPr>
              <w:t>技术支持内容将包含但不仅限于：产品技术咨询、设备配置与使用指导、硬件或软件故障诊断、软件升级指导。必要时供应商需登录到设备，以进行故障诊断或下载软件补丁。</w:t>
            </w:r>
          </w:p>
          <w:p>
            <w:pPr>
              <w:pStyle w:val="null3"/>
              <w:jc w:val="left"/>
            </w:pPr>
            <w:r>
              <w:rPr>
                <w:rFonts w:ascii="仿宋_GB2312" w:hAnsi="仿宋_GB2312" w:cs="仿宋_GB2312" w:eastAsia="仿宋_GB2312"/>
              </w:rPr>
              <w:t xml:space="preserve">  2.软件更新服务</w:t>
            </w:r>
          </w:p>
          <w:p>
            <w:pPr>
              <w:pStyle w:val="null3"/>
              <w:jc w:val="left"/>
            </w:pPr>
            <w:r>
              <w:rPr>
                <w:rFonts w:ascii="仿宋_GB2312" w:hAnsi="仿宋_GB2312" w:cs="仿宋_GB2312" w:eastAsia="仿宋_GB2312"/>
              </w:rPr>
              <w:t>供应商需在本项服务的有效期内，根据用户的实际情况获取并升级所购设备的主机软件更新或软件补丁，如BUG修补文件、新版本的主机软件，以及这些软件的配套文档资料。升级范围详见维保服务内容需求表中的设备.</w:t>
            </w:r>
          </w:p>
          <w:tbl>
            <w:tblPr>
              <w:tblBorders>
                <w:top w:val="single"/>
                <w:left w:val="single"/>
                <w:bottom w:val="single"/>
                <w:right w:val="single"/>
                <w:insideH w:val="single"/>
                <w:insideV w:val="single"/>
              </w:tblBorders>
            </w:tblPr>
            <w:tblGrid>
              <w:gridCol w:w="1400"/>
              <w:gridCol w:w="1400"/>
              <w:gridCol w:w="1400"/>
              <w:gridCol w:w="1400"/>
            </w:tblGrid>
            <w:tr>
              <w:tc>
                <w:tcPr>
                  <w:tcW w:type="dxa" w:w="1400"/>
                </w:tcPr>
                <w:p>
                  <w:pPr>
                    <w:pStyle w:val="null3"/>
                    <w:jc w:val="left"/>
                  </w:pPr>
                  <w:r>
                    <w:rPr>
                      <w:rFonts w:ascii="仿宋_GB2312" w:hAnsi="仿宋_GB2312" w:cs="仿宋_GB2312" w:eastAsia="仿宋_GB2312"/>
                      <w:b/>
                    </w:rPr>
                    <w:t>设备名称</w:t>
                  </w:r>
                </w:p>
              </w:tc>
              <w:tc>
                <w:tcPr>
                  <w:tcW w:type="dxa" w:w="1400"/>
                </w:tcPr>
                <w:p>
                  <w:pPr>
                    <w:pStyle w:val="null3"/>
                    <w:jc w:val="left"/>
                  </w:pPr>
                  <w:r>
                    <w:rPr>
                      <w:rFonts w:ascii="仿宋_GB2312" w:hAnsi="仿宋_GB2312" w:cs="仿宋_GB2312" w:eastAsia="仿宋_GB2312"/>
                      <w:b/>
                    </w:rPr>
                    <w:t>品牌</w:t>
                  </w:r>
                </w:p>
              </w:tc>
              <w:tc>
                <w:tcPr>
                  <w:tcW w:type="dxa" w:w="1400"/>
                </w:tcPr>
                <w:p>
                  <w:pPr>
                    <w:pStyle w:val="null3"/>
                    <w:jc w:val="left"/>
                  </w:pPr>
                  <w:r>
                    <w:rPr>
                      <w:rFonts w:ascii="仿宋_GB2312" w:hAnsi="仿宋_GB2312" w:cs="仿宋_GB2312" w:eastAsia="仿宋_GB2312"/>
                      <w:b/>
                    </w:rPr>
                    <w:t>设备型号</w:t>
                  </w:r>
                </w:p>
              </w:tc>
              <w:tc>
                <w:tcPr>
                  <w:tcW w:type="dxa" w:w="1400"/>
                </w:tcPr>
                <w:p>
                  <w:pPr>
                    <w:pStyle w:val="null3"/>
                    <w:jc w:val="left"/>
                  </w:pPr>
                  <w:r>
                    <w:rPr>
                      <w:rFonts w:ascii="仿宋_GB2312" w:hAnsi="仿宋_GB2312" w:cs="仿宋_GB2312" w:eastAsia="仿宋_GB2312"/>
                      <w:b/>
                    </w:rPr>
                    <w:t>数量</w:t>
                  </w:r>
                </w:p>
              </w:tc>
            </w:tr>
            <w:tr>
              <w:tc>
                <w:tcPr>
                  <w:tcW w:type="dxa" w:w="1400"/>
                  <w:vMerge w:val="restart"/>
                </w:tcPr>
                <w:p>
                  <w:pPr>
                    <w:pStyle w:val="null3"/>
                    <w:jc w:val="left"/>
                  </w:pPr>
                  <w:r>
                    <w:rPr>
                      <w:rFonts w:ascii="仿宋_GB2312" w:hAnsi="仿宋_GB2312" w:cs="仿宋_GB2312" w:eastAsia="仿宋_GB2312"/>
                    </w:rPr>
                    <w:t>云桌面运维</w:t>
                  </w:r>
                </w:p>
              </w:tc>
              <w:tc>
                <w:tcPr>
                  <w:tcW w:type="dxa" w:w="1400"/>
                </w:tcPr>
                <w:p>
                  <w:pPr>
                    <w:pStyle w:val="null3"/>
                    <w:jc w:val="left"/>
                  </w:pPr>
                  <w:r>
                    <w:rPr>
                      <w:rFonts w:ascii="仿宋_GB2312" w:hAnsi="仿宋_GB2312" w:cs="仿宋_GB2312" w:eastAsia="仿宋_GB2312"/>
                    </w:rPr>
                    <w:t>深信服</w:t>
                  </w:r>
                </w:p>
              </w:tc>
              <w:tc>
                <w:tcPr>
                  <w:tcW w:type="dxa" w:w="1400"/>
                </w:tcPr>
                <w:p>
                  <w:pPr>
                    <w:pStyle w:val="null3"/>
                    <w:jc w:val="left"/>
                  </w:pPr>
                  <w:r>
                    <w:rPr>
                      <w:rFonts w:ascii="仿宋_GB2312" w:hAnsi="仿宋_GB2312" w:cs="仿宋_GB2312" w:eastAsia="仿宋_GB2312"/>
                    </w:rPr>
                    <w:t>VDS-R-7550</w:t>
                  </w:r>
                </w:p>
              </w:tc>
              <w:tc>
                <w:tcPr>
                  <w:tcW w:type="dxa" w:w="1400"/>
                </w:tcPr>
                <w:p>
                  <w:pPr>
                    <w:pStyle w:val="null3"/>
                    <w:jc w:val="left"/>
                  </w:pPr>
                  <w:r>
                    <w:rPr>
                      <w:rFonts w:ascii="仿宋_GB2312" w:hAnsi="仿宋_GB2312" w:cs="仿宋_GB2312" w:eastAsia="仿宋_GB2312"/>
                    </w:rPr>
                    <w:t>3台</w:t>
                  </w:r>
                </w:p>
              </w:tc>
            </w:tr>
            <w:tr>
              <w:tc>
                <w:tcPr>
                  <w:tcW w:type="dxa" w:w="1400"/>
                  <w:vMerge/>
                </w:tcPr>
                <w:p/>
              </w:tc>
              <w:tc>
                <w:tcPr>
                  <w:tcW w:type="dxa" w:w="1400"/>
                </w:tcPr>
                <w:p>
                  <w:pPr>
                    <w:pStyle w:val="null3"/>
                    <w:jc w:val="left"/>
                  </w:pPr>
                  <w:r>
                    <w:rPr>
                      <w:rFonts w:ascii="仿宋_GB2312" w:hAnsi="仿宋_GB2312" w:cs="仿宋_GB2312" w:eastAsia="仿宋_GB2312"/>
                    </w:rPr>
                    <w:t>深信服</w:t>
                  </w:r>
                </w:p>
              </w:tc>
              <w:tc>
                <w:tcPr>
                  <w:tcW w:type="dxa" w:w="1400"/>
                </w:tcPr>
                <w:p>
                  <w:pPr>
                    <w:pStyle w:val="null3"/>
                    <w:jc w:val="left"/>
                  </w:pPr>
                  <w:r>
                    <w:rPr>
                      <w:rFonts w:ascii="仿宋_GB2312" w:hAnsi="仿宋_GB2312" w:cs="仿宋_GB2312" w:eastAsia="仿宋_GB2312"/>
                    </w:rPr>
                    <w:t>VDI授权与配件(aDesk)</w:t>
                  </w:r>
                </w:p>
              </w:tc>
              <w:tc>
                <w:tcPr>
                  <w:tcW w:type="dxa" w:w="1400"/>
                </w:tcPr>
                <w:p>
                  <w:pPr>
                    <w:pStyle w:val="null3"/>
                    <w:jc w:val="left"/>
                  </w:pPr>
                  <w:r>
                    <w:rPr>
                      <w:rFonts w:ascii="仿宋_GB2312" w:hAnsi="仿宋_GB2312" w:cs="仿宋_GB2312" w:eastAsia="仿宋_GB2312"/>
                    </w:rPr>
                    <w:t>100个</w:t>
                  </w:r>
                </w:p>
              </w:tc>
            </w:tr>
            <w:tr>
              <w:tc>
                <w:tcPr>
                  <w:tcW w:type="dxa" w:w="1400"/>
                  <w:vMerge/>
                </w:tcPr>
                <w:p/>
              </w:tc>
              <w:tc>
                <w:tcPr>
                  <w:tcW w:type="dxa" w:w="1400"/>
                </w:tcPr>
                <w:p>
                  <w:pPr>
                    <w:pStyle w:val="null3"/>
                    <w:jc w:val="left"/>
                  </w:pPr>
                  <w:r>
                    <w:rPr>
                      <w:rFonts w:ascii="仿宋_GB2312" w:hAnsi="仿宋_GB2312" w:cs="仿宋_GB2312" w:eastAsia="仿宋_GB2312"/>
                    </w:rPr>
                    <w:t>深信服</w:t>
                  </w:r>
                </w:p>
              </w:tc>
              <w:tc>
                <w:tcPr>
                  <w:tcW w:type="dxa" w:w="1400"/>
                </w:tcPr>
                <w:p>
                  <w:pPr>
                    <w:pStyle w:val="null3"/>
                    <w:jc w:val="left"/>
                  </w:pPr>
                  <w:r>
                    <w:rPr>
                      <w:rFonts w:ascii="仿宋_GB2312" w:hAnsi="仿宋_GB2312" w:cs="仿宋_GB2312" w:eastAsia="仿宋_GB2312"/>
                    </w:rPr>
                    <w:t>aRS6300-24X-LI-12X</w:t>
                  </w:r>
                </w:p>
              </w:tc>
              <w:tc>
                <w:tcPr>
                  <w:tcW w:type="dxa" w:w="1400"/>
                </w:tcPr>
                <w:p>
                  <w:pPr>
                    <w:pStyle w:val="null3"/>
                    <w:jc w:val="left"/>
                  </w:pPr>
                  <w:r>
                    <w:rPr>
                      <w:rFonts w:ascii="仿宋_GB2312" w:hAnsi="仿宋_GB2312" w:cs="仿宋_GB2312" w:eastAsia="仿宋_GB2312"/>
                    </w:rPr>
                    <w:t>2台</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b/>
              </w:rPr>
              <w:t>注：以上为主要建设开发服务，供应商应根据项目实施中及采购人实际需求优化调整开展工作。</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服务方案</w:t>
            </w:r>
          </w:p>
        </w:tc>
        <w:tc>
          <w:tcPr>
            <w:tcW w:type="dxa" w:w="5814"/>
          </w:tcPr>
          <w:p>
            <w:pPr>
              <w:pStyle w:val="null3"/>
              <w:jc w:val="left"/>
            </w:pPr>
            <w:r>
              <w:rPr>
                <w:rFonts w:ascii="仿宋_GB2312" w:hAnsi="仿宋_GB2312" w:cs="仿宋_GB2312" w:eastAsia="仿宋_GB2312"/>
              </w:rPr>
              <w:t>供应商针对本项目提供的服务方案进行评审，方案内容包含：①项目概述及需求分析；②上云方案设计；③云等保建设流程；④云安全方案等。</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项目实施方案</w:t>
            </w:r>
          </w:p>
        </w:tc>
        <w:tc>
          <w:tcPr>
            <w:tcW w:type="dxa" w:w="5814"/>
          </w:tcPr>
          <w:p>
            <w:pPr>
              <w:pStyle w:val="null3"/>
              <w:jc w:val="left"/>
            </w:pPr>
            <w:r>
              <w:rPr>
                <w:rFonts w:ascii="仿宋_GB2312" w:hAnsi="仿宋_GB2312" w:cs="仿宋_GB2312" w:eastAsia="仿宋_GB2312"/>
              </w:rPr>
              <w:t>供应商针对本项目提供的项目实施方案进行评审，方案内容包含：①项目人员配置方案；②项目进度保障方案；③项目质量保障方案；④项目重难点分析及解决措施等。</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宜宾市第六人民医院</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履约验收内容及标准：按国家有关规定以及本项目磋商文件服务内容及要求、成交人的响应文件及承诺与本合同约定标准进行验收；双方如对服务内容与要求的约定标准有相互抵触或异议的事项，由双方合同约定标准内容进行验收；其他未尽事宜应严格按照《财政部关于进一步加强政府采购需求和履约验收管理的指导意见》（财库〔2016〕205 号）《政府采购需求管理办法》(财库〔2021〕22 号)等文件执行</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1、进度款，验收合格之日起，达到付款条件起30日内，支付合同总金额的50.00%</w:t>
            </w:r>
          </w:p>
          <w:p>
            <w:pPr>
              <w:pStyle w:val="null3"/>
              <w:jc w:val="left"/>
            </w:pPr>
            <w:r>
              <w:rPr>
                <w:rFonts w:ascii="仿宋_GB2312" w:hAnsi="仿宋_GB2312" w:cs="仿宋_GB2312" w:eastAsia="仿宋_GB2312"/>
              </w:rPr>
              <w:t>2、尾款，验收合格之日起第6个月开始，达到付款条件起30日内，支付合同总金额的50.00%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1.供应商必须遵守采购合同并执行合同中的各项规定，保证采购合同的正常履行。 2.如因供应商工作人员在履行职务过程中的疏忽、失职、过错等故意或者过失原因给采购人造成损失或侵害，包括但不限于采购人本身的财产损失，由此而导致的采购人对任何第三方的法律责任，供应商对此均应承担全部的赔偿责任。</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人员配置要求</w:t>
            </w:r>
          </w:p>
        </w:tc>
        <w:tc>
          <w:tcPr>
            <w:tcW w:type="dxa" w:w="5814"/>
          </w:tcPr>
          <w:p>
            <w:pPr>
              <w:pStyle w:val="null3"/>
              <w:jc w:val="left"/>
            </w:pPr>
            <w:r>
              <w:rPr>
                <w:rFonts w:ascii="仿宋_GB2312" w:hAnsi="仿宋_GB2312" w:cs="仿宋_GB2312" w:eastAsia="仿宋_GB2312"/>
              </w:rPr>
              <w:t>项目经理1名</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设施设备配置要求</w:t>
            </w:r>
          </w:p>
        </w:tc>
        <w:tc>
          <w:tcPr>
            <w:tcW w:type="dxa" w:w="581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其他未尽事宜在合同中约定。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响应文件封面,中小企业声明函,残疾人福利性单位声明函,投标（响应）函,监狱企业的证明文件</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采购文件实质性条件</w:t>
            </w:r>
          </w:p>
        </w:tc>
        <w:tc>
          <w:tcPr>
            <w:tcW w:type="dxa" w:w="3322"/>
          </w:tcPr>
          <w:p>
            <w:pPr>
              <w:pStyle w:val="null3"/>
              <w:jc w:val="left"/>
            </w:pPr>
            <w:r>
              <w:rPr>
                <w:rFonts w:ascii="仿宋_GB2312" w:hAnsi="仿宋_GB2312" w:cs="仿宋_GB2312" w:eastAsia="仿宋_GB2312"/>
              </w:rPr>
              <w:t>对采购文件实质性条件的响应</w:t>
            </w:r>
          </w:p>
        </w:tc>
        <w:tc>
          <w:tcPr>
            <w:tcW w:type="dxa" w:w="1910"/>
          </w:tcPr>
          <w:p>
            <w:pPr>
              <w:pStyle w:val="null3"/>
              <w:jc w:val="left"/>
            </w:pPr>
            <w:r>
              <w:rPr>
                <w:rFonts w:ascii="仿宋_GB2312" w:hAnsi="仿宋_GB2312" w:cs="仿宋_GB2312" w:eastAsia="仿宋_GB2312"/>
              </w:rPr>
              <w:t>报价一览表,报价明细表,供应商应提交的相关证明材料,服务应答表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服务要求</w:t>
            </w:r>
          </w:p>
        </w:tc>
        <w:tc>
          <w:tcPr>
            <w:tcW w:type="dxa" w:w="2575"/>
          </w:tcPr>
          <w:p>
            <w:pPr>
              <w:pStyle w:val="null3"/>
              <w:jc w:val="left"/>
            </w:pPr>
            <w:r>
              <w:rPr>
                <w:rFonts w:ascii="仿宋_GB2312" w:hAnsi="仿宋_GB2312" w:cs="仿宋_GB2312" w:eastAsia="仿宋_GB2312"/>
              </w:rPr>
              <w:t>磋商响应完全符合磋商文件中云主机服务参数要求带“▲”的部分没有负偏离得22分；共11条，有负偏离的，每一条扣2分，最多扣22分；供应商应提供相关证明材料予以作证，如未提供，该条服务要求在评审中将不予认定。</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针对本项目提供的服务方案进行评审，方案内容至少包含：①项目概述及需求分析；②上云方案设计；③云等保建设流程；④云安全方案等；根据供应商针对上述四个方面内容在响应文件中的响应情况进行综合评审：每具有一方面内容的得4分，最多得16分；其中每有一处存在缺陷的扣2分，每方面最多扣4分。 注：缺陷是指存在项目名称错误、地点、区域错误、内容与本项目需求无关、方案内容矛盾或表述前后不一致、仅有框架或标题、明显复制其他项目内容且与本项目无关等任意一种情形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针对本项目提供的项目实施方案进行评审，方案内容至少包含：①项目人员配置方案；②项目进度保障方案；③项目质量保障方案；④项目重难点分析及解决措施等；根据供应商针对上述四个方面内容在响应文件中的响应情况进行综合评审：每具有一方面内容的得4分，最多得16分；其中每有一处存在缺陷的扣2分，每方面最多扣4分。 注：缺陷是指存在项目名称错误、地点、区域错误、内容与本项目需求无关、方案内容矛盾或表述前后不一致、仅有框架或标题、明显复制其他项目内容且与本项目无关等任意一种情形。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1.供应商具有ITSS云计算服务能力标准符合性证书(私有云)、ITSS云计算服务能力标准符合性证书(公有云)、ITSS云计算服务能力标准符合性证书(SaaS)二级及以上证书，提供一项得1分，最多可得3分，不提供不得分。(提供相关证明材料并加盖公章) 2.供应商所提供云服务需具有IS045001职业健康信息安全管理体系认证证书和IS014001环境管理体系证书，每提供一个证书得3分，最高6分，不提供不得分。 3.为保障采购人业务连续性，供应商所投运维服务与现有部署环境不分离的得4分；提供分离且保障业务连续不中断的承诺函得2分(格式自拟),其他不得分。注：提供与现有基础环境租赁服务不分离证明材料加盖供应商公章。 4.为保障系统高效性、可靠性、安全性，供应商具备云网一体化综合能力水平评估证书、安全运营中心能力检验证书、云金牌运维证书、企业级一体化云管平台能力检验证书、云迁移服务能力检验证书，每提供1项得2分，最高得10分，不提供不得分。 5.供应商拟派本项目的项目经理(1名)具有信息系统项目管理师和系统架构设计师证书，得6分，在此基础上具有通信或计算机类副高级工程师职称的加2分，具有通信或计算机类正高级工程师职称的加4分，本项最多得10分。 注：提供有效的证书复印件及身份证复印件、在职证明材料等并加盖公章。</w:t>
            </w:r>
          </w:p>
        </w:tc>
        <w:tc>
          <w:tcPr>
            <w:tcW w:type="dxa" w:w="831"/>
          </w:tcPr>
          <w:p>
            <w:pPr>
              <w:pStyle w:val="null3"/>
              <w:jc w:val="center"/>
            </w:pPr>
            <w:r>
              <w:rPr>
                <w:rFonts w:ascii="仿宋_GB2312" w:hAnsi="仿宋_GB2312" w:cs="仿宋_GB2312" w:eastAsia="仿宋_GB2312"/>
              </w:rPr>
              <w:t>33.0000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供应商提供2021年以来类似项目业绩的，每提供1个得1分，本项目最高得3分。（类似项目业绩：云服务器建设或者租赁类；供应商提供项目合同复印件加盖公章或中标通知书。）</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报价一览表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中小企业声明函,残疾人福利性单位声明函,供应商应提交的相关证明材料,监狱企业的证明文件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