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版本号：N511923202500001720250410001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彩色数码印刷系统采购项目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N5119232025000017</w:t>
      </w:r>
    </w:p>
    <w:p>
      <w:pPr>
        <w:pStyle w:val="null3"/>
        <w:jc w:val="center"/>
        <w:outlineLvl w:val="2"/>
      </w:pPr>
      <w:r>
        <w:rPr>
          <w:rFonts w:ascii="仿宋_GB2312" w:hAnsi="仿宋_GB2312" w:cs="仿宋_GB2312" w:eastAsia="仿宋_GB2312"/>
          <w:sz w:val="28"/>
          <w:b/>
        </w:rPr>
        <w:t>中国共产党平昌县委员会办公室</w:t>
      </w:r>
    </w:p>
    <w:p>
      <w:pPr>
        <w:pStyle w:val="null3"/>
        <w:jc w:val="center"/>
        <w:outlineLvl w:val="2"/>
      </w:pPr>
      <w:r>
        <w:rPr>
          <w:rFonts w:ascii="仿宋_GB2312" w:hAnsi="仿宋_GB2312" w:cs="仿宋_GB2312" w:eastAsia="仿宋_GB2312"/>
          <w:sz w:val="28"/>
          <w:b/>
        </w:rPr>
        <w:t>四川富博永钦工程咨询有限公司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四川富博永钦工程咨询有限公司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中国共产党平昌县委员会办公室</w:t>
      </w:r>
      <w:r>
        <w:rPr>
          <w:rFonts w:ascii="仿宋_GB2312" w:hAnsi="仿宋_GB2312" w:cs="仿宋_GB2312" w:eastAsia="仿宋_GB2312"/>
        </w:rPr>
        <w:t xml:space="preserve"> 委托，拟对 </w:t>
      </w:r>
      <w:r>
        <w:rPr>
          <w:rFonts w:ascii="仿宋_GB2312" w:hAnsi="仿宋_GB2312" w:cs="仿宋_GB2312" w:eastAsia="仿宋_GB2312"/>
        </w:rPr>
        <w:t>彩色数码印刷系统采购项目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巴中市平昌县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N5119232025000017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彩色数码印刷系统采购项目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拟采购中国共产党平昌县委员会办公室彩色数码印刷系统采购项目合格供应商一名。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中国共产党平昌县委员会办公室</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平昌县江口镇新平街东段46号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罗晶</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13550493332</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四川富博永钦工程咨询有限公司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四川省巴中市巴州区四川省巴中市巴州区西部国际商贸美食街3栋302室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0827-5226660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采购包1：646,200.00元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代理服务费收费标准：本协议规定的招标代理服务费参照原国家计委印发的《招标代理服务收费管理暂行办法》（计价格[2002]1980号）及其附件《招标代理服务收费标准》的规定支付代理服务费。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中国共产党平昌县委员会办公室</w:t>
      </w:r>
      <w:r>
        <w:rPr>
          <w:rFonts w:ascii="仿宋_GB2312" w:hAnsi="仿宋_GB2312" w:cs="仿宋_GB2312" w:eastAsia="仿宋_GB2312"/>
        </w:rPr>
        <w:t xml:space="preserve"> 和 </w:t>
      </w:r>
      <w:r>
        <w:rPr>
          <w:rFonts w:ascii="仿宋_GB2312" w:hAnsi="仿宋_GB2312" w:cs="仿宋_GB2312" w:eastAsia="仿宋_GB2312"/>
        </w:rPr>
        <w:t>四川富博永钦工程咨询有限公司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中国共产党平昌县委员会办公室</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四川富博永钦工程咨询有限公司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每一项技术服务要求的履约情况。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每一项商务要求的履约情况。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投标人的投标文件及承诺与本合同约定标准进行验收；采购人与投标人双方如对质量要求和技术指标的约定标准有相互抵触或异议的事项，由采购人在采购文件及投标文件中按质量要求和技术指标比较优胜的原则确定该项的约定标准进行验收；其他未尽事宜应严格按照《财政部关于进一步加强政府采购需求和履约验收管理的指导意见》(财库〔2016〕205号)、《政府采购需求管理办法》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在政府采购合同中进行约定。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中国共产党平昌县委员会办公室</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四川富博永钦工程咨询有限公司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四川富博永钦工程咨询有限公司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联系电话：0827-5226660</w:t>
      </w:r>
    </w:p>
    <w:p>
      <w:pPr>
        <w:pStyle w:val="null3"/>
        <w:jc w:val="left"/>
      </w:pPr>
      <w:r>
        <w:rPr>
          <w:rFonts w:ascii="仿宋_GB2312" w:hAnsi="仿宋_GB2312" w:cs="仿宋_GB2312" w:eastAsia="仿宋_GB2312"/>
        </w:rPr>
        <w:t>地址：四川省巴中市巴州区黄家沟美食城3栋302室</w:t>
      </w:r>
    </w:p>
    <w:p>
      <w:pPr>
        <w:pStyle w:val="null3"/>
        <w:jc w:val="left"/>
      </w:pPr>
      <w:r>
        <w:rPr>
          <w:rFonts w:ascii="仿宋_GB2312" w:hAnsi="仿宋_GB2312" w:cs="仿宋_GB2312" w:eastAsia="仿宋_GB2312"/>
        </w:rPr>
        <w:t>邮编：636000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646,200.00</w:t>
      </w:r>
    </w:p>
    <w:p>
      <w:pPr>
        <w:pStyle w:val="null3"/>
        <w:jc w:val="left"/>
      </w:pPr>
      <w:r>
        <w:rPr>
          <w:rFonts w:ascii="仿宋_GB2312" w:hAnsi="仿宋_GB2312" w:cs="仿宋_GB2312" w:eastAsia="仿宋_GB2312"/>
        </w:rPr>
        <w:t>采购包最高限价（元）: 646,200.00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A02300700 数码印刷机</w:t>
            </w:r>
          </w:p>
        </w:tc>
        <w:tc>
          <w:tcPr>
            <w:tcW w:type="dxa" w:w="821"/>
          </w:tcPr>
          <w:p>
            <w:pPr>
              <w:pStyle w:val="null3"/>
              <w:jc w:val="left"/>
            </w:pPr>
            <w:r>
              <w:rPr>
                <w:rFonts w:ascii="仿宋_GB2312" w:hAnsi="仿宋_GB2312" w:cs="仿宋_GB2312" w:eastAsia="仿宋_GB2312"/>
              </w:rPr>
              <w:t>彩色数码印刷系统</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646,200.00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彩色数码印刷系统</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646,200.00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A02300700 数码印刷机</w:t>
            </w:r>
          </w:p>
        </w:tc>
        <w:tc>
          <w:tcPr>
            <w:tcW w:type="dxa" w:w="2492"/>
          </w:tcPr>
          <w:p>
            <w:pPr>
              <w:pStyle w:val="null3"/>
              <w:jc w:val="left"/>
            </w:pPr>
            <w:r>
              <w:rPr>
                <w:rFonts w:ascii="仿宋_GB2312" w:hAnsi="仿宋_GB2312" w:cs="仿宋_GB2312" w:eastAsia="仿宋_GB2312"/>
              </w:rPr>
              <w:t>彩色数码印刷系统</w:t>
            </w:r>
          </w:p>
        </w:tc>
        <w:tc>
          <w:tcPr>
            <w:tcW w:type="dxa" w:w="2492"/>
          </w:tcPr>
          <w:p>
            <w:pPr>
              <w:pStyle w:val="null3"/>
              <w:jc w:val="left"/>
            </w:pPr>
            <w:r>
              <w:rPr>
                <w:rFonts w:ascii="仿宋_GB2312" w:hAnsi="仿宋_GB2312" w:cs="仿宋_GB2312" w:eastAsia="仿宋_GB2312"/>
              </w:rPr>
              <w:t>彩色数码印刷系统</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标的名称：彩色数码印刷系统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彩色数码印刷系统</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6"/>
              <w:gridCol w:w="723"/>
              <w:gridCol w:w="618"/>
              <w:gridCol w:w="3960"/>
            </w:tblGrid>
            <w:tr>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产品名称</w:t>
                  </w:r>
                </w:p>
              </w:tc>
              <w:tc>
                <w:tcPr>
                  <w:tcW w:type="dxa" w:w="457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技术参数要求</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彩色数码印刷系统</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p>
                  <w:pPr>
                    <w:pStyle w:val="null3"/>
                    <w:jc w:val="center"/>
                  </w:pPr>
                </w:p>
              </w:tc>
              <w:tc>
                <w:tcPr>
                  <w:tcW w:type="dxa" w:w="3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★1.单张纸彩色碳粉数码印刷系统,支持</w:t>
                  </w:r>
                  <w:r>
                    <w:rPr>
                      <w:rFonts w:ascii="仿宋_GB2312" w:hAnsi="仿宋_GB2312" w:cs="仿宋_GB2312" w:eastAsia="仿宋_GB2312"/>
                      <w:sz w:val="24"/>
                    </w:rPr>
                    <w:t>长纸打印、鞍式装订、自动折页等；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2.打印/复印/扫描速度：黑/彩≥81页A4/分钟；</w:t>
                  </w:r>
                </w:p>
                <w:p>
                  <w:pPr>
                    <w:pStyle w:val="null3"/>
                    <w:jc w:val="left"/>
                  </w:pPr>
                  <w:r>
                    <w:rPr>
                      <w:rFonts w:ascii="仿宋_GB2312" w:hAnsi="仿宋_GB2312" w:cs="仿宋_GB2312" w:eastAsia="仿宋_GB2312"/>
                      <w:sz w:val="24"/>
                    </w:rPr>
                    <w:t>3.分辨率：打印输出：2400*2400dpi，图像光栅：1200dpi×1200dpi（默认）和600dpi×600dpi；扫描分辨率：最高600x600dpi；</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4.配备</w:t>
                  </w:r>
                  <w:r>
                    <w:rPr>
                      <w:rFonts w:ascii="仿宋_GB2312" w:hAnsi="仿宋_GB2312" w:cs="仿宋_GB2312" w:eastAsia="仿宋_GB2312"/>
                      <w:sz w:val="24"/>
                    </w:rPr>
                    <w:t>读稿器：读稿器自带正反对位、色彩阶调、横向均匀度、二转电压等项目的半自动调整；</w:t>
                  </w:r>
                </w:p>
                <w:p>
                  <w:pPr>
                    <w:pStyle w:val="null3"/>
                    <w:jc w:val="left"/>
                  </w:pPr>
                  <w:r>
                    <w:rPr>
                      <w:rFonts w:ascii="仿宋_GB2312" w:hAnsi="仿宋_GB2312" w:cs="仿宋_GB2312" w:eastAsia="仿宋_GB2312"/>
                      <w:sz w:val="24"/>
                    </w:rPr>
                    <w:t>▲5.供纸容量:≥6,650张</w:t>
                  </w:r>
                  <w:r>
                    <w:rPr>
                      <w:rFonts w:ascii="仿宋_GB2312" w:hAnsi="仿宋_GB2312" w:cs="仿宋_GB2312" w:eastAsia="仿宋_GB2312"/>
                      <w:sz w:val="24"/>
                    </w:rPr>
                    <w:t>A4（80g）</w:t>
                  </w:r>
                  <w:r>
                    <w:rPr>
                      <w:rFonts w:ascii="仿宋_GB2312" w:hAnsi="仿宋_GB2312" w:cs="仿宋_GB2312" w:eastAsia="仿宋_GB2312"/>
                      <w:sz w:val="24"/>
                    </w:rPr>
                    <w:t>（多纸盒纸柜：标配双张检测和不停机自动逃逸功能）；</w:t>
                  </w:r>
                </w:p>
                <w:p>
                  <w:pPr>
                    <w:pStyle w:val="null3"/>
                    <w:jc w:val="left"/>
                  </w:pPr>
                  <w:r>
                    <w:rPr>
                      <w:rFonts w:ascii="仿宋_GB2312" w:hAnsi="仿宋_GB2312" w:cs="仿宋_GB2312" w:eastAsia="仿宋_GB2312"/>
                      <w:sz w:val="24"/>
                    </w:rPr>
                    <w:t>6.月打印量：不低于20万印A4；</w:t>
                  </w:r>
                </w:p>
                <w:p>
                  <w:pPr>
                    <w:pStyle w:val="null3"/>
                    <w:jc w:val="left"/>
                  </w:pPr>
                  <w:r>
                    <w:rPr>
                      <w:rFonts w:ascii="仿宋_GB2312" w:hAnsi="仿宋_GB2312" w:cs="仿宋_GB2312" w:eastAsia="仿宋_GB2312"/>
                      <w:sz w:val="24"/>
                    </w:rPr>
                    <w:t>▲7.正背套准：≤0.8mm；</w:t>
                  </w:r>
                </w:p>
                <w:p>
                  <w:pPr>
                    <w:pStyle w:val="null3"/>
                    <w:jc w:val="left"/>
                  </w:pPr>
                  <w:r>
                    <w:rPr>
                      <w:rFonts w:ascii="仿宋_GB2312" w:hAnsi="仿宋_GB2312" w:cs="仿宋_GB2312" w:eastAsia="仿宋_GB2312"/>
                      <w:sz w:val="24"/>
                    </w:rPr>
                    <w:t>8.最大介质尺寸：330.2*1300mm（单面），330.2*762mm（双面）；</w:t>
                  </w:r>
                </w:p>
                <w:p>
                  <w:pPr>
                    <w:pStyle w:val="null3"/>
                    <w:jc w:val="left"/>
                  </w:pPr>
                  <w:r>
                    <w:rPr>
                      <w:rFonts w:ascii="仿宋_GB2312" w:hAnsi="仿宋_GB2312" w:cs="仿宋_GB2312" w:eastAsia="仿宋_GB2312"/>
                      <w:sz w:val="24"/>
                    </w:rPr>
                    <w:t>▲9.热机时间：</w:t>
                  </w:r>
                  <w:r>
                    <w:rPr>
                      <w:rFonts w:ascii="仿宋_GB2312" w:hAnsi="仿宋_GB2312" w:cs="仿宋_GB2312" w:eastAsia="仿宋_GB2312"/>
                      <w:sz w:val="24"/>
                    </w:rPr>
                    <w:t>≤360秒，首页打印时间：彩色≤7.7秒、黑白≤6.9秒；</w:t>
                  </w:r>
                </w:p>
                <w:p>
                  <w:pPr>
                    <w:pStyle w:val="null3"/>
                    <w:jc w:val="left"/>
                  </w:pPr>
                  <w:r>
                    <w:rPr>
                      <w:rFonts w:ascii="仿宋_GB2312" w:hAnsi="仿宋_GB2312" w:cs="仿宋_GB2312" w:eastAsia="仿宋_GB2312"/>
                      <w:sz w:val="24"/>
                    </w:rPr>
                    <w:t>10.处理器：不低于</w:t>
                  </w:r>
                  <w:r>
                    <w:rPr>
                      <w:rFonts w:ascii="仿宋_GB2312" w:hAnsi="仿宋_GB2312" w:cs="仿宋_GB2312" w:eastAsia="仿宋_GB2312"/>
                      <w:sz w:val="24"/>
                    </w:rPr>
                    <w:t>1.8GHz双处理器，内存≥6GB，硬盘≥512GB SSD；</w:t>
                  </w:r>
                </w:p>
                <w:p>
                  <w:pPr>
                    <w:pStyle w:val="null3"/>
                    <w:jc w:val="left"/>
                  </w:pPr>
                  <w:r>
                    <w:rPr>
                      <w:rFonts w:ascii="仿宋_GB2312" w:hAnsi="仿宋_GB2312" w:cs="仿宋_GB2312" w:eastAsia="仿宋_GB2312"/>
                      <w:sz w:val="24"/>
                    </w:rPr>
                    <w:t>★11.具有</w:t>
                  </w:r>
                  <w:r>
                    <w:rPr>
                      <w:rFonts w:ascii="仿宋_GB2312" w:hAnsi="仿宋_GB2312" w:cs="仿宋_GB2312" w:eastAsia="仿宋_GB2312"/>
                      <w:sz w:val="24"/>
                    </w:rPr>
                    <w:t>不少于</w:t>
                  </w:r>
                  <w:r>
                    <w:rPr>
                      <w:rFonts w:ascii="仿宋_GB2312" w:hAnsi="仿宋_GB2312" w:cs="仿宋_GB2312" w:eastAsia="仿宋_GB2312"/>
                      <w:sz w:val="24"/>
                    </w:rPr>
                    <w:t>32种特殊复印功能，</w:t>
                  </w:r>
                  <w:r>
                    <w:rPr>
                      <w:rFonts w:ascii="仿宋_GB2312" w:hAnsi="仿宋_GB2312" w:cs="仿宋_GB2312" w:eastAsia="仿宋_GB2312"/>
                      <w:sz w:val="24"/>
                    </w:rPr>
                    <w:t>采用</w:t>
                  </w:r>
                  <w:r>
                    <w:rPr>
                      <w:rFonts w:ascii="仿宋_GB2312" w:hAnsi="仿宋_GB2312" w:cs="仿宋_GB2312" w:eastAsia="仿宋_GB2312"/>
                      <w:sz w:val="24"/>
                    </w:rPr>
                    <w:t>UFR2解析方式，可扩展打印组件（PS/PCL）、Fiery服务器、PRISMAsync服务器;</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12.扫描类型：玻璃稿台+一次通过双面同时扫描输稿器（含多张检测）；</w:t>
                  </w:r>
                </w:p>
                <w:p>
                  <w:pPr>
                    <w:pStyle w:val="null3"/>
                    <w:jc w:val="left"/>
                  </w:pPr>
                  <w:r>
                    <w:rPr>
                      <w:rFonts w:ascii="仿宋_GB2312" w:hAnsi="仿宋_GB2312" w:cs="仿宋_GB2312" w:eastAsia="仿宋_GB2312"/>
                      <w:sz w:val="24"/>
                    </w:rPr>
                    <w:t>13.输稿器最大扫描速度：单面，A4,300dpi≥135ipm(黑白/彩色）；双面，A4,300dpi≥270ipm(黑白/彩色）；单面，A4,600dpi≥80ipm(黑白/彩色）；双面，A4,600dpi≥160ipm/90ipm(黑白/彩色）；</w:t>
                  </w:r>
                </w:p>
                <w:p>
                  <w:pPr>
                    <w:pStyle w:val="null3"/>
                    <w:jc w:val="left"/>
                  </w:pPr>
                  <w:r>
                    <w:rPr>
                      <w:rFonts w:ascii="仿宋_GB2312" w:hAnsi="仿宋_GB2312" w:cs="仿宋_GB2312" w:eastAsia="仿宋_GB2312"/>
                      <w:sz w:val="24"/>
                    </w:rPr>
                    <w:t>14.鞍式分页装订处理器，容量</w:t>
                  </w:r>
                  <w:r>
                    <w:rPr>
                      <w:rFonts w:ascii="仿宋_GB2312" w:hAnsi="仿宋_GB2312" w:cs="仿宋_GB2312" w:eastAsia="仿宋_GB2312"/>
                      <w:sz w:val="24"/>
                    </w:rPr>
                    <w:t>不低于</w:t>
                  </w:r>
                  <w:r>
                    <w:rPr>
                      <w:rFonts w:ascii="仿宋_GB2312" w:hAnsi="仿宋_GB2312" w:cs="仿宋_GB2312" w:eastAsia="仿宋_GB2312"/>
                      <w:sz w:val="24"/>
                    </w:rPr>
                    <w:t>3,500张A4（80g）；</w:t>
                  </w:r>
                </w:p>
                <w:p>
                  <w:pPr>
                    <w:pStyle w:val="null3"/>
                    <w:jc w:val="left"/>
                  </w:pPr>
                  <w:r>
                    <w:rPr>
                      <w:rFonts w:ascii="仿宋_GB2312" w:hAnsi="仿宋_GB2312" w:cs="仿宋_GB2312" w:eastAsia="仿宋_GB2312"/>
                      <w:sz w:val="24"/>
                    </w:rPr>
                    <w:t>▲15.设备需支持以下打印纸张：彩色纸、再生纸、预打孔纸、透明胶片、透明薄膜、半透明薄膜、商标纸、标签纸、证券纸、信纸、仿羊皮纸、合成纸等。</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配套软件</w:t>
                  </w:r>
                </w:p>
                <w:p>
                  <w:pPr>
                    <w:pStyle w:val="null3"/>
                    <w:jc w:val="left"/>
                  </w:pP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自带快速转印率匹配方案、设备自带远程连接系统、系统自带正版广告海报输出方案，正版软件、正版模板、正版图库（可以离线安装），规避侵权，使用放心，快速上手，支持本公司全系列打印机输出（包括宽幅面及小打印机），并开放导出高精度最终文件。</w:t>
                  </w:r>
                </w:p>
                <w:p>
                  <w:pPr>
                    <w:pStyle w:val="null3"/>
                    <w:jc w:val="left"/>
                  </w:pPr>
                  <w:r>
                    <w:rPr>
                      <w:rFonts w:ascii="仿宋_GB2312" w:hAnsi="仿宋_GB2312" w:cs="仿宋_GB2312" w:eastAsia="仿宋_GB2312"/>
                      <w:sz w:val="24"/>
                    </w:rPr>
                    <w:t>2.文档转化功能：工作流程可以批量自动将PLT，HPGL，DWF，Word，Excle，PPT，JPG，PNG，tiff等文件规范成标准PDF格式文件，并支持批量将PDF文件中字体文字转为轮廓文字(转曲)使得PDF文件不携带任何字体资源仍然能高清不损失精度显示预览，高清不损失精度打印输出。</w:t>
                  </w:r>
                </w:p>
                <w:p>
                  <w:pPr>
                    <w:pStyle w:val="null3"/>
                    <w:jc w:val="left"/>
                  </w:pPr>
                  <w:r>
                    <w:rPr>
                      <w:rFonts w:ascii="仿宋_GB2312" w:hAnsi="仿宋_GB2312" w:cs="仿宋_GB2312" w:eastAsia="仿宋_GB2312"/>
                      <w:sz w:val="24"/>
                    </w:rPr>
                    <w:t>3.工作流程可批量实现：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1）添加页码功能，在页面上自动添加号码，支持自定义页码的字体大小，位置，起始页码，页码颜色，页码角度，支持自定义页码前后缀信息。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2）支持页面打号功能，自定义字号大小，号码位数，号码位置，颜色，支持自定义号码前缀后缀信息，以上设置可以保存为模板随时调用。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3）支持印章管理功能，在打印文件上加盖公章，在打印时可以对公章的使用要求密码输入增加公章使用的安全性，公章打印支持多重效果，如：红压黑透明文字。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4）支持扫描图像自动纠偏，自动去脏清洁功能，支持图像旋转，裁切，支持图像亮度对比度调节。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5）支持自动添加骑缝章，自定义骑缝章大小位置，显示页面。</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6）支持PDF文件涉密保护，实现PDF文件打开密码保护，防止编辑，防止打印，支持限制PDF可预览时间，实现PDF文件安全。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7）支持按页计算页面CMYK各个颜色覆盖率，同生成文件覆盖率报告。自动统计文件中所有页面尺寸，并按照各个尺寸单价自动计算打印报价单。</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8）支持黑图转蓝图，蓝颜色值可自定义，并保护红章颜色，实现蓝图打印。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9）支持文件重命名功能，文件名可自动可按照文件尺寸，文件页数等信息重命名。</w:t>
                  </w:r>
                </w:p>
                <w:p>
                  <w:pPr>
                    <w:pStyle w:val="null3"/>
                    <w:jc w:val="left"/>
                  </w:pPr>
                  <w:r>
                    <w:rPr>
                      <w:rFonts w:ascii="仿宋_GB2312" w:hAnsi="仿宋_GB2312" w:cs="仿宋_GB2312" w:eastAsia="仿宋_GB2312"/>
                      <w:sz w:val="24"/>
                    </w:rPr>
                    <w:t>★4.PDF色彩管理： 用于对源文件里包含的各种来源的图形、图像进行精确的色彩转换。用于将源文件中的不同色彩转换成统一的符合印刷的色彩标准。支持自定义CMYK、RGB输入曲线，支持自定义输出ICC曲线，支持多种转换意图(可察觉，饱和度，绝对色度，相对色度)。支持保留纯黑，支持黑点补偿特性。支持转换至CMYK 模式，RGB模式，单黑模式。</w:t>
                  </w:r>
                </w:p>
                <w:p>
                  <w:pPr>
                    <w:pStyle w:val="null3"/>
                    <w:jc w:val="left"/>
                  </w:pPr>
                  <w:r>
                    <w:rPr>
                      <w:rFonts w:ascii="仿宋_GB2312" w:hAnsi="仿宋_GB2312" w:cs="仿宋_GB2312" w:eastAsia="仿宋_GB2312"/>
                      <w:sz w:val="24"/>
                    </w:rPr>
                    <w:t>★5.批量发送模块：工作流程支持文件批量打印，支持文件夹直接打印，能够自动查找识别当前目录下的文件和子目录下所有文件并批量发送打印，支持单双面，份数，长短板设置，自动分配插页功能，满足节约成本，提高工作效率。可以同时向多台打印设备发送打印数据,且设备数量不受授权限制。</w:t>
                  </w:r>
                </w:p>
                <w:p>
                  <w:pPr>
                    <w:pStyle w:val="null3"/>
                    <w:jc w:val="left"/>
                  </w:pPr>
                  <w:r>
                    <w:rPr>
                      <w:rFonts w:ascii="仿宋_GB2312" w:hAnsi="仿宋_GB2312" w:cs="仿宋_GB2312" w:eastAsia="仿宋_GB2312"/>
                      <w:sz w:val="24"/>
                    </w:rPr>
                    <w:t>▲6.黑白彩色页面识别：工作流程批量实现自动识别文件中黑白彩页面并能自动分离，自动分发黑白文件至黑白打印机，彩色页面发送至彩色打印机，支持自动发送配页指令至黑白机，实现彩色页面自动在黑白机上完成配页工作，替代人工配页工作，提高工作效率。</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管理服务客户端功能</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1.网络域管理：提供网络域、网段、IP地址规划管理功能，包括设置网络类型、网段范围、IP信息的管理；</w:t>
                  </w:r>
                  <w:r>
                    <w:br/>
                  </w:r>
                  <w:r>
                    <w:rPr>
                      <w:rFonts w:ascii="仿宋_GB2312" w:hAnsi="仿宋_GB2312" w:cs="仿宋_GB2312" w:eastAsia="仿宋_GB2312"/>
                      <w:sz w:val="24"/>
                    </w:rPr>
                    <w:t>2.事件关联分析：支持对当前事件和历史事件的时间线、时间分布、事件共现分析、事件关联影响分析；</w:t>
                  </w:r>
                  <w:r>
                    <w:br/>
                  </w:r>
                  <w:r>
                    <w:rPr>
                      <w:rFonts w:ascii="仿宋_GB2312" w:hAnsi="仿宋_GB2312" w:cs="仿宋_GB2312" w:eastAsia="仿宋_GB2312"/>
                      <w:sz w:val="24"/>
                    </w:rPr>
                    <w:t>3.开放性要求：支持与第三方资产软件进行对接并提供北向结构，构建统一数据及指标体系实现多数据中心的集中运维管理；</w:t>
                  </w:r>
                  <w:r>
                    <w:br/>
                  </w:r>
                  <w:r>
                    <w:rPr>
                      <w:rFonts w:ascii="仿宋_GB2312" w:hAnsi="仿宋_GB2312" w:cs="仿宋_GB2312" w:eastAsia="仿宋_GB2312"/>
                      <w:sz w:val="24"/>
                    </w:rPr>
                    <w:t>4.部门及人员管理：支持多级部门及部门人员的新增、编辑、删除等；</w:t>
                  </w:r>
                  <w:r>
                    <w:br/>
                  </w:r>
                  <w:r>
                    <w:rPr>
                      <w:rFonts w:ascii="仿宋_GB2312" w:hAnsi="仿宋_GB2312" w:cs="仿宋_GB2312" w:eastAsia="仿宋_GB2312"/>
                      <w:sz w:val="24"/>
                    </w:rPr>
                    <w:t>5.IP管理：支持IP地址自动探测；支持手动及自动分配、预留及回收等管理功能；支持查看IP地址使用状态（已使用、未使用、预留、异常）；</w:t>
                  </w:r>
                  <w:r>
                    <w:br/>
                  </w:r>
                  <w:r>
                    <w:rPr>
                      <w:rFonts w:ascii="仿宋_GB2312" w:hAnsi="仿宋_GB2312" w:cs="仿宋_GB2312" w:eastAsia="仿宋_GB2312"/>
                      <w:sz w:val="24"/>
                    </w:rPr>
                    <w:t>6.资源全生命周期：支持资源全生命周期管理及属性配置管理，包括资源属性数据调和、属性变动记录、资产回收、资产标签、备品备件库管理等；</w:t>
                  </w:r>
                  <w:r>
                    <w:br/>
                  </w:r>
                  <w:r>
                    <w:rPr>
                      <w:rFonts w:ascii="仿宋_GB2312" w:hAnsi="仿宋_GB2312" w:cs="仿宋_GB2312" w:eastAsia="仿宋_GB2312"/>
                      <w:sz w:val="24"/>
                    </w:rPr>
                    <w:t>7.算法配置能力：支持为智能场景灵活配置算法及参数，对不同应用场景下相应指标进行批量化处理；</w:t>
                  </w:r>
                  <w:r>
                    <w:br/>
                  </w:r>
                  <w:r>
                    <w:rPr>
                      <w:rFonts w:ascii="仿宋_GB2312" w:hAnsi="仿宋_GB2312" w:cs="仿宋_GB2312" w:eastAsia="仿宋_GB2312"/>
                      <w:sz w:val="24"/>
                    </w:rPr>
                    <w:t>8.智能事件告警：支持对资源的指标进行智能算法配置，包括算法选择、资源指标、历史数据、算法参数等进行配置，对算法产生的结果进行可视化展现，指标数据异常时自动产生告警；</w:t>
                  </w:r>
                  <w:r>
                    <w:br/>
                  </w:r>
                  <w:r>
                    <w:rPr>
                      <w:rFonts w:ascii="仿宋_GB2312" w:hAnsi="仿宋_GB2312" w:cs="仿宋_GB2312" w:eastAsia="仿宋_GB2312"/>
                      <w:sz w:val="24"/>
                    </w:rPr>
                    <w:t>9.整体要求：基于大数据及AI能力构建的统一管理平台，通过运维数据的自动化采集及操作构建运维的数字化和智能化体现，包括资产管理、集中监控管理、运维服务管理、自动化运维管理等基础功能，支持通过基础功能及运维大数据库进行运维应用的平滑扩展；</w:t>
                  </w:r>
                  <w:r>
                    <w:br/>
                  </w:r>
                  <w:r>
                    <w:rPr>
                      <w:rFonts w:ascii="仿宋_GB2312" w:hAnsi="仿宋_GB2312" w:cs="仿宋_GB2312" w:eastAsia="仿宋_GB2312"/>
                      <w:sz w:val="24"/>
                    </w:rPr>
                    <w:t>10.架构：采用微服务架构，具有扩展性、稳定性、兼容性；</w:t>
                  </w:r>
                  <w:r>
                    <w:br/>
                  </w:r>
                  <w:r>
                    <w:rPr>
                      <w:rFonts w:ascii="仿宋_GB2312" w:hAnsi="仿宋_GB2312" w:cs="仿宋_GB2312" w:eastAsia="仿宋_GB2312"/>
                      <w:sz w:val="24"/>
                    </w:rPr>
                    <w:t>11.算法分析能力：支持基于应用场景的智能分析情况，对多个场景算法执行的效果、速度、吞吐量进行监控统计；</w:t>
                  </w:r>
                  <w:r>
                    <w:br/>
                  </w:r>
                  <w:r>
                    <w:rPr>
                      <w:rFonts w:ascii="仿宋_GB2312" w:hAnsi="仿宋_GB2312" w:cs="仿宋_GB2312" w:eastAsia="仿宋_GB2312"/>
                      <w:sz w:val="24"/>
                    </w:rPr>
                    <w:t>12.数据采集：支持对现有的网管监控、视频监控等系统的资产数据、性能数据、告警数据、安全风险数据进行集中采集，支持单个属性级别的数据源优先级控制；</w:t>
                  </w:r>
                  <w:r>
                    <w:br/>
                  </w:r>
                  <w:r>
                    <w:rPr>
                      <w:rFonts w:ascii="仿宋_GB2312" w:hAnsi="仿宋_GB2312" w:cs="仿宋_GB2312" w:eastAsia="仿宋_GB2312"/>
                      <w:sz w:val="24"/>
                    </w:rPr>
                    <w:t>13.数据存储：支持资源的指标体系管理，实现对性能、安全等数据的标准化入库，支持指标的增加、编辑和展出，支持指标的展现方式、展现顺序的统一配置；支持资源的属性管理、关联关系管理、标签管理等；</w:t>
                  </w:r>
                  <w:r>
                    <w:br/>
                  </w:r>
                  <w:r>
                    <w:rPr>
                      <w:rFonts w:ascii="仿宋_GB2312" w:hAnsi="仿宋_GB2312" w:cs="仿宋_GB2312" w:eastAsia="仿宋_GB2312"/>
                      <w:sz w:val="24"/>
                    </w:rPr>
                    <w:t>14.资源数据调和：支持属性数据调和入库管理，对自动发现或异动的资产进行调和入库，支持批量入库、查看详情等功能；</w:t>
                  </w:r>
                  <w:r>
                    <w:br/>
                  </w:r>
                  <w:r>
                    <w:rPr>
                      <w:rFonts w:ascii="仿宋_GB2312" w:hAnsi="仿宋_GB2312" w:cs="仿宋_GB2312" w:eastAsia="仿宋_GB2312"/>
                      <w:sz w:val="24"/>
                    </w:rPr>
                    <w:t>15.支持软件包（包括组件包、设备驱动包、语言包、皮肤包等）上传、搜索查询、移除、更新、查看；支持对服务的参数配置进行查看、修改、下发、查询；支持告警策略配置查看、设置、修改、启用；支持校时配置、启用、停止功能；支持集群管理，支持集群信息查看、添加、删除；支持授权查看管理，支持导入、移除授权文件；支持在线授权激活，支持离线授权激活；支持在线、离线授权反激活。</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自合同签订之日起20日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1、合同签订生效后，达到付款条件起7日内，支付合同总金额的40.00%</w:t>
            </w:r>
          </w:p>
          <w:p>
            <w:pPr>
              <w:pStyle w:val="null3"/>
              <w:jc w:val="left"/>
            </w:pPr>
            <w:r>
              <w:rPr>
                <w:rFonts w:ascii="仿宋_GB2312" w:hAnsi="仿宋_GB2312" w:cs="仿宋_GB2312" w:eastAsia="仿宋_GB2312"/>
              </w:rPr>
              <w:t>2、设备安装并验收合格后，达到付款条件起7日内，支付合同总金额的55.00%</w:t>
            </w:r>
          </w:p>
          <w:p>
            <w:pPr>
              <w:pStyle w:val="null3"/>
              <w:jc w:val="left"/>
            </w:pPr>
            <w:r>
              <w:rPr>
                <w:rFonts w:ascii="仿宋_GB2312" w:hAnsi="仿宋_GB2312" w:cs="仿宋_GB2312" w:eastAsia="仿宋_GB2312"/>
              </w:rPr>
              <w:t>3、质保期满后，达到付款条件起7日内，支付合同总金额的5.00%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1、履约验收主体：中国共产党平昌县委员会办公室。 2、验收时间：安装完成结束之日起 7 日内组织验收。 3、验收方式：自行验收。 4、验收程序：一次性验收。 5、验收内容：按照本项目技术和商务要求及合同约定验收。 6、验收标准： （1）货物包装是否完好，产地生产厂家名称、品牌、型号、规格、数量、外观质量、配置、内在质量，以及调试运行是否达到本合同规定的效果。 （2）按照《财政部关于进一步加强政府采购需求和履约验收管理的指导意见》（财库〔2016〕205 号）的要求和满足采购人的验收条件组织验收。验收由采购人组织，使用单位、中标人配合进行，验收时货物成交供应商、采购人及使用单位必须同时到场。 （3）成交供应商应将所提供货物的产品合格证、原厂保修卡、随机资料及随机备品备件、专用工具等交付给采购人；成交供应商不能完整交付货物、附（辅）件和资料的，视为未按合同约定交货，成交供应商负责补齐，因此导致逾期交付的，由成交供应商承担相关的违约责任。</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1、质保期：自安装、验收合格并交付使用之日起1年。 2、供应商应有可靠的售后服务保障，能提供正常的技术、备品备件服务，产品终身维修。供应商应有服务热线，保证在接到用户电话后1小时内响应，4小时内到现场，24小时内完成维修或更换。 3、供应商提供的产品应为原厂原装全新产品，同时对于采购人独立操作设备及实施项目提供全程的技术支持。 4、售后服务：由供应商提供上门售后服务，供应商提供完善的售后服务体系，其中包括 7*24 小时上门服务，大型会议提供现场支持。 5、培训要求：成交供应商须根据设备的基本原理、操作应用、注意事项、日常维护等内容给采购人单位相关设备管理及操作人员进行培训，使其能够掌握设备的正确操作和日常保养、维护及简单故障的处理。</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采购人与成交供应商必须遵守本项目政府采购合同并执行合同中的各项规定，保证本项目政府采购合同的正常履行。如因供应商工作人员在履行职务过程中的疏忽、失职、过错等故意或者过失原因给采购人造成损失或侵害，包括但不限于采购人本身的财产损失、由此而导致的采购人对任何第三方的法律责任等，供应商对此均应承担相应的赔偿责任。 解决争议的方法：在执行本项目政府采购合同中发生的或与本项目政府采购合同有关的争端，双方应通过友好协商解决，经协商不能达成协议时，应提交当地人民法院提起诉讼解决。仲裁裁决应为最终决定，并对双方具有约束力。除另有裁决外，仲裁费应由败诉方负担。在仲裁期间，除正在进行仲裁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供应商需承诺在签合同之前提供投标产品与采购单位或专家一起对响应参数逐一核对并进行功能性演示，满足采购要求后方可签订合同，正式交货的产品需与投标产品完全一致，供应商不得通过加装、更改货物配件等手段使原本不符合采购参数要求的货物满足采购参数要求，提供的所有货物必须是全新、原厂、原装、未拆封、改配的产品。如查验中出现与响应文件要求不一致，视为虚假响应，采购人将按照采购流程向政府采购监管部门上报供应商虚假响应谋取成交，并按政府采购法相关规定追究成交供应商责任。（提供承诺函） 二、其他服务要求：1.根据供应商提供的针对本项目实施方案，包含①设备运输与安装方案；②系统调试方案；③项目进度安排；④人员管理方案；⑤质量控制措施；⑥备品备件供应方案；⑦培训方案；⑧应急措施。2.根据供应商提供的质保期内和质保期结束后的售后服务方案，包含①质保期和响应时间；②故障处理；③巡检内容；④性能调优及升级服务；⑤应急预案；⑥负责人及负责人电话。 注：本项目服务方案要求不作为实质性要求，仅作为评审因素，供应商应当根据实际情况提供真实、客观的证明材料，具体评审标准详见“评审标准”表。 三、其他未尽事宜由采购人与成交供应商在政府采购合同中进行约定（约定的内容应当符合国家相关法律法规的规定，所需费用包含在报价中）。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4"/>
        </w:rPr>
        <w:t>详见第三章</w:t>
      </w:r>
      <w:r>
        <w:rPr>
          <w:rFonts w:ascii="仿宋_GB2312" w:hAnsi="仿宋_GB2312" w:cs="仿宋_GB2312" w:eastAsia="仿宋_GB2312"/>
          <w:sz w:val="24"/>
        </w:rPr>
        <w:t>“技术、服务及其他要求”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4"/>
        </w:rPr>
        <w:t>详见第七章</w:t>
      </w:r>
      <w:r>
        <w:rPr>
          <w:rFonts w:ascii="仿宋_GB2312" w:hAnsi="仿宋_GB2312" w:cs="仿宋_GB2312" w:eastAsia="仿宋_GB2312"/>
          <w:sz w:val="24"/>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同时需要提供具有独立承担民事责任能力的证明材料：（1）若为企业法人：提供“统一社会信用代码营业执照”复印件，未换证的提供“营业执照、税务登记证、组织机构代码证或三证合一的营业执照复印件。</w:t>
              <w:br/>
              <w:t>（2）若为事业法人：提供“统一社会信用代码法人登记证书”复印件；未换证的提供“事业法人登记证书、组织机构代码证”复印件。</w:t>
              <w:br/>
              <w:t>（3）若为其他组织：提供“对应主管部门颁发的准许执业证明文件或营业执照”复印件。</w:t>
              <w:br/>
              <w:t>（4）若为自然人：提供其身份证明复印件。</w:t>
              <w:br/>
              <w:t>（5）投标人属于银行、保险、石油石化、电力、电信、移动、联通、广电等有行业特殊情况的，可提供企业分支机构统一社会信用代码的营业执照（复印件）及总公司授权的证明材料复印件。</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具有健全的财务会计制度的证明材料（以下四者任选其一）： a.可提供2023年度经审计的财务报告复印件（包含审计报告和审计报告中所涉及的财务报表和报表附注）； b.可提供2023年度投标人完整的全套财务报表复印件（应当包括资产负债表、利润表、现金流量表）； c.可提供截至投标截止日有效期内银行出具的资信证明（复印件）； d.投标人注册时间截至投标截止日不足一年的，也可提供在市场监督管理部门备案的公司章程（复印件）。 </w:t>
              <w:br/>
              <w:t>（注：不得要求投标人提供证明财务报告中签字签章人或者第三方机构的身份证明、财务报告中数据信息真实性有效性的证明材料）</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磋商文件服务内容及要求。</w:t>
            </w:r>
          </w:p>
        </w:tc>
        <w:tc>
          <w:tcPr>
            <w:tcW w:type="dxa" w:w="3322"/>
          </w:tcPr>
          <w:p>
            <w:pPr>
              <w:pStyle w:val="null3"/>
              <w:jc w:val="left"/>
            </w:pPr>
            <w:r>
              <w:rPr>
                <w:rFonts w:ascii="仿宋_GB2312" w:hAnsi="仿宋_GB2312" w:cs="仿宋_GB2312" w:eastAsia="仿宋_GB2312"/>
              </w:rPr>
              <w:t>供应商按磋商文件服务内容及要求响应。</w:t>
            </w:r>
          </w:p>
        </w:tc>
        <w:tc>
          <w:tcPr>
            <w:tcW w:type="dxa" w:w="1910"/>
          </w:tcPr>
          <w:p>
            <w:pPr>
              <w:pStyle w:val="null3"/>
              <w:jc w:val="left"/>
            </w:pPr>
            <w:r>
              <w:rPr>
                <w:rFonts w:ascii="仿宋_GB2312" w:hAnsi="仿宋_GB2312" w:cs="仿宋_GB2312" w:eastAsia="仿宋_GB2312"/>
              </w:rPr>
              <w:t>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磋商文件商务要求。</w:t>
            </w:r>
          </w:p>
        </w:tc>
        <w:tc>
          <w:tcPr>
            <w:tcW w:type="dxa" w:w="3322"/>
          </w:tcPr>
          <w:p>
            <w:pPr>
              <w:pStyle w:val="null3"/>
              <w:jc w:val="left"/>
            </w:pPr>
            <w:r>
              <w:rPr>
                <w:rFonts w:ascii="仿宋_GB2312" w:hAnsi="仿宋_GB2312" w:cs="仿宋_GB2312" w:eastAsia="仿宋_GB2312"/>
              </w:rPr>
              <w:t>供应商按照磋商文件商务要求响应。</w:t>
            </w:r>
          </w:p>
        </w:tc>
        <w:tc>
          <w:tcPr>
            <w:tcW w:type="dxa" w:w="1910"/>
          </w:tcPr>
          <w:p>
            <w:pPr>
              <w:pStyle w:val="null3"/>
              <w:jc w:val="left"/>
            </w:pPr>
            <w:r>
              <w:rPr>
                <w:rFonts w:ascii="仿宋_GB2312" w:hAnsi="仿宋_GB2312" w:cs="仿宋_GB2312" w:eastAsia="仿宋_GB2312"/>
              </w:rPr>
              <w:t>商务应答表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供应商认为应提供的其他证明材料。</w:t>
            </w:r>
          </w:p>
        </w:tc>
        <w:tc>
          <w:tcPr>
            <w:tcW w:type="dxa" w:w="3322"/>
          </w:tcPr>
          <w:p>
            <w:pPr>
              <w:pStyle w:val="null3"/>
              <w:jc w:val="left"/>
            </w:pPr>
            <w:r>
              <w:rPr>
                <w:rFonts w:ascii="仿宋_GB2312" w:hAnsi="仿宋_GB2312" w:cs="仿宋_GB2312" w:eastAsia="仿宋_GB2312"/>
              </w:rPr>
              <w:t>供应商认为应提供的其他证明材料。</w:t>
            </w:r>
          </w:p>
        </w:tc>
        <w:tc>
          <w:tcPr>
            <w:tcW w:type="dxa" w:w="1910"/>
          </w:tcPr>
          <w:p>
            <w:pPr>
              <w:pStyle w:val="null3"/>
              <w:jc w:val="left"/>
            </w:pPr>
            <w:r>
              <w:rPr>
                <w:rFonts w:ascii="仿宋_GB2312" w:hAnsi="仿宋_GB2312" w:cs="仿宋_GB2312" w:eastAsia="仿宋_GB2312"/>
              </w:rPr>
              <w:t>供应商认为应提供的其他证明材料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ind w:firstLine="480"/>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除实质性技术指标外，投标产品的技术参数完全满足招标文件中技术指标的得满分30分。 1.带“★”参数项（5条）作为实质性参数，不作为评分项，不满足即废标。 2.带“▲”参数项（7条），共计14分，每有一项不满足要求的扣2分。 3.非“▲”参数项（32条），共计16分，每有一项不满足要求的扣0.5分，直至本项扣完为止。 说明：带“▲”参数为重要参数，应提供佐证材料（产品彩页或官网功能截图等），无有效证明材料或证明材料不完整的，该项参数将视为负偏离，不能得分。（具体以参数中明确的证明材料要求的以具体参数的要求为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1.根据供应商提供的针对本项目实施方案，包含①设备运输与安装方案；②系统调试方案；③项目进度安排；④人员管理方案；⑤质量控制措施；⑥备品备件供应方案；⑦培训方案；⑧应急措施。方案内容完整且有利于项目实施的得24分，每有一项缺项的扣3分，提供的方案中每有一处缺陷或错误（指：一条方案有几个方面内容要求，针对单条的供应商方案内容有缺失的；供应商方案中的方案与服务、商务要求不一致（服务、商务表应答正确，但在供应商方案中出现不一致的描述）；仅有框架或标题、直接复制采购需求的；文案逻辑前后不一致，各单条供应商方案之间逻辑抵触；明显复制其他项目内容，有其他项目名称内容的表述；供应商方案中涉及的规范或标准错误；与实际履约无关等）的扣0.5分，扣完为止。不提供不得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质保期内和质保期结束后的售后服务方案，包含①质保期和响应时间；②故障处理；③巡检内容；④性能调优及升级服务；⑤应急预案；⑥负责人及负责人电话。方案内容完整且有利于项目实施的得12分，每有一项缺项的扣2分，提供的方案中每有一处缺陷或错误（指：一条方案有几个方面内容要求，针对单条的供应商方案内容有缺失的；供应商方案中的方案与服务、商务要求不一致（服务、商务表应答正确，但在供应商方案中出现不一致的描述）；仅有框架或标题、直接复制采购需求的；文案逻辑前后不一致，各单条供应商方案之间逻辑抵触；明显复制其他项目内容，有其他项目名称内容的表述；供应商方案中涉及的规范或标准错误；与实际履约无关等）的扣0.5分，扣完为止。不提供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履约能力要求</w:t>
            </w:r>
          </w:p>
        </w:tc>
        <w:tc>
          <w:tcPr>
            <w:tcW w:type="dxa" w:w="2575"/>
          </w:tcPr>
          <w:p>
            <w:pPr>
              <w:pStyle w:val="null3"/>
              <w:jc w:val="left"/>
            </w:pPr>
            <w:r>
              <w:rPr>
                <w:rFonts w:ascii="仿宋_GB2312" w:hAnsi="仿宋_GB2312" w:cs="仿宋_GB2312" w:eastAsia="仿宋_GB2312"/>
              </w:rPr>
              <w:t>1.供应商自2022年01月01日以来具有一个类似项目业绩的得1分，本项最多得3分。 注：提供合同或中标/成交通知书扫描件并加盖供应商公章。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节能、环境标志产品</w:t>
            </w:r>
          </w:p>
        </w:tc>
        <w:tc>
          <w:tcPr>
            <w:tcW w:type="dxa" w:w="2575"/>
          </w:tcPr>
          <w:p>
            <w:pPr>
              <w:pStyle w:val="null3"/>
              <w:jc w:val="left"/>
            </w:pPr>
            <w:r>
              <w:rPr>
                <w:rFonts w:ascii="仿宋_GB2312" w:hAnsi="仿宋_GB2312" w:cs="仿宋_GB2312" w:eastAsia="仿宋_GB2312"/>
              </w:rPr>
              <w:t>强制采购节能产品除外，其他每有一项投标产品认定为政府采购节能产品或者政府采购环境标志产品得 0.5 分，最多得 1 分。 非政府采购节能、环境标志产品不得分。 注：投标产品属于节能环保政府采购品目清单内产品的，提供国家确定的认证机构出具的、处于有效期之内的节能产品、环境标志产品认证证书。</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审小组评审，通过资格和符合性审查，且响应报价最低的供应商的响应报价作为评标基准价。2.响应报价得分=(评标基准价／响应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详见附件：供应商认为应提供的其他证明材料</w:t>
      </w:r>
    </w:p>
    <w:p>
      <w:pPr>
        <w:pStyle w:val="null3"/>
        <w:ind w:firstLine="960"/>
        <w:jc w:val="left"/>
      </w:pPr>
      <w:r>
        <w:rPr>
          <w:rFonts w:ascii="仿宋_GB2312" w:hAnsi="仿宋_GB2312" w:cs="仿宋_GB2312" w:eastAsia="仿宋_GB2312"/>
        </w:rPr>
        <w:t>详见附件：具有健全财务会计制度的证明材料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