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版本号：N510525202500007620250407001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2024年省级财政林业草原专项资金预算（第一批）项目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N5105252025000076</w:t>
      </w:r>
    </w:p>
    <w:p>
      <w:pPr>
        <w:pStyle w:val="null3"/>
        <w:jc w:val="left"/>
        <w:outlineLvl w:val="2"/>
      </w:pPr>
      <w:r>
        <w:rPr>
          <w:rFonts w:ascii="仿宋_GB2312" w:hAnsi="仿宋_GB2312" w:cs="仿宋_GB2312" w:eastAsia="仿宋_GB2312"/>
          <w:sz w:val="28"/>
          <w:b/>
        </w:rPr>
        <w:t>古蔺县自然资源和规划局</w:t>
      </w:r>
    </w:p>
    <w:p>
      <w:pPr>
        <w:pStyle w:val="null3"/>
        <w:jc w:val="center"/>
        <w:outlineLvl w:val="2"/>
      </w:pPr>
      <w:r>
        <w:rPr>
          <w:rFonts w:ascii="仿宋_GB2312" w:hAnsi="仿宋_GB2312" w:cs="仿宋_GB2312" w:eastAsia="仿宋_GB2312"/>
          <w:sz w:val="28"/>
          <w:b/>
        </w:rPr>
        <w:t>四川金晨源工程项目管理有限公司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四川金晨源工程项目管理有限公司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古蔺县自然资源和规划局</w:t>
      </w:r>
      <w:r>
        <w:rPr>
          <w:rFonts w:ascii="仿宋_GB2312" w:hAnsi="仿宋_GB2312" w:cs="仿宋_GB2312" w:eastAsia="仿宋_GB2312"/>
        </w:rPr>
        <w:t xml:space="preserve"> 委托，拟对 </w:t>
      </w:r>
      <w:r>
        <w:rPr>
          <w:rFonts w:ascii="仿宋_GB2312" w:hAnsi="仿宋_GB2312" w:cs="仿宋_GB2312" w:eastAsia="仿宋_GB2312"/>
        </w:rPr>
        <w:t>2024年省级财政林业草原专项资金预算（第一批）项目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泸州市古蔺县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N5105252025000076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2024年省级财政林业草原专项资金预算（第一批）项目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本项目1个包，四川古蔺黄荆省级自然保护区边界长度199.46km，功能分区界（管控区界）138.52km，其中行政边界长75.21km（不定标），需打桩立标262.77km（边界124.25km、管控区界138.52km）。</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行政主管部门颁发的乙级及以上测绘资质证书（包含界线与不动产测绘、工程测量、地理信息系统工程）（描述：供应商须具有行政主管部门颁发的乙级及以上测绘资质证书（包含界线与不动产测绘、工程测量、地理信息系统工程））</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古蔺县自然资源和规划局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四川省泸州市古蔺县彰德街道胜蔺街133号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18808300526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四川金晨源工程项目管理有限公司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四川省泸州市江阳区佳乐世纪城金融中心12号楼1505号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何璐伽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0830-6661189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采购包1：1,120,000.00元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代理服务费收费标准：采购代理费参照国家计委【2002】1980号文件及国家计改发【2011】534号文件中关于服务收费标准执行，本项目采购代理费由中标单位在领取中标通知书前支付。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古蔺县自然资源和规划局</w:t>
      </w:r>
      <w:r>
        <w:rPr>
          <w:rFonts w:ascii="仿宋_GB2312" w:hAnsi="仿宋_GB2312" w:cs="仿宋_GB2312" w:eastAsia="仿宋_GB2312"/>
        </w:rPr>
        <w:t xml:space="preserve"> 和 </w:t>
      </w:r>
      <w:r>
        <w:rPr>
          <w:rFonts w:ascii="仿宋_GB2312" w:hAnsi="仿宋_GB2312" w:cs="仿宋_GB2312" w:eastAsia="仿宋_GB2312"/>
        </w:rPr>
        <w:t>四川金晨源工程项目管理有限公司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古蔺县自然资源和规划局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四川金晨源工程项目管理有限公司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供应商提交工作成果并通过验收合格，采购人接收资料后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按照本项目采购需求中“技术、服务要求”约定执行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按照本项目采购需求中“商务要求”约定执行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事项应严格按照《财政部关于进一步加强政府采购需求和履约验收管理的指导意见》（财库〔2016〕205号）、《政府采购需求管理办法》（财库〔2021〕22号）等相关政府采购法律法规，以及四川省的相关要求进行验收。采购人成立验收小组，按照采购合同的约定对供应商履约情况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古蔺县自然资源和规划局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四川金晨源工程项目管理有限公司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四川金晨源工程项目管理有限公司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联系人：何璐伽</w:t>
      </w:r>
    </w:p>
    <w:p>
      <w:pPr>
        <w:pStyle w:val="null3"/>
        <w:jc w:val="left"/>
      </w:pPr>
      <w:r>
        <w:rPr>
          <w:rFonts w:ascii="仿宋_GB2312" w:hAnsi="仿宋_GB2312" w:cs="仿宋_GB2312" w:eastAsia="仿宋_GB2312"/>
        </w:rPr>
        <w:t>联系电话：0830-6661189</w:t>
      </w:r>
    </w:p>
    <w:p>
      <w:pPr>
        <w:pStyle w:val="null3"/>
        <w:jc w:val="left"/>
      </w:pPr>
      <w:r>
        <w:rPr>
          <w:rFonts w:ascii="仿宋_GB2312" w:hAnsi="仿宋_GB2312" w:cs="仿宋_GB2312" w:eastAsia="仿宋_GB2312"/>
        </w:rPr>
        <w:t>地址：四川省泸州市江阳区佳乐世纪城金融中心12号楼1505号</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1,120,000.00</w:t>
      </w:r>
    </w:p>
    <w:p>
      <w:pPr>
        <w:pStyle w:val="null3"/>
        <w:jc w:val="left"/>
      </w:pPr>
      <w:r>
        <w:rPr>
          <w:rFonts w:ascii="仿宋_GB2312" w:hAnsi="仿宋_GB2312" w:cs="仿宋_GB2312" w:eastAsia="仿宋_GB2312"/>
        </w:rPr>
        <w:t>采购包最高限价（元）: 1,120,000.00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2024年省级财政林业草原专项资金预算（第一批）项目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1,120,000.00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2024年省级财政林业草原专项资金预算（第一批）项目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标的名称：2024年省级财政林业草原专项资金预算（第一批）项目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b/>
              </w:rPr>
              <w:t>一、项目概况</w:t>
            </w:r>
          </w:p>
          <w:p>
            <w:pPr>
              <w:pStyle w:val="null3"/>
              <w:jc w:val="left"/>
            </w:pPr>
            <w:r>
              <w:rPr>
                <w:rFonts w:ascii="仿宋_GB2312" w:hAnsi="仿宋_GB2312" w:cs="仿宋_GB2312" w:eastAsia="仿宋_GB2312"/>
                <w:b/>
              </w:rPr>
              <w:t>四川古蔺黄荆省级自然保护区边界长度199.46km，功能分区界（管控区界）138.52km，其中行政边界长75.21km（不定标），需打桩立标262.77km（边界124.25km、管控区界138.52km）。</w:t>
            </w:r>
          </w:p>
          <w:p>
            <w:pPr>
              <w:pStyle w:val="null3"/>
              <w:jc w:val="left"/>
            </w:pPr>
            <w:r>
              <w:rPr>
                <w:rFonts w:ascii="仿宋_GB2312" w:hAnsi="仿宋_GB2312" w:cs="仿宋_GB2312" w:eastAsia="仿宋_GB2312"/>
                <w:b/>
              </w:rPr>
              <w:t>二、项目背景</w:t>
            </w:r>
          </w:p>
          <w:p>
            <w:pPr>
              <w:pStyle w:val="null3"/>
              <w:jc w:val="left"/>
            </w:pPr>
            <w:r>
              <w:rPr>
                <w:rFonts w:ascii="仿宋_GB2312" w:hAnsi="仿宋_GB2312" w:cs="仿宋_GB2312" w:eastAsia="仿宋_GB2312"/>
                <w:b/>
              </w:rPr>
              <w:t>2019年，中共中央办公厅国务院办公厅印发《关于建立以国家公园为主体的自然保护地体系的指导意见》，构建科学合理的自然保护地体系，合理调整自然保护地范围并勘界立标。制定自然保护地范围和区划调整办法，依规开展调整工作。由省林草局统筹部署，历时4年完成的《四川省自然保护地整合优化方案》已由四川省人民政府报国家林业和草原局，目前正在进行国家部级联审。作为整合优化后的首要任务，各自然保护地勘界立标工作业已提上日程。</w:t>
            </w:r>
          </w:p>
          <w:p>
            <w:pPr>
              <w:pStyle w:val="null3"/>
              <w:jc w:val="left"/>
            </w:pPr>
            <w:r>
              <w:rPr>
                <w:rFonts w:ascii="仿宋_GB2312" w:hAnsi="仿宋_GB2312" w:cs="仿宋_GB2312" w:eastAsia="仿宋_GB2312"/>
                <w:b/>
              </w:rPr>
              <w:t>根据国家林业和草原局办公室关于印发《自然保护区等自然保护地勘界立标工作规范》的通知（办护字〔2019〕129号）和《自然保护地勘界立标规范》（GB/T 39740-2020）的要求，以相关行业标准为依据，结合四川省实际情况，开展四川省自然保护区勘界工作。</w:t>
            </w:r>
          </w:p>
          <w:p>
            <w:pPr>
              <w:pStyle w:val="null3"/>
              <w:jc w:val="left"/>
            </w:pPr>
            <w:r>
              <w:rPr>
                <w:rFonts w:ascii="仿宋_GB2312" w:hAnsi="仿宋_GB2312" w:cs="仿宋_GB2312" w:eastAsia="仿宋_GB2312"/>
                <w:b/>
              </w:rPr>
              <w:t>三、主要功能和目标</w:t>
            </w:r>
          </w:p>
          <w:p>
            <w:pPr>
              <w:pStyle w:val="null3"/>
              <w:jc w:val="left"/>
            </w:pPr>
            <w:r>
              <w:rPr>
                <w:rFonts w:ascii="仿宋_GB2312" w:hAnsi="仿宋_GB2312" w:cs="仿宋_GB2312" w:eastAsia="仿宋_GB2312"/>
                <w:b/>
              </w:rPr>
              <w:t>按照《自然保护区条例》、《自然保护区总体规划技术规程》、《自然保护地勘界立标技术规范》对保护区优化整合后的四至界线、功能区界线进行调查、勘测、立标，完成保护区四至界线及功能区界线测绘调查、建设勘界定标数据库。</w:t>
            </w:r>
          </w:p>
          <w:p>
            <w:pPr>
              <w:pStyle w:val="null3"/>
              <w:jc w:val="left"/>
            </w:pPr>
            <w:r>
              <w:rPr>
                <w:rFonts w:ascii="仿宋_GB2312" w:hAnsi="仿宋_GB2312" w:cs="仿宋_GB2312" w:eastAsia="仿宋_GB2312"/>
                <w:b/>
              </w:rPr>
              <w:t>四、项目建设原则</w:t>
            </w:r>
          </w:p>
          <w:p>
            <w:pPr>
              <w:pStyle w:val="null3"/>
              <w:ind w:firstLine="640"/>
              <w:jc w:val="left"/>
            </w:pPr>
            <w:r>
              <w:rPr>
                <w:rFonts w:ascii="仿宋_GB2312" w:hAnsi="仿宋_GB2312" w:cs="仿宋_GB2312" w:eastAsia="仿宋_GB2312"/>
                <w:b/>
              </w:rPr>
              <w:t>坚持依法依规的原则。自然保护区应当具备明确范围、面积和边界，勘界工作必须严格按照相关法律法规依法开展，勘界工作要符合国家保密等相关规定。</w:t>
            </w:r>
          </w:p>
          <w:p>
            <w:pPr>
              <w:pStyle w:val="null3"/>
              <w:ind w:firstLine="640"/>
              <w:jc w:val="left"/>
            </w:pPr>
            <w:r>
              <w:rPr>
                <w:rFonts w:ascii="仿宋_GB2312" w:hAnsi="仿宋_GB2312" w:cs="仿宋_GB2312" w:eastAsia="仿宋_GB2312"/>
                <w:b/>
              </w:rPr>
              <w:t>坚持科学规范的原则。确定自然保护区范围和边界应当确保保护对象和相关生态系统的原真性、完整性和适度性，遵循实事求是的原则，要采用现代技术和先进方法进行勘界，以矢量数据和卫星影像图作为标识自然保护区范围和界线的基础，精确标定界线，科学合理，符合相关标准和规范。</w:t>
            </w:r>
          </w:p>
          <w:p>
            <w:pPr>
              <w:pStyle w:val="null3"/>
              <w:jc w:val="left"/>
            </w:pPr>
            <w:r>
              <w:rPr>
                <w:rFonts w:ascii="仿宋_GB2312" w:hAnsi="仿宋_GB2312" w:cs="仿宋_GB2312" w:eastAsia="仿宋_GB2312"/>
                <w:b/>
              </w:rPr>
              <w:t>五、技术流程</w:t>
            </w:r>
          </w:p>
          <w:p>
            <w:pPr>
              <w:pStyle w:val="null3"/>
              <w:ind w:firstLine="640"/>
              <w:jc w:val="left"/>
            </w:pPr>
            <w:r>
              <w:rPr>
                <w:rFonts w:ascii="仿宋_GB2312" w:hAnsi="仿宋_GB2312" w:cs="仿宋_GB2312" w:eastAsia="仿宋_GB2312"/>
                <w:b/>
              </w:rPr>
              <w:t>技术流程如下：</w:t>
            </w:r>
          </w:p>
          <w:p>
            <w:pPr>
              <w:pStyle w:val="null3"/>
              <w:ind w:firstLine="640"/>
              <w:jc w:val="left"/>
            </w:pPr>
            <w:r>
              <w:rPr>
                <w:rFonts w:ascii="仿宋_GB2312" w:hAnsi="仿宋_GB2312" w:cs="仿宋_GB2312" w:eastAsia="仿宋_GB2312"/>
                <w:b/>
              </w:rPr>
              <w:t>资料收集—资料处理—工作底图制作—边界点预设与踏勘—定标点复核与边界点测绘—边界地形图更新和边界线标绘—边界附图与走向说明—成果整理与检查验收—数据库建设—立标（电子标）。</w:t>
            </w:r>
          </w:p>
          <w:p>
            <w:pPr>
              <w:pStyle w:val="null3"/>
              <w:jc w:val="left"/>
            </w:pPr>
            <w:r>
              <w:rPr>
                <w:rFonts w:ascii="仿宋_GB2312" w:hAnsi="仿宋_GB2312" w:cs="仿宋_GB2312" w:eastAsia="仿宋_GB2312"/>
                <w:b/>
              </w:rPr>
              <w:t>六、成果</w:t>
            </w:r>
          </w:p>
          <w:p>
            <w:pPr>
              <w:pStyle w:val="null3"/>
              <w:jc w:val="left"/>
            </w:pPr>
            <w:r>
              <w:rPr>
                <w:rFonts w:ascii="仿宋_GB2312" w:hAnsi="仿宋_GB2312" w:cs="仿宋_GB2312" w:eastAsia="仿宋_GB2312"/>
                <w:b/>
              </w:rPr>
              <w:t>所有成果资料需立卷归档，妥善保管。</w:t>
            </w:r>
          </w:p>
          <w:p>
            <w:pPr>
              <w:pStyle w:val="null3"/>
              <w:jc w:val="left"/>
            </w:pPr>
            <w:r>
              <w:rPr>
                <w:rFonts w:ascii="仿宋_GB2312" w:hAnsi="仿宋_GB2312" w:cs="仿宋_GB2312" w:eastAsia="仿宋_GB2312"/>
                <w:b/>
              </w:rPr>
              <w:t>1、勘界成果报告（含界线走向说明、边界点成果表）；</w:t>
            </w:r>
          </w:p>
          <w:p>
            <w:pPr>
              <w:pStyle w:val="null3"/>
              <w:jc w:val="left"/>
            </w:pPr>
            <w:r>
              <w:rPr>
                <w:rFonts w:ascii="仿宋_GB2312" w:hAnsi="仿宋_GB2312" w:cs="仿宋_GB2312" w:eastAsia="仿宋_GB2312"/>
                <w:b/>
              </w:rPr>
              <w:t>2、勘界定标成果数据库；</w:t>
            </w:r>
          </w:p>
          <w:p>
            <w:pPr>
              <w:pStyle w:val="null3"/>
              <w:jc w:val="left"/>
            </w:pPr>
            <w:r>
              <w:rPr>
                <w:rFonts w:ascii="仿宋_GB2312" w:hAnsi="仿宋_GB2312" w:cs="仿宋_GB2312" w:eastAsia="仿宋_GB2312"/>
                <w:b/>
              </w:rPr>
              <w:t>3、其他需要提供的相关材料</w:t>
            </w:r>
          </w:p>
          <w:p>
            <w:pPr>
              <w:pStyle w:val="null3"/>
              <w:ind w:firstLine="643"/>
              <w:jc w:val="left"/>
            </w:pPr>
            <w:r>
              <w:rPr>
                <w:rFonts w:ascii="仿宋_GB2312" w:hAnsi="仿宋_GB2312" w:cs="仿宋_GB2312" w:eastAsia="仿宋_GB2312"/>
                <w:b/>
              </w:rPr>
              <w:t>注：以上文本图册成果均需提供电子档1份，纸质档10份。</w:t>
            </w:r>
          </w:p>
          <w:p>
            <w:pPr>
              <w:pStyle w:val="null3"/>
              <w:jc w:val="left"/>
            </w:pPr>
            <w:r>
              <w:rPr>
                <w:rFonts w:ascii="仿宋_GB2312" w:hAnsi="仿宋_GB2312" w:cs="仿宋_GB2312" w:eastAsia="仿宋_GB2312"/>
                <w:b/>
              </w:rPr>
              <w:t>七、相关规程规范</w:t>
            </w:r>
          </w:p>
          <w:p>
            <w:pPr>
              <w:pStyle w:val="null3"/>
              <w:ind w:firstLine="643"/>
              <w:jc w:val="left"/>
            </w:pPr>
            <w:r>
              <w:rPr>
                <w:rFonts w:ascii="仿宋_GB2312" w:hAnsi="仿宋_GB2312" w:cs="仿宋_GB2312" w:eastAsia="仿宋_GB2312"/>
                <w:b/>
              </w:rPr>
              <w:t>（一）法律法规及政策</w:t>
            </w:r>
          </w:p>
          <w:p>
            <w:pPr>
              <w:pStyle w:val="null3"/>
              <w:jc w:val="left"/>
            </w:pPr>
            <w:r>
              <w:rPr>
                <w:rFonts w:ascii="仿宋_GB2312" w:hAnsi="仿宋_GB2312" w:cs="仿宋_GB2312" w:eastAsia="仿宋_GB2312"/>
                <w:b/>
              </w:rPr>
              <w:t>（1）《中华人民共和国环境保护法》（全国人大常委会，1989年12月26日；2014年4月14日修订，2015年1月1日施行）；</w:t>
            </w:r>
          </w:p>
          <w:p>
            <w:pPr>
              <w:pStyle w:val="null3"/>
              <w:jc w:val="left"/>
            </w:pPr>
            <w:r>
              <w:rPr>
                <w:rFonts w:ascii="仿宋_GB2312" w:hAnsi="仿宋_GB2312" w:cs="仿宋_GB2312" w:eastAsia="仿宋_GB2312"/>
                <w:b/>
              </w:rPr>
              <w:t>（2）《中华人民共和国保守国家秘密法》（全国人大常委会，1988年9月5日，2010年4月29日修订，2024  2月27日再次修订，2024年5月1日起施行）；</w:t>
            </w:r>
          </w:p>
          <w:p>
            <w:pPr>
              <w:pStyle w:val="null3"/>
              <w:jc w:val="left"/>
            </w:pPr>
            <w:r>
              <w:rPr>
                <w:rFonts w:ascii="仿宋_GB2312" w:hAnsi="仿宋_GB2312" w:cs="仿宋_GB2312" w:eastAsia="仿宋_GB2312"/>
                <w:b/>
              </w:rPr>
              <w:t>（3）《中华人民共和国测绘法》 （全国人大常委会，1992年12月28日通过，2002年8月29日修订，2017年4月27日再次修订，2017年7月1日施行）；</w:t>
            </w:r>
          </w:p>
          <w:p>
            <w:pPr>
              <w:pStyle w:val="null3"/>
              <w:jc w:val="left"/>
            </w:pPr>
            <w:r>
              <w:rPr>
                <w:rFonts w:ascii="仿宋_GB2312" w:hAnsi="仿宋_GB2312" w:cs="仿宋_GB2312" w:eastAsia="仿宋_GB2312"/>
                <w:b/>
              </w:rPr>
              <w:t>（4）《中华人民共和国土地管理法》 （全国人大常委会，1998年8月29日通过；2004年8月28日修订，2016年7月2日再次修订）；</w:t>
            </w:r>
          </w:p>
          <w:p>
            <w:pPr>
              <w:pStyle w:val="null3"/>
              <w:jc w:val="left"/>
            </w:pPr>
            <w:r>
              <w:rPr>
                <w:rFonts w:ascii="仿宋_GB2312" w:hAnsi="仿宋_GB2312" w:cs="仿宋_GB2312" w:eastAsia="仿宋_GB2312"/>
                <w:b/>
              </w:rPr>
              <w:t>（5）《中华人民共和国招标投标法》 （全国人大常委会，1999年8月30日通过；2017年12月27日修订）；</w:t>
            </w:r>
          </w:p>
          <w:p>
            <w:pPr>
              <w:pStyle w:val="null3"/>
              <w:jc w:val="left"/>
            </w:pPr>
            <w:r>
              <w:rPr>
                <w:rFonts w:ascii="仿宋_GB2312" w:hAnsi="仿宋_GB2312" w:cs="仿宋_GB2312" w:eastAsia="仿宋_GB2312"/>
                <w:b/>
              </w:rPr>
              <w:t>（6）《政府投资条例》 （国务院，2018年12月5日通过，2019年7月1日施行）；</w:t>
            </w:r>
          </w:p>
          <w:p>
            <w:pPr>
              <w:pStyle w:val="null3"/>
              <w:jc w:val="left"/>
            </w:pPr>
            <w:r>
              <w:rPr>
                <w:rFonts w:ascii="仿宋_GB2312" w:hAnsi="仿宋_GB2312" w:cs="仿宋_GB2312" w:eastAsia="仿宋_GB2312"/>
                <w:b/>
              </w:rPr>
              <w:t>（7）《中华人民共和国测绘成果管理条例》 （国务院，2006年5月17日通过，2006年9月1日施行）；</w:t>
            </w:r>
          </w:p>
          <w:p>
            <w:pPr>
              <w:pStyle w:val="null3"/>
              <w:jc w:val="left"/>
            </w:pPr>
            <w:r>
              <w:rPr>
                <w:rFonts w:ascii="仿宋_GB2312" w:hAnsi="仿宋_GB2312" w:cs="仿宋_GB2312" w:eastAsia="仿宋_GB2312"/>
                <w:b/>
              </w:rPr>
              <w:t>（8）《国务院关于加强环境保护重点工作的意见》国发〔2011〕 35号；</w:t>
            </w:r>
          </w:p>
          <w:p>
            <w:pPr>
              <w:pStyle w:val="null3"/>
              <w:jc w:val="left"/>
            </w:pPr>
            <w:r>
              <w:rPr>
                <w:rFonts w:ascii="仿宋_GB2312" w:hAnsi="仿宋_GB2312" w:cs="仿宋_GB2312" w:eastAsia="仿宋_GB2312"/>
                <w:b/>
              </w:rPr>
              <w:t>（9）《大气污染防治行动计划》国发〔2013〕37 号 ；</w:t>
            </w:r>
          </w:p>
          <w:p>
            <w:pPr>
              <w:pStyle w:val="null3"/>
              <w:jc w:val="left"/>
            </w:pPr>
            <w:r>
              <w:rPr>
                <w:rFonts w:ascii="仿宋_GB2312" w:hAnsi="仿宋_GB2312" w:cs="仿宋_GB2312" w:eastAsia="仿宋_GB2312"/>
                <w:b/>
              </w:rPr>
              <w:t>（10）《中华人民共和国自然保护区条例》（2017年10月7日修改）；</w:t>
            </w:r>
          </w:p>
          <w:p>
            <w:pPr>
              <w:pStyle w:val="null3"/>
              <w:jc w:val="left"/>
            </w:pPr>
            <w:r>
              <w:rPr>
                <w:rFonts w:ascii="仿宋_GB2312" w:hAnsi="仿宋_GB2312" w:cs="仿宋_GB2312" w:eastAsia="仿宋_GB2312"/>
                <w:b/>
              </w:rPr>
              <w:t>注：以上法律法规及政策有最新标准的按照最新标准执行。</w:t>
            </w:r>
          </w:p>
          <w:p>
            <w:pPr>
              <w:pStyle w:val="null3"/>
              <w:ind w:firstLine="643"/>
              <w:jc w:val="left"/>
            </w:pPr>
            <w:r>
              <w:rPr>
                <w:rFonts w:ascii="仿宋_GB2312" w:hAnsi="仿宋_GB2312" w:cs="仿宋_GB2312" w:eastAsia="仿宋_GB2312"/>
                <w:b/>
              </w:rPr>
              <w:t>（二）标准规范</w:t>
            </w:r>
          </w:p>
          <w:p>
            <w:pPr>
              <w:pStyle w:val="null3"/>
              <w:jc w:val="left"/>
            </w:pPr>
            <w:r>
              <w:rPr>
                <w:rFonts w:ascii="仿宋_GB2312" w:hAnsi="仿宋_GB2312" w:cs="仿宋_GB2312" w:eastAsia="仿宋_GB2312"/>
                <w:b/>
              </w:rPr>
              <w:t>（1）《自然保护地勘界立标规范》（GB/T 39740-2020）；</w:t>
            </w:r>
          </w:p>
          <w:p>
            <w:pPr>
              <w:pStyle w:val="null3"/>
              <w:jc w:val="left"/>
            </w:pPr>
            <w:r>
              <w:rPr>
                <w:rFonts w:ascii="仿宋_GB2312" w:hAnsi="仿宋_GB2312" w:cs="仿宋_GB2312" w:eastAsia="仿宋_GB2312"/>
                <w:b/>
              </w:rPr>
              <w:t>（2）《行政区域界线测绘规范》（GB/T 17796-2009）；</w:t>
            </w:r>
          </w:p>
          <w:p>
            <w:pPr>
              <w:pStyle w:val="null3"/>
              <w:jc w:val="left"/>
            </w:pPr>
            <w:r>
              <w:rPr>
                <w:rFonts w:ascii="仿宋_GB2312" w:hAnsi="仿宋_GB2312" w:cs="仿宋_GB2312" w:eastAsia="仿宋_GB2312"/>
                <w:b/>
              </w:rPr>
              <w:t>（3）《数字测绘成果质量检查与验收》（GB/T 18316-2008）；</w:t>
            </w:r>
          </w:p>
          <w:p>
            <w:pPr>
              <w:pStyle w:val="null3"/>
              <w:jc w:val="left"/>
            </w:pPr>
            <w:r>
              <w:rPr>
                <w:rFonts w:ascii="仿宋_GB2312" w:hAnsi="仿宋_GB2312" w:cs="仿宋_GB2312" w:eastAsia="仿宋_GB2312"/>
                <w:b/>
              </w:rPr>
              <w:t>（4）《地理信息元数据第1部分:基础》（GB/T 19710.1-2023）；</w:t>
            </w:r>
          </w:p>
          <w:p>
            <w:pPr>
              <w:pStyle w:val="null3"/>
              <w:jc w:val="left"/>
            </w:pPr>
            <w:r>
              <w:rPr>
                <w:rFonts w:ascii="仿宋_GB2312" w:hAnsi="仿宋_GB2312" w:cs="仿宋_GB2312" w:eastAsia="仿宋_GB2312"/>
                <w:b/>
              </w:rPr>
              <w:t>（5）《自然保护区功能区划技术规程》（GB/T 35822-2018）；</w:t>
            </w:r>
          </w:p>
          <w:p>
            <w:pPr>
              <w:pStyle w:val="null3"/>
              <w:jc w:val="left"/>
            </w:pPr>
            <w:r>
              <w:rPr>
                <w:rFonts w:ascii="仿宋_GB2312" w:hAnsi="仿宋_GB2312" w:cs="仿宋_GB2312" w:eastAsia="仿宋_GB2312"/>
                <w:b/>
              </w:rPr>
              <w:t>（6）《全球导航卫星系统（GNSS）测量规范》（GB/T 18314-2024）；</w:t>
            </w:r>
          </w:p>
          <w:p>
            <w:pPr>
              <w:pStyle w:val="null3"/>
              <w:jc w:val="left"/>
            </w:pPr>
            <w:r>
              <w:rPr>
                <w:rFonts w:ascii="仿宋_GB2312" w:hAnsi="仿宋_GB2312" w:cs="仿宋_GB2312" w:eastAsia="仿宋_GB2312"/>
                <w:b/>
              </w:rPr>
              <w:t>（7）《自然保护区功能区划技术规程》(LY/T1764-2008)；</w:t>
            </w:r>
          </w:p>
          <w:p>
            <w:pPr>
              <w:pStyle w:val="null3"/>
              <w:jc w:val="left"/>
            </w:pPr>
            <w:r>
              <w:rPr>
                <w:rFonts w:ascii="仿宋_GB2312" w:hAnsi="仿宋_GB2312" w:cs="仿宋_GB2312" w:eastAsia="仿宋_GB2312"/>
                <w:b/>
              </w:rPr>
              <w:t>（8）《自然保护区设施标识规范》（LY/T1953-2011）；</w:t>
            </w:r>
          </w:p>
          <w:p>
            <w:pPr>
              <w:pStyle w:val="null3"/>
              <w:jc w:val="left"/>
            </w:pPr>
            <w:r>
              <w:rPr>
                <w:rFonts w:ascii="仿宋_GB2312" w:hAnsi="仿宋_GB2312" w:cs="仿宋_GB2312" w:eastAsia="仿宋_GB2312"/>
                <w:b/>
              </w:rPr>
              <w:t>（9）《全球定位系 统实时动态测量（RTK技术规范）》（CH/T 2009-2010）；</w:t>
            </w:r>
          </w:p>
          <w:p>
            <w:pPr>
              <w:pStyle w:val="null3"/>
              <w:jc w:val="left"/>
            </w:pPr>
            <w:r>
              <w:rPr>
                <w:rFonts w:ascii="仿宋_GB2312" w:hAnsi="仿宋_GB2312" w:cs="仿宋_GB2312" w:eastAsia="仿宋_GB2312"/>
                <w:b/>
              </w:rPr>
              <w:t>（10）《大熊猫国家公园标志技术规范》 （DB51/T 2736-2020)；</w:t>
            </w:r>
          </w:p>
          <w:p>
            <w:pPr>
              <w:pStyle w:val="null3"/>
              <w:jc w:val="left"/>
            </w:pPr>
            <w:r>
              <w:rPr>
                <w:rFonts w:ascii="仿宋_GB2312" w:hAnsi="仿宋_GB2312" w:cs="仿宋_GB2312" w:eastAsia="仿宋_GB2312"/>
                <w:b/>
              </w:rPr>
              <w:t>注：以上标准规范有最新标准的按照最新标准执行。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报价、付款要求</w:t>
            </w:r>
          </w:p>
        </w:tc>
        <w:tc>
          <w:tcPr>
            <w:tcW w:type="dxa" w:w="5814"/>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1）报价应是最终用户验收合格后的总价，完成本项目所涉及人工劳务、调查、勘界、设备投入、差旅、保险、验收、培训、利润、风险、税金、招标代理服务费等一切费用。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付款条件：成交供应商须向采购人出具合法有效完整的税务发票及凭证资料后进行支付结算，付款方式均采用公对公的银行转账，采购人接受转账的开户信息以合同载明的为准。如因供应商未按照要求提供合法有效的发票导致逾期付款的，不视为采购人违约，采购人不承担任何责任。</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3）保险： 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 2.供应商应为本项目提供履约的所有人员按照国家规定购买相关保险。 3.供应商自行运输标的物或委托承运人运输的，应为该批货物购买货物运输保险及运输工具航程保险(如涉及)。</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2"/>
              </w:rPr>
              <w:t>本项目自成交人签订合同之日起至验收合格日止，成交人将负责成交人在项目服务过程的一切安全责任。因服务中造成的直接或间接损失，均由成交人自行承担。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640"/>
              <w:jc w:val="left"/>
            </w:pPr>
            <w:r>
              <w:rPr>
                <w:rFonts w:ascii="仿宋_GB2312" w:hAnsi="仿宋_GB2312" w:cs="仿宋_GB2312" w:eastAsia="仿宋_GB2312"/>
                <w:sz w:val="22"/>
              </w:rPr>
              <w:t>1、供应商应严格执行《中华人民共和国民法典》、《中华人民共和国劳动合同法》及项目所在地最低工资标准等相关法律、法规并依法与服务人员签订劳动合同，并办理各种用工手续，如因用工不当，给采购人及服务人员造成的损失由供应商承担。（单独提供承诺函）</w:t>
            </w:r>
          </w:p>
          <w:p>
            <w:pPr>
              <w:pStyle w:val="null3"/>
              <w:ind w:firstLine="640"/>
              <w:jc w:val="left"/>
            </w:pPr>
            <w:r>
              <w:rPr>
                <w:rFonts w:ascii="仿宋_GB2312" w:hAnsi="仿宋_GB2312" w:cs="仿宋_GB2312" w:eastAsia="仿宋_GB2312"/>
                <w:sz w:val="22"/>
              </w:rPr>
              <w:t>2、供应商服务从业人员在服务期间发生伤亡事故，或在服务过程中造成第三人伤亡的，责任由供应商承担。（单独提供承诺函）</w:t>
            </w:r>
          </w:p>
          <w:p>
            <w:pPr>
              <w:pStyle w:val="null3"/>
              <w:ind w:firstLine="640"/>
              <w:jc w:val="left"/>
            </w:pPr>
            <w:r>
              <w:rPr>
                <w:rFonts w:ascii="仿宋_GB2312" w:hAnsi="仿宋_GB2312" w:cs="仿宋_GB2312" w:eastAsia="仿宋_GB2312"/>
                <w:sz w:val="22"/>
              </w:rPr>
              <w:t>3、供应商在项目执行过程中定期及时向采购人通告本项目供货的重大事项及其进度。（单独提供承诺函）</w:t>
            </w:r>
          </w:p>
          <w:p>
            <w:pPr>
              <w:pStyle w:val="null3"/>
              <w:jc w:val="both"/>
            </w:pPr>
            <w:r>
              <w:rPr>
                <w:rFonts w:ascii="仿宋_GB2312" w:hAnsi="仿宋_GB2312" w:cs="仿宋_GB2312" w:eastAsia="仿宋_GB2312"/>
                <w:sz w:val="22"/>
              </w:rPr>
              <w:t>4、接受项目行业管理部门及政府有关部门的指导，接受采购人的监督。（单独提供承诺函）</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古蔺县区域内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（1）履约验收主体：采购人。 （2）履约验收时间：供应商提出验收申请之日起15日内进行验收。 （3）履约验收方式：由采购人自行组织验收，验收时采购人、成交供应商双方皆应派员参加。 （4）履约验收标准：符合国家、行业标准、四川省地方标准规定的验收标准。严格按照《财政部关于进一步加强政府采购需求和履约验收管理的指导意见》（财库〔2016〕205号）及《政府采购需求管理办法》（财库〔2021〕22号）的要求组织验收。验收应以采购文件、响应文件、采购合同、及其补充协议、国家或行业相关标准为验收的主要依据。</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1、供应商提交工作成果并通过验收合格，采购人接收资料后，达到付款条件起15日内，支付合同总金额的100.00%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（一）甲方违约责任： （1）甲方应遵守本合同并执行合同中的各项规定，保证本合同的正常履行。 （二）乙方违约责任： （1）乙方应遵守本合同并执行合同中的各项规定，保证本合同的合法正常履行。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（3）乙方不得向任何第三方转包、分包本合同工作义务，否则，甲方有权解除本合同，乙方应当按照合同总价的10％向甲方支付违约金并赔偿甲方的损失。 2.解决争议办法： （1）因服务的质量问题发生争议，由甲方或其指定的第三方机构进行质量鉴定。服务符合质量标准的，鉴定费由甲方承担；服务不符合质量标准的，鉴定费由乙方承担。 （2）合同履行期间，若双方发生争议，可协商或由有关部门调解解决，协商或调解不成的，向甲方所在地有管辖权的人民法院提起诉讼。 （3）人民法院所作裁判应为最终决定，并对双方具有约束力。 （4）除另有裁决外，诉讼费应由败诉方负担。（5）在诉讼期间，除正在进行诉讼部分外，合同其他部分继续执行。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为了能完成本项目实施，结合本项目实际情况，供应商根据自身情况按需提供以下内容： 1、项目实施方案： 1）结合采购需求及本项目特点制定项目技术方案，包括：①项目概况，②目标任务的理解，③技术标准，④技术路线，⑤技术方法，⑥工作程序，⑦技术难题解决方案。 2）根据采购需求及本项目特点制定的项目管理方案，包括：①管理机构图及运行机制，②内部管理的职责分工及日常管理制度和考核办法。 3）根据采购需求及本项目特点制定的质量和保密保证措施方案，包括：①质量保证体系及质量控制要求，②质量管控措施，③保密人员及设备安全保障措施，④保密措施。 4）根据采购需求及本项目特点制定的工期进度安排，包括：①工期进度保障措施；②工期安排计划。 2、售后服务： 1）应包含具体管理人员、执行人员，权责清晰，流程可追溯，流程简便快捷，具备及时服务的反应能力，提供具体的执行方案（包括：①售后服务管理体系、②售后服务机构设置、③售服务保证措施、④服务人员配置、⑤售后响应时间）； 2）投标人应有完善的技术支持与服务体系，专人负责与采购人联系售后服务事宜。 3、团队配置 3.1.拟派具有测绘类副高级工程师及以上职称的本项目负责人（1人） 3.2拟派至测绘类副高级工程师及以上职称的技术负责人（1人） 3.3拟派具有测绘类中级工程师及以上职称的质检负责人（1人） 3.4.拟派具有测绘类中级工程师及以上职称的外业负责人（1人） 3.5.拟派具有安全类初级及以上职称的安全和保密负责人（1人） 3.6拟派至本项目其他专业技术人员：测绘工程类初级级以上职称人员。 4、类似业绩：供应商提供2021年1月1日至今，类似项目业绩(类似项目是指：大地测量、工程测量、界线与不动产测绘、摄影测量与遥感、地理信息系统工程类）。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供应商须具有行政主管部门颁发的乙级及以上测绘资质证书（包含界线与不动产测绘、工程测量、地理信息系统工程）</w:t>
            </w:r>
          </w:p>
        </w:tc>
        <w:tc>
          <w:tcPr>
            <w:tcW w:type="dxa" w:w="3322"/>
          </w:tcPr>
          <w:p>
            <w:pPr>
              <w:pStyle w:val="null3"/>
              <w:jc w:val="left"/>
            </w:pPr>
            <w:r>
              <w:rPr>
                <w:rFonts w:ascii="仿宋_GB2312" w:hAnsi="仿宋_GB2312" w:cs="仿宋_GB2312" w:eastAsia="仿宋_GB2312"/>
              </w:rPr>
              <w:t>供应商须具有行政主管部门颁发的乙级及以上测绘资质证书（包含界线与不动产测绘、工程测量、地理信息系统工程）</w:t>
            </w:r>
          </w:p>
        </w:tc>
        <w:tc>
          <w:tcPr>
            <w:tcW w:type="dxa" w:w="1910"/>
          </w:tcPr>
          <w:p>
            <w:pPr>
              <w:pStyle w:val="null3"/>
              <w:jc w:val="left"/>
            </w:pPr>
            <w:r>
              <w:rPr>
                <w:rFonts w:ascii="仿宋_GB2312" w:hAnsi="仿宋_GB2312" w:cs="仿宋_GB2312" w:eastAsia="仿宋_GB2312"/>
              </w:rPr>
              <w:t>特定资格条件.docx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磋商文件第三章中的3.2技术要求</w:t>
            </w:r>
          </w:p>
        </w:tc>
        <w:tc>
          <w:tcPr>
            <w:tcW w:type="dxa" w:w="3322"/>
          </w:tcPr>
          <w:p>
            <w:pPr>
              <w:pStyle w:val="null3"/>
              <w:jc w:val="left"/>
            </w:pPr>
            <w:r>
              <w:rPr>
                <w:rFonts w:ascii="仿宋_GB2312" w:hAnsi="仿宋_GB2312" w:cs="仿宋_GB2312" w:eastAsia="仿宋_GB2312"/>
              </w:rPr>
              <w:t>符合磋商文件第三章3.2.技术要求</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采购文件第三章3.3服务要求 3.3.1服务内容要求和3.3.2商务要求</w:t>
            </w:r>
          </w:p>
        </w:tc>
        <w:tc>
          <w:tcPr>
            <w:tcW w:type="dxa" w:w="3322"/>
          </w:tcPr>
          <w:p>
            <w:pPr>
              <w:pStyle w:val="null3"/>
              <w:jc w:val="left"/>
            </w:pPr>
            <w:r>
              <w:rPr>
                <w:rFonts w:ascii="仿宋_GB2312" w:hAnsi="仿宋_GB2312" w:cs="仿宋_GB2312" w:eastAsia="仿宋_GB2312"/>
              </w:rPr>
              <w:t>符合采购文件第三章3.3服务要求 3.3.1服务内容要求和3.3.2商务要求</w:t>
            </w:r>
          </w:p>
        </w:tc>
        <w:tc>
          <w:tcPr>
            <w:tcW w:type="dxa" w:w="1910"/>
          </w:tcPr>
          <w:p>
            <w:pPr>
              <w:pStyle w:val="null3"/>
              <w:jc w:val="left"/>
            </w:pPr>
            <w:r>
              <w:rPr>
                <w:rFonts w:ascii="仿宋_GB2312" w:hAnsi="仿宋_GB2312" w:cs="仿宋_GB2312" w:eastAsia="仿宋_GB2312"/>
              </w:rPr>
              <w:t>供应商应提交的相关证明材料,商务应答表.docx,服务内容要求应答表.docx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符合磋商文件中的明确实质性要求</w:t>
            </w:r>
          </w:p>
        </w:tc>
        <w:tc>
          <w:tcPr>
            <w:tcW w:type="dxa" w:w="3322"/>
          </w:tcPr>
          <w:p>
            <w:pPr>
              <w:pStyle w:val="null3"/>
              <w:jc w:val="left"/>
            </w:pPr>
            <w:r>
              <w:rPr>
                <w:rFonts w:ascii="仿宋_GB2312" w:hAnsi="仿宋_GB2312" w:cs="仿宋_GB2312" w:eastAsia="仿宋_GB2312"/>
              </w:rPr>
              <w:t>除磋商文件中的明确要求进行单独响应或承诺外，供应商在《投标函》中以“我单位完全接受和理解本项目采购文件规定的实质性要求”进行承诺即视为响应所有实质性条款。本磋商文件中“★”要求为实质性要求。供应商应当按照第五章评审程序中的符合性审查规定，在响应文件中进行实质性响应，否则作无效响应处理。</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结合采购需求及本项目特点制定项目技术方案，包括：①项目概况，②目标任务的理解，③技术标准，④技术路线，⑤技术方法，⑥工作程序，⑦技术难题解决方案。技术方案齐全的得28分，每缺少一项内容扣4分，每一项内容中出现一处缺陷或错误的扣2分，直到该小项4分扣完为止，未提供的不得分。 2.针对采购需求及本项目特点制定的项目管理方案，包括：①管理机构图及运行机制，②内部管理的职责分工及日常管理制度和考核办法。管理方案齐全的得4分，每缺少一项内容扣2分，每一项内容中出现一处缺陷或错误的扣1分，直到该小项2分扣完为止，未提供的不得分。 3.针对采购需求及本项目特点制定的质量和保密保证措施方案，包括：①质量保证体系及质量控制要求，②质量管控措施，③保密人员及设备安全保障措施，④保密措施。质量和保密保证措施方案齐全的得8分，每缺少一项内容扣2分，每一项内容中出现一处缺陷或错误的扣1分，直到该小项2分扣完为止，未提供的不得分。 4.针对采购需求及本项目特点制定的工期进度安排，包括：①工期进度保障措施；②工期安排计划。工期进度安排符合项目实际情况的得4分，每缺少一项内容扣2分，每一项内容中出现一处缺陷或错误的扣1分，直到该小项2分扣完为止，未提供的不得分。 注：以上提出的“缺陷或错误”是指以下情形中的任意一项∶①项目名称、地点区域错误、内容不符合本项目采购需求、方案内容矛盾、方案引用的标准内容错误；②技术要求中提出的国家或行业等规范性要求，方案应答与之不符合的，或提出的标准（方法）规范错误的。针对单条技术已经明确技术要求的事项，方案应答的技术不规范；③仅有框架或标题、直接复制采购需求的；④同一事项文案前后不一致；⑤明显复制其他项目内容；⑥方案内容不清晰或交叉混乱。</w:t>
            </w:r>
          </w:p>
        </w:tc>
        <w:tc>
          <w:tcPr>
            <w:tcW w:type="dxa" w:w="831"/>
          </w:tcPr>
          <w:p>
            <w:pPr>
              <w:pStyle w:val="null3"/>
              <w:jc w:val="center"/>
            </w:pPr>
            <w:r>
              <w:rPr>
                <w:rFonts w:ascii="仿宋_GB2312" w:hAnsi="仿宋_GB2312" w:cs="仿宋_GB2312" w:eastAsia="仿宋_GB2312"/>
              </w:rPr>
              <w:t>44.0000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团队配置</w:t>
            </w:r>
          </w:p>
        </w:tc>
        <w:tc>
          <w:tcPr>
            <w:tcW w:type="dxa" w:w="2575"/>
          </w:tcPr>
          <w:p>
            <w:pPr>
              <w:pStyle w:val="null3"/>
              <w:jc w:val="left"/>
            </w:pPr>
            <w:r>
              <w:rPr>
                <w:rFonts w:ascii="仿宋_GB2312" w:hAnsi="仿宋_GB2312" w:cs="仿宋_GB2312" w:eastAsia="仿宋_GB2312"/>
              </w:rPr>
              <w:t>1.拟派至本项目负责人（1人）：具有测绘类副高级工程师及以上职称的得5分，同时具有注册测绘师执业资格加2分。本项最多得7分，未提供不得分。 2.拟派至本项目技术负责人（1人）：具有测绘类副高级工程师及以上职称的得5分，同时具有注册测绘师执业资格加2分，本项最多得7分，未提供不得分。 3.拟派至本项目质检负责人（1人）：具有测绘类中工程师及以上职称的得1分，同时具有注册测绘师执业资格加2分。本项最多得3分，未提供不得分 4.拟派至本项目外业负责人（1人）：具有测绘类副高级工程师及以上职称的得3分，具有测绘类中级工程师职称的得2分，助理工程师得1分。本项最多得3分，未提供不得分。 5.拟派至本项目安全和保密负责人（1人）：具有中级注册安全工程师及以上职称得3分。具有初级注册安全工程师得1分。本项最多得3分，未提供不得分。 6.拟派至本项目其他专业技术人员（除1-5项之外）每具有一个测绘工程类初级职称得0.5分，具有一个测绘工程类中级职称得1分，具有一个测绘工程类高级上职称得2分，本项最多得7分，未提供不得分。 注：①以上成员须提供提供人员证书及相关人员在职证明（人员证书需提供有效证书；在职证明供应商自行提供证明材料，若为退休人员，还须提供退休证）；②以上人员不可重复计分；③上述人员证书或证明材料均须扫描件并加盖单位公章，否则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团队配置.docx</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供应商提供2021年1月1日至今，每有一个类似项目业绩的得1分，最高得6分。 注：①类似项目业绩是指：大地测量、工程测量、界线与不动产测绘、摄影测量与遥感、地理信息系统工程类项目业绩； ②提供合同或成交通知书扫描件，业绩时间以合同签订时间为准。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供应商针对本项目提供售后服务方案，包括①售后服务管理体系、②售后服务机构设置、③售服务保证措施、④服务人员配置、⑤售后响应时间，方案齐全得10分，每缺少一项内容扣2分，每一项内容中出现一处缺陷或错误的扣1分，直至该小项2分扣完为止，未提供的不得分。 注：以上提出的“缺陷或错误”是指以下情形中的任意一项∶①项目名称、地点区域错误、内容不符合本项目采购需求、方案内容矛盾、方案引用的标准内容错误；②技术要求中提出的国家或行业等规范性要求，方案应答与之不符合的，或提出的标准（方法）规范错误的。针对单条技术已经明确技术要求的事项，方案应答的技术不规范；③仅有框架或标题、直接复制采购需求的；④同一事项文案前后不一致；⑤明显复制其他项目内容；⑥方案内容不清晰或交叉混乱。</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详见附件：类似业绩.docx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详见附件：售后服务.docx</w:t>
      </w:r>
    </w:p>
    <w:p>
      <w:pPr>
        <w:pStyle w:val="null3"/>
        <w:ind w:firstLine="960"/>
        <w:jc w:val="left"/>
      </w:pPr>
      <w:r>
        <w:rPr>
          <w:rFonts w:ascii="仿宋_GB2312" w:hAnsi="仿宋_GB2312" w:cs="仿宋_GB2312" w:eastAsia="仿宋_GB2312"/>
        </w:rPr>
        <w:t>详见附件：特定资格条件.docx</w:t>
      </w:r>
    </w:p>
    <w:p>
      <w:pPr>
        <w:pStyle w:val="null3"/>
        <w:ind w:firstLine="960"/>
        <w:jc w:val="left"/>
      </w:pPr>
      <w:r>
        <w:rPr>
          <w:rFonts w:ascii="仿宋_GB2312" w:hAnsi="仿宋_GB2312" w:cs="仿宋_GB2312" w:eastAsia="仿宋_GB2312"/>
        </w:rPr>
        <w:t>详见附件：团队配置.docx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