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版本号：KFZB202504030120250408001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临潼区农村生活污水处理站运维费(20座)项目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KFZB2025040301</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陕西康丰建设项目管理有限公司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陕西康丰建设项目管理有限公司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临潼区农村生活污水处理站运维费(20座)项目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KFZB2025040301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临潼区农村生活污水处理站运维费(20座)项目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潼区农村生活污水处理站运维费(20座)项目，服务范围：临潼区相桥街办贵刘组(30t/d)、神西组(15t/d)、神东组(15t/d)、北王组(30t/d)、柳南组(10t/d)、柳东组(30t/d)、田市村2号(60t/d)、仁宗街办仁宗村1号(20t/d)、仁宗村2号(20t/d)；小金街办小金村(50t/d)、砲岭村(30t/d)、毛湾村(30t/d)、欠湾村(15t/d)生活污水处理站采用多级生物接触氧化工艺；相桥街办田市村1#(50t/d)、斜口街办高沟村(100t/d)、行者街办行南村1号(50t/d)、行南村2号(200t/d)、行北村1号(50t/d)、行北村2号(50t/d)、船王村(15t/d)生活污水处理站采用A/O+MBR膜工艺；出水达到《农村生活污水处理设施水污染物排放标准》(DB61/1227-2018)中二级标准，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采购包1（临潼区农村生活污水处理站运维费(20座)项目）：属于专门面向小微企业采购。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身份证明/法定代表人授权委托书：供应商代表应提供法定代表人授权委托书（附法定代表人及被授权人身份证复印件或扫描件），（法定代表人直接参加须提供法定代表人身份证明书及身份证复印件或扫描件。</w:t>
      </w:r>
    </w:p>
    <w:p>
      <w:pPr>
        <w:pStyle w:val="null3"/>
      </w:pPr>
      <w:r>
        <w:rPr>
          <w:rFonts w:ascii="仿宋_GB2312" w:hAnsi="仿宋_GB2312" w:cs="仿宋_GB2312" w:eastAsia="仿宋_GB2312"/>
        </w:rPr>
        <w:t>2、供应商资质：供应商应须具备环保工程专业承包三级(含三级)或市政公用工程施工总承包三级(含三级)以上资质。</w:t>
      </w:r>
    </w:p>
    <w:p>
      <w:pPr>
        <w:pStyle w:val="null3"/>
      </w:pPr>
      <w:r>
        <w:rPr>
          <w:rFonts w:ascii="仿宋_GB2312" w:hAnsi="仿宋_GB2312" w:cs="仿宋_GB2312" w:eastAsia="仿宋_GB2312"/>
        </w:rPr>
        <w:t>3、项目负责人：供应商拟派项目负责人具备市政公用工程专业二级及以上注册建造师证书且具有有效的安全生产考核合格证书（B证）。</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p>
    <w:p>
      <w:pPr>
        <w:pStyle w:val="null3"/>
      </w:pPr>
      <w:r>
        <w:rPr>
          <w:rFonts w:ascii="仿宋_GB2312" w:hAnsi="仿宋_GB2312" w:cs="仿宋_GB2312" w:eastAsia="仿宋_GB2312"/>
        </w:rPr>
        <w:t>5、本项目不接受联合体投标：本项目不接受联合体投标。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华昊泽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15029222591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陕西康丰建设项目管理有限公司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陕西省西安市临潼区西关正街铁一处小区6号楼1单元北侧一楼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田元香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17791292671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招标代理服务费收费标准：中标人在领取中标通知书时，参照国家计委2002年颁发的《招标代理服务收费管理暂行办法》(计价格〔2002〕1980号)、“发改办价格(2003)857号文”及国家发改委2011年颁布的《国家发展改革委关于降低部分建设项目收费标准规范收费行为等有关问题的通知》（发改价格[2011]534号）采用现金、转账或汇款方式交纳招标服务费； 招标代理服务费指定银行账户 户 名：陕西康丰建设项目管理有限公司 开户行：中国工商银行股份有限公司西安临潼区支行 账 号：3700029209200068450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陕西康丰建设项目管理有限公司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陕西康丰建设项目管理有限公司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陕西康丰建设项目管理有限公司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符合国家、省、市、行业标准及采购人要求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陕西康丰建设项目管理有限公司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联系人：田元香</w:t>
      </w:r>
    </w:p>
    <w:p>
      <w:pPr>
        <w:pStyle w:val="null3"/>
      </w:pPr>
      <w:r>
        <w:rPr>
          <w:rFonts w:ascii="仿宋_GB2312" w:hAnsi="仿宋_GB2312" w:cs="仿宋_GB2312" w:eastAsia="仿宋_GB2312"/>
        </w:rPr>
        <w:t>联系电话：17791292671</w:t>
      </w:r>
    </w:p>
    <w:p>
      <w:pPr>
        <w:pStyle w:val="null3"/>
      </w:pPr>
      <w:r>
        <w:rPr>
          <w:rFonts w:ascii="仿宋_GB2312" w:hAnsi="仿宋_GB2312" w:cs="仿宋_GB2312" w:eastAsia="仿宋_GB2312"/>
        </w:rPr>
        <w:t>地址：陕西省西安市临潼区西关正街铁一处小区6号楼1单元北侧一楼</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潼区农村生活污水处理站运维费(20座)项目，服务范围：临潼区相桥街办贵刘组(30t/d)、神西组(15t/d)、神东组(15t/d)、北王组(30t/d)、柳南组(10t/d)、柳东组(30t/d)、田市村2号(60t/d)、仁宗街办仁宗村1号(20t/d)、仁宗村2号(20t/d)；小金街办小金村(50t/d)、砲岭村(30t/d)、毛湾村(30t/d)、欠湾村(15t/d)生活污水处理站采用多级生物接触氧化工艺；相桥街办田市村1#(50t/d)、斜口街办高沟村(100t/d)、行者街办行南村1号(50t/d)、行南村2号(200t/d)、行北村1号(50t/d)、行北村2号(50t/d)、船王村(15t/d)生活污水处理站采用A/O+MBR膜工艺；出水达到《农村生活污水处理设施水污染物排放标准》(DB61/1227-2018)中二级标准，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临潼区农村生活污水处理站运维费(20座)项目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标的名称：临潼区农村生活污水处理站运维费(20座)项目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服务内容及服务要求</w:t>
            </w:r>
          </w:p>
        </w:tc>
        <w:tc>
          <w:tcPr>
            <w:tcW w:type="dxa" w:w="2076"/>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项目概况</w:t>
            </w:r>
          </w:p>
          <w:p>
            <w:pPr>
              <w:pStyle w:val="null3"/>
              <w:ind w:firstLine="420"/>
              <w:jc w:val="both"/>
            </w:pPr>
            <w:r>
              <w:rPr>
                <w:rFonts w:ascii="仿宋_GB2312" w:hAnsi="仿宋_GB2312" w:cs="仿宋_GB2312" w:eastAsia="仿宋_GB2312"/>
                <w:sz w:val="21"/>
              </w:rPr>
              <w:t>临潼区农村生活污水处理站运维费</w:t>
            </w:r>
            <w:r>
              <w:rPr>
                <w:rFonts w:ascii="仿宋_GB2312" w:hAnsi="仿宋_GB2312" w:cs="仿宋_GB2312" w:eastAsia="仿宋_GB2312"/>
                <w:sz w:val="21"/>
              </w:rPr>
              <w:t>(20座)项目</w:t>
            </w:r>
            <w:r>
              <w:rPr>
                <w:rFonts w:ascii="仿宋_GB2312" w:hAnsi="仿宋_GB2312" w:cs="仿宋_GB2312" w:eastAsia="仿宋_GB2312"/>
                <w:sz w:val="21"/>
              </w:rPr>
              <w:t>，</w:t>
            </w:r>
            <w:r>
              <w:rPr>
                <w:rFonts w:ascii="仿宋_GB2312" w:hAnsi="仿宋_GB2312" w:cs="仿宋_GB2312" w:eastAsia="仿宋_GB2312"/>
                <w:sz w:val="21"/>
              </w:rPr>
              <w:t>服务范围：</w:t>
            </w:r>
            <w:r>
              <w:rPr>
                <w:rFonts w:ascii="仿宋_GB2312" w:hAnsi="仿宋_GB2312" w:cs="仿宋_GB2312" w:eastAsia="仿宋_GB2312"/>
                <w:sz w:val="21"/>
              </w:rPr>
              <w:t>临潼区相桥街办贵刘组</w:t>
            </w:r>
            <w:r>
              <w:rPr>
                <w:rFonts w:ascii="仿宋_GB2312" w:hAnsi="仿宋_GB2312" w:cs="仿宋_GB2312" w:eastAsia="仿宋_GB2312"/>
                <w:sz w:val="21"/>
              </w:rPr>
              <w:t>(30t/d)、神西组(15t/d)、神东组(15t/d)、北王组(30t/d)、柳南组(10t/d)、柳东组(30t/d)、田市村2号(60t/d)、仁宗街办仁宗村1号(20t/d)、仁宗村2号(20t/d)</w:t>
            </w:r>
            <w:r>
              <w:rPr>
                <w:rFonts w:ascii="仿宋_GB2312" w:hAnsi="仿宋_GB2312" w:cs="仿宋_GB2312" w:eastAsia="仿宋_GB2312"/>
                <w:sz w:val="21"/>
              </w:rPr>
              <w:t>；</w:t>
            </w:r>
            <w:r>
              <w:rPr>
                <w:rFonts w:ascii="仿宋_GB2312" w:hAnsi="仿宋_GB2312" w:cs="仿宋_GB2312" w:eastAsia="仿宋_GB2312"/>
                <w:sz w:val="21"/>
              </w:rPr>
              <w:t>小金街办小金村</w:t>
            </w:r>
            <w:r>
              <w:rPr>
                <w:rFonts w:ascii="仿宋_GB2312" w:hAnsi="仿宋_GB2312" w:cs="仿宋_GB2312" w:eastAsia="仿宋_GB2312"/>
                <w:sz w:val="21"/>
              </w:rPr>
              <w:t>(50t/d)、砲岭村(30t/d)、毛湾村(30t/d)、欠湾村(15t/d)生活污水处理站采用多级生物接触氧化工艺</w:t>
            </w:r>
            <w:r>
              <w:rPr>
                <w:rFonts w:ascii="仿宋_GB2312" w:hAnsi="仿宋_GB2312" w:cs="仿宋_GB2312" w:eastAsia="仿宋_GB2312"/>
                <w:sz w:val="21"/>
              </w:rPr>
              <w:t>；</w:t>
            </w:r>
            <w:r>
              <w:rPr>
                <w:rFonts w:ascii="仿宋_GB2312" w:hAnsi="仿宋_GB2312" w:cs="仿宋_GB2312" w:eastAsia="仿宋_GB2312"/>
                <w:sz w:val="21"/>
              </w:rPr>
              <w:t>相桥街办田市村</w:t>
            </w:r>
            <w:r>
              <w:rPr>
                <w:rFonts w:ascii="仿宋_GB2312" w:hAnsi="仿宋_GB2312" w:cs="仿宋_GB2312" w:eastAsia="仿宋_GB2312"/>
                <w:sz w:val="21"/>
              </w:rPr>
              <w:t>1#(50t/d)、斜口街办高沟村(100t/d)、行者街办行南村1号(50t/d)、行南村2号(200t/d)、行北村1号(50t/d)、行北村2号(50t/d)、船王村(15t/d)生活污水处理站采用A/O+MBR膜工艺</w:t>
            </w:r>
            <w:r>
              <w:rPr>
                <w:rFonts w:ascii="仿宋_GB2312" w:hAnsi="仿宋_GB2312" w:cs="仿宋_GB2312" w:eastAsia="仿宋_GB2312"/>
                <w:sz w:val="21"/>
              </w:rPr>
              <w:t>；</w:t>
            </w:r>
            <w:r>
              <w:rPr>
                <w:rFonts w:ascii="仿宋_GB2312" w:hAnsi="仿宋_GB2312" w:cs="仿宋_GB2312" w:eastAsia="仿宋_GB2312"/>
                <w:sz w:val="21"/>
              </w:rPr>
              <w:t>出水达到《农村生活污水处理设施水污染物排放标准》</w:t>
            </w:r>
            <w:r>
              <w:rPr>
                <w:rFonts w:ascii="仿宋_GB2312" w:hAnsi="仿宋_GB2312" w:cs="仿宋_GB2312" w:eastAsia="仿宋_GB2312"/>
                <w:sz w:val="21"/>
              </w:rPr>
              <w:t>(DB61/1227-2018)中二级标准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、运维目标</w:t>
            </w:r>
          </w:p>
          <w:p>
            <w:pPr>
              <w:pStyle w:val="null3"/>
              <w:ind w:firstLine="420"/>
              <w:jc w:val="both"/>
            </w:pPr>
            <w:r>
              <w:rPr>
                <w:rFonts w:ascii="仿宋_GB2312" w:hAnsi="仿宋_GB2312" w:cs="仿宋_GB2312" w:eastAsia="仿宋_GB2312"/>
                <w:sz w:val="21"/>
              </w:rPr>
              <w:t>1.确保20座农村生活污水处理站的各项设备设施正常运行，设备完好率达到95%以上。</w:t>
            </w:r>
          </w:p>
          <w:p>
            <w:pPr>
              <w:pStyle w:val="null3"/>
              <w:ind w:firstLine="420"/>
              <w:jc w:val="both"/>
            </w:pPr>
            <w:r>
              <w:rPr>
                <w:rFonts w:ascii="仿宋_GB2312" w:hAnsi="仿宋_GB2312" w:cs="仿宋_GB2312" w:eastAsia="仿宋_GB2312"/>
                <w:sz w:val="21"/>
              </w:rPr>
              <w:t>2.生活污水处理后出水水质稳定达到国家及地方规定的排放标准，达标率不低于98%。</w:t>
            </w:r>
          </w:p>
          <w:p>
            <w:pPr>
              <w:pStyle w:val="null3"/>
              <w:ind w:firstLine="420"/>
              <w:jc w:val="both"/>
            </w:pPr>
            <w:r>
              <w:rPr>
                <w:rFonts w:ascii="仿宋_GB2312" w:hAnsi="仿宋_GB2312" w:cs="仿宋_GB2312" w:eastAsia="仿宋_GB2312"/>
                <w:sz w:val="21"/>
              </w:rPr>
              <w:t>3.及时处理设备故障及突发问题，故障响应时间不超过2小时，一般故障修复时间不超过24小时，重大故障修复时间不超过72小时。</w:t>
            </w:r>
          </w:p>
          <w:p>
            <w:pPr>
              <w:pStyle w:val="null3"/>
              <w:ind w:firstLine="420"/>
              <w:jc w:val="both"/>
            </w:pPr>
            <w:r>
              <w:rPr>
                <w:rFonts w:ascii="仿宋_GB2312" w:hAnsi="仿宋_GB2312" w:cs="仿宋_GB2312" w:eastAsia="仿宋_GB2312"/>
                <w:sz w:val="21"/>
              </w:rPr>
              <w:t>4.建立完善的运维管理档案，包括设备运行记录、水质监测报告、维修保养记录等，档案完整率达到100%。</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、运维范围</w:t>
            </w:r>
          </w:p>
          <w:p>
            <w:pPr>
              <w:pStyle w:val="null3"/>
              <w:ind w:firstLine="420"/>
              <w:jc w:val="both"/>
            </w:pPr>
            <w:r>
              <w:rPr>
                <w:rFonts w:ascii="仿宋_GB2312" w:hAnsi="仿宋_GB2312" w:cs="仿宋_GB2312" w:eastAsia="仿宋_GB2312"/>
                <w:sz w:val="21"/>
              </w:rPr>
              <w:t>1.污水处理站的主体工艺设备，如格栅机、提升、风机、一体化污水处理设备、加药设备、消毒设备等的运行维护、保养及维修等(单次或单个零配件价值2000元以上的设备维修费用由西安市临潼区水务局申请专项资金解决)。</w:t>
            </w:r>
          </w:p>
          <w:p>
            <w:pPr>
              <w:pStyle w:val="null3"/>
              <w:ind w:firstLine="420"/>
              <w:jc w:val="both"/>
            </w:pPr>
            <w:r>
              <w:rPr>
                <w:rFonts w:ascii="仿宋_GB2312" w:hAnsi="仿宋_GB2312" w:cs="仿宋_GB2312" w:eastAsia="仿宋_GB2312"/>
                <w:sz w:val="21"/>
              </w:rPr>
              <w:t>2.配套的电气设备、自动化控制系统的运行维护、保养、维修及消耗品的更换。</w:t>
            </w:r>
          </w:p>
          <w:p>
            <w:pPr>
              <w:pStyle w:val="null3"/>
              <w:ind w:firstLine="420"/>
              <w:jc w:val="both"/>
            </w:pPr>
            <w:r>
              <w:rPr>
                <w:rFonts w:ascii="仿宋_GB2312" w:hAnsi="仿宋_GB2312" w:cs="仿宋_GB2312" w:eastAsia="仿宋_GB2312"/>
                <w:sz w:val="21"/>
              </w:rPr>
              <w:t>3.污水处理站内设备运行消耗的水电费。</w:t>
            </w:r>
          </w:p>
          <w:p>
            <w:pPr>
              <w:pStyle w:val="null3"/>
              <w:ind w:firstLine="420"/>
              <w:jc w:val="both"/>
            </w:pPr>
            <w:r>
              <w:rPr>
                <w:rFonts w:ascii="仿宋_GB2312" w:hAnsi="仿宋_GB2312" w:cs="仿宋_GB2312" w:eastAsia="仿宋_GB2312"/>
                <w:sz w:val="21"/>
              </w:rPr>
              <w:t>4.污水处理站内的管网系统，包括进水管网、出水管网及站内连接管网的检查、维护及疏通。</w:t>
            </w:r>
          </w:p>
          <w:p>
            <w:pPr>
              <w:pStyle w:val="null3"/>
              <w:ind w:firstLine="420"/>
              <w:jc w:val="both"/>
            </w:pPr>
            <w:r>
              <w:rPr>
                <w:rFonts w:ascii="仿宋_GB2312" w:hAnsi="仿宋_GB2312" w:cs="仿宋_GB2312" w:eastAsia="仿宋_GB2312"/>
                <w:sz w:val="21"/>
              </w:rPr>
              <w:t>5.污水处理站的日常运行管理，包括水质检测、药剂投加、污泥处理处置等。</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、服务质量标准</w:t>
            </w:r>
          </w:p>
          <w:p>
            <w:pPr>
              <w:pStyle w:val="null3"/>
              <w:ind w:firstLine="420"/>
              <w:jc w:val="both"/>
            </w:pPr>
            <w:r>
              <w:rPr>
                <w:rFonts w:ascii="仿宋_GB2312" w:hAnsi="仿宋_GB2312" w:cs="仿宋_GB2312" w:eastAsia="仿宋_GB2312"/>
                <w:sz w:val="21"/>
              </w:rPr>
              <w:t>服务质量标准</w:t>
            </w:r>
            <w:r>
              <w:rPr>
                <w:rFonts w:ascii="仿宋_GB2312" w:hAnsi="仿宋_GB2312" w:cs="仿宋_GB2312" w:eastAsia="仿宋_GB2312"/>
                <w:sz w:val="21"/>
              </w:rPr>
              <w:t>:满足出水达到《农村生活污水处理设施水污染物排放标准》(DB61/1227-2018)中二级标准。</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项目</w:t>
            </w:r>
            <w:r>
              <w:rPr>
                <w:rFonts w:ascii="仿宋_GB2312" w:hAnsi="仿宋_GB2312" w:cs="仿宋_GB2312" w:eastAsia="仿宋_GB2312"/>
                <w:sz w:val="21"/>
              </w:rPr>
              <w:t>概算总投资</w:t>
            </w:r>
            <w:r>
              <w:rPr>
                <w:rFonts w:ascii="仿宋_GB2312" w:hAnsi="仿宋_GB2312" w:cs="仿宋_GB2312" w:eastAsia="仿宋_GB2312"/>
                <w:sz w:val="21"/>
              </w:rPr>
              <w:t>及运维期限</w:t>
            </w:r>
          </w:p>
          <w:p>
            <w:pPr>
              <w:pStyle w:val="null3"/>
              <w:ind w:firstLine="420"/>
              <w:jc w:val="both"/>
            </w:pPr>
            <w:r>
              <w:rPr>
                <w:rFonts w:ascii="仿宋_GB2312" w:hAnsi="仿宋_GB2312" w:cs="仿宋_GB2312" w:eastAsia="仿宋_GB2312"/>
                <w:sz w:val="21"/>
              </w:rPr>
              <w:t>项目</w:t>
            </w:r>
            <w:r>
              <w:rPr>
                <w:rFonts w:ascii="仿宋_GB2312" w:hAnsi="仿宋_GB2312" w:cs="仿宋_GB2312" w:eastAsia="仿宋_GB2312"/>
                <w:sz w:val="21"/>
              </w:rPr>
              <w:t>概算总投资</w:t>
            </w:r>
            <w:r>
              <w:rPr>
                <w:rFonts w:ascii="仿宋_GB2312" w:hAnsi="仿宋_GB2312" w:cs="仿宋_GB2312" w:eastAsia="仿宋_GB2312"/>
                <w:sz w:val="21"/>
              </w:rPr>
              <w:t>120万元</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资金来源：政府专项财政拨款。</w:t>
            </w:r>
          </w:p>
          <w:p>
            <w:pPr>
              <w:pStyle w:val="null3"/>
              <w:jc w:val="both"/>
            </w:pPr>
            <w:r>
              <w:rPr>
                <w:rFonts w:ascii="仿宋_GB2312" w:hAnsi="仿宋_GB2312" w:cs="仿宋_GB2312" w:eastAsia="仿宋_GB2312"/>
                <w:sz w:val="21"/>
              </w:rPr>
              <w:t xml:space="preserve">   运维期限:一年。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符合国家、省、市、行业标准及采购人要求。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第一季度结束后，对服务单位进行考核，考核合格后，支付合同总价的25%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第二季度结束后，对服务单位进行考核，考核合格后，支付合同总价的25%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第三季度结束后，对服务单位进行考核，考核合格后，支付合同总价的25%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服务期结束后，对服务单位进行考核，考核合格后，支付合同总价的25%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二）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 （三）在执行本合同中发生的或与本合同有关的争端，双方应通过友好协商解决，经协商在30天内不能达成协议时，则采取以下第 1 种方式解决争议： （1）向甲方所在地有管辖权的人民法院提起诉讼； （2）向____仲裁委员会按其仲裁规则申请仲裁。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供应商需要在线提交所有通过电子化交易平台实施的政府采购项目的响应文件，同时，线下递交响应文件，正本壹份、副本贰份，电子文件(U盘)壹份，电子文件随正本密封。若线上电子响应文件与纸质响应文件不一致以电子响应文件为准，若正本和副本不符，以正本为准。线下递交时间同线上响应文件递交截止时间；线下递交文件地点:：陕西康丰建设项目管理有限公司（临潼区西关正街铁路小区6号楼1单元北侧一楼）。 3.4.2竞争性磋商报价为完成本项目竞争性磋商文件中所提出的工作范围及要求的全部内容，并达到国家及采购人验收标准而产生的所有费用，包括但不限于人工费、管理费、交通费、住宿费、办公费、招标代理服务费、利润、税金、风险、验收等完成本项目所需的全部费用。任何错报、漏报由供应商自行负责。 3.4.3本项目中标单位和西安市临潼区城市供排污项目建设管理处签订服务合同及其他相关文件。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（1）营业执照：企业法人具有有效的营业执照（具备统一社会信用代码）；事业法人应具有有效的事业单位法人证；其他组织应具有合法证明文件；自然人应提供有效的自然人身份证明； （2）财务状况报告：提供2023年度经审计的财务审计报告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 （3）、税收缴纳证明：提供投标截止时间前6个月内任意一个月的纳税证明或完税证明，依法免税的单位应提供相关证明材料； （4）、社会保障资金缴纳证明：提供投标截止时间前6个月内任意一个月的社会保障资金缴存单据或社保机构开具的社会保险参保缴费情况证明，依法不需要缴纳社会保障资金的单位应提供相关证明材料； （5）、提供具备履行合同所必需的设备和专业技术能力的证明材料承诺；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身份证明/法定代表人授权委托书：供应商代表应提供法定代表人授权委托书（附法定代表人及被授权人身份证复印件或扫描件），（法定代表人直接参加须提供法定代表人身份证明书及身份证复印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供应商应须具备环保工程专业承包三级(含三级)或市政公用工程施工总承包三级(含三级)以上资质。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供应商拟派项目负责人具备市政公用工程专业二级及以上注册建造师证书且具有有效的安全生产考核合格证书（B证）。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信息记录名单中被财政部门禁止参加政府采购活动的供应商（提供报名截止时间后的网页查询结果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类似项目业绩.docx 中小企业声明函 残疾人福利性单位声明函 标的清单 其他资料.docx 报价表 响应函 商务、服务内容偏离表、技术响应偏差表.docx 资格证明文件.docx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类似项目业绩.docx 中小企业声明函 残疾人福利性单位声明函 标的清单 其他资料.docx 报价表 响应函 商务、服务内容偏离表、技术响应偏差表.docx 服务方案.docx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响应文件封面 类似项目业绩.docx 中小企业声明函 残疾人福利性单位声明函 标的清单 其他资料.docx 报价表 响应函 商务、服务内容偏离表、技术响应偏差表.docx 服务方案.docx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均按磋商文件要求签字、盖章，无遗漏</w:t>
            </w:r>
          </w:p>
        </w:tc>
        <w:tc>
          <w:tcPr>
            <w:tcW w:type="dxa" w:w="1661"/>
          </w:tcPr>
          <w:p>
            <w:pPr>
              <w:pStyle w:val="null3"/>
            </w:pPr>
            <w:r>
              <w:rPr>
                <w:rFonts w:ascii="仿宋_GB2312" w:hAnsi="仿宋_GB2312" w:cs="仿宋_GB2312" w:eastAsia="仿宋_GB2312"/>
              </w:rPr>
              <w:t>响应文件封面 类似项目业绩.docx 中小企业声明函 残疾人福利性单位声明函 标的清单 其他资料.docx 报价表 响应函 商务、服务内容偏离表、技术响应偏差表.docx 资格证明文件.docx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运维服务总体方案</w:t>
            </w:r>
          </w:p>
        </w:tc>
        <w:tc>
          <w:tcPr>
            <w:tcW w:type="dxa" w:w="2492"/>
          </w:tcPr>
          <w:p>
            <w:pPr>
              <w:pStyle w:val="null3"/>
            </w:pPr>
            <w:r>
              <w:rPr>
                <w:rFonts w:ascii="仿宋_GB2312" w:hAnsi="仿宋_GB2312" w:cs="仿宋_GB2312" w:eastAsia="仿宋_GB2312"/>
              </w:rPr>
              <w:t>针对本项目提出适用于本项目的服务方案： （1）实施方案：包括项目理解、接收方案、日常运营与检修、设备大修等，方案完整性及科学性，由评标委员会综合对比，优（6-8分）、良（3-5分）、一般（1-2分）； （2）设备维护方案：涵盖操作规范、维护周期、故障响应机制等，结合技术指标和环保效果进行评审，由评标委员会综合对比，优（6-8分）、良（3-5分）、一般（1-2分）； （3）应急预案：包括突发事件处理流程、安全防护措施等，由评标委员会综合对比，优（6-8分）、良（3-5分）、一般（1-2分）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组织管理机构</w:t>
            </w:r>
          </w:p>
        </w:tc>
        <w:tc>
          <w:tcPr>
            <w:tcW w:type="dxa" w:w="2492"/>
          </w:tcPr>
          <w:p>
            <w:pPr>
              <w:pStyle w:val="null3"/>
            </w:pPr>
            <w:r>
              <w:rPr>
                <w:rFonts w:ascii="仿宋_GB2312" w:hAnsi="仿宋_GB2312" w:cs="仿宋_GB2312" w:eastAsia="仿宋_GB2312"/>
              </w:rPr>
              <w:t>运维组织机构、管理制度、操作规程完善、合理，由评标委员会综合对比，优（5-6分）、良（3-4分）、一般（1-2分）；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1、人员组织架构完整，岗位设置合理、明确，技术人员专业性、经验性强，且有针对性，得6分；2、人员组织架构有待优化，技术人员岗位设置基本合理，人员专业性、经验性一般，得4分；3、人员组织架构不完整，人员岗位设置紧张，技术人员专业性、经验性欠缺，得2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项目负责人具备高级环境治理工程师、高级污水处理工或高级水处理工程师证书，每提供一个得2分，满分6分。（注：提供复印件加盖公章）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建立完善的运维管理档案，包括设备运行记录、水质监测报告、维修保养记录等，根据方案的完整性、可实施性、合理、针对性，由评标委员会综合对比，优（5-6分）、良（3-4分）、一般（1-2分）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运维质量保障措施</w:t>
            </w:r>
          </w:p>
        </w:tc>
        <w:tc>
          <w:tcPr>
            <w:tcW w:type="dxa" w:w="2492"/>
          </w:tcPr>
          <w:p>
            <w:pPr>
              <w:pStyle w:val="null3"/>
            </w:pPr>
            <w:r>
              <w:rPr>
                <w:rFonts w:ascii="仿宋_GB2312" w:hAnsi="仿宋_GB2312" w:cs="仿宋_GB2312" w:eastAsia="仿宋_GB2312"/>
              </w:rPr>
              <w:t>制定运维质量保障措施，根据措施的完整性、可实施性、合理性、针对性、科学性，由评标委员会综合对比，优（8-10分）、良（4-7分）、一般（1-3分）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根据本项目提出服务承诺和建议，根据服务承诺及合理化建议的完整性、可实施性、合理性、针对性、科学性，由评标委员会综合对比，优（6-8分）、良（3-5分）、一般（1-2分）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运维工作流程</w:t>
            </w:r>
          </w:p>
        </w:tc>
        <w:tc>
          <w:tcPr>
            <w:tcW w:type="dxa" w:w="2492"/>
          </w:tcPr>
          <w:p>
            <w:pPr>
              <w:pStyle w:val="null3"/>
            </w:pPr>
            <w:r>
              <w:rPr>
                <w:rFonts w:ascii="仿宋_GB2312" w:hAnsi="仿宋_GB2312" w:cs="仿宋_GB2312" w:eastAsia="仿宋_GB2312"/>
              </w:rPr>
              <w:t>针对本项目服务内容的需求提供完善的运维工作流程，根据运维工作流程的完整性、可实施性、合理性、针对性、科学性，由评标委员会综合对比，优（6-8分）、良（3-5分）、一般（1-2分）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供应商须提供类似项目的合同或中标通知书（2022年1月1日至今）（时间以合同签订时间或中标通知书发出时间为准），每提供一份得2分，满分6分。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