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版本号：N513427202500002720250408001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2024年红火蚁防治服务项目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N5134272025000027</w:t>
      </w:r>
    </w:p>
    <w:p>
      <w:pPr>
        <w:pStyle w:val="null3"/>
        <w:jc w:val="center"/>
        <w:outlineLvl w:val="2"/>
      </w:pPr>
      <w:r>
        <w:rPr>
          <w:rFonts w:ascii="仿宋_GB2312" w:hAnsi="仿宋_GB2312" w:cs="仿宋_GB2312" w:eastAsia="仿宋_GB2312"/>
          <w:sz w:val="28"/>
          <w:b/>
        </w:rPr>
        <w:t>宁南县林业和草原局</w:t>
      </w:r>
    </w:p>
    <w:p>
      <w:pPr>
        <w:pStyle w:val="null3"/>
        <w:jc w:val="center"/>
        <w:outlineLvl w:val="2"/>
      </w:pPr>
      <w:r>
        <w:rPr>
          <w:rFonts w:ascii="仿宋_GB2312" w:hAnsi="仿宋_GB2312" w:cs="仿宋_GB2312" w:eastAsia="仿宋_GB2312"/>
          <w:sz w:val="28"/>
          <w:b/>
        </w:rPr>
        <w:t>中达中正招标代理成都有限公司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中达中正招标代理成都有限公司</w:t>
      </w:r>
      <w:r>
        <w:rPr>
          <w:rFonts w:ascii="仿宋_GB2312" w:hAnsi="仿宋_GB2312" w:cs="仿宋_GB2312" w:eastAsia="仿宋_GB2312"/>
        </w:rPr>
        <w:t xml:space="preserve"> （以下简称“代理机构”）受 </w:t>
      </w:r>
      <w:r>
        <w:rPr>
          <w:rFonts w:ascii="仿宋_GB2312" w:hAnsi="仿宋_GB2312" w:cs="仿宋_GB2312" w:eastAsia="仿宋_GB2312"/>
        </w:rPr>
        <w:t>宁南县林业和草原局</w:t>
      </w:r>
      <w:r>
        <w:rPr>
          <w:rFonts w:ascii="仿宋_GB2312" w:hAnsi="仿宋_GB2312" w:cs="仿宋_GB2312" w:eastAsia="仿宋_GB2312"/>
        </w:rPr>
        <w:t xml:space="preserve"> 委托，拟对 </w:t>
      </w:r>
      <w:r>
        <w:rPr>
          <w:rFonts w:ascii="仿宋_GB2312" w:hAnsi="仿宋_GB2312" w:cs="仿宋_GB2312" w:eastAsia="仿宋_GB2312"/>
        </w:rPr>
        <w:t>2024年红火蚁防治服务项目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凉山彝族自治州宁南县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N5134272025000027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2024年红火蚁防治服务项目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4"/>
        </w:rPr>
        <w:t>本项目为</w:t>
      </w:r>
      <w:r>
        <w:rPr>
          <w:rFonts w:ascii="仿宋_GB2312" w:hAnsi="仿宋_GB2312" w:cs="仿宋_GB2312" w:eastAsia="仿宋_GB2312"/>
          <w:sz w:val="24"/>
        </w:rPr>
        <w:t>2024年红火蚁防治服务项目，</w:t>
      </w:r>
      <w:r>
        <w:rPr>
          <w:rFonts w:ascii="仿宋_GB2312" w:hAnsi="仿宋_GB2312" w:cs="仿宋_GB2312" w:eastAsia="仿宋_GB2312"/>
          <w:sz w:val="24"/>
        </w:rPr>
        <w:t>目前宁南县宁远镇和白鹤滩镇确定为红火蚁疫点，</w:t>
      </w:r>
      <w:r>
        <w:rPr>
          <w:rFonts w:ascii="仿宋_GB2312" w:hAnsi="仿宋_GB2312" w:cs="仿宋_GB2312" w:eastAsia="仿宋_GB2312"/>
          <w:sz w:val="24"/>
        </w:rPr>
        <w:t>2024年宁南县林管区域发生面积6000亩，其中宁远镇福泉村林地发生面积3800亩，宁远镇后山村林地发生2000亩，白鹤滩镇和平村发生面积200亩。为迅速开展对宁南县林管区域红火蚁防控，有效遏制红火蚁疫情蔓延，降低危害，减少对林区林木的损失，需最短时间内进行根除。</w:t>
      </w:r>
    </w:p>
    <w:p>
      <w:pPr>
        <w:pStyle w:val="null3"/>
        <w:jc w:val="left"/>
      </w:pPr>
      <w:r>
        <w:rPr>
          <w:rFonts w:ascii="仿宋_GB2312" w:hAnsi="仿宋_GB2312" w:cs="仿宋_GB2312" w:eastAsia="仿宋_GB2312"/>
        </w:rPr>
        <w:t>注:本项目磋商文件中执行标准，若国家、省、市对执行标准内容有新要求的，则按最新要求执行。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宁南县林业和草原局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四川省凉山彝族自治州宁南县顺城东街91号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0834-4571619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中达中正招标代理成都有限公司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四川省成都市市辖区中国（四川）自由贸易试验区成都市高新区吉泰五路88号3栋44层6号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15881004206（采购文件咨询）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采购包1：409,400.00元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建议现金缴纳。履约保证金在采购项目验收合格后10日内退还。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代理服务费收费标准：1、本项目代理服务费收取8000元。 2、代理服务费账户 交款方式：公对公账户 银行转账（以当地银行下账时间为准）。 招标代理机构：中达中正招标代理成都有限公司。 联 系 人：张女士 联系电话：13488949230（财务室） 收款单位：中达中正招标代理成都有限公司。 开 户 行：乐山市商业银行股份有限公司成都自贸区支行。 开户行行号：313651072056 银行账号：020000314862 特别注意：请在备注栏必须填写“采购文件项目编号”代理服务费!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宁南县林业和草原局</w:t>
      </w:r>
      <w:r>
        <w:rPr>
          <w:rFonts w:ascii="仿宋_GB2312" w:hAnsi="仿宋_GB2312" w:cs="仿宋_GB2312" w:eastAsia="仿宋_GB2312"/>
        </w:rPr>
        <w:t xml:space="preserve"> 和 </w:t>
      </w:r>
      <w:r>
        <w:rPr>
          <w:rFonts w:ascii="仿宋_GB2312" w:hAnsi="仿宋_GB2312" w:cs="仿宋_GB2312" w:eastAsia="仿宋_GB2312"/>
        </w:rPr>
        <w:t>中达中正招标代理成都有限公司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宁南县林业和草原局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中达中正招标代理成都有限公司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所有防控区域无红火蚁活体后，连续9个月保持根除效果100%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应用红火蚁云采集疫情防控监管功能进行验收，由验收组通过红火蚁云采集地图对比实际防控是否覆盖所有发生区域，进行可视化验收和现场实地验收。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按竞争性磋商文件要求及响应文件承诺进行验收。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按竞争性磋商文件要求及响应文件承诺进行验收。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政府采购相关法律法规、《财政部关于进一步加强政府采购需求和履约验收管理的指导意见》（财库〔2016〕205号）以及《政府采购需求管理办法》（财库〔2021〕22号）、采购文件规定的要求和响应文件及合同承诺的内容进行验收。验收合格后，采购单位按程序完成结算手续。</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负责检查项目实施工作的规范性、合理性，重点检查项目实施中所制订的实施方案、使用的技术措施、产品、设备等科学性、合理性、先进性，是否合法合规；跟踪检查项目组织管理制度落实情况、项目人员到位情况，以及巡查、监测、防治、应急处理 等各项工作实施力度、进度是否符合该合同和实施方案要求；检查该项目各类相关文件档案、 数据、资料等是否完整、齐备。</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宁南县林业和草原局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中达中正招标代理成都有限公司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中达中正招标代理成都有限公司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联系电话：15881004206</w:t>
      </w:r>
    </w:p>
    <w:p>
      <w:pPr>
        <w:pStyle w:val="null3"/>
        <w:jc w:val="left"/>
      </w:pPr>
      <w:r>
        <w:rPr>
          <w:rFonts w:ascii="仿宋_GB2312" w:hAnsi="仿宋_GB2312" w:cs="仿宋_GB2312" w:eastAsia="仿宋_GB2312"/>
        </w:rPr>
        <w:t>地址：中国（四川）自由贸易试验区成都市高新区吉泰五路88号3栋44层6号</w:t>
      </w:r>
    </w:p>
    <w:p>
      <w:pPr>
        <w:pStyle w:val="null3"/>
        <w:jc w:val="left"/>
      </w:pPr>
      <w:r>
        <w:rPr>
          <w:rFonts w:ascii="仿宋_GB2312" w:hAnsi="仿宋_GB2312" w:cs="仿宋_GB2312" w:eastAsia="仿宋_GB2312"/>
        </w:rPr>
        <w:t>邮编：616550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409,400.00</w:t>
      </w:r>
    </w:p>
    <w:p>
      <w:pPr>
        <w:pStyle w:val="null3"/>
        <w:jc w:val="left"/>
      </w:pPr>
      <w:r>
        <w:rPr>
          <w:rFonts w:ascii="仿宋_GB2312" w:hAnsi="仿宋_GB2312" w:cs="仿宋_GB2312" w:eastAsia="仿宋_GB2312"/>
        </w:rPr>
        <w:t>采购包最高限价（元）: 409,400.00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C09020700 林区管理服务</w:t>
            </w:r>
          </w:p>
        </w:tc>
        <w:tc>
          <w:tcPr>
            <w:tcW w:type="dxa" w:w="821"/>
          </w:tcPr>
          <w:p>
            <w:pPr>
              <w:pStyle w:val="null3"/>
              <w:jc w:val="left"/>
            </w:pPr>
            <w:r>
              <w:rPr>
                <w:rFonts w:ascii="仿宋_GB2312" w:hAnsi="仿宋_GB2312" w:cs="仿宋_GB2312" w:eastAsia="仿宋_GB2312"/>
              </w:rPr>
              <w:t>2024年红火蚁防治服务项目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409,400.00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2024年红火蚁防治服务项目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409,400.00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总价，供应商的报价是供应商完成本项目所有工作、服务内容的最终报价，包括供应商履约过程中的药剂、防治器具防护等费用、警示牌、宣传费、检查验收费、人员劳务、差旅、保险、风险、税金、采购代理服务费及与供应商履约本项目所需要的其他所有费用。采购人在项目结算时不再向成交供应商支付其他任何费用。如出现在投标报价估算错误等引起的损失由供应商自行承担。</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标的名称：2024年红火蚁防治服务项目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（一）项目目标</w:t>
            </w:r>
          </w:p>
        </w:tc>
        <w:tc>
          <w:tcPr>
            <w:tcW w:type="dxa" w:w="5814"/>
          </w:tcPr>
          <w:p>
            <w:pPr>
              <w:pStyle w:val="null3"/>
              <w:ind w:firstLine="480"/>
              <w:jc w:val="left"/>
            </w:pPr>
            <w:r>
              <w:rPr>
                <w:rFonts w:ascii="仿宋_GB2312" w:hAnsi="仿宋_GB2312" w:cs="仿宋_GB2312" w:eastAsia="仿宋_GB2312"/>
                <w:sz w:val="24"/>
              </w:rPr>
              <w:t>为了迅速防控红火蚁疫情，避免对农林业生产和生态环境，人体健康、公共安全造成更大危害。按照国家红火蚁防控技术规程，通过采取一系列科学技术措施，对目前宁南县林管区发生的</w:t>
            </w:r>
            <w:r>
              <w:rPr>
                <w:rFonts w:ascii="仿宋_GB2312" w:hAnsi="仿宋_GB2312" w:cs="仿宋_GB2312" w:eastAsia="仿宋_GB2312"/>
                <w:sz w:val="24"/>
              </w:rPr>
              <w:t>6000亩红火蚁疫情区域实施全面防控。</w:t>
            </w:r>
          </w:p>
          <w:p>
            <w:pPr>
              <w:pStyle w:val="null3"/>
              <w:ind w:firstLine="480"/>
              <w:jc w:val="left"/>
            </w:pPr>
            <w:r>
              <w:rPr>
                <w:rFonts w:ascii="仿宋_GB2312" w:hAnsi="仿宋_GB2312" w:cs="仿宋_GB2312" w:eastAsia="仿宋_GB2312"/>
                <w:sz w:val="24"/>
              </w:rPr>
              <w:t>项目实施中，监测按照</w:t>
            </w:r>
            <w:r>
              <w:rPr>
                <w:rFonts w:ascii="仿宋_GB2312" w:hAnsi="仿宋_GB2312" w:cs="仿宋_GB2312" w:eastAsia="仿宋_GB2312"/>
                <w:sz w:val="24"/>
              </w:rPr>
              <w:t>GB/T23626以及川植应急办【2023】10号文件执行；防控按NY/T2415和NY/T3541执行；根除及验收按NY/T3541及川农发【2023】9号文执行。</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1）局部根除区防控目标</w:t>
            </w:r>
          </w:p>
          <w:p>
            <w:pPr>
              <w:pStyle w:val="null3"/>
              <w:ind w:firstLine="480"/>
              <w:jc w:val="left"/>
            </w:pPr>
            <w:r>
              <w:rPr>
                <w:rFonts w:ascii="仿宋_GB2312" w:hAnsi="仿宋_GB2312" w:cs="仿宋_GB2312" w:eastAsia="仿宋_GB2312"/>
                <w:sz w:val="24"/>
              </w:rPr>
              <w:t>1、采用“毒饵大面积诱杀”的二阶段处理法，开展根除防控，2025年底，实现防控区内红火蚁疫情动态清零目标，完成局部根除任务。</w:t>
            </w:r>
          </w:p>
          <w:p>
            <w:pPr>
              <w:pStyle w:val="null3"/>
              <w:ind w:firstLine="480"/>
              <w:jc w:val="left"/>
            </w:pPr>
            <w:r>
              <w:rPr>
                <w:rFonts w:ascii="仿宋_GB2312" w:hAnsi="仿宋_GB2312" w:cs="仿宋_GB2312" w:eastAsia="仿宋_GB2312"/>
                <w:sz w:val="24"/>
              </w:rPr>
              <w:t>2、持续开展跟踪监测，跟踪监测过程中，发现零星疫情复发、新疫情传入等疫情反弹情况的，及时采取应急防控措施，第一时间彻底处置疫情，同时扩大监测防控范围、提高监测调查频次，防止疫情扩散蔓延，确保根除区域疫情动态清零。</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2）巩固防治区</w:t>
            </w:r>
          </w:p>
          <w:p>
            <w:pPr>
              <w:pStyle w:val="null3"/>
              <w:ind w:firstLine="480"/>
              <w:jc w:val="left"/>
            </w:pPr>
            <w:r>
              <w:rPr>
                <w:rFonts w:ascii="仿宋_GB2312" w:hAnsi="仿宋_GB2312" w:cs="仿宋_GB2312" w:eastAsia="仿宋_GB2312"/>
                <w:sz w:val="24"/>
              </w:rPr>
              <w:t>1、确保巩固防治区域疫情动态清零。</w:t>
            </w:r>
          </w:p>
          <w:p>
            <w:pPr>
              <w:pStyle w:val="null3"/>
              <w:ind w:firstLine="480"/>
              <w:jc w:val="left"/>
            </w:pPr>
            <w:r>
              <w:rPr>
                <w:rFonts w:ascii="仿宋_GB2312" w:hAnsi="仿宋_GB2312" w:cs="仿宋_GB2312" w:eastAsia="仿宋_GB2312"/>
                <w:sz w:val="24"/>
              </w:rPr>
              <w:t>2、2025年通过根除防控检查验收。</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3）重点防控区防控目标</w:t>
            </w:r>
          </w:p>
          <w:p>
            <w:pPr>
              <w:pStyle w:val="null3"/>
              <w:ind w:firstLine="480"/>
              <w:jc w:val="left"/>
            </w:pPr>
            <w:r>
              <w:rPr>
                <w:rFonts w:ascii="仿宋_GB2312" w:hAnsi="仿宋_GB2312" w:cs="仿宋_GB2312" w:eastAsia="仿宋_GB2312"/>
                <w:sz w:val="24"/>
              </w:rPr>
              <w:t>1、高强度防控，重点防控区发生面积控制在现有范围内，不扩散。</w:t>
            </w:r>
          </w:p>
          <w:p>
            <w:pPr>
              <w:pStyle w:val="null3"/>
              <w:ind w:firstLine="480"/>
              <w:jc w:val="left"/>
            </w:pPr>
            <w:r>
              <w:rPr>
                <w:rFonts w:ascii="仿宋_GB2312" w:hAnsi="仿宋_GB2312" w:cs="仿宋_GB2312" w:eastAsia="仿宋_GB2312"/>
                <w:sz w:val="24"/>
              </w:rPr>
              <w:t>2、降低零星疫情发生区内红火蚁虫口密度，无3级及以上危害、2级危害发生面积控制在500亩以下。</w:t>
            </w:r>
          </w:p>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4）管制区防控目标</w:t>
            </w:r>
          </w:p>
          <w:p>
            <w:pPr>
              <w:pStyle w:val="null3"/>
              <w:ind w:firstLine="480"/>
              <w:jc w:val="left"/>
            </w:pPr>
            <w:r>
              <w:rPr>
                <w:rFonts w:ascii="仿宋_GB2312" w:hAnsi="仿宋_GB2312" w:cs="仿宋_GB2312" w:eastAsia="仿宋_GB2312"/>
                <w:sz w:val="24"/>
              </w:rPr>
              <w:t>管制区园林种苗经营企业继续实行动态无疫情管控，按</w:t>
            </w:r>
            <w:r>
              <w:rPr>
                <w:rFonts w:ascii="仿宋_GB2312" w:hAnsi="仿宋_GB2312" w:cs="仿宋_GB2312" w:eastAsia="仿宋_GB2312"/>
                <w:sz w:val="24"/>
              </w:rPr>
              <w:t>“及时发现、即时清除、即时排查、上报备案”原则，进行动态无疫情管控。</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（二）项目服务内容</w:t>
            </w:r>
          </w:p>
        </w:tc>
        <w:tc>
          <w:tcPr>
            <w:tcW w:type="dxa" w:w="5814"/>
          </w:tcPr>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1）红火蚁防控区划</w:t>
            </w:r>
          </w:p>
          <w:p>
            <w:pPr>
              <w:pStyle w:val="null3"/>
              <w:ind w:firstLine="480"/>
              <w:jc w:val="left"/>
            </w:pPr>
            <w:r>
              <w:rPr>
                <w:rFonts w:ascii="仿宋_GB2312" w:hAnsi="仿宋_GB2312" w:cs="仿宋_GB2312" w:eastAsia="仿宋_GB2312"/>
                <w:sz w:val="24"/>
              </w:rPr>
              <w:t>为了迅速防控红火蚁疫情，避免对农林业生产和生态环境，人体健康、公共安全造成更大危害。按照建立分区治理、分类防控、标本兼治的防控策略。依据</w:t>
            </w:r>
            <w:r>
              <w:rPr>
                <w:rFonts w:ascii="仿宋_GB2312" w:hAnsi="仿宋_GB2312" w:cs="仿宋_GB2312" w:eastAsia="仿宋_GB2312"/>
                <w:sz w:val="24"/>
              </w:rPr>
              <w:t>2024年林管区红火蚁疫情发生状况，将林管区红火蚁防控划分为4个区，进行管控防治，分别为：局部根除区、巩固防治区、重点防控区和管制区。</w:t>
            </w:r>
          </w:p>
          <w:tbl>
            <w:tblPr>
              <w:tblBorders>
                <w:top w:val="none" w:color="000000" w:sz="4"/>
                <w:left w:val="none" w:color="000000" w:sz="4"/>
                <w:bottom w:val="none" w:color="000000" w:sz="4"/>
                <w:right w:val="none" w:color="000000" w:sz="4"/>
                <w:insideH w:val="none"/>
                <w:insideV w:val="none"/>
              </w:tblBorders>
            </w:tblPr>
            <w:tblGrid>
              <w:gridCol w:w="798"/>
              <w:gridCol w:w="598"/>
              <w:gridCol w:w="527"/>
              <w:gridCol w:w="1173"/>
              <w:gridCol w:w="638"/>
              <w:gridCol w:w="606"/>
              <w:gridCol w:w="606"/>
              <w:gridCol w:w="606"/>
            </w:tblGrid>
            <w:tr>
              <w:tc>
                <w:tcPr>
                  <w:tcW w:type="dxa" w:w="5552"/>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4"/>
                      <w:b/>
                    </w:rPr>
                    <w:t>宁南县</w:t>
                  </w:r>
                  <w:r>
                    <w:rPr>
                      <w:rFonts w:ascii="仿宋_GB2312" w:hAnsi="仿宋_GB2312" w:cs="仿宋_GB2312" w:eastAsia="仿宋_GB2312"/>
                      <w:sz w:val="24"/>
                      <w:b/>
                    </w:rPr>
                    <w:t>2024年中省财政林业草原专项资金（第二批）林业有害生物防控分区区划表</w:t>
                  </w:r>
                </w:p>
              </w:tc>
            </w:tr>
            <w:tr>
              <w:tc>
                <w:tcPr>
                  <w:tcW w:type="dxa" w:w="7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防控分区</w:t>
                  </w:r>
                </w:p>
              </w:tc>
              <w:tc>
                <w:tcPr>
                  <w:tcW w:type="dxa" w:w="5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乡镇</w:t>
                  </w:r>
                </w:p>
              </w:tc>
              <w:tc>
                <w:tcPr>
                  <w:tcW w:type="dxa" w:w="5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村</w:t>
                  </w:r>
                </w:p>
              </w:tc>
              <w:tc>
                <w:tcPr>
                  <w:tcW w:type="dxa" w:w="117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小地名</w:t>
                  </w:r>
                </w:p>
              </w:tc>
              <w:tc>
                <w:tcPr>
                  <w:tcW w:type="dxa" w:w="6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面积（亩）</w:t>
                  </w:r>
                </w:p>
              </w:tc>
              <w:tc>
                <w:tcPr>
                  <w:tcW w:type="dxa" w:w="181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发生程度分级</w:t>
                  </w:r>
                </w:p>
              </w:tc>
            </w:tr>
            <w:tr>
              <w:tc>
                <w:tcPr>
                  <w:tcW w:type="dxa" w:w="798"/>
                  <w:vMerge/>
                  <w:tcBorders>
                    <w:top w:val="single" w:color="000000" w:sz="4"/>
                    <w:left w:val="single" w:color="000000" w:sz="4"/>
                    <w:bottom w:val="single" w:color="000000" w:sz="4"/>
                    <w:right w:val="single" w:color="000000" w:sz="4"/>
                  </w:tcBorders>
                </w:tcPr>
                <w:p/>
              </w:tc>
              <w:tc>
                <w:tcPr>
                  <w:tcW w:type="dxa" w:w="598"/>
                  <w:vMerge/>
                  <w:tcBorders>
                    <w:top w:val="single" w:color="000000" w:sz="4"/>
                    <w:left w:val="none" w:color="000000" w:sz="4"/>
                    <w:bottom w:val="single" w:color="000000" w:sz="4"/>
                    <w:right w:val="single" w:color="000000" w:sz="4"/>
                  </w:tcBorders>
                </w:tcPr>
                <w:p/>
              </w:tc>
              <w:tc>
                <w:tcPr>
                  <w:tcW w:type="dxa" w:w="527"/>
                  <w:vMerge/>
                  <w:tcBorders>
                    <w:top w:val="single" w:color="000000" w:sz="4"/>
                    <w:left w:val="none" w:color="000000" w:sz="4"/>
                    <w:bottom w:val="single" w:color="000000" w:sz="4"/>
                    <w:right w:val="single" w:color="000000" w:sz="4"/>
                  </w:tcBorders>
                </w:tcPr>
                <w:p/>
              </w:tc>
              <w:tc>
                <w:tcPr>
                  <w:tcW w:type="dxa" w:w="1173"/>
                  <w:vMerge/>
                  <w:tcBorders>
                    <w:top w:val="single" w:color="000000" w:sz="4"/>
                    <w:left w:val="non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1级</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2级</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3级</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4320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局部根除区</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宁远镇</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后山村</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官村子、大岩洞以下、新观音、溜溜观山等区域</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巩固防治区</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白鹤滩</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和平村</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白鹤滩电站植物园</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重点防控区</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宁远镇</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福泉村</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福泉村林地、农林结合部和凯地里拉绿化地带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830</w:t>
                  </w: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450</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管制区</w:t>
                  </w:r>
                </w:p>
              </w:tc>
              <w:tc>
                <w:tcPr>
                  <w:tcW w:type="dxa" w:w="475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宁南县园林种苗经营企业</w:t>
                  </w:r>
                </w:p>
              </w:tc>
            </w:tr>
          </w:tbl>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2）开展疫情监测防控服务。</w:t>
            </w:r>
            <w:r>
              <w:rPr>
                <w:rFonts w:ascii="仿宋_GB2312" w:hAnsi="仿宋_GB2312" w:cs="仿宋_GB2312" w:eastAsia="仿宋_GB2312"/>
                <w:sz w:val="24"/>
              </w:rPr>
              <w:t>应用红火蚁监测防控数字系统，对宁南县林管区发生的</w:t>
            </w:r>
            <w:r>
              <w:rPr>
                <w:rFonts w:ascii="仿宋_GB2312" w:hAnsi="仿宋_GB2312" w:cs="仿宋_GB2312" w:eastAsia="仿宋_GB2312"/>
                <w:sz w:val="24"/>
              </w:rPr>
              <w:t>6000亩红火蚁疫情区域实施全面防控，利用红火蚁云采集、云调查等数字化手段，精准记录发生范围、发生程度、蚁巢密度等数据；做好防控分区疫情监测调查，分析疫情扩散危害趋势，做好高危区的监测，为根除防治提供基础数据；依靠监测普查数据，分片、分区因地、因天气施策，用饵剂法、粉剂法（颗粒剂法）或者两步法，分类进行反复多次防控扑杀；分片、分区因地施策，逐步达到根除红火蚁危害的目的。</w:t>
            </w:r>
          </w:p>
          <w:p>
            <w:pPr>
              <w:pStyle w:val="null3"/>
              <w:spacing w:after="120"/>
              <w:ind w:firstLine="482"/>
              <w:jc w:val="both"/>
            </w:pPr>
            <w:r>
              <w:rPr>
                <w:rFonts w:ascii="仿宋_GB2312" w:hAnsi="仿宋_GB2312" w:cs="仿宋_GB2312" w:eastAsia="仿宋_GB2312"/>
                <w:sz w:val="24"/>
                <w:b/>
              </w:rPr>
              <w:t>（</w:t>
            </w:r>
            <w:r>
              <w:rPr>
                <w:rFonts w:ascii="仿宋_GB2312" w:hAnsi="仿宋_GB2312" w:cs="仿宋_GB2312" w:eastAsia="仿宋_GB2312"/>
                <w:sz w:val="24"/>
                <w:b/>
              </w:rPr>
              <w:t>3）选好防控药剂。</w:t>
            </w:r>
            <w:r>
              <w:rPr>
                <w:rFonts w:ascii="仿宋_GB2312" w:hAnsi="仿宋_GB2312" w:cs="仿宋_GB2312" w:eastAsia="仿宋_GB2312"/>
                <w:sz w:val="24"/>
              </w:rPr>
              <w:t>本次红火蚁防治化学药剂采用</w:t>
            </w:r>
            <w:r>
              <w:rPr>
                <w:rFonts w:ascii="仿宋_GB2312" w:hAnsi="仿宋_GB2312" w:cs="仿宋_GB2312" w:eastAsia="仿宋_GB2312"/>
                <w:sz w:val="24"/>
              </w:rPr>
              <w:t>0.1%茚虫威杀蚁饵剂、0.015%多杀霉素饵剂及高效氯氰菊酯杀虫粉剂，药剂总用量5700kg。</w:t>
            </w:r>
            <w:r>
              <w:rPr>
                <w:rFonts w:ascii="仿宋_GB2312" w:hAnsi="仿宋_GB2312" w:cs="仿宋_GB2312" w:eastAsia="仿宋_GB2312"/>
                <w:sz w:val="24"/>
              </w:rPr>
              <w:t>禁止使用剧毒、高毒、高残留农药和致畸、致癌、致突变农药，推荐使用低毒生物源农药，为提高防效选择诱饵和粉剂，多种饵剂轮换使用，防止红火蚁产生抗药性。</w:t>
            </w:r>
            <w:r>
              <w:rPr>
                <w:rFonts w:ascii="仿宋_GB2312" w:hAnsi="仿宋_GB2312" w:cs="仿宋_GB2312" w:eastAsia="仿宋_GB2312"/>
                <w:sz w:val="24"/>
              </w:rPr>
              <w:t>选择微毒红火蚁用药开展防控，针对水体及绿色种植区域注意规范用药，优选红火蚁生物农药进行防控</w:t>
            </w:r>
            <w:r>
              <w:rPr>
                <w:rFonts w:ascii="仿宋_GB2312" w:hAnsi="仿宋_GB2312" w:cs="仿宋_GB2312" w:eastAsia="仿宋_GB2312"/>
                <w:sz w:val="24"/>
              </w:rPr>
              <w:t>，</w:t>
            </w:r>
            <w:r>
              <w:rPr>
                <w:rFonts w:ascii="仿宋_GB2312" w:hAnsi="仿宋_GB2312" w:cs="仿宋_GB2312" w:eastAsia="仿宋_GB2312"/>
                <w:sz w:val="24"/>
              </w:rPr>
              <w:t>选择低毒高效触杀性粉剂进行应急防控</w:t>
            </w:r>
            <w:r>
              <w:rPr>
                <w:rFonts w:ascii="仿宋_GB2312" w:hAnsi="仿宋_GB2312" w:cs="仿宋_GB2312" w:eastAsia="仿宋_GB2312"/>
                <w:sz w:val="24"/>
              </w:rPr>
              <w:t>。</w:t>
            </w:r>
          </w:p>
          <w:p>
            <w:pPr>
              <w:pStyle w:val="null3"/>
              <w:ind w:firstLine="239"/>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茚虫威</w:t>
            </w:r>
            <w:r>
              <w:rPr>
                <w:rFonts w:ascii="仿宋_GB2312" w:hAnsi="仿宋_GB2312" w:cs="仿宋_GB2312" w:eastAsia="仿宋_GB2312"/>
                <w:sz w:val="24"/>
                <w:b/>
              </w:rPr>
              <w:t>杀蚁饵剂</w:t>
            </w:r>
            <w:r>
              <w:rPr>
                <w:rFonts w:ascii="仿宋_GB2312" w:hAnsi="仿宋_GB2312" w:cs="仿宋_GB2312" w:eastAsia="仿宋_GB2312"/>
                <w:sz w:val="24"/>
                <w:b/>
              </w:rPr>
              <w:t>技术</w:t>
            </w:r>
            <w:r>
              <w:rPr>
                <w:rFonts w:ascii="仿宋_GB2312" w:hAnsi="仿宋_GB2312" w:cs="仿宋_GB2312" w:eastAsia="仿宋_GB2312"/>
                <w:sz w:val="24"/>
                <w:b/>
              </w:rPr>
              <w:t>参数</w:t>
            </w:r>
            <w:r>
              <w:br/>
            </w:r>
            <w:r>
              <w:rPr>
                <w:rFonts w:ascii="仿宋_GB2312" w:hAnsi="仿宋_GB2312" w:cs="仿宋_GB2312" w:eastAsia="仿宋_GB2312"/>
                <w:sz w:val="24"/>
              </w:rPr>
              <w:t>红火蚁饵剂总体要求：要求引诱力强、用药量小、杀灭彻底、安全环保、低毒高效、适口性佳、环保高效、无残留、对人畜安全，易于储存。药剂为颗粒状；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剂型：饵剂；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毒性：微毒；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有效成分：</w:t>
            </w:r>
            <w:r>
              <w:rPr>
                <w:rFonts w:ascii="仿宋_GB2312" w:hAnsi="仿宋_GB2312" w:cs="仿宋_GB2312" w:eastAsia="仿宋_GB2312"/>
                <w:sz w:val="24"/>
              </w:rPr>
              <w:t>0.1%茚虫威；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登记的防治对象：红火蚁；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包装规格：</w:t>
            </w:r>
            <w:r>
              <w:rPr>
                <w:rFonts w:ascii="仿宋_GB2312" w:hAnsi="仿宋_GB2312" w:cs="仿宋_GB2312" w:eastAsia="仿宋_GB2312"/>
                <w:sz w:val="24"/>
              </w:rPr>
              <w:t>100g/包，50包/箱；</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所投产品须登记为卫生用农药，具备农药三证（农药登记证、农药生产许可证、农药产品标准）；</w:t>
            </w:r>
            <w:r>
              <w:rPr>
                <w:rFonts w:ascii="仿宋_GB2312" w:hAnsi="仿宋_GB2312" w:cs="仿宋_GB2312" w:eastAsia="仿宋_GB2312"/>
                <w:sz w:val="24"/>
                <w:b/>
              </w:rPr>
              <w:t>（提供证书扫描件加盖供应商电子签章）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防效优良：提供的红火蚁疫情防控专用药剂必须保证对红火蚁疫情有良好的防控效果，要求施药后红火蚁防治效果达</w:t>
            </w:r>
            <w:r>
              <w:rPr>
                <w:rFonts w:ascii="仿宋_GB2312" w:hAnsi="仿宋_GB2312" w:cs="仿宋_GB2312" w:eastAsia="仿宋_GB2312"/>
                <w:sz w:val="24"/>
              </w:rPr>
              <w:t>90%（含90%）以上</w:t>
            </w:r>
            <w:r>
              <w:rPr>
                <w:rFonts w:ascii="仿宋_GB2312" w:hAnsi="仿宋_GB2312" w:cs="仿宋_GB2312" w:eastAsia="仿宋_GB2312"/>
                <w:sz w:val="24"/>
                <w:b/>
              </w:rPr>
              <w:t>；</w:t>
            </w:r>
            <w:r>
              <w:br/>
            </w:r>
            <w:r>
              <w:rPr>
                <w:rFonts w:ascii="仿宋_GB2312" w:hAnsi="仿宋_GB2312" w:cs="仿宋_GB2312" w:eastAsia="仿宋_GB2312"/>
                <w:sz w:val="24"/>
                <w:b/>
              </w:rPr>
              <w:t>2</w:t>
            </w:r>
            <w:r>
              <w:rPr>
                <w:rFonts w:ascii="仿宋_GB2312" w:hAnsi="仿宋_GB2312" w:cs="仿宋_GB2312" w:eastAsia="仿宋_GB2312"/>
                <w:sz w:val="24"/>
                <w:b/>
              </w:rPr>
              <w:t>）多杀霉素杀蚁饵剂</w:t>
            </w:r>
            <w:r>
              <w:rPr>
                <w:rFonts w:ascii="仿宋_GB2312" w:hAnsi="仿宋_GB2312" w:cs="仿宋_GB2312" w:eastAsia="仿宋_GB2312"/>
                <w:sz w:val="24"/>
                <w:b/>
              </w:rPr>
              <w:t>技术</w:t>
            </w:r>
            <w:r>
              <w:rPr>
                <w:rFonts w:ascii="仿宋_GB2312" w:hAnsi="仿宋_GB2312" w:cs="仿宋_GB2312" w:eastAsia="仿宋_GB2312"/>
                <w:sz w:val="24"/>
                <w:b/>
              </w:rPr>
              <w:t>参数</w:t>
            </w:r>
          </w:p>
          <w:p>
            <w:pPr>
              <w:pStyle w:val="null3"/>
              <w:ind w:left="210"/>
              <w:jc w:val="both"/>
            </w:pPr>
            <w:r>
              <w:rPr>
                <w:rFonts w:ascii="仿宋_GB2312" w:hAnsi="仿宋_GB2312" w:cs="仿宋_GB2312" w:eastAsia="仿宋_GB2312"/>
                <w:sz w:val="24"/>
              </w:rPr>
              <w:t>红火蚁饵剂总体要求：药剂为颗粒状，要求引诱力强、用药量小、杀灭彻底、安全环保、低毒高效、适口性佳、环保高效、无残留、对人畜安全，易于储存。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剂型：饵剂；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有效成分：</w:t>
            </w:r>
            <w:r>
              <w:rPr>
                <w:rFonts w:ascii="仿宋_GB2312" w:hAnsi="仿宋_GB2312" w:cs="仿宋_GB2312" w:eastAsia="仿宋_GB2312"/>
                <w:sz w:val="24"/>
              </w:rPr>
              <w:t>0.015%多杀霉素；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毒性：</w:t>
            </w:r>
            <w:r>
              <w:rPr>
                <w:rFonts w:ascii="仿宋_GB2312" w:hAnsi="仿宋_GB2312" w:cs="仿宋_GB2312" w:eastAsia="仿宋_GB2312"/>
                <w:sz w:val="24"/>
              </w:rPr>
              <w:t>微毒</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登记的防治对象：红火蚁；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包装规格：</w:t>
            </w:r>
            <w:r>
              <w:rPr>
                <w:rFonts w:ascii="仿宋_GB2312" w:hAnsi="仿宋_GB2312" w:cs="仿宋_GB2312" w:eastAsia="仿宋_GB2312"/>
                <w:sz w:val="24"/>
              </w:rPr>
              <w:t>100g/包，50 包/箱；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所投产品须登记为卫生用农药，具备农药三证（农药登记证、农药生产许可证、农药产品标准）；</w:t>
            </w:r>
            <w:r>
              <w:rPr>
                <w:rFonts w:ascii="仿宋_GB2312" w:hAnsi="仿宋_GB2312" w:cs="仿宋_GB2312" w:eastAsia="仿宋_GB2312"/>
                <w:sz w:val="24"/>
                <w:b/>
              </w:rPr>
              <w:t>（提供证书扫描件加盖供应商电子签章）</w:t>
            </w:r>
          </w:p>
          <w:p>
            <w:pPr>
              <w:pStyle w:val="null3"/>
              <w:ind w:firstLine="239"/>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高效氯氰菊酯杀虫粉剂技术参数</w:t>
            </w:r>
          </w:p>
          <w:p>
            <w:pPr>
              <w:pStyle w:val="null3"/>
              <w:ind w:left="210" w:firstLine="240"/>
              <w:jc w:val="left"/>
            </w:pPr>
            <w:r>
              <w:rPr>
                <w:rFonts w:ascii="仿宋_GB2312" w:hAnsi="仿宋_GB2312" w:cs="仿宋_GB2312" w:eastAsia="仿宋_GB2312"/>
                <w:sz w:val="24"/>
              </w:rPr>
              <w:t>红火蚁粉剂总体要求：要求高粘附性、用药量小、杀灭彻底、安全环保、低毒高效、防水性能、环保高效、无残留、对人畜安全，易于储存。药剂为粉状。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剂型：粉剂；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有效成分：</w:t>
            </w:r>
            <w:r>
              <w:rPr>
                <w:rFonts w:ascii="仿宋_GB2312" w:hAnsi="仿宋_GB2312" w:cs="仿宋_GB2312" w:eastAsia="仿宋_GB2312"/>
                <w:sz w:val="24"/>
              </w:rPr>
              <w:t>≥0.1%的高效氯氰菊酯；</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毒性：低毒；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登记的防治对象：红火蚁；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包装规格：</w:t>
            </w:r>
            <w:r>
              <w:rPr>
                <w:rFonts w:ascii="仿宋_GB2312" w:hAnsi="仿宋_GB2312" w:cs="仿宋_GB2312" w:eastAsia="仿宋_GB2312"/>
                <w:sz w:val="24"/>
              </w:rPr>
              <w:t>250g/瓶,20瓶/箱，包装瓶瓶盖有施药孔；</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所投产品须登记为卫生用农药，具备农药三证（农药登记证、农药生产许可证、农药产品标准）；</w:t>
            </w:r>
            <w:r>
              <w:rPr>
                <w:rFonts w:ascii="仿宋_GB2312" w:hAnsi="仿宋_GB2312" w:cs="仿宋_GB2312" w:eastAsia="仿宋_GB2312"/>
                <w:sz w:val="24"/>
                <w:b/>
              </w:rPr>
              <w:t>（提供证书扫描件加盖供应商电子签章）</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4）开展宣传培训，深化技术服务</w:t>
            </w:r>
          </w:p>
          <w:p>
            <w:pPr>
              <w:pStyle w:val="null3"/>
              <w:ind w:firstLine="480"/>
              <w:jc w:val="left"/>
            </w:pPr>
            <w:r>
              <w:rPr>
                <w:rFonts w:ascii="仿宋_GB2312" w:hAnsi="仿宋_GB2312" w:cs="仿宋_GB2312" w:eastAsia="仿宋_GB2312"/>
                <w:sz w:val="24"/>
              </w:rPr>
              <w:t>为抓好红火蚁防治，林草局广泛开展红火蚁宣传培训，通过印发宣传册、张贴海报挂图、现场观摩、科技下乡、制作科普短视频等方式，利用各类媒体平台，将红火蚁识别防控和防护救治等知识普及推广到千家万户</w:t>
            </w:r>
            <w:r>
              <w:rPr>
                <w:rFonts w:ascii="仿宋_GB2312" w:hAnsi="仿宋_GB2312" w:cs="仿宋_GB2312" w:eastAsia="仿宋_GB2312"/>
                <w:sz w:val="24"/>
              </w:rPr>
              <w:t>;发生区要在风险高、人流量大等公共区域设置警示标志，提升全社会特别是重点区域、重点人群的防控及防范能力。建立县、镇(社区)红火蚁防控技术指导服务体系，为群众提供红火蚁识别、安全防范和科学选药用药等指导服务。加强安全管理，做好应急措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供应商全部回收农药包装废弃物，并交由有资源的机构资源化利用或无害处理。</w:t>
            </w:r>
            <w:r>
              <w:rPr>
                <w:rFonts w:ascii="仿宋_GB2312" w:hAnsi="仿宋_GB2312" w:cs="仿宋_GB2312" w:eastAsia="仿宋_GB2312"/>
                <w:sz w:val="24"/>
                <w:b/>
              </w:rPr>
              <w:t>（单独提供承诺函</w:t>
            </w:r>
            <w:r>
              <w:rPr>
                <w:rFonts w:ascii="仿宋_GB2312" w:hAnsi="仿宋_GB2312" w:cs="仿宋_GB2312" w:eastAsia="仿宋_GB2312"/>
                <w:sz w:val="24"/>
                <w:b/>
              </w:rPr>
              <w:t>电子签章</w:t>
            </w:r>
            <w:r>
              <w:rPr>
                <w:rFonts w:ascii="仿宋_GB2312" w:hAnsi="仿宋_GB2312" w:cs="仿宋_GB2312" w:eastAsia="仿宋_GB2312"/>
                <w:sz w:val="24"/>
                <w:b/>
              </w:rPr>
              <w:t>，格式自拟）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（一）安全要求</w:t>
            </w:r>
          </w:p>
        </w:tc>
        <w:tc>
          <w:tcPr>
            <w:tcW w:type="dxa" w:w="5814"/>
          </w:tcPr>
          <w:p>
            <w:pPr>
              <w:pStyle w:val="null3"/>
              <w:jc w:val="both"/>
            </w:pPr>
            <w:r>
              <w:rPr>
                <w:rFonts w:ascii="仿宋_GB2312" w:hAnsi="仿宋_GB2312" w:cs="仿宋_GB2312" w:eastAsia="仿宋_GB2312"/>
                <w:sz w:val="24"/>
              </w:rPr>
              <w:t>在该项目实施过程中，成交供应商对所产生的安全责任负责。</w:t>
            </w:r>
            <w:r>
              <w:rPr>
                <w:rFonts w:ascii="仿宋_GB2312" w:hAnsi="仿宋_GB2312" w:cs="仿宋_GB2312" w:eastAsia="仿宋_GB2312"/>
                <w:sz w:val="21"/>
                <w:b/>
              </w:rPr>
              <w:t>（单独提供承诺函</w:t>
            </w:r>
            <w:r>
              <w:rPr>
                <w:rFonts w:ascii="仿宋_GB2312" w:hAnsi="仿宋_GB2312" w:cs="仿宋_GB2312" w:eastAsia="仿宋_GB2312"/>
                <w:sz w:val="21"/>
                <w:b/>
              </w:rPr>
              <w:t>电子签章</w:t>
            </w:r>
            <w:r>
              <w:rPr>
                <w:rFonts w:ascii="仿宋_GB2312" w:hAnsi="仿宋_GB2312" w:cs="仿宋_GB2312" w:eastAsia="仿宋_GB2312"/>
                <w:sz w:val="21"/>
                <w:b/>
              </w:rPr>
              <w:t>，格式自拟）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签订合同之日起至2026年9月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宁南县宁远镇福泉村，宁远镇后山村和白鹤滩镇和平村林管区内红火蚁发生区域。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严格按照第二章供应商须知“2.6.6履约验收方案”执行。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1、首款，合同签订后，中标供应商进场后（因系统固化原因，支付时限按工作日执行），达到付款条件起15日内，支付合同总金额的30.00%</w:t>
            </w:r>
          </w:p>
          <w:p>
            <w:pPr>
              <w:pStyle w:val="null3"/>
              <w:jc w:val="left"/>
            </w:pPr>
            <w:r>
              <w:rPr>
                <w:rFonts w:ascii="仿宋_GB2312" w:hAnsi="仿宋_GB2312" w:cs="仿宋_GB2312" w:eastAsia="仿宋_GB2312"/>
              </w:rPr>
              <w:t>2、进度款，完成监测普查、专业化防控等工作后（因系统固化原因，支付时限按工作日执行），达到付款条件起15日内，支付合同总金额的20.00%</w:t>
            </w:r>
          </w:p>
          <w:p>
            <w:pPr>
              <w:pStyle w:val="null3"/>
              <w:jc w:val="left"/>
            </w:pPr>
            <w:r>
              <w:rPr>
                <w:rFonts w:ascii="仿宋_GB2312" w:hAnsi="仿宋_GB2312" w:cs="仿宋_GB2312" w:eastAsia="仿宋_GB2312"/>
              </w:rPr>
              <w:t>3、尾款，采购人组织检查，所有防控区域无红火蚁活体后，连续9个月保持根除效果100%，通过项目验收后（因系统固化原因，支付时限按工作日执行），达到付款条件起15日内，支付合同总金额的50.00%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（一）其他要求（评审因素） （1）供应商提供的实施方案，内容包括但不限于：①项目整体实施方案；②人员配备方案；③物资设备管理方案；④服务质量保障措施；⑤环境保护措施； （2）供应商提供的应急预案方案，内容包括但不限于：①应急管理制度；②应急处置配置；③应急处置方式；④应急响应时间；⑤突发事故状况应急方案； （3）供应商具备相关履约能力，根据自身情况配置相关服务人员和设备。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第三章“技术、服务及其他要求”均可。</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第七章“拟签订采购合同文本”均可。</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加盖供应商公章） 银行、保险、石油石化、电力、电信行业由分机构参与投标的均视为具有独立承担民事责任的能力，不得因其为负责人形式而认定不符合《中华人民共和国政府采购法》第二十二条第一款规定。</w:t>
            </w:r>
          </w:p>
        </w:tc>
        <w:tc>
          <w:tcPr>
            <w:tcW w:type="dxa" w:w="1910"/>
          </w:tcPr>
          <w:p>
            <w:pPr>
              <w:pStyle w:val="null3"/>
              <w:jc w:val="left"/>
            </w:pPr>
            <w:r>
              <w:rPr>
                <w:rFonts w:ascii="仿宋_GB2312" w:hAnsi="仿宋_GB2312" w:cs="仿宋_GB2312" w:eastAsia="仿宋_GB2312"/>
              </w:rPr>
              <w:t>具有独立承担民事责任能力的证明材料.docx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年以来任意一年度经审计的财务审计报告复印件（至少包含报告本身以及报告中提及的财务报表），②也可提供2023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投标人公章），⑤也可提供具有健全的财务会计制度的承诺函原件（承诺函格式自拟）；【电子标：（①-④复印件并进行电子签章；⑤承诺函格式自拟并进行电子签章。以上五项提供任意一项即可）】</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其他供应商认为需要提供的文件和资料.docx,投标（响应）函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低于成本价不正当竞争预防措施。</w:t>
            </w:r>
          </w:p>
        </w:tc>
        <w:tc>
          <w:tcPr>
            <w:tcW w:type="dxa" w:w="3322"/>
          </w:tcPr>
          <w:p>
            <w:pPr>
              <w:pStyle w:val="null3"/>
              <w:jc w:val="left"/>
            </w:pPr>
            <w:r>
              <w:rPr>
                <w:rFonts w:ascii="仿宋_GB2312" w:hAnsi="仿宋_GB2312" w:cs="仿宋_GB2312" w:eastAsia="仿宋_GB2312"/>
              </w:rPr>
              <w:t>1.在评标过程中，磋商小组认为供应商报价低于采购预算 50%或者低于其他有效供应商报价算术平均价 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磋商文件中的明确要求进行单独响应或提供证明材料或承诺的实质性要求。</w:t>
            </w:r>
          </w:p>
        </w:tc>
        <w:tc>
          <w:tcPr>
            <w:tcW w:type="dxa" w:w="1910"/>
          </w:tcPr>
          <w:p>
            <w:pPr>
              <w:pStyle w:val="null3"/>
              <w:jc w:val="left"/>
            </w:pPr>
            <w:r>
              <w:rPr>
                <w:rFonts w:ascii="仿宋_GB2312" w:hAnsi="仿宋_GB2312" w:cs="仿宋_GB2312" w:eastAsia="仿宋_GB2312"/>
              </w:rPr>
              <w:t>响应文件封面,其他供应商认为需要提供的文件和资料.docx,技术、服务及其他要求应答表.docx,知识产权声明函.docx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采购需求指标响应</w:t>
            </w:r>
          </w:p>
        </w:tc>
        <w:tc>
          <w:tcPr>
            <w:tcW w:type="dxa" w:w="2575"/>
          </w:tcPr>
          <w:p>
            <w:pPr>
              <w:pStyle w:val="null3"/>
              <w:jc w:val="left"/>
            </w:pPr>
            <w:r>
              <w:rPr>
                <w:rFonts w:ascii="仿宋_GB2312" w:hAnsi="仿宋_GB2312" w:cs="仿宋_GB2312" w:eastAsia="仿宋_GB2312"/>
              </w:rPr>
              <w:t>根据供应商对“（二）项目服务内容”中带▲条款（共16项）的响应进行评分，完全响应▲条款要求的得16分，每负偏离一项扣1分，扣完为止。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实施方案进行综合评审，内容包括但不限于：①项目整体实施方案；②人员配备方案；③物资设备管理方案；④服务质量保障措施；⑤环境保护措施，方案符合采购文件要求的得20分，每有一项缺项或漏项扣4分，每有一项内容有缺陷扣2分，扣完为止。 备注：内容缺陷是指非专门针对本项目或不适用项目特性的情形、内容不完整或缺少关键节点、套用其他项目方案、内容前后矛盾、涉及的规范及标准错误、不利于项目实施、不可能实现的情形任意一种情形。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提供的应急预案进行综合评审，内容包括但不限于：①应急管理制度；②应急处置配置；③应急处置方式；④应急响应时间；⑤突发事故状况应急方案，方案符合采购文件要求的得15分，每有一项缺项或漏项扣3分，每有一项内容有缺陷扣1.5分，扣完为止。 备注：内容缺陷是指非专门针对本项目或不适用项目特性的情形、内容不完整或缺少关键节点、套用其他项目方案、内容前后矛盾、涉及的规范及标准错误、不利于项目实施、不可能实现的情形任意一种情形。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供应商自2021年1月1日以来具有类似项目业绩，每提供一个得3分，本项最高得9分。（类似业绩是指红火蚁防控或病虫害防治类相关业绩） 备注：提供中标/成交通知书或合同（以签订时间为准）扫描件加盖供应商电子签章。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（1）供应商针对本项目拟派的技术人员,每有1人具有农业类或林业类或林草类相关专业高级职称的得4分，最高得8分。 （2）供应商针对本项目拟派的技术人员，每有1人具有农用无人机操作手合格证，每提供一个得2分，最高得6分。 备注：①以上人员不重复计分；②提供人员相关证书的证明材料扫描件加盖电子签章。</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供应商本项目拟配人员情况表.docx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拟投入本项目监测防控专用汽车1辆的得4分，每增加1辆得1分，最高得8分，未提供的不得分。（自有车辆机动车行驶证扫描件加盖供应商电子签章；租赁车辆提供租赁协议扫描件加盖供应商电子签章，未提供或提供不全的不得分） （2）拟投入本项目使用的农用无人机设备1台的4分，最高得8分，未提供的不得分。 注：若无人机为自有设备需提供无人机购置发票、农用无人机实名登记及投保责任人保险的登记证明材料扫描件加盖供应商电子签章；若租赁设备需提供租赁协议、农用无人机实名登记及投保责任人保险的登记证明材料扫描件加盖供应商电子签章（且租赁有效期覆盖本项目服务期限）；不提供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其他供应商认为需要提供的文件和资料.docx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详见附件：具有独立承担民事责任能力的证明材料.docx</w:t>
      </w:r>
    </w:p>
    <w:p>
      <w:pPr>
        <w:pStyle w:val="null3"/>
        <w:ind w:firstLine="960"/>
        <w:jc w:val="left"/>
      </w:pPr>
      <w:r>
        <w:rPr>
          <w:rFonts w:ascii="仿宋_GB2312" w:hAnsi="仿宋_GB2312" w:cs="仿宋_GB2312" w:eastAsia="仿宋_GB2312"/>
        </w:rPr>
        <w:t>详见附件：其他供应商认为需要提供的文件和资料.docx</w:t>
      </w:r>
    </w:p>
    <w:p>
      <w:pPr>
        <w:pStyle w:val="null3"/>
        <w:ind w:firstLine="960"/>
        <w:jc w:val="left"/>
      </w:pPr>
      <w:r>
        <w:rPr>
          <w:rFonts w:ascii="仿宋_GB2312" w:hAnsi="仿宋_GB2312" w:cs="仿宋_GB2312" w:eastAsia="仿宋_GB2312"/>
        </w:rPr>
        <w:t>详见附件：知识产权声明函.docx</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详见附件：供应商本项目拟配人员情况表.docx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