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0BFF1"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  <w:t>供应商提供截至响应文件提交截止之日前三年内任意一年，经审计的财务报告（包含审计报告和审计报告中所涉及的财务报表和报表附注）或者银行出具的资信证明。未经审计的提供财务报告（包括资产负债表、利润表、现金流量表、所有者权益变动表及其附注）。供应商注册时间截至响应文件提交截止之日前不足一年的，也可提供在相关主管部门备案的公司章程等证明材料。供应商需在使用投标(响应)客户端编制响应文件时，按要求上传相应证明材料并进行电子签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4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2025-04-08T13:34:15Z</dcterms:created>
  <dc:creator>Administrator</dc:creator>
  <cp:lastModifiedBy>天宇</cp:lastModifiedBy>
  <dcterms:modified xsi:type="dcterms:W3CDTF">2025-04-08T13:34:19Z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eyJoZGlkIjoiN2VkMGIyM2U1ZmUyYzk3YzkxYWE0ZWNhZDYzNmUyNmQiLCJ1c2VySWQiOiI2MTE3MTk3MTgifQ==</vt:lpwstr>
  </property>
  <property fmtid="{D5CDD505-2E9C-101B-9397-08002B2CF9AE}" pid="4" name="ICV">
    <vt:lpwstr>E22CF53829174C8BA6F5EC71CDCBBA38_12</vt:lpwstr>
  </property>
</Properties>
</file>