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版本号：N513325202500002920250411002</w:t>
      </w:r>
    </w:p>
    <w:p>
      <w:pPr>
        <w:pStyle w:val="null3"/>
        <w:jc w:val="center"/>
        <w:outlineLvl w:val="0"/>
      </w:pPr>
      <w:r>
        <w:rPr>
          <w:rFonts w:ascii="仿宋_GB2312" w:hAnsi="仿宋_GB2312" w:cs="仿宋_GB2312" w:eastAsia="仿宋_GB2312"/>
          <w:sz w:val="48"/>
          <w:b/>
        </w:rPr>
        <w:t>竞 争 性 磋 商 文 件</w:t>
      </w:r>
    </w:p>
    <w:p>
      <w:pPr>
        <w:pStyle w:val="null3"/>
        <w:jc w:val="center"/>
        <w:outlineLvl w:val="0"/>
      </w:pPr>
      <w:r>
        <w:rPr>
          <w:rFonts w:ascii="仿宋_GB2312" w:hAnsi="仿宋_GB2312" w:cs="仿宋_GB2312" w:eastAsia="仿宋_GB2312"/>
          <w:sz w:val="48"/>
          <w:b/>
        </w:rPr>
        <w:t>（服务类）</w:t>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雅江县地方综合性应急救援大队食堂食材配送服务采购项目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N5133252025000029</w:t>
      </w:r>
    </w:p>
    <w:p>
      <w:pPr>
        <w:pStyle w:val="null3"/>
        <w:jc w:val="center"/>
        <w:outlineLvl w:val="2"/>
      </w:pPr>
      <w:r>
        <w:rPr>
          <w:rFonts w:ascii="仿宋_GB2312" w:hAnsi="仿宋_GB2312" w:cs="仿宋_GB2312" w:eastAsia="仿宋_GB2312"/>
          <w:sz w:val="28"/>
          <w:b/>
        </w:rPr>
        <w:t>雅江县应急管理局</w:t>
      </w:r>
    </w:p>
    <w:p>
      <w:pPr>
        <w:pStyle w:val="null3"/>
        <w:jc w:val="center"/>
        <w:outlineLvl w:val="2"/>
      </w:pPr>
      <w:r>
        <w:rPr>
          <w:rFonts w:ascii="仿宋_GB2312" w:hAnsi="仿宋_GB2312" w:cs="仿宋_GB2312" w:eastAsia="仿宋_GB2312"/>
          <w:sz w:val="28"/>
          <w:b/>
        </w:rPr>
        <w:t>四川辰熠招标代理有限公司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2025年04月11日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jc w:val="left"/>
      </w:pPr>
      <w:r>
        <w:rPr>
          <w:rFonts w:ascii="仿宋_GB2312" w:hAnsi="仿宋_GB2312" w:cs="仿宋_GB2312" w:eastAsia="仿宋_GB2312"/>
        </w:rPr>
        <w:t>四川辰熠招标代理有限公司</w:t>
      </w:r>
      <w:r>
        <w:rPr>
          <w:rFonts w:ascii="仿宋_GB2312" w:hAnsi="仿宋_GB2312" w:cs="仿宋_GB2312" w:eastAsia="仿宋_GB2312"/>
        </w:rPr>
        <w:t xml:space="preserve"> （以下简称“代理机构”）受 </w:t>
      </w:r>
      <w:r>
        <w:rPr>
          <w:rFonts w:ascii="仿宋_GB2312" w:hAnsi="仿宋_GB2312" w:cs="仿宋_GB2312" w:eastAsia="仿宋_GB2312"/>
        </w:rPr>
        <w:t>雅江县应急管理局</w:t>
      </w:r>
      <w:r>
        <w:rPr>
          <w:rFonts w:ascii="仿宋_GB2312" w:hAnsi="仿宋_GB2312" w:cs="仿宋_GB2312" w:eastAsia="仿宋_GB2312"/>
        </w:rPr>
        <w:t xml:space="preserve"> 委托，拟对 </w:t>
      </w:r>
      <w:r>
        <w:rPr>
          <w:rFonts w:ascii="仿宋_GB2312" w:hAnsi="仿宋_GB2312" w:cs="仿宋_GB2312" w:eastAsia="仿宋_GB2312"/>
        </w:rPr>
        <w:t>雅江县地方综合性应急救援大队食堂食材配送服务采购项目</w:t>
      </w:r>
      <w:r>
        <w:rPr>
          <w:rFonts w:ascii="仿宋_GB2312" w:hAnsi="仿宋_GB2312" w:cs="仿宋_GB2312" w:eastAsia="仿宋_GB2312"/>
        </w:rPr>
        <w:t xml:space="preserve"> 采用竞争性磋商采购方式进行采购，兹邀请符合资格条件的供应商参加磋商，本项目为四川省</w:t>
      </w:r>
      <w:r>
        <w:rPr>
          <w:rFonts w:ascii="仿宋_GB2312" w:hAnsi="仿宋_GB2312" w:cs="仿宋_GB2312" w:eastAsia="仿宋_GB2312"/>
        </w:rPr>
        <w:t>甘孜藏族自治州雅江县</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 </w:t>
      </w:r>
      <w:r>
        <w:rPr>
          <w:rFonts w:ascii="仿宋_GB2312" w:hAnsi="仿宋_GB2312" w:cs="仿宋_GB2312" w:eastAsia="仿宋_GB2312"/>
          <w:sz w:val="28"/>
          <w:b/>
        </w:rPr>
        <w:t>N5133252025000029</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 </w:t>
      </w:r>
      <w:r>
        <w:rPr>
          <w:rFonts w:ascii="仿宋_GB2312" w:hAnsi="仿宋_GB2312" w:cs="仿宋_GB2312" w:eastAsia="仿宋_GB2312"/>
          <w:sz w:val="28"/>
          <w:b/>
        </w:rPr>
        <w:t>雅江县地方综合性应急救援大队食堂食材配送服务采购项目</w:t>
      </w:r>
    </w:p>
    <w:p>
      <w:pPr>
        <w:pStyle w:val="null3"/>
        <w:jc w:val="left"/>
        <w:outlineLvl w:val="2"/>
      </w:pPr>
      <w:r>
        <w:rPr>
          <w:rFonts w:ascii="仿宋_GB2312" w:hAnsi="仿宋_GB2312" w:cs="仿宋_GB2312" w:eastAsia="仿宋_GB2312"/>
          <w:sz w:val="28"/>
          <w:b/>
        </w:rPr>
        <w:t>1.3.磋商项目简介</w:t>
      </w:r>
    </w:p>
    <w:p>
      <w:pPr>
        <w:pStyle w:val="null3"/>
        <w:ind w:firstLine="480"/>
        <w:jc w:val="left"/>
      </w:pPr>
      <w:r>
        <w:rPr>
          <w:rFonts w:ascii="仿宋_GB2312" w:hAnsi="仿宋_GB2312" w:cs="仿宋_GB2312" w:eastAsia="仿宋_GB2312"/>
        </w:rPr>
        <w:t>本项目为雅江县地方综合性应急救援大队食堂食材配送服务采购项目，共分3个包。供应商提供的所有食材须符合国家的相关标准和要求，达到相关食品卫生安全规定，保证所供食材配送到指定地点时的质量、卫生和安全。</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本项目以发布公告的方式邀请供应商参加磋商。公告在四川政府采购网(www.ccgp-sichuan.gov.cn)发布。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采购包2：专门面向中小企业采购。</w:t>
      </w:r>
    </w:p>
    <w:p>
      <w:pPr>
        <w:pStyle w:val="null3"/>
        <w:jc w:val="left"/>
      </w:pPr>
      <w:r>
        <w:rPr>
          <w:rFonts w:ascii="仿宋_GB2312" w:hAnsi="仿宋_GB2312" w:cs="仿宋_GB2312" w:eastAsia="仿宋_GB2312"/>
        </w:rPr>
        <w:t>采购包3：专门面向中小企业采购。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供应商提供《食品经营许可证》或《食品经营许可备案电子证书》或仅销售预包装食品经营者备案证明材料（描述：供应商提供《食品经营许可证》或《食品经营许可备案电子证书》或仅销售预包装食品经营者备案证明材料（提供复印件并进行电子签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1.7.磋商文件获取时间、方式及地址</w:t>
      </w:r>
    </w:p>
    <w:p>
      <w:pPr>
        <w:pStyle w:val="null3"/>
        <w:ind w:firstLine="480"/>
        <w:jc w:val="left"/>
      </w:pPr>
      <w:r>
        <w:rPr>
          <w:rFonts w:ascii="仿宋_GB2312" w:hAnsi="仿宋_GB2312" w:cs="仿宋_GB2312" w:eastAsia="仿宋_GB2312"/>
        </w:rPr>
        <w:t xml:space="preserve"> 一、磋商文件获取时间：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rFonts w:ascii="仿宋_GB2312" w:hAnsi="仿宋_GB2312" w:cs="仿宋_GB2312" w:eastAsia="仿宋_GB2312"/>
        </w:rPr>
        <w:t>注：获取的磋商文件由正文和附件组成，正文部分包括pdf、word两种格式版本，如内容有不一致的，以pdf格式内容为准。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 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 xml:space="preserve"> ： </w:t>
      </w:r>
      <w:r>
        <w:rPr>
          <w:rFonts w:ascii="仿宋_GB2312" w:hAnsi="仿宋_GB2312" w:cs="仿宋_GB2312" w:eastAsia="仿宋_GB2312"/>
          <w:sz w:val="24"/>
          <w:b/>
        </w:rPr>
        <w:t>雅江县应急管理局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雅江县政府五楼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627450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斯朗益西</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14708188422</w:t>
      </w:r>
    </w:p>
    <w:p>
      <w:pPr>
        <w:pStyle w:val="null3"/>
        <w:ind w:firstLine="480"/>
        <w:jc w:val="left"/>
        <w:outlineLvl w:val="3"/>
      </w:pPr>
      <w:r>
        <w:rPr>
          <w:rFonts w:ascii="仿宋_GB2312" w:hAnsi="仿宋_GB2312" w:cs="仿宋_GB2312" w:eastAsia="仿宋_GB2312"/>
          <w:sz w:val="24"/>
          <w:b/>
        </w:rPr>
        <w:t>代理机构</w:t>
      </w:r>
      <w:r>
        <w:rPr>
          <w:rFonts w:ascii="仿宋_GB2312" w:hAnsi="仿宋_GB2312" w:cs="仿宋_GB2312" w:eastAsia="仿宋_GB2312"/>
          <w:sz w:val="24"/>
          <w:b/>
        </w:rPr>
        <w:t xml:space="preserve"> ： </w:t>
      </w:r>
      <w:r>
        <w:rPr>
          <w:rFonts w:ascii="仿宋_GB2312" w:hAnsi="仿宋_GB2312" w:cs="仿宋_GB2312" w:eastAsia="仿宋_GB2312"/>
          <w:sz w:val="24"/>
          <w:b/>
        </w:rPr>
        <w:t>四川辰熠招标代理有限公司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四川省成都市武侯区星狮路711号1栋2单元7层706号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610043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向女士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 xml:space="preserve"> 028-87716857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采购包1：1,030,000.00元</w:t>
            </w:r>
          </w:p>
          <w:p>
            <w:pPr>
              <w:pStyle w:val="null3"/>
              <w:jc w:val="left"/>
            </w:pPr>
            <w:r>
              <w:rPr>
                <w:rFonts w:ascii="仿宋_GB2312" w:hAnsi="仿宋_GB2312" w:cs="仿宋_GB2312" w:eastAsia="仿宋_GB2312"/>
              </w:rPr>
              <w:t>采购包2：790,000.00元</w:t>
            </w:r>
          </w:p>
          <w:p>
            <w:pPr>
              <w:pStyle w:val="null3"/>
              <w:jc w:val="left"/>
            </w:pPr>
            <w:r>
              <w:rPr>
                <w:rFonts w:ascii="仿宋_GB2312" w:hAnsi="仿宋_GB2312" w:cs="仿宋_GB2312" w:eastAsia="仿宋_GB2312"/>
              </w:rPr>
              <w:t>采购包3：1,120,000.00元</w:t>
            </w:r>
          </w:p>
          <w:p>
            <w:pPr>
              <w:pStyle w:val="null3"/>
              <w:jc w:val="left"/>
            </w:pPr>
            <w:r>
              <w:rPr>
                <w:rFonts w:ascii="仿宋_GB2312" w:hAnsi="仿宋_GB2312" w:cs="仿宋_GB2312" w:eastAsia="仿宋_GB2312"/>
              </w:rPr>
              <w:t>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综合评分法(具体规则详见第五章)。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采购包2：不接受联合体</w:t>
            </w:r>
          </w:p>
          <w:p>
            <w:pPr>
              <w:pStyle w:val="null3"/>
              <w:jc w:val="left"/>
            </w:pPr>
            <w:r>
              <w:rPr>
                <w:rFonts w:ascii="仿宋_GB2312" w:hAnsi="仿宋_GB2312" w:cs="仿宋_GB2312" w:eastAsia="仿宋_GB2312"/>
              </w:rPr>
              <w:t>采购包3：不接受联合体</w:t>
            </w:r>
          </w:p>
          <w:p>
            <w:pPr>
              <w:pStyle w:val="null3"/>
              <w:jc w:val="left"/>
            </w:pPr>
            <w:r>
              <w:rPr>
                <w:rFonts w:ascii="仿宋_GB2312" w:hAnsi="仿宋_GB2312" w:cs="仿宋_GB2312" w:eastAsia="仿宋_GB2312"/>
              </w:rPr>
              <w:t>如接受联合体，需符合以下要求：</w:t>
            </w:r>
          </w:p>
          <w:p>
            <w:pPr>
              <w:pStyle w:val="null3"/>
              <w:jc w:val="left"/>
            </w:pPr>
            <w:r>
              <w:rPr>
                <w:rFonts w:ascii="仿宋_GB2312" w:hAnsi="仿宋_GB2312" w:cs="仿宋_GB2312" w:eastAsia="仿宋_GB2312"/>
              </w:rPr>
              <w:t>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是否为特殊性质项目</w:t>
            </w:r>
          </w:p>
        </w:tc>
        <w:tc>
          <w:tcPr>
            <w:tcW w:type="dxa" w:w="5004"/>
          </w:tcPr>
          <w:p>
            <w:pPr>
              <w:pStyle w:val="null3"/>
              <w:jc w:val="left"/>
            </w:pPr>
            <w:r>
              <w:rPr>
                <w:rFonts w:ascii="仿宋_GB2312" w:hAnsi="仿宋_GB2312" w:cs="仿宋_GB2312" w:eastAsia="仿宋_GB2312"/>
              </w:rPr>
              <w:t>政府购买服务项目（含政府和社会资本合作项目）：否</w:t>
            </w:r>
          </w:p>
          <w:p>
            <w:pPr>
              <w:pStyle w:val="null3"/>
              <w:jc w:val="left"/>
            </w:pPr>
            <w:r>
              <w:rPr>
                <w:rFonts w:ascii="仿宋_GB2312" w:hAnsi="仿宋_GB2312" w:cs="仿宋_GB2312" w:eastAsia="仿宋_GB2312"/>
              </w:rPr>
              <w:t>市场竞争不充分的科研项目：否</w:t>
            </w:r>
          </w:p>
          <w:p>
            <w:pPr>
              <w:pStyle w:val="null3"/>
              <w:jc w:val="left"/>
            </w:pPr>
            <w:r>
              <w:rPr>
                <w:rFonts w:ascii="仿宋_GB2312" w:hAnsi="仿宋_GB2312" w:cs="仿宋_GB2312" w:eastAsia="仿宋_GB2312"/>
              </w:rPr>
              <w:t>需要扶持的科技成果转化项目：否</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是否属于签订不超过3年履行期限政府采购合同的项目：否</w:t>
            </w:r>
          </w:p>
          <w:p>
            <w:pPr>
              <w:pStyle w:val="null3"/>
              <w:jc w:val="left"/>
            </w:pP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p>
            <w:pPr>
              <w:pStyle w:val="null3"/>
              <w:jc w:val="left"/>
            </w:pPr>
            <w:r>
              <w:rPr>
                <w:rFonts w:ascii="仿宋_GB2312" w:hAnsi="仿宋_GB2312" w:cs="仿宋_GB2312" w:eastAsia="仿宋_GB2312"/>
              </w:rPr>
              <w:t>采购包2：不收取</w:t>
            </w:r>
          </w:p>
          <w:p>
            <w:pPr>
              <w:pStyle w:val="null3"/>
              <w:jc w:val="left"/>
            </w:pPr>
            <w:r>
              <w:rPr>
                <w:rFonts w:ascii="仿宋_GB2312" w:hAnsi="仿宋_GB2312" w:cs="仿宋_GB2312" w:eastAsia="仿宋_GB2312"/>
              </w:rPr>
              <w:t>采购包3：不收取</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按照成本加合理利润的原则进行收取，由成交单位支付，成交单位在领取成交通知书时与代理机构结算招标代理服务费。本项目代理服务费采购包1收取15240.00元，采购包2收取11850.00元，采购包3收取15960.00元。收款单位：四川辰熠招标代理有限公司。 开户行：中国民生银行股份有限公司新津支行。 银行账号：639021824。 联系人：向女士；联系电话：028-87716867 （财务室）。特别注意：请在备注栏必须填写“采购文件项目编号”代理服务费! 2、招标代理服务费交纳完成后，可按照以下温馨提示开具发票：供应商发送申请信息至Cyzb555@163.com邮箱，发票开具后将直接发送至原申请开票邮箱。（邮件名称：申请开具发票金额XX元；邮件内容需明确：项目名称、付款截图、联系人、联系电话，开票信息注明专票/普票）。</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p>
            <w:pPr>
              <w:pStyle w:val="null3"/>
              <w:jc w:val="left"/>
            </w:pPr>
            <w:r>
              <w:rPr>
                <w:rFonts w:ascii="仿宋_GB2312" w:hAnsi="仿宋_GB2312" w:cs="仿宋_GB2312" w:eastAsia="仿宋_GB2312"/>
              </w:rPr>
              <w:t>采购包2：否</w:t>
            </w:r>
          </w:p>
          <w:p>
            <w:pPr>
              <w:pStyle w:val="null3"/>
              <w:jc w:val="left"/>
            </w:pPr>
            <w:r>
              <w:rPr>
                <w:rFonts w:ascii="仿宋_GB2312" w:hAnsi="仿宋_GB2312" w:cs="仿宋_GB2312" w:eastAsia="仿宋_GB2312"/>
              </w:rPr>
              <w:t>采购包3：否</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一、交易系统发生故障（包括感染病毒、应用或数据库出错）而无法正常使用的；</w:t>
            </w:r>
          </w:p>
          <w:p>
            <w:pPr>
              <w:pStyle w:val="null3"/>
              <w:jc w:val="left"/>
            </w:pPr>
            <w:r>
              <w:rPr>
                <w:rFonts w:ascii="仿宋_GB2312" w:hAnsi="仿宋_GB2312" w:cs="仿宋_GB2312" w:eastAsia="仿宋_GB2312"/>
              </w:rPr>
              <w:t>二、因组织场所停电、断网等原因，导致采购活动无法继续通过交易系统实施的；</w:t>
            </w:r>
          </w:p>
          <w:p>
            <w:pPr>
              <w:pStyle w:val="null3"/>
              <w:jc w:val="left"/>
            </w:pPr>
            <w:r>
              <w:rPr>
                <w:rFonts w:ascii="仿宋_GB2312" w:hAnsi="仿宋_GB2312" w:cs="仿宋_GB2312" w:eastAsia="仿宋_GB2312"/>
              </w:rPr>
              <w:t>三、其他无法保证电子化交易的公平、公正和安全的情况。</w:t>
            </w:r>
          </w:p>
          <w:p>
            <w:pPr>
              <w:pStyle w:val="null3"/>
              <w:jc w:val="left"/>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注：</w:t>
            </w:r>
          </w:p>
          <w:p>
            <w:pPr>
              <w:pStyle w:val="null3"/>
              <w:jc w:val="left"/>
            </w:pPr>
            <w:r>
              <w:rPr>
                <w:rFonts w:ascii="仿宋_GB2312" w:hAnsi="仿宋_GB2312" w:cs="仿宋_GB2312" w:eastAsia="仿宋_GB2312"/>
              </w:rPr>
              <w:t>1.平台系统故障认定以四川政府采购网发布的系统运维通知内容为准；</w:t>
            </w:r>
          </w:p>
          <w:p>
            <w:pPr>
              <w:pStyle w:val="null3"/>
              <w:jc w:val="left"/>
            </w:pPr>
            <w:r>
              <w:rPr>
                <w:rFonts w:ascii="仿宋_GB2312" w:hAnsi="仿宋_GB2312" w:cs="仿宋_GB2312" w:eastAsia="仿宋_GB2312"/>
              </w:rPr>
              <w:t>2.故障处理详见第二章规定。</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16</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本磋商文件所称的“以上”、“以下”、“内”、“以内”、“不少于”包括本数；所称的“不足”、“低于”、“超过”不包括本数。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一、本磋商文件仅适用于本次竞争性磋商采购项目。</w:t>
      </w:r>
    </w:p>
    <w:p>
      <w:pPr>
        <w:pStyle w:val="null3"/>
        <w:ind w:firstLine="480"/>
        <w:jc w:val="left"/>
      </w:pPr>
      <w:r>
        <w:rPr>
          <w:rFonts w:ascii="仿宋_GB2312" w:hAnsi="仿宋_GB2312" w:cs="仿宋_GB2312" w:eastAsia="仿宋_GB2312"/>
        </w:rPr>
        <w:t xml:space="preserve"> 二、本磋商文件由 </w:t>
      </w:r>
      <w:r>
        <w:rPr>
          <w:rFonts w:ascii="仿宋_GB2312" w:hAnsi="仿宋_GB2312" w:cs="仿宋_GB2312" w:eastAsia="仿宋_GB2312"/>
        </w:rPr>
        <w:t>雅江县应急管理局</w:t>
      </w:r>
      <w:r>
        <w:rPr>
          <w:rFonts w:ascii="仿宋_GB2312" w:hAnsi="仿宋_GB2312" w:cs="仿宋_GB2312" w:eastAsia="仿宋_GB2312"/>
        </w:rPr>
        <w:t xml:space="preserve"> 和 </w:t>
      </w:r>
      <w:r>
        <w:rPr>
          <w:rFonts w:ascii="仿宋_GB2312" w:hAnsi="仿宋_GB2312" w:cs="仿宋_GB2312" w:eastAsia="仿宋_GB2312"/>
        </w:rPr>
        <w:t>四川辰熠招标代理有限公司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 一、“采购人”是指依法进行政府采购的国家机关、事业单位、团体组织。本次磋商的采购人是 </w:t>
      </w:r>
      <w:r>
        <w:rPr>
          <w:rFonts w:ascii="仿宋_GB2312" w:hAnsi="仿宋_GB2312" w:cs="仿宋_GB2312" w:eastAsia="仿宋_GB2312"/>
        </w:rPr>
        <w:t>雅江县应急管理局</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规定获取磋商文件，参加采购活动的法人、其他组织或者自然人。</w:t>
      </w:r>
    </w:p>
    <w:p>
      <w:pPr>
        <w:pStyle w:val="null3"/>
        <w:ind w:firstLine="480"/>
        <w:jc w:val="left"/>
      </w:pPr>
      <w:r>
        <w:rPr>
          <w:rFonts w:ascii="仿宋_GB2312" w:hAnsi="仿宋_GB2312" w:cs="仿宋_GB2312" w:eastAsia="仿宋_GB2312"/>
        </w:rPr>
        <w:t xml:space="preserve"> 三、“代理机构”是指集中采购机构和从事采购代理业务的社会中介机构。本项目的代理机构是 </w:t>
      </w:r>
      <w:r>
        <w:rPr>
          <w:rFonts w:ascii="仿宋_GB2312" w:hAnsi="仿宋_GB2312" w:cs="仿宋_GB2312" w:eastAsia="仿宋_GB2312"/>
        </w:rPr>
        <w:t>四川辰熠招标代理有限公司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五、“电子评审”是指磋商小组开展资格审查、符合性审查、磋商、比较与评价、推荐成交候选供应商、出具磋商报告等活动。</w:t>
      </w:r>
    </w:p>
    <w:p>
      <w:pPr>
        <w:pStyle w:val="null3"/>
        <w:jc w:val="left"/>
        <w:outlineLvl w:val="2"/>
      </w:pPr>
      <w:r>
        <w:rPr>
          <w:rFonts w:ascii="仿宋_GB2312" w:hAnsi="仿宋_GB2312" w:cs="仿宋_GB2312" w:eastAsia="仿宋_GB2312"/>
          <w:sz w:val="28"/>
          <w:b/>
        </w:rPr>
        <w:t>2.3.磋商文件</w:t>
      </w:r>
    </w:p>
    <w:p>
      <w:pPr>
        <w:pStyle w:val="null3"/>
        <w:jc w:val="left"/>
        <w:outlineLvl w:val="3"/>
      </w:pPr>
      <w:r>
        <w:rPr>
          <w:rFonts w:ascii="仿宋_GB2312" w:hAnsi="仿宋_GB2312" w:cs="仿宋_GB2312" w:eastAsia="仿宋_GB2312"/>
          <w:sz w:val="24"/>
          <w:b/>
        </w:rPr>
        <w:t>2.3.1.磋商文件的构成</w:t>
      </w:r>
    </w:p>
    <w:p>
      <w:pPr>
        <w:pStyle w:val="null3"/>
        <w:ind w:firstLine="480"/>
        <w:jc w:val="left"/>
      </w:pPr>
      <w:r>
        <w:rPr>
          <w:rFonts w:ascii="仿宋_GB2312" w:hAnsi="仿宋_GB2312" w:cs="仿宋_GB2312" w:eastAsia="仿宋_GB2312"/>
        </w:rPr>
        <w:t>磋商文件由采购人、代理机构编制，是项目采购活动开展的基本依据，主要包括以下内容：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一、竞争性磋商邀请；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四、磋商过程中可实质性变动的内容；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2.3.2.磋商文件的澄清或者修改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一、提交首次响应文件截止之日前，采购人或者代理机构可以对已发出的磋商文件进行必要的澄清或者修改。</w:t>
      </w:r>
    </w:p>
    <w:p>
      <w:pPr>
        <w:pStyle w:val="null3"/>
        <w:jc w:val="left"/>
      </w:pPr>
      <w:r>
        <w:rPr>
          <w:rFonts w:ascii="仿宋_GB2312" w:hAnsi="仿宋_GB2312" w:cs="仿宋_GB2312" w:eastAsia="仿宋_GB2312"/>
        </w:rPr>
        <w:t>二、澄清或者修改的内容为磋商文件的组成部分，采购人或者代理机构将在四川政府采购网发布更正公告，并将更正后的磋商文件上传至交易系统。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rFonts w:ascii="仿宋_GB2312" w:hAnsi="仿宋_GB2312" w:cs="仿宋_GB2312" w:eastAsia="仿宋_GB2312"/>
        </w:rPr>
        <w:t>三、供应商根据更正公告、更正信息要求，下载更正后的磋商文件，进行响应文件编制。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除磋商文件中另有规定外，本项目均采用国家法定的计量单位。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按照磋商文件第五章评审办法规定进行价格修正的，修正后的报价经供应商加盖电子印章确认后产生约束力。未在规定时间内确认的，视同供应商不确认，作无效响应处理。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未按磋商文件和采购平台操作规范编制、确认、加密、盖章和提交的响应文件，将被拒绝接收。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 提交响应文件截止时间后，成功提交响应文件的供应商符合磋商文件规定数量的，代理机构将启动响应文件解密程序，解密时间为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详见磋商文件第五章。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jc w:val="left"/>
      </w:pPr>
      <w:r>
        <w:rPr>
          <w:rFonts w:ascii="仿宋_GB2312" w:hAnsi="仿宋_GB2312" w:cs="仿宋_GB2312" w:eastAsia="仿宋_GB2312"/>
        </w:rPr>
        <w:t>采购包2：</w:t>
      </w:r>
      <w:r>
        <w:rPr>
          <w:rFonts w:ascii="仿宋_GB2312" w:hAnsi="仿宋_GB2312" w:cs="仿宋_GB2312" w:eastAsia="仿宋_GB2312"/>
        </w:rPr>
        <w:t>自行验收</w:t>
      </w:r>
    </w:p>
    <w:p>
      <w:pPr>
        <w:pStyle w:val="null3"/>
        <w:jc w:val="left"/>
      </w:pPr>
      <w:r>
        <w:rPr>
          <w:rFonts w:ascii="仿宋_GB2312" w:hAnsi="仿宋_GB2312" w:cs="仿宋_GB2312" w:eastAsia="仿宋_GB2312"/>
        </w:rPr>
        <w:t>采购包3：</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jc w:val="left"/>
      </w:pPr>
      <w:r>
        <w:rPr>
          <w:rFonts w:ascii="仿宋_GB2312" w:hAnsi="仿宋_GB2312" w:cs="仿宋_GB2312" w:eastAsia="仿宋_GB2312"/>
        </w:rPr>
        <w:t>采购包2：</w:t>
      </w:r>
      <w:r>
        <w:rPr>
          <w:rFonts w:ascii="仿宋_GB2312" w:hAnsi="仿宋_GB2312" w:cs="仿宋_GB2312" w:eastAsia="仿宋_GB2312"/>
        </w:rPr>
        <w:t>否</w:t>
      </w:r>
    </w:p>
    <w:p>
      <w:pPr>
        <w:pStyle w:val="null3"/>
        <w:jc w:val="left"/>
      </w:pPr>
      <w:r>
        <w:rPr>
          <w:rFonts w:ascii="仿宋_GB2312" w:hAnsi="仿宋_GB2312" w:cs="仿宋_GB2312" w:eastAsia="仿宋_GB2312"/>
        </w:rPr>
        <w:t>采购包3：</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jc w:val="left"/>
      </w:pPr>
      <w:r>
        <w:rPr>
          <w:rFonts w:ascii="仿宋_GB2312" w:hAnsi="仿宋_GB2312" w:cs="仿宋_GB2312" w:eastAsia="仿宋_GB2312"/>
        </w:rPr>
        <w:t>采购包2：</w:t>
      </w:r>
      <w:r>
        <w:rPr>
          <w:rFonts w:ascii="仿宋_GB2312" w:hAnsi="仿宋_GB2312" w:cs="仿宋_GB2312" w:eastAsia="仿宋_GB2312"/>
        </w:rPr>
        <w:t>否</w:t>
      </w:r>
    </w:p>
    <w:p>
      <w:pPr>
        <w:pStyle w:val="null3"/>
        <w:jc w:val="left"/>
      </w:pPr>
      <w:r>
        <w:rPr>
          <w:rFonts w:ascii="仿宋_GB2312" w:hAnsi="仿宋_GB2312" w:cs="仿宋_GB2312" w:eastAsia="仿宋_GB2312"/>
        </w:rPr>
        <w:t>采购包3：</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jc w:val="left"/>
      </w:pPr>
      <w:r>
        <w:rPr>
          <w:rFonts w:ascii="仿宋_GB2312" w:hAnsi="仿宋_GB2312" w:cs="仿宋_GB2312" w:eastAsia="仿宋_GB2312"/>
        </w:rPr>
        <w:t>采购包2：</w:t>
      </w:r>
      <w:r>
        <w:rPr>
          <w:rFonts w:ascii="仿宋_GB2312" w:hAnsi="仿宋_GB2312" w:cs="仿宋_GB2312" w:eastAsia="仿宋_GB2312"/>
        </w:rPr>
        <w:t>否</w:t>
      </w:r>
    </w:p>
    <w:p>
      <w:pPr>
        <w:pStyle w:val="null3"/>
        <w:jc w:val="left"/>
      </w:pPr>
      <w:r>
        <w:rPr>
          <w:rFonts w:ascii="仿宋_GB2312" w:hAnsi="仿宋_GB2312" w:cs="仿宋_GB2312" w:eastAsia="仿宋_GB2312"/>
        </w:rPr>
        <w:t>采购包3：</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jc w:val="left"/>
      </w:pPr>
      <w:r>
        <w:rPr>
          <w:rFonts w:ascii="仿宋_GB2312" w:hAnsi="仿宋_GB2312" w:cs="仿宋_GB2312" w:eastAsia="仿宋_GB2312"/>
        </w:rPr>
        <w:t>采购包2：</w:t>
      </w:r>
      <w:r>
        <w:rPr>
          <w:rFonts w:ascii="仿宋_GB2312" w:hAnsi="仿宋_GB2312" w:cs="仿宋_GB2312" w:eastAsia="仿宋_GB2312"/>
        </w:rPr>
        <w:t>否</w:t>
      </w:r>
    </w:p>
    <w:p>
      <w:pPr>
        <w:pStyle w:val="null3"/>
        <w:jc w:val="left"/>
      </w:pPr>
      <w:r>
        <w:rPr>
          <w:rFonts w:ascii="仿宋_GB2312" w:hAnsi="仿宋_GB2312" w:cs="仿宋_GB2312" w:eastAsia="仿宋_GB2312"/>
        </w:rPr>
        <w:t>采购包3：</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jc w:val="left"/>
      </w:pPr>
      <w:r>
        <w:rPr>
          <w:rFonts w:ascii="仿宋_GB2312" w:hAnsi="仿宋_GB2312" w:cs="仿宋_GB2312" w:eastAsia="仿宋_GB2312"/>
        </w:rPr>
        <w:t>采购包2：</w:t>
      </w:r>
      <w:r>
        <w:rPr>
          <w:rFonts w:ascii="仿宋_GB2312" w:hAnsi="仿宋_GB2312" w:cs="仿宋_GB2312" w:eastAsia="仿宋_GB2312"/>
        </w:rPr>
        <w:t>一次性验收</w:t>
      </w:r>
    </w:p>
    <w:p>
      <w:pPr>
        <w:pStyle w:val="null3"/>
        <w:jc w:val="left"/>
      </w:pPr>
      <w:r>
        <w:rPr>
          <w:rFonts w:ascii="仿宋_GB2312" w:hAnsi="仿宋_GB2312" w:cs="仿宋_GB2312" w:eastAsia="仿宋_GB2312"/>
        </w:rPr>
        <w:t>采购包3：</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供应商提出验收申请之日起30日内组织验收</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jc w:val="left"/>
      </w:pPr>
      <w:r>
        <w:rPr>
          <w:rFonts w:ascii="仿宋_GB2312" w:hAnsi="仿宋_GB2312" w:cs="仿宋_GB2312" w:eastAsia="仿宋_GB2312"/>
        </w:rPr>
        <w:t>采购包2：</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供应商提出验收申请之日起30日内组织验收</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jc w:val="left"/>
      </w:pPr>
      <w:r>
        <w:rPr>
          <w:rFonts w:ascii="仿宋_GB2312" w:hAnsi="仿宋_GB2312" w:cs="仿宋_GB2312" w:eastAsia="仿宋_GB2312"/>
        </w:rPr>
        <w:t>采购包3：</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供应商提出验收申请之日起30日内组织验收</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pPr>
      <w:r>
        <w:rPr>
          <w:rFonts w:ascii="仿宋_GB2312" w:hAnsi="仿宋_GB2312" w:cs="仿宋_GB2312" w:eastAsia="仿宋_GB2312"/>
        </w:rPr>
        <w:t>采购包2：</w:t>
      </w:r>
      <w:r>
        <w:rPr>
          <w:rFonts w:ascii="仿宋_GB2312" w:hAnsi="仿宋_GB2312" w:cs="仿宋_GB2312" w:eastAsia="仿宋_GB2312"/>
        </w:rPr>
        <w:t>无</w:t>
      </w:r>
    </w:p>
    <w:p>
      <w:pPr>
        <w:pStyle w:val="null3"/>
        <w:jc w:val="left"/>
      </w:pPr>
      <w:r>
        <w:rPr>
          <w:rFonts w:ascii="仿宋_GB2312" w:hAnsi="仿宋_GB2312" w:cs="仿宋_GB2312" w:eastAsia="仿宋_GB2312"/>
        </w:rPr>
        <w:t>采购包3：</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按照本项目的技术及服务要求、中标（成交）供应商的响应文件及承诺进行验收。</w:t>
      </w:r>
    </w:p>
    <w:p>
      <w:pPr>
        <w:pStyle w:val="null3"/>
        <w:jc w:val="left"/>
      </w:pPr>
      <w:r>
        <w:rPr>
          <w:rFonts w:ascii="仿宋_GB2312" w:hAnsi="仿宋_GB2312" w:cs="仿宋_GB2312" w:eastAsia="仿宋_GB2312"/>
        </w:rPr>
        <w:t>采购包2：</w:t>
      </w:r>
      <w:r>
        <w:rPr>
          <w:rFonts w:ascii="仿宋_GB2312" w:hAnsi="仿宋_GB2312" w:cs="仿宋_GB2312" w:eastAsia="仿宋_GB2312"/>
        </w:rPr>
        <w:t>按照本项目的技术及服务要求、中标（成交）供应商的响应文件及承诺进行验收。</w:t>
      </w:r>
    </w:p>
    <w:p>
      <w:pPr>
        <w:pStyle w:val="null3"/>
        <w:jc w:val="left"/>
      </w:pPr>
      <w:r>
        <w:rPr>
          <w:rFonts w:ascii="仿宋_GB2312" w:hAnsi="仿宋_GB2312" w:cs="仿宋_GB2312" w:eastAsia="仿宋_GB2312"/>
        </w:rPr>
        <w:t>采购包3：</w:t>
      </w:r>
      <w:r>
        <w:rPr>
          <w:rFonts w:ascii="仿宋_GB2312" w:hAnsi="仿宋_GB2312" w:cs="仿宋_GB2312" w:eastAsia="仿宋_GB2312"/>
        </w:rPr>
        <w:t>按照本项目的技术及服务要求、中标（成交）供应商的响应文件及承诺进行验收。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按照本项目的商务要求、中标（成交）供应商的响应文件及承诺进行验收。</w:t>
      </w:r>
    </w:p>
    <w:p>
      <w:pPr>
        <w:pStyle w:val="null3"/>
        <w:jc w:val="left"/>
      </w:pPr>
      <w:r>
        <w:rPr>
          <w:rFonts w:ascii="仿宋_GB2312" w:hAnsi="仿宋_GB2312" w:cs="仿宋_GB2312" w:eastAsia="仿宋_GB2312"/>
        </w:rPr>
        <w:t>采购包2：</w:t>
      </w:r>
      <w:r>
        <w:rPr>
          <w:rFonts w:ascii="仿宋_GB2312" w:hAnsi="仿宋_GB2312" w:cs="仿宋_GB2312" w:eastAsia="仿宋_GB2312"/>
        </w:rPr>
        <w:t>按照本项目的商务要求、中标（成交）供应商的响应文件及承诺进行验收。</w:t>
      </w:r>
    </w:p>
    <w:p>
      <w:pPr>
        <w:pStyle w:val="null3"/>
        <w:jc w:val="left"/>
      </w:pPr>
      <w:r>
        <w:rPr>
          <w:rFonts w:ascii="仿宋_GB2312" w:hAnsi="仿宋_GB2312" w:cs="仿宋_GB2312" w:eastAsia="仿宋_GB2312"/>
        </w:rPr>
        <w:t>采购包3：</w:t>
      </w:r>
      <w:r>
        <w:rPr>
          <w:rFonts w:ascii="仿宋_GB2312" w:hAnsi="仿宋_GB2312" w:cs="仿宋_GB2312" w:eastAsia="仿宋_GB2312"/>
        </w:rPr>
        <w:t>按照本项目的商务要求、中标（成交）供应商的响应文件及承诺进行验收。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严格按照政府采购相关法律法规以及《财政部关于进一步加强政府采购需求和履约验收管理的指导意见》(财库〔2016〕205号)、《政府采购需求管理办法》（财库〔2021〕22号）、采购文件要求、中标（成交）供应商的响应文件及承诺、签订的合同及相关要求进行验收。</w:t>
      </w:r>
    </w:p>
    <w:p>
      <w:pPr>
        <w:pStyle w:val="null3"/>
        <w:jc w:val="left"/>
      </w:pPr>
      <w:r>
        <w:rPr>
          <w:rFonts w:ascii="仿宋_GB2312" w:hAnsi="仿宋_GB2312" w:cs="仿宋_GB2312" w:eastAsia="仿宋_GB2312"/>
        </w:rPr>
        <w:t>采购包2：</w:t>
      </w:r>
      <w:r>
        <w:rPr>
          <w:rFonts w:ascii="仿宋_GB2312" w:hAnsi="仿宋_GB2312" w:cs="仿宋_GB2312" w:eastAsia="仿宋_GB2312"/>
        </w:rPr>
        <w:t>严格按照政府采购相关法律法规以及《财政部关于进一步加强政府采购需求和履约验收管理的指导意见》(财库〔2016〕205号)、《政府采购需求管理办法》（财库〔2021〕22号）、采购文件要求、中标（成交）供应商的响应文件及承诺、签订的合同及相关要求进行验收。</w:t>
      </w:r>
    </w:p>
    <w:p>
      <w:pPr>
        <w:pStyle w:val="null3"/>
        <w:jc w:val="left"/>
      </w:pPr>
      <w:r>
        <w:rPr>
          <w:rFonts w:ascii="仿宋_GB2312" w:hAnsi="仿宋_GB2312" w:cs="仿宋_GB2312" w:eastAsia="仿宋_GB2312"/>
        </w:rPr>
        <w:t>采购包3：</w:t>
      </w:r>
      <w:r>
        <w:rPr>
          <w:rFonts w:ascii="仿宋_GB2312" w:hAnsi="仿宋_GB2312" w:cs="仿宋_GB2312" w:eastAsia="仿宋_GB2312"/>
        </w:rPr>
        <w:t>严格按照政府采购相关法律法规以及《财政部关于进一步加强政府采购需求和履约验收管理的指导意见》(财库〔2016〕205号)、《政府采购需求管理办法》（财库〔2021〕22号）、采购文件要求、中标（成交）供应商的响应文件及承诺、签订的合同及相关要求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pPr>
      <w:r>
        <w:rPr>
          <w:rFonts w:ascii="仿宋_GB2312" w:hAnsi="仿宋_GB2312" w:cs="仿宋_GB2312" w:eastAsia="仿宋_GB2312"/>
        </w:rPr>
        <w:t>采购包2：</w:t>
      </w:r>
      <w:r>
        <w:rPr>
          <w:rFonts w:ascii="仿宋_GB2312" w:hAnsi="仿宋_GB2312" w:cs="仿宋_GB2312" w:eastAsia="仿宋_GB2312"/>
        </w:rPr>
        <w:t>无</w:t>
      </w:r>
    </w:p>
    <w:p>
      <w:pPr>
        <w:pStyle w:val="null3"/>
        <w:jc w:val="left"/>
      </w:pPr>
      <w:r>
        <w:rPr>
          <w:rFonts w:ascii="仿宋_GB2312" w:hAnsi="仿宋_GB2312" w:cs="仿宋_GB2312" w:eastAsia="仿宋_GB2312"/>
        </w:rPr>
        <w:t>采购包3：</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 xml:space="preserve"> 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供应商参加磋商不得有下列情形：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六、向采购人或者代理机构、磋商小组成员行贿或者提供其他不正当利益；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八、未按照磋商文件确定的事项签订政府采购合同；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 根据委托代理协议约定，供应商对磋商文件中采购需求的询问、质疑由 </w:t>
      </w:r>
      <w:r>
        <w:rPr>
          <w:rFonts w:ascii="仿宋_GB2312" w:hAnsi="仿宋_GB2312" w:cs="仿宋_GB2312" w:eastAsia="仿宋_GB2312"/>
        </w:rPr>
        <w:t>雅江县应急管理局</w:t>
      </w:r>
      <w:r>
        <w:rPr>
          <w:rFonts w:ascii="仿宋_GB2312" w:hAnsi="仿宋_GB2312" w:cs="仿宋_GB2312" w:eastAsia="仿宋_GB2312"/>
        </w:rPr>
        <w:t xml:space="preserve"> 负责答复；供应商对除采购需求外的磋商文件的询问、质疑由 </w:t>
      </w:r>
      <w:r>
        <w:rPr>
          <w:rFonts w:ascii="仿宋_GB2312" w:hAnsi="仿宋_GB2312" w:cs="仿宋_GB2312" w:eastAsia="仿宋_GB2312"/>
        </w:rPr>
        <w:t>四川辰熠招标代理有限公司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四川辰熠招标代理有限公司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联系人：向女士</w:t>
      </w:r>
    </w:p>
    <w:p>
      <w:pPr>
        <w:pStyle w:val="null3"/>
        <w:jc w:val="left"/>
      </w:pPr>
      <w:r>
        <w:rPr>
          <w:rFonts w:ascii="仿宋_GB2312" w:hAnsi="仿宋_GB2312" w:cs="仿宋_GB2312" w:eastAsia="仿宋_GB2312"/>
        </w:rPr>
        <w:t>联系电话：028-87716857</w:t>
      </w:r>
    </w:p>
    <w:p>
      <w:pPr>
        <w:pStyle w:val="null3"/>
        <w:jc w:val="left"/>
      </w:pPr>
      <w:r>
        <w:rPr>
          <w:rFonts w:ascii="仿宋_GB2312" w:hAnsi="仿宋_GB2312" w:cs="仿宋_GB2312" w:eastAsia="仿宋_GB2312"/>
        </w:rPr>
        <w:t>地址：四川省成都市武侯区星狮路711号1栋2单元7层706号</w:t>
      </w:r>
    </w:p>
    <w:p>
      <w:pPr>
        <w:pStyle w:val="null3"/>
        <w:jc w:val="left"/>
      </w:pPr>
      <w:r>
        <w:rPr>
          <w:rFonts w:ascii="仿宋_GB2312" w:hAnsi="仿宋_GB2312" w:cs="仿宋_GB2312" w:eastAsia="仿宋_GB2312"/>
        </w:rPr>
        <w:t>邮编：610043</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（一）对可以质疑的磋商文件提出质疑的，为收到磋商文件之日或者磋商文件公告期限届满之日；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（五）针对质疑事项必要的证明材料（针对磋商文件提出的质疑，需提交从交易系统获取的磋商文件回执单）。</w:t>
      </w:r>
    </w:p>
    <w:p>
      <w:pPr>
        <w:pStyle w:val="null3"/>
        <w:ind w:firstLine="480"/>
        <w:jc w:val="left"/>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jc w:val="left"/>
      </w:pPr>
      <w:r>
        <w:rPr>
          <w:rFonts w:ascii="仿宋_GB2312" w:hAnsi="仿宋_GB2312" w:cs="仿宋_GB2312" w:eastAsia="仿宋_GB2312"/>
        </w:rPr>
        <w:t>采购包2：不需要样品评审</w:t>
      </w:r>
    </w:p>
    <w:p>
      <w:pPr>
        <w:pStyle w:val="null3"/>
        <w:jc w:val="left"/>
      </w:pPr>
      <w:r>
        <w:rPr>
          <w:rFonts w:ascii="仿宋_GB2312" w:hAnsi="仿宋_GB2312" w:cs="仿宋_GB2312" w:eastAsia="仿宋_GB2312"/>
        </w:rPr>
        <w:t>采购包3：不需要样品评审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1,030,000.00</w:t>
      </w:r>
    </w:p>
    <w:p>
      <w:pPr>
        <w:pStyle w:val="null3"/>
        <w:jc w:val="left"/>
      </w:pPr>
      <w:r>
        <w:rPr>
          <w:rFonts w:ascii="仿宋_GB2312" w:hAnsi="仿宋_GB2312" w:cs="仿宋_GB2312" w:eastAsia="仿宋_GB2312"/>
        </w:rPr>
        <w:t>采购包最高限价（元）: 1,030,000.00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C22040000 餐饮服务</w:t>
            </w:r>
          </w:p>
        </w:tc>
        <w:tc>
          <w:tcPr>
            <w:tcW w:type="dxa" w:w="821"/>
          </w:tcPr>
          <w:p>
            <w:pPr>
              <w:pStyle w:val="null3"/>
              <w:jc w:val="left"/>
            </w:pPr>
            <w:r>
              <w:rPr>
                <w:rFonts w:ascii="仿宋_GB2312" w:hAnsi="仿宋_GB2312" w:cs="仿宋_GB2312" w:eastAsia="仿宋_GB2312"/>
              </w:rPr>
              <w:t>肉禽类</w:t>
            </w:r>
          </w:p>
        </w:tc>
        <w:tc>
          <w:tcPr>
            <w:tcW w:type="dxa" w:w="821"/>
          </w:tcPr>
          <w:p>
            <w:pPr>
              <w:pStyle w:val="null3"/>
              <w:jc w:val="right"/>
            </w:pPr>
            <w:r>
              <w:rPr>
                <w:rFonts w:ascii="仿宋_GB2312" w:hAnsi="仿宋_GB2312" w:cs="仿宋_GB2312" w:eastAsia="仿宋_GB2312"/>
              </w:rPr>
              <w:t>1.00（批）</w:t>
            </w:r>
          </w:p>
        </w:tc>
        <w:tc>
          <w:tcPr>
            <w:tcW w:type="dxa" w:w="821"/>
          </w:tcPr>
          <w:p>
            <w:pPr>
              <w:pStyle w:val="null3"/>
              <w:jc w:val="right"/>
            </w:pPr>
            <w:r>
              <w:rPr>
                <w:rFonts w:ascii="仿宋_GB2312" w:hAnsi="仿宋_GB2312" w:cs="仿宋_GB2312" w:eastAsia="仿宋_GB2312"/>
              </w:rPr>
              <w:t>1,030,000.00</w:t>
            </w:r>
          </w:p>
        </w:tc>
        <w:tc>
          <w:tcPr>
            <w:tcW w:type="dxa" w:w="821"/>
          </w:tcPr>
          <w:p>
            <w:pPr>
              <w:pStyle w:val="null3"/>
              <w:jc w:val="left"/>
            </w:pPr>
            <w:r>
              <w:rPr>
                <w:rFonts w:ascii="仿宋_GB2312" w:hAnsi="仿宋_GB2312" w:cs="仿宋_GB2312" w:eastAsia="仿宋_GB2312"/>
              </w:rPr>
              <w:t>农、林、牧、渔业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790,000.00</w:t>
      </w:r>
    </w:p>
    <w:p>
      <w:pPr>
        <w:pStyle w:val="null3"/>
        <w:jc w:val="left"/>
      </w:pPr>
      <w:r>
        <w:rPr>
          <w:rFonts w:ascii="仿宋_GB2312" w:hAnsi="仿宋_GB2312" w:cs="仿宋_GB2312" w:eastAsia="仿宋_GB2312"/>
        </w:rPr>
        <w:t>采购包最高限价（元）: 790,000.00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C22040000 餐饮服务</w:t>
            </w:r>
          </w:p>
        </w:tc>
        <w:tc>
          <w:tcPr>
            <w:tcW w:type="dxa" w:w="821"/>
          </w:tcPr>
          <w:p>
            <w:pPr>
              <w:pStyle w:val="null3"/>
              <w:jc w:val="left"/>
            </w:pPr>
            <w:r>
              <w:rPr>
                <w:rFonts w:ascii="仿宋_GB2312" w:hAnsi="仿宋_GB2312" w:cs="仿宋_GB2312" w:eastAsia="仿宋_GB2312"/>
              </w:rPr>
              <w:t>蔬果类</w:t>
            </w:r>
          </w:p>
        </w:tc>
        <w:tc>
          <w:tcPr>
            <w:tcW w:type="dxa" w:w="821"/>
          </w:tcPr>
          <w:p>
            <w:pPr>
              <w:pStyle w:val="null3"/>
              <w:jc w:val="right"/>
            </w:pPr>
            <w:r>
              <w:rPr>
                <w:rFonts w:ascii="仿宋_GB2312" w:hAnsi="仿宋_GB2312" w:cs="仿宋_GB2312" w:eastAsia="仿宋_GB2312"/>
              </w:rPr>
              <w:t>1.00（批）</w:t>
            </w:r>
          </w:p>
        </w:tc>
        <w:tc>
          <w:tcPr>
            <w:tcW w:type="dxa" w:w="821"/>
          </w:tcPr>
          <w:p>
            <w:pPr>
              <w:pStyle w:val="null3"/>
              <w:jc w:val="right"/>
            </w:pPr>
            <w:r>
              <w:rPr>
                <w:rFonts w:ascii="仿宋_GB2312" w:hAnsi="仿宋_GB2312" w:cs="仿宋_GB2312" w:eastAsia="仿宋_GB2312"/>
              </w:rPr>
              <w:t>790,000.00</w:t>
            </w:r>
          </w:p>
        </w:tc>
        <w:tc>
          <w:tcPr>
            <w:tcW w:type="dxa" w:w="821"/>
          </w:tcPr>
          <w:p>
            <w:pPr>
              <w:pStyle w:val="null3"/>
              <w:jc w:val="left"/>
            </w:pPr>
            <w:r>
              <w:rPr>
                <w:rFonts w:ascii="仿宋_GB2312" w:hAnsi="仿宋_GB2312" w:cs="仿宋_GB2312" w:eastAsia="仿宋_GB2312"/>
              </w:rPr>
              <w:t>农、林、牧、渔业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1,120,000.00</w:t>
      </w:r>
    </w:p>
    <w:p>
      <w:pPr>
        <w:pStyle w:val="null3"/>
        <w:jc w:val="left"/>
      </w:pPr>
      <w:r>
        <w:rPr>
          <w:rFonts w:ascii="仿宋_GB2312" w:hAnsi="仿宋_GB2312" w:cs="仿宋_GB2312" w:eastAsia="仿宋_GB2312"/>
        </w:rPr>
        <w:t>采购包最高限价（元）: 1,120,000.00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C22040000 餐饮服务</w:t>
            </w:r>
          </w:p>
        </w:tc>
        <w:tc>
          <w:tcPr>
            <w:tcW w:type="dxa" w:w="821"/>
          </w:tcPr>
          <w:p>
            <w:pPr>
              <w:pStyle w:val="null3"/>
              <w:jc w:val="left"/>
            </w:pPr>
            <w:r>
              <w:rPr>
                <w:rFonts w:ascii="仿宋_GB2312" w:hAnsi="仿宋_GB2312" w:cs="仿宋_GB2312" w:eastAsia="仿宋_GB2312"/>
              </w:rPr>
              <w:t>干杂类</w:t>
            </w:r>
          </w:p>
        </w:tc>
        <w:tc>
          <w:tcPr>
            <w:tcW w:type="dxa" w:w="821"/>
          </w:tcPr>
          <w:p>
            <w:pPr>
              <w:pStyle w:val="null3"/>
              <w:jc w:val="right"/>
            </w:pPr>
            <w:r>
              <w:rPr>
                <w:rFonts w:ascii="仿宋_GB2312" w:hAnsi="仿宋_GB2312" w:cs="仿宋_GB2312" w:eastAsia="仿宋_GB2312"/>
              </w:rPr>
              <w:t>1.00（批）</w:t>
            </w:r>
          </w:p>
        </w:tc>
        <w:tc>
          <w:tcPr>
            <w:tcW w:type="dxa" w:w="821"/>
          </w:tcPr>
          <w:p>
            <w:pPr>
              <w:pStyle w:val="null3"/>
              <w:jc w:val="right"/>
            </w:pPr>
            <w:r>
              <w:rPr>
                <w:rFonts w:ascii="仿宋_GB2312" w:hAnsi="仿宋_GB2312" w:cs="仿宋_GB2312" w:eastAsia="仿宋_GB2312"/>
              </w:rPr>
              <w:t>1,120,000.00</w:t>
            </w:r>
          </w:p>
        </w:tc>
        <w:tc>
          <w:tcPr>
            <w:tcW w:type="dxa" w:w="821"/>
          </w:tcPr>
          <w:p>
            <w:pPr>
              <w:pStyle w:val="null3"/>
              <w:jc w:val="left"/>
            </w:pPr>
            <w:r>
              <w:rPr>
                <w:rFonts w:ascii="仿宋_GB2312" w:hAnsi="仿宋_GB2312" w:cs="仿宋_GB2312" w:eastAsia="仿宋_GB2312"/>
              </w:rPr>
              <w:t>农、林、牧、渔业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684"/>
        <w:gridCol w:w="1759"/>
        <w:gridCol w:w="977"/>
        <w:gridCol w:w="977"/>
        <w:gridCol w:w="1466"/>
        <w:gridCol w:w="977"/>
        <w:gridCol w:w="1466"/>
      </w:tblGrid>
      <w:tr>
        <w:tc>
          <w:tcPr>
            <w:tcW w:type="dxa" w:w="684"/>
          </w:tcPr>
          <w:p>
            <w:pPr>
              <w:pStyle w:val="null3"/>
              <w:jc w:val="center"/>
            </w:pPr>
            <w:r>
              <w:rPr>
                <w:rFonts w:ascii="仿宋_GB2312" w:hAnsi="仿宋_GB2312" w:cs="仿宋_GB2312" w:eastAsia="仿宋_GB2312"/>
              </w:rPr>
              <w:t>序号</w:t>
            </w:r>
          </w:p>
        </w:tc>
        <w:tc>
          <w:tcPr>
            <w:tcW w:type="dxa" w:w="1759"/>
          </w:tcPr>
          <w:p>
            <w:pPr>
              <w:pStyle w:val="null3"/>
              <w:jc w:val="center"/>
            </w:pPr>
            <w:r>
              <w:rPr>
                <w:rFonts w:ascii="仿宋_GB2312" w:hAnsi="仿宋_GB2312" w:cs="仿宋_GB2312" w:eastAsia="仿宋_GB2312"/>
              </w:rPr>
              <w:t>报价内容</w:t>
            </w:r>
          </w:p>
        </w:tc>
        <w:tc>
          <w:tcPr>
            <w:tcW w:type="dxa" w:w="977"/>
          </w:tcPr>
          <w:p>
            <w:pPr>
              <w:pStyle w:val="null3"/>
              <w:jc w:val="center"/>
            </w:pPr>
            <w:r>
              <w:rPr>
                <w:rFonts w:ascii="仿宋_GB2312" w:hAnsi="仿宋_GB2312" w:cs="仿宋_GB2312" w:eastAsia="仿宋_GB2312"/>
              </w:rPr>
              <w:t>计量单位</w:t>
            </w:r>
          </w:p>
        </w:tc>
        <w:tc>
          <w:tcPr>
            <w:tcW w:type="dxa" w:w="977"/>
          </w:tcPr>
          <w:p>
            <w:pPr>
              <w:pStyle w:val="null3"/>
              <w:jc w:val="center"/>
            </w:pPr>
            <w:r>
              <w:rPr>
                <w:rFonts w:ascii="仿宋_GB2312" w:hAnsi="仿宋_GB2312" w:cs="仿宋_GB2312" w:eastAsia="仿宋_GB2312"/>
              </w:rPr>
              <w:t>报价单位</w:t>
            </w:r>
          </w:p>
        </w:tc>
        <w:tc>
          <w:tcPr>
            <w:tcW w:type="dxa" w:w="1466"/>
          </w:tcPr>
          <w:p>
            <w:pPr>
              <w:pStyle w:val="null3"/>
              <w:jc w:val="center"/>
            </w:pPr>
            <w:r>
              <w:rPr>
                <w:rFonts w:ascii="仿宋_GB2312" w:hAnsi="仿宋_GB2312" w:cs="仿宋_GB2312" w:eastAsia="仿宋_GB2312"/>
              </w:rPr>
              <w:t>最高限价</w:t>
            </w:r>
          </w:p>
        </w:tc>
        <w:tc>
          <w:tcPr>
            <w:tcW w:type="dxa" w:w="977"/>
          </w:tcPr>
          <w:p>
            <w:pPr>
              <w:pStyle w:val="null3"/>
              <w:jc w:val="center"/>
            </w:pPr>
            <w:r>
              <w:rPr>
                <w:rFonts w:ascii="仿宋_GB2312" w:hAnsi="仿宋_GB2312" w:cs="仿宋_GB2312" w:eastAsia="仿宋_GB2312"/>
              </w:rPr>
              <w:t>价款形式</w:t>
            </w:r>
          </w:p>
        </w:tc>
        <w:tc>
          <w:tcPr>
            <w:tcW w:type="dxa" w:w="1466"/>
          </w:tcPr>
          <w:p>
            <w:pPr>
              <w:pStyle w:val="null3"/>
              <w:jc w:val="center"/>
            </w:pPr>
            <w:r>
              <w:rPr>
                <w:rFonts w:ascii="仿宋_GB2312" w:hAnsi="仿宋_GB2312" w:cs="仿宋_GB2312" w:eastAsia="仿宋_GB2312"/>
              </w:rPr>
              <w:t>报价说明</w:t>
            </w:r>
          </w:p>
        </w:tc>
      </w:tr>
      <w:tr>
        <w:tc>
          <w:tcPr>
            <w:tcW w:type="dxa" w:w="684"/>
          </w:tcPr>
          <w:p>
            <w:pPr>
              <w:pStyle w:val="null3"/>
              <w:jc w:val="center"/>
            </w:pPr>
            <w:r>
              <w:rPr>
                <w:rFonts w:ascii="仿宋_GB2312" w:hAnsi="仿宋_GB2312" w:cs="仿宋_GB2312" w:eastAsia="仿宋_GB2312"/>
              </w:rPr>
              <w:t>1</w:t>
            </w:r>
          </w:p>
        </w:tc>
        <w:tc>
          <w:tcPr>
            <w:tcW w:type="dxa" w:w="1759"/>
          </w:tcPr>
          <w:p>
            <w:pPr>
              <w:pStyle w:val="null3"/>
              <w:jc w:val="center"/>
            </w:pPr>
            <w:r>
              <w:rPr>
                <w:rFonts w:ascii="仿宋_GB2312" w:hAnsi="仿宋_GB2312" w:cs="仿宋_GB2312" w:eastAsia="仿宋_GB2312"/>
              </w:rPr>
              <w:t>肉禽类</w:t>
            </w:r>
          </w:p>
        </w:tc>
        <w:tc>
          <w:tcPr>
            <w:tcW w:type="dxa" w:w="977"/>
          </w:tcPr>
          <w:p>
            <w:pPr>
              <w:pStyle w:val="null3"/>
              <w:jc w:val="center"/>
            </w:pPr>
            <w:r>
              <w:rPr>
                <w:rFonts w:ascii="仿宋_GB2312" w:hAnsi="仿宋_GB2312" w:cs="仿宋_GB2312" w:eastAsia="仿宋_GB2312"/>
              </w:rPr>
              <w:t>批</w:t>
            </w:r>
          </w:p>
        </w:tc>
        <w:tc>
          <w:tcPr>
            <w:tcW w:type="dxa" w:w="977"/>
          </w:tcPr>
          <w:p>
            <w:pPr>
              <w:pStyle w:val="null3"/>
              <w:jc w:val="center"/>
            </w:pPr>
            <w:r>
              <w:rPr>
                <w:rFonts w:ascii="仿宋_GB2312" w:hAnsi="仿宋_GB2312" w:cs="仿宋_GB2312" w:eastAsia="仿宋_GB2312"/>
              </w:rPr>
              <w:t>%</w:t>
            </w:r>
          </w:p>
        </w:tc>
        <w:tc>
          <w:tcPr>
            <w:tcW w:type="dxa" w:w="1466"/>
          </w:tcPr>
          <w:p>
            <w:pPr>
              <w:pStyle w:val="null3"/>
              <w:jc w:val="center"/>
            </w:pPr>
            <w:r>
              <w:rPr>
                <w:rFonts w:ascii="仿宋_GB2312" w:hAnsi="仿宋_GB2312" w:cs="仿宋_GB2312" w:eastAsia="仿宋_GB2312"/>
              </w:rPr>
              <w:t>100.00</w:t>
            </w:r>
          </w:p>
        </w:tc>
        <w:tc>
          <w:tcPr>
            <w:tcW w:type="dxa" w:w="977"/>
          </w:tcPr>
          <w:p>
            <w:pPr>
              <w:pStyle w:val="null3"/>
              <w:jc w:val="center"/>
            </w:pPr>
            <w:r>
              <w:rPr>
                <w:rFonts w:ascii="仿宋_GB2312" w:hAnsi="仿宋_GB2312" w:cs="仿宋_GB2312" w:eastAsia="仿宋_GB2312"/>
              </w:rPr>
              <w:t>百分比</w:t>
            </w:r>
          </w:p>
        </w:tc>
        <w:tc>
          <w:tcPr>
            <w:tcW w:type="dxa" w:w="1466"/>
          </w:tcPr>
          <w:p>
            <w:pPr>
              <w:pStyle w:val="null3"/>
              <w:jc w:val="left"/>
            </w:pPr>
            <w:r>
              <w:rPr>
                <w:rFonts w:ascii="仿宋_GB2312" w:hAnsi="仿宋_GB2312" w:cs="仿宋_GB2312" w:eastAsia="仿宋_GB2312"/>
              </w:rPr>
              <w:t>本采购包报统一结算比例</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684"/>
        <w:gridCol w:w="1759"/>
        <w:gridCol w:w="977"/>
        <w:gridCol w:w="977"/>
        <w:gridCol w:w="1466"/>
        <w:gridCol w:w="977"/>
        <w:gridCol w:w="1466"/>
      </w:tblGrid>
      <w:tr>
        <w:tc>
          <w:tcPr>
            <w:tcW w:type="dxa" w:w="684"/>
          </w:tcPr>
          <w:p>
            <w:pPr>
              <w:pStyle w:val="null3"/>
              <w:jc w:val="center"/>
            </w:pPr>
            <w:r>
              <w:rPr>
                <w:rFonts w:ascii="仿宋_GB2312" w:hAnsi="仿宋_GB2312" w:cs="仿宋_GB2312" w:eastAsia="仿宋_GB2312"/>
              </w:rPr>
              <w:t>序号</w:t>
            </w:r>
          </w:p>
        </w:tc>
        <w:tc>
          <w:tcPr>
            <w:tcW w:type="dxa" w:w="1759"/>
          </w:tcPr>
          <w:p>
            <w:pPr>
              <w:pStyle w:val="null3"/>
              <w:jc w:val="center"/>
            </w:pPr>
            <w:r>
              <w:rPr>
                <w:rFonts w:ascii="仿宋_GB2312" w:hAnsi="仿宋_GB2312" w:cs="仿宋_GB2312" w:eastAsia="仿宋_GB2312"/>
              </w:rPr>
              <w:t>报价内容</w:t>
            </w:r>
          </w:p>
        </w:tc>
        <w:tc>
          <w:tcPr>
            <w:tcW w:type="dxa" w:w="977"/>
          </w:tcPr>
          <w:p>
            <w:pPr>
              <w:pStyle w:val="null3"/>
              <w:jc w:val="center"/>
            </w:pPr>
            <w:r>
              <w:rPr>
                <w:rFonts w:ascii="仿宋_GB2312" w:hAnsi="仿宋_GB2312" w:cs="仿宋_GB2312" w:eastAsia="仿宋_GB2312"/>
              </w:rPr>
              <w:t>计量单位</w:t>
            </w:r>
          </w:p>
        </w:tc>
        <w:tc>
          <w:tcPr>
            <w:tcW w:type="dxa" w:w="977"/>
          </w:tcPr>
          <w:p>
            <w:pPr>
              <w:pStyle w:val="null3"/>
              <w:jc w:val="center"/>
            </w:pPr>
            <w:r>
              <w:rPr>
                <w:rFonts w:ascii="仿宋_GB2312" w:hAnsi="仿宋_GB2312" w:cs="仿宋_GB2312" w:eastAsia="仿宋_GB2312"/>
              </w:rPr>
              <w:t>报价单位</w:t>
            </w:r>
          </w:p>
        </w:tc>
        <w:tc>
          <w:tcPr>
            <w:tcW w:type="dxa" w:w="1466"/>
          </w:tcPr>
          <w:p>
            <w:pPr>
              <w:pStyle w:val="null3"/>
              <w:jc w:val="center"/>
            </w:pPr>
            <w:r>
              <w:rPr>
                <w:rFonts w:ascii="仿宋_GB2312" w:hAnsi="仿宋_GB2312" w:cs="仿宋_GB2312" w:eastAsia="仿宋_GB2312"/>
              </w:rPr>
              <w:t>最高限价</w:t>
            </w:r>
          </w:p>
        </w:tc>
        <w:tc>
          <w:tcPr>
            <w:tcW w:type="dxa" w:w="977"/>
          </w:tcPr>
          <w:p>
            <w:pPr>
              <w:pStyle w:val="null3"/>
              <w:jc w:val="center"/>
            </w:pPr>
            <w:r>
              <w:rPr>
                <w:rFonts w:ascii="仿宋_GB2312" w:hAnsi="仿宋_GB2312" w:cs="仿宋_GB2312" w:eastAsia="仿宋_GB2312"/>
              </w:rPr>
              <w:t>价款形式</w:t>
            </w:r>
          </w:p>
        </w:tc>
        <w:tc>
          <w:tcPr>
            <w:tcW w:type="dxa" w:w="1466"/>
          </w:tcPr>
          <w:p>
            <w:pPr>
              <w:pStyle w:val="null3"/>
              <w:jc w:val="center"/>
            </w:pPr>
            <w:r>
              <w:rPr>
                <w:rFonts w:ascii="仿宋_GB2312" w:hAnsi="仿宋_GB2312" w:cs="仿宋_GB2312" w:eastAsia="仿宋_GB2312"/>
              </w:rPr>
              <w:t>报价说明</w:t>
            </w:r>
          </w:p>
        </w:tc>
      </w:tr>
      <w:tr>
        <w:tc>
          <w:tcPr>
            <w:tcW w:type="dxa" w:w="684"/>
          </w:tcPr>
          <w:p>
            <w:pPr>
              <w:pStyle w:val="null3"/>
              <w:jc w:val="center"/>
            </w:pPr>
            <w:r>
              <w:rPr>
                <w:rFonts w:ascii="仿宋_GB2312" w:hAnsi="仿宋_GB2312" w:cs="仿宋_GB2312" w:eastAsia="仿宋_GB2312"/>
              </w:rPr>
              <w:t>1</w:t>
            </w:r>
          </w:p>
        </w:tc>
        <w:tc>
          <w:tcPr>
            <w:tcW w:type="dxa" w:w="1759"/>
          </w:tcPr>
          <w:p>
            <w:pPr>
              <w:pStyle w:val="null3"/>
              <w:jc w:val="center"/>
            </w:pPr>
            <w:r>
              <w:rPr>
                <w:rFonts w:ascii="仿宋_GB2312" w:hAnsi="仿宋_GB2312" w:cs="仿宋_GB2312" w:eastAsia="仿宋_GB2312"/>
              </w:rPr>
              <w:t>蔬果类</w:t>
            </w:r>
          </w:p>
        </w:tc>
        <w:tc>
          <w:tcPr>
            <w:tcW w:type="dxa" w:w="977"/>
          </w:tcPr>
          <w:p>
            <w:pPr>
              <w:pStyle w:val="null3"/>
              <w:jc w:val="center"/>
            </w:pPr>
            <w:r>
              <w:rPr>
                <w:rFonts w:ascii="仿宋_GB2312" w:hAnsi="仿宋_GB2312" w:cs="仿宋_GB2312" w:eastAsia="仿宋_GB2312"/>
              </w:rPr>
              <w:t>批</w:t>
            </w:r>
          </w:p>
        </w:tc>
        <w:tc>
          <w:tcPr>
            <w:tcW w:type="dxa" w:w="977"/>
          </w:tcPr>
          <w:p>
            <w:pPr>
              <w:pStyle w:val="null3"/>
              <w:jc w:val="center"/>
            </w:pPr>
            <w:r>
              <w:rPr>
                <w:rFonts w:ascii="仿宋_GB2312" w:hAnsi="仿宋_GB2312" w:cs="仿宋_GB2312" w:eastAsia="仿宋_GB2312"/>
              </w:rPr>
              <w:t>%</w:t>
            </w:r>
          </w:p>
        </w:tc>
        <w:tc>
          <w:tcPr>
            <w:tcW w:type="dxa" w:w="1466"/>
          </w:tcPr>
          <w:p>
            <w:pPr>
              <w:pStyle w:val="null3"/>
              <w:jc w:val="center"/>
            </w:pPr>
            <w:r>
              <w:rPr>
                <w:rFonts w:ascii="仿宋_GB2312" w:hAnsi="仿宋_GB2312" w:cs="仿宋_GB2312" w:eastAsia="仿宋_GB2312"/>
              </w:rPr>
              <w:t>100.00</w:t>
            </w:r>
          </w:p>
        </w:tc>
        <w:tc>
          <w:tcPr>
            <w:tcW w:type="dxa" w:w="977"/>
          </w:tcPr>
          <w:p>
            <w:pPr>
              <w:pStyle w:val="null3"/>
              <w:jc w:val="center"/>
            </w:pPr>
            <w:r>
              <w:rPr>
                <w:rFonts w:ascii="仿宋_GB2312" w:hAnsi="仿宋_GB2312" w:cs="仿宋_GB2312" w:eastAsia="仿宋_GB2312"/>
              </w:rPr>
              <w:t>百分比</w:t>
            </w:r>
          </w:p>
        </w:tc>
        <w:tc>
          <w:tcPr>
            <w:tcW w:type="dxa" w:w="1466"/>
          </w:tcPr>
          <w:p>
            <w:pPr>
              <w:pStyle w:val="null3"/>
              <w:jc w:val="left"/>
            </w:pPr>
            <w:r>
              <w:rPr>
                <w:rFonts w:ascii="仿宋_GB2312" w:hAnsi="仿宋_GB2312" w:cs="仿宋_GB2312" w:eastAsia="仿宋_GB2312"/>
              </w:rPr>
              <w:t>本采购包报统一结算比例</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684"/>
        <w:gridCol w:w="1759"/>
        <w:gridCol w:w="977"/>
        <w:gridCol w:w="977"/>
        <w:gridCol w:w="1466"/>
        <w:gridCol w:w="977"/>
        <w:gridCol w:w="1466"/>
      </w:tblGrid>
      <w:tr>
        <w:tc>
          <w:tcPr>
            <w:tcW w:type="dxa" w:w="684"/>
          </w:tcPr>
          <w:p>
            <w:pPr>
              <w:pStyle w:val="null3"/>
              <w:jc w:val="center"/>
            </w:pPr>
            <w:r>
              <w:rPr>
                <w:rFonts w:ascii="仿宋_GB2312" w:hAnsi="仿宋_GB2312" w:cs="仿宋_GB2312" w:eastAsia="仿宋_GB2312"/>
              </w:rPr>
              <w:t>序号</w:t>
            </w:r>
          </w:p>
        </w:tc>
        <w:tc>
          <w:tcPr>
            <w:tcW w:type="dxa" w:w="1759"/>
          </w:tcPr>
          <w:p>
            <w:pPr>
              <w:pStyle w:val="null3"/>
              <w:jc w:val="center"/>
            </w:pPr>
            <w:r>
              <w:rPr>
                <w:rFonts w:ascii="仿宋_GB2312" w:hAnsi="仿宋_GB2312" w:cs="仿宋_GB2312" w:eastAsia="仿宋_GB2312"/>
              </w:rPr>
              <w:t>报价内容</w:t>
            </w:r>
          </w:p>
        </w:tc>
        <w:tc>
          <w:tcPr>
            <w:tcW w:type="dxa" w:w="977"/>
          </w:tcPr>
          <w:p>
            <w:pPr>
              <w:pStyle w:val="null3"/>
              <w:jc w:val="center"/>
            </w:pPr>
            <w:r>
              <w:rPr>
                <w:rFonts w:ascii="仿宋_GB2312" w:hAnsi="仿宋_GB2312" w:cs="仿宋_GB2312" w:eastAsia="仿宋_GB2312"/>
              </w:rPr>
              <w:t>计量单位</w:t>
            </w:r>
          </w:p>
        </w:tc>
        <w:tc>
          <w:tcPr>
            <w:tcW w:type="dxa" w:w="977"/>
          </w:tcPr>
          <w:p>
            <w:pPr>
              <w:pStyle w:val="null3"/>
              <w:jc w:val="center"/>
            </w:pPr>
            <w:r>
              <w:rPr>
                <w:rFonts w:ascii="仿宋_GB2312" w:hAnsi="仿宋_GB2312" w:cs="仿宋_GB2312" w:eastAsia="仿宋_GB2312"/>
              </w:rPr>
              <w:t>报价单位</w:t>
            </w:r>
          </w:p>
        </w:tc>
        <w:tc>
          <w:tcPr>
            <w:tcW w:type="dxa" w:w="1466"/>
          </w:tcPr>
          <w:p>
            <w:pPr>
              <w:pStyle w:val="null3"/>
              <w:jc w:val="center"/>
            </w:pPr>
            <w:r>
              <w:rPr>
                <w:rFonts w:ascii="仿宋_GB2312" w:hAnsi="仿宋_GB2312" w:cs="仿宋_GB2312" w:eastAsia="仿宋_GB2312"/>
              </w:rPr>
              <w:t>最高限价</w:t>
            </w:r>
          </w:p>
        </w:tc>
        <w:tc>
          <w:tcPr>
            <w:tcW w:type="dxa" w:w="977"/>
          </w:tcPr>
          <w:p>
            <w:pPr>
              <w:pStyle w:val="null3"/>
              <w:jc w:val="center"/>
            </w:pPr>
            <w:r>
              <w:rPr>
                <w:rFonts w:ascii="仿宋_GB2312" w:hAnsi="仿宋_GB2312" w:cs="仿宋_GB2312" w:eastAsia="仿宋_GB2312"/>
              </w:rPr>
              <w:t>价款形式</w:t>
            </w:r>
          </w:p>
        </w:tc>
        <w:tc>
          <w:tcPr>
            <w:tcW w:type="dxa" w:w="1466"/>
          </w:tcPr>
          <w:p>
            <w:pPr>
              <w:pStyle w:val="null3"/>
              <w:jc w:val="center"/>
            </w:pPr>
            <w:r>
              <w:rPr>
                <w:rFonts w:ascii="仿宋_GB2312" w:hAnsi="仿宋_GB2312" w:cs="仿宋_GB2312" w:eastAsia="仿宋_GB2312"/>
              </w:rPr>
              <w:t>报价说明</w:t>
            </w:r>
          </w:p>
        </w:tc>
      </w:tr>
      <w:tr>
        <w:tc>
          <w:tcPr>
            <w:tcW w:type="dxa" w:w="684"/>
          </w:tcPr>
          <w:p>
            <w:pPr>
              <w:pStyle w:val="null3"/>
              <w:jc w:val="center"/>
            </w:pPr>
            <w:r>
              <w:rPr>
                <w:rFonts w:ascii="仿宋_GB2312" w:hAnsi="仿宋_GB2312" w:cs="仿宋_GB2312" w:eastAsia="仿宋_GB2312"/>
              </w:rPr>
              <w:t>1</w:t>
            </w:r>
          </w:p>
        </w:tc>
        <w:tc>
          <w:tcPr>
            <w:tcW w:type="dxa" w:w="1759"/>
          </w:tcPr>
          <w:p>
            <w:pPr>
              <w:pStyle w:val="null3"/>
              <w:jc w:val="center"/>
            </w:pPr>
            <w:r>
              <w:rPr>
                <w:rFonts w:ascii="仿宋_GB2312" w:hAnsi="仿宋_GB2312" w:cs="仿宋_GB2312" w:eastAsia="仿宋_GB2312"/>
              </w:rPr>
              <w:t>干杂类</w:t>
            </w:r>
          </w:p>
        </w:tc>
        <w:tc>
          <w:tcPr>
            <w:tcW w:type="dxa" w:w="977"/>
          </w:tcPr>
          <w:p>
            <w:pPr>
              <w:pStyle w:val="null3"/>
              <w:jc w:val="center"/>
            </w:pPr>
            <w:r>
              <w:rPr>
                <w:rFonts w:ascii="仿宋_GB2312" w:hAnsi="仿宋_GB2312" w:cs="仿宋_GB2312" w:eastAsia="仿宋_GB2312"/>
              </w:rPr>
              <w:t>批</w:t>
            </w:r>
          </w:p>
        </w:tc>
        <w:tc>
          <w:tcPr>
            <w:tcW w:type="dxa" w:w="977"/>
          </w:tcPr>
          <w:p>
            <w:pPr>
              <w:pStyle w:val="null3"/>
              <w:jc w:val="center"/>
            </w:pPr>
            <w:r>
              <w:rPr>
                <w:rFonts w:ascii="仿宋_GB2312" w:hAnsi="仿宋_GB2312" w:cs="仿宋_GB2312" w:eastAsia="仿宋_GB2312"/>
              </w:rPr>
              <w:t>%</w:t>
            </w:r>
          </w:p>
        </w:tc>
        <w:tc>
          <w:tcPr>
            <w:tcW w:type="dxa" w:w="1466"/>
          </w:tcPr>
          <w:p>
            <w:pPr>
              <w:pStyle w:val="null3"/>
              <w:jc w:val="center"/>
            </w:pPr>
            <w:r>
              <w:rPr>
                <w:rFonts w:ascii="仿宋_GB2312" w:hAnsi="仿宋_GB2312" w:cs="仿宋_GB2312" w:eastAsia="仿宋_GB2312"/>
              </w:rPr>
              <w:t>100.00</w:t>
            </w:r>
          </w:p>
        </w:tc>
        <w:tc>
          <w:tcPr>
            <w:tcW w:type="dxa" w:w="977"/>
          </w:tcPr>
          <w:p>
            <w:pPr>
              <w:pStyle w:val="null3"/>
              <w:jc w:val="center"/>
            </w:pPr>
            <w:r>
              <w:rPr>
                <w:rFonts w:ascii="仿宋_GB2312" w:hAnsi="仿宋_GB2312" w:cs="仿宋_GB2312" w:eastAsia="仿宋_GB2312"/>
              </w:rPr>
              <w:t>百分比</w:t>
            </w:r>
          </w:p>
        </w:tc>
        <w:tc>
          <w:tcPr>
            <w:tcW w:type="dxa" w:w="1466"/>
          </w:tcPr>
          <w:p>
            <w:pPr>
              <w:pStyle w:val="null3"/>
              <w:jc w:val="left"/>
            </w:pPr>
            <w:r>
              <w:rPr>
                <w:rFonts w:ascii="仿宋_GB2312" w:hAnsi="仿宋_GB2312" w:cs="仿宋_GB2312" w:eastAsia="仿宋_GB2312"/>
              </w:rPr>
              <w:t>本采购包报统一结算比例</w:t>
            </w:r>
          </w:p>
        </w:tc>
      </w:tr>
    </w:tbl>
    <w:p>
      <w:pPr>
        <w:pStyle w:val="null3"/>
        <w:ind w:firstLine="480"/>
        <w:jc w:val="left"/>
      </w:pPr>
      <w:r>
        <w:rPr>
          <w:rFonts w:ascii="仿宋_GB2312" w:hAnsi="仿宋_GB2312" w:cs="仿宋_GB2312" w:eastAsia="仿宋_GB2312"/>
        </w:rPr>
        <w:t>★注：本采购包涉及采购货物的，供应商响应产品应当明确品牌和规格型号并指向唯一产品，不能指向唯一产品的，应通过报价表唯一产品说明栏补充说明。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标的名称：肉禽类</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firstLine="562"/>
              <w:jc w:val="both"/>
            </w:pPr>
            <w:r>
              <w:rPr>
                <w:rFonts w:ascii="仿宋_GB2312" w:hAnsi="仿宋_GB2312" w:cs="仿宋_GB2312" w:eastAsia="仿宋_GB2312"/>
                <w:sz w:val="24"/>
                <w:b/>
              </w:rPr>
              <w:t>一、服务内容</w:t>
            </w:r>
          </w:p>
          <w:p>
            <w:pPr>
              <w:pStyle w:val="null3"/>
              <w:ind w:firstLine="560"/>
              <w:jc w:val="both"/>
            </w:pPr>
            <w:r>
              <w:rPr>
                <w:rFonts w:ascii="仿宋_GB2312" w:hAnsi="仿宋_GB2312" w:cs="仿宋_GB2312" w:eastAsia="仿宋_GB2312"/>
                <w:sz w:val="24"/>
              </w:rPr>
              <w:t>1、肉禽类配送内容：①猪肉、②牛肉、③鸡肉、④鸭肉、⑤鱼肉等。</w:t>
            </w:r>
          </w:p>
          <w:p>
            <w:pPr>
              <w:pStyle w:val="null3"/>
              <w:ind w:firstLine="426"/>
              <w:jc w:val="both"/>
            </w:pPr>
            <w:r>
              <w:rPr>
                <w:rFonts w:ascii="仿宋_GB2312" w:hAnsi="仿宋_GB2312" w:cs="仿宋_GB2312" w:eastAsia="仿宋_GB2312"/>
                <w:sz w:val="24"/>
                <w:b/>
              </w:rPr>
              <w:t>★</w:t>
            </w:r>
            <w:r>
              <w:rPr>
                <w:rFonts w:ascii="仿宋_GB2312" w:hAnsi="仿宋_GB2312" w:cs="仿宋_GB2312" w:eastAsia="仿宋_GB2312"/>
                <w:sz w:val="24"/>
              </w:rPr>
              <w:t>2、肉类须符合国家标准GB 2707-2016 食品安全国家标准 鲜（冻）畜、禽产品、GB 2762-2022 食品安全国家标准 食品中污染物限量、GB 18394-2020 畜禽肉水分限量等相关标准。</w:t>
            </w:r>
          </w:p>
          <w:p>
            <w:pPr>
              <w:pStyle w:val="null3"/>
              <w:ind w:firstLine="560"/>
              <w:jc w:val="both"/>
            </w:pPr>
            <w:r>
              <w:rPr>
                <w:rFonts w:ascii="仿宋_GB2312" w:hAnsi="仿宋_GB2312" w:cs="仿宋_GB2312" w:eastAsia="仿宋_GB2312"/>
                <w:sz w:val="24"/>
              </w:rPr>
              <w:t>3、配送的生鲜肉类应为当日屠宰的冷鲜肉，保证肉质新鲜，及时配送，且满足GB/T40465-2021畜禽肉追溯要求。</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rPr>
              <w:t>4、国家有定点屠宰、检验检疫要求的品种，应来自于定点屠宰厂出品、有国家规定的动物产品检疫合格证明及验讫印章、肉品品质检验合格证明及验讫印章。配送时供应商应提供肉类生产厂家的《生猪定点屠宰证》复印件、《动物防疫条件合格证》《动物检疫合格证明》、《肉品品质检验合格》（提供承诺函原件，格式自拟）。</w:t>
            </w:r>
          </w:p>
          <w:p>
            <w:pPr>
              <w:pStyle w:val="null3"/>
              <w:ind w:firstLine="560"/>
              <w:jc w:val="both"/>
            </w:pPr>
            <w:r>
              <w:rPr>
                <w:rFonts w:ascii="仿宋_GB2312" w:hAnsi="仿宋_GB2312" w:cs="仿宋_GB2312" w:eastAsia="仿宋_GB2312"/>
                <w:sz w:val="24"/>
              </w:rPr>
              <w:t>5、猪肉：</w:t>
            </w:r>
          </w:p>
          <w:p>
            <w:pPr>
              <w:pStyle w:val="null3"/>
              <w:ind w:firstLine="560"/>
              <w:jc w:val="both"/>
            </w:pPr>
            <w:r>
              <w:rPr>
                <w:rFonts w:ascii="仿宋_GB2312" w:hAnsi="仿宋_GB2312" w:cs="仿宋_GB2312" w:eastAsia="仿宋_GB2312"/>
                <w:sz w:val="24"/>
              </w:rPr>
              <w:t>5.1、鲜片猪肉(不包括种猪、晚阉猪来源的片猪肉)的质量指标应符合GB/T 9959.1-2019鲜、冻猪肉及猪副产品 第1部分：片猪肉的相应质量指标要求；</w:t>
            </w:r>
          </w:p>
          <w:p>
            <w:pPr>
              <w:pStyle w:val="null3"/>
              <w:ind w:firstLine="560"/>
              <w:jc w:val="both"/>
            </w:pPr>
            <w:r>
              <w:rPr>
                <w:rFonts w:ascii="仿宋_GB2312" w:hAnsi="仿宋_GB2312" w:cs="仿宋_GB2312" w:eastAsia="仿宋_GB2312"/>
                <w:sz w:val="24"/>
              </w:rPr>
              <w:t>5.2、分割鲜猪瘦肉的质量指标应符合GB/T 9959.2-2008 分割鲜冻猪瘦肉的相应质量指标要求；</w:t>
            </w:r>
          </w:p>
          <w:p>
            <w:pPr>
              <w:pStyle w:val="null3"/>
              <w:ind w:firstLine="560"/>
              <w:jc w:val="both"/>
            </w:pPr>
            <w:r>
              <w:rPr>
                <w:rFonts w:ascii="仿宋_GB2312" w:hAnsi="仿宋_GB2312" w:cs="仿宋_GB2312" w:eastAsia="仿宋_GB2312"/>
                <w:sz w:val="24"/>
              </w:rPr>
              <w:t>5.3、三线肉位于猪的腹部，即是在猪肋排上的肉，新鲜，半肥半瘦；排骨为软排，臀尖肉（无骨），坐臀肉（无骨），夹心肉（无骨），前排肉等为七层瘦肉三层肥肉。</w:t>
            </w:r>
          </w:p>
          <w:p>
            <w:pPr>
              <w:pStyle w:val="null3"/>
              <w:ind w:firstLine="560"/>
              <w:jc w:val="both"/>
            </w:pPr>
            <w:r>
              <w:rPr>
                <w:rFonts w:ascii="仿宋_GB2312" w:hAnsi="仿宋_GB2312" w:cs="仿宋_GB2312" w:eastAsia="仿宋_GB2312"/>
                <w:sz w:val="24"/>
              </w:rPr>
              <w:t>5.4、猪肉肌肉红色均匀，有光泽，脂肪洁白，外表微干或微湿润，不沾手，弹性良好，压后凹陷立即恢复，无血污，无泥污，无毒无害、新鲜、色泽鲜亮、无任何异味、无毛、按压无水迹；符合国家产品质量标准及有关规定（严禁提供注水、注胶、病猪、死猪或种猪猪肉）。</w:t>
            </w:r>
          </w:p>
          <w:p>
            <w:pPr>
              <w:pStyle w:val="null3"/>
              <w:ind w:firstLine="560"/>
              <w:jc w:val="both"/>
            </w:pPr>
            <w:r>
              <w:rPr>
                <w:rFonts w:ascii="仿宋_GB2312" w:hAnsi="仿宋_GB2312" w:cs="仿宋_GB2312" w:eastAsia="仿宋_GB2312"/>
                <w:sz w:val="24"/>
              </w:rPr>
              <w:t>6、牛肉：</w:t>
            </w:r>
          </w:p>
          <w:p>
            <w:pPr>
              <w:pStyle w:val="null3"/>
              <w:ind w:firstLine="560"/>
              <w:jc w:val="both"/>
            </w:pPr>
            <w:r>
              <w:rPr>
                <w:rFonts w:ascii="仿宋_GB2312" w:hAnsi="仿宋_GB2312" w:cs="仿宋_GB2312" w:eastAsia="仿宋_GB2312"/>
                <w:sz w:val="24"/>
              </w:rPr>
              <w:t>肉色深红，肉质有弹性，指压陷部分立刻恢复，切面有光泽及微湿润，无异味；具有浓郁的牛肉气味，脂肪白色或乳白色，无寄生虫、无注水。质量指标应符合GB/T 17238-2022鲜、冻分割牛肉。</w:t>
            </w:r>
          </w:p>
          <w:p>
            <w:pPr>
              <w:pStyle w:val="null3"/>
              <w:ind w:firstLine="560"/>
              <w:jc w:val="both"/>
            </w:pPr>
            <w:r>
              <w:rPr>
                <w:rFonts w:ascii="仿宋_GB2312" w:hAnsi="仿宋_GB2312" w:cs="仿宋_GB2312" w:eastAsia="仿宋_GB2312"/>
                <w:sz w:val="24"/>
              </w:rPr>
              <w:t>7、鸡肉：</w:t>
            </w:r>
          </w:p>
          <w:p>
            <w:pPr>
              <w:pStyle w:val="null3"/>
              <w:ind w:firstLine="560"/>
              <w:jc w:val="both"/>
            </w:pPr>
            <w:r>
              <w:rPr>
                <w:rFonts w:ascii="仿宋_GB2312" w:hAnsi="仿宋_GB2312" w:cs="仿宋_GB2312" w:eastAsia="仿宋_GB2312"/>
                <w:sz w:val="24"/>
              </w:rPr>
              <w:t>具有该品种应有的外形特征，大小符合要求，鸡肚内无一切内脏，眼球饱满，皮肤有光泽，外表微干或微湿润，不粘手，指压后的凹陷立即恢复，具有鲜鸡肉正常气味，淤血斑无或极少，无异味、无注水、无破皮。</w:t>
            </w:r>
          </w:p>
          <w:p>
            <w:pPr>
              <w:pStyle w:val="null3"/>
              <w:ind w:firstLine="560"/>
              <w:jc w:val="both"/>
            </w:pPr>
            <w:r>
              <w:rPr>
                <w:rFonts w:ascii="仿宋_GB2312" w:hAnsi="仿宋_GB2312" w:cs="仿宋_GB2312" w:eastAsia="仿宋_GB2312"/>
                <w:sz w:val="24"/>
              </w:rPr>
              <w:t>8、鸭肉：</w:t>
            </w:r>
          </w:p>
          <w:p>
            <w:pPr>
              <w:pStyle w:val="null3"/>
              <w:ind w:firstLine="560"/>
              <w:jc w:val="both"/>
            </w:pPr>
            <w:r>
              <w:rPr>
                <w:rFonts w:ascii="仿宋_GB2312" w:hAnsi="仿宋_GB2312" w:cs="仿宋_GB2312" w:eastAsia="仿宋_GB2312"/>
                <w:sz w:val="24"/>
              </w:rPr>
              <w:t>表皮光滑而有光泽，肉质弹性好且丰满，表皮无毛或少毛，无破皮、无花皮、无显眼淤块；无注水，肚内无一切内脏，无血水、无异味。</w:t>
            </w:r>
          </w:p>
          <w:p>
            <w:pPr>
              <w:pStyle w:val="null3"/>
              <w:ind w:firstLine="560"/>
              <w:jc w:val="both"/>
            </w:pPr>
            <w:r>
              <w:rPr>
                <w:rFonts w:ascii="仿宋_GB2312" w:hAnsi="仿宋_GB2312" w:cs="仿宋_GB2312" w:eastAsia="仿宋_GB2312"/>
                <w:sz w:val="24"/>
              </w:rPr>
              <w:t>9、鱼类：</w:t>
            </w:r>
          </w:p>
          <w:p>
            <w:pPr>
              <w:pStyle w:val="null3"/>
              <w:ind w:firstLine="560"/>
              <w:jc w:val="both"/>
            </w:pPr>
            <w:r>
              <w:rPr>
                <w:rFonts w:ascii="仿宋_GB2312" w:hAnsi="仿宋_GB2312" w:cs="仿宋_GB2312" w:eastAsia="仿宋_GB2312"/>
                <w:sz w:val="24"/>
              </w:rPr>
              <w:t>游水生猛，对外界刺激敏感，无翻肚；无嘴烂及其它外表损伤。鱼鳞完整有光泽，不易脱落，眼隔膜有光泽、透明，眼球突出。</w:t>
            </w:r>
          </w:p>
          <w:p>
            <w:pPr>
              <w:pStyle w:val="null3"/>
              <w:ind w:firstLine="562"/>
              <w:jc w:val="both"/>
            </w:pPr>
            <w:r>
              <w:rPr>
                <w:rFonts w:ascii="仿宋_GB2312" w:hAnsi="仿宋_GB2312" w:cs="仿宋_GB2312" w:eastAsia="仿宋_GB2312"/>
                <w:sz w:val="24"/>
                <w:b/>
              </w:rPr>
              <w:t>二、服务要求</w:t>
            </w:r>
          </w:p>
          <w:p>
            <w:pPr>
              <w:pStyle w:val="null3"/>
              <w:ind w:firstLine="560"/>
              <w:jc w:val="both"/>
            </w:pPr>
            <w:r>
              <w:rPr>
                <w:rFonts w:ascii="仿宋_GB2312" w:hAnsi="仿宋_GB2312" w:cs="仿宋_GB2312" w:eastAsia="仿宋_GB2312"/>
                <w:sz w:val="24"/>
              </w:rPr>
              <w:t>1、配送服务相关人员实行备案制，合同履行期间不得擅自调整，且需建立统一配送网络，成交供应商需负责统一安排和管理配送车辆，成交供应商需安排专人与采购人负责联系（提供电话、短信、微信、QQ信息等），确认产品需求量、加工要求（如有）和配送要求。</w:t>
            </w:r>
          </w:p>
          <w:p>
            <w:pPr>
              <w:pStyle w:val="null3"/>
              <w:ind w:firstLine="560"/>
              <w:jc w:val="both"/>
            </w:pPr>
            <w:r>
              <w:rPr>
                <w:rFonts w:ascii="仿宋_GB2312" w:hAnsi="仿宋_GB2312" w:cs="仿宋_GB2312" w:eastAsia="仿宋_GB2312"/>
                <w:sz w:val="24"/>
              </w:rPr>
              <w:t>2、供应商应严格按照采购人要求的食材质量、数量准确配送，并根据采购人实际情况自行制定配送路线。成交供应商不按采购人要求配送，采购人有权拒绝签字、收货。成交供应商接到采购人通知，60分钟响应，2小时内送达；应急配送要求应在30分钟内予以送达。所有产品配送符合产品加工运输的国家标准，并实行专车专人定点配送，按规定送到采购人指定的库房，并按存放要求堆放整齐。若人车情况有变更，供应商应提前与采购人衔接，做好培训并接受采购人管理。</w:t>
            </w:r>
          </w:p>
          <w:p>
            <w:pPr>
              <w:pStyle w:val="null3"/>
              <w:ind w:firstLine="560"/>
              <w:jc w:val="both"/>
            </w:pPr>
            <w:r>
              <w:rPr>
                <w:rFonts w:ascii="仿宋_GB2312" w:hAnsi="仿宋_GB2312" w:cs="仿宋_GB2312" w:eastAsia="仿宋_GB2312"/>
                <w:sz w:val="24"/>
              </w:rPr>
              <w:t>3、供应商应建立严格完善的规章制度、管理记录档案和台账，严格规范地执行产品的检测、留样、出库、入库、运输、搬运等制度，详细记载相关内容，对每批次配送产品应进行留样、随时备查，协助有关部门检查食品安全工作。</w:t>
            </w:r>
          </w:p>
          <w:p>
            <w:pPr>
              <w:pStyle w:val="null3"/>
              <w:ind w:firstLine="560"/>
              <w:jc w:val="both"/>
            </w:pPr>
            <w:r>
              <w:rPr>
                <w:rFonts w:ascii="仿宋_GB2312" w:hAnsi="仿宋_GB2312" w:cs="仿宋_GB2312" w:eastAsia="仿宋_GB2312"/>
                <w:sz w:val="24"/>
              </w:rPr>
              <w:t>4、所供食材在配送前供应商应自行査验，标签标识内容必须真实，符合要求。</w:t>
            </w:r>
          </w:p>
          <w:p>
            <w:pPr>
              <w:pStyle w:val="null3"/>
              <w:ind w:firstLine="560"/>
              <w:jc w:val="both"/>
            </w:pPr>
            <w:r>
              <w:rPr>
                <w:rFonts w:ascii="仿宋_GB2312" w:hAnsi="仿宋_GB2312" w:cs="仿宋_GB2312" w:eastAsia="仿宋_GB2312"/>
                <w:sz w:val="24"/>
              </w:rPr>
              <w:t>5、配送人员要求：配送人员无犯罪、吸毒史；在配送工作时应着工作服、佩戴工作证，保持仪表整洁；供应商签订合同后开始配送前须将配送人员健康证提交到采购人处备案。</w:t>
            </w:r>
          </w:p>
          <w:p>
            <w:pPr>
              <w:pStyle w:val="null3"/>
              <w:ind w:firstLine="560"/>
              <w:jc w:val="both"/>
            </w:pPr>
            <w:r>
              <w:rPr>
                <w:rFonts w:ascii="仿宋_GB2312" w:hAnsi="仿宋_GB2312" w:cs="仿宋_GB2312" w:eastAsia="仿宋_GB2312"/>
                <w:sz w:val="24"/>
              </w:rPr>
              <w:t>6、供应商在配送过程中应做好保鲜、保质措施，严禁喷洒有毒有害物质进行保鲜或保质。</w:t>
            </w:r>
          </w:p>
          <w:p>
            <w:pPr>
              <w:pStyle w:val="null3"/>
              <w:ind w:firstLine="560"/>
              <w:jc w:val="both"/>
            </w:pPr>
            <w:r>
              <w:rPr>
                <w:rFonts w:ascii="仿宋_GB2312" w:hAnsi="仿宋_GB2312" w:cs="仿宋_GB2312" w:eastAsia="仿宋_GB2312"/>
                <w:sz w:val="24"/>
              </w:rPr>
              <w:t>7、供应商须具备组织配送、调运、包装、二次搬运的能力，须具有固定配送网点服务能力，所供产品在保质期内岀现任何问题，及时更换相同产品。</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rPr>
              <w:t>8、车辆要求：供应商中标后须配置1辆“配送专用冷藏车”。所供食材须由专用车辆配送，且悬挂统一标志牌，车辆符合安全、卫生要求。供应商应定期对车辆进行清洁消毒并做好相关记录，运输时应避免日晒、雨淋。所供食材禁止与有毒、有害、易质变、有异味的物品及其他物品混装运输，不得有污染事故发生。配送车辆和人员应遵守有关交通、安全等方面的要求。（提供承诺函原件，格式自拟）</w:t>
            </w:r>
          </w:p>
          <w:p>
            <w:pPr>
              <w:pStyle w:val="null3"/>
              <w:ind w:firstLine="560"/>
              <w:jc w:val="both"/>
            </w:pPr>
            <w:r>
              <w:rPr>
                <w:rFonts w:ascii="仿宋_GB2312" w:hAnsi="仿宋_GB2312" w:cs="仿宋_GB2312" w:eastAsia="仿宋_GB2312"/>
                <w:sz w:val="24"/>
              </w:rPr>
              <w:t>★9、供应商中标后应按照采购人要求及时保质保量配送，保障采购人食堂正常运行。供应商中标后须按照采购文件要求提供货物且保证供应的食品安全和运输安全，并负责更换运输过程中包装破损产品，且相关费用由成交供应商自行承担。</w:t>
            </w:r>
          </w:p>
          <w:p>
            <w:pPr>
              <w:pStyle w:val="null3"/>
              <w:ind w:firstLine="562"/>
              <w:jc w:val="both"/>
            </w:pPr>
            <w:r>
              <w:rPr>
                <w:rFonts w:ascii="仿宋_GB2312" w:hAnsi="仿宋_GB2312" w:cs="仿宋_GB2312" w:eastAsia="仿宋_GB2312"/>
                <w:sz w:val="24"/>
                <w:b/>
              </w:rPr>
              <w:t>三、其他要求</w:t>
            </w:r>
          </w:p>
          <w:p>
            <w:pPr>
              <w:pStyle w:val="null3"/>
              <w:ind w:firstLine="560"/>
              <w:jc w:val="both"/>
            </w:pPr>
            <w:r>
              <w:rPr>
                <w:rFonts w:ascii="仿宋_GB2312" w:hAnsi="仿宋_GB2312" w:cs="仿宋_GB2312" w:eastAsia="仿宋_GB2312"/>
                <w:sz w:val="24"/>
              </w:rPr>
              <w:t>1、若因食材、食品本身质量问题或配送中污染、变质造成的食品安全事故，由供应商承担全部责任，并赔偿由此给采购人造成的损失，且采购人有权终止本项目合同；在食品安全相关主管部门的食材、食品安全检查中，因供应商配送的食品存在安全隐患，导致检查不合格，造成采购人被通报或处罚的，由供应商承担全部责任，并赔偿采购人相应损失，且采购人有权终止本项目合同。</w:t>
            </w:r>
          </w:p>
          <w:p>
            <w:pPr>
              <w:pStyle w:val="null3"/>
              <w:ind w:firstLine="560"/>
              <w:jc w:val="both"/>
            </w:pPr>
            <w:r>
              <w:rPr>
                <w:rFonts w:ascii="仿宋_GB2312" w:hAnsi="仿宋_GB2312" w:cs="仿宋_GB2312" w:eastAsia="仿宋_GB2312"/>
                <w:sz w:val="24"/>
              </w:rPr>
              <w:t>2、供应商为食堂配送的所有品类的食材在运输过程中必须分类存放。</w:t>
            </w:r>
          </w:p>
          <w:p>
            <w:pPr>
              <w:pStyle w:val="null3"/>
              <w:ind w:firstLine="560"/>
              <w:jc w:val="both"/>
            </w:pPr>
            <w:r>
              <w:rPr>
                <w:rFonts w:ascii="仿宋_GB2312" w:hAnsi="仿宋_GB2312" w:cs="仿宋_GB2312" w:eastAsia="仿宋_GB2312"/>
                <w:sz w:val="24"/>
              </w:rPr>
              <w:t>3、供应商派专车和专人，提供全天候的跟踪服务，保证采购人的任何配送需要都得到即时的落实。</w:t>
            </w:r>
          </w:p>
          <w:p>
            <w:pPr>
              <w:pStyle w:val="null3"/>
              <w:ind w:firstLine="560"/>
              <w:jc w:val="both"/>
            </w:pPr>
            <w:r>
              <w:rPr>
                <w:rFonts w:ascii="仿宋_GB2312" w:hAnsi="仿宋_GB2312" w:cs="仿宋_GB2312" w:eastAsia="仿宋_GB2312"/>
                <w:sz w:val="24"/>
              </w:rPr>
              <w:t>4、供应商本项目负责人须每月定期上门回访采购人，及时了解采购人各种建议、意见和要求，并迅速处理。</w:t>
            </w:r>
          </w:p>
          <w:p>
            <w:pPr>
              <w:pStyle w:val="null3"/>
              <w:ind w:firstLine="560"/>
              <w:jc w:val="both"/>
            </w:pPr>
            <w:r>
              <w:rPr>
                <w:rFonts w:ascii="仿宋_GB2312" w:hAnsi="仿宋_GB2312" w:cs="仿宋_GB2312" w:eastAsia="仿宋_GB2312"/>
                <w:sz w:val="24"/>
              </w:rPr>
              <w:t>5、因市场特殊原因，个别食材品种不能及时提供，供应商应主动与釆购人沟通协调，更换品种，满足采购人需要。</w:t>
            </w:r>
          </w:p>
          <w:p>
            <w:pPr>
              <w:pStyle w:val="null3"/>
              <w:ind w:firstLine="482"/>
              <w:jc w:val="both"/>
            </w:pPr>
            <w:r>
              <w:rPr>
                <w:rFonts w:ascii="仿宋_GB2312" w:hAnsi="仿宋_GB2312" w:cs="仿宋_GB2312" w:eastAsia="仿宋_GB2312"/>
                <w:sz w:val="24"/>
                <w:b/>
              </w:rPr>
              <w:t>★四、安全要求</w:t>
            </w:r>
          </w:p>
          <w:p>
            <w:pPr>
              <w:pStyle w:val="null3"/>
              <w:ind w:firstLine="560"/>
              <w:jc w:val="both"/>
            </w:pPr>
            <w:r>
              <w:rPr>
                <w:rFonts w:ascii="仿宋_GB2312" w:hAnsi="仿宋_GB2312" w:cs="仿宋_GB2312" w:eastAsia="仿宋_GB2312"/>
                <w:sz w:val="24"/>
              </w:rPr>
              <w:t>在项目服务过程中，由于成交供应商或其工作人员原因给他人或自身造成伤害的安全责任(含事故)均由成交供应商承担相应责任。（提供承诺函原件，格式自拟）</w:t>
            </w:r>
          </w:p>
          <w:p>
            <w:pPr>
              <w:pStyle w:val="null3"/>
              <w:ind w:firstLine="482"/>
              <w:jc w:val="both"/>
            </w:pPr>
            <w:r>
              <w:rPr>
                <w:rFonts w:ascii="仿宋_GB2312" w:hAnsi="仿宋_GB2312" w:cs="仿宋_GB2312" w:eastAsia="仿宋_GB2312"/>
                <w:sz w:val="24"/>
                <w:b/>
              </w:rPr>
              <w:t>★五、保险要求</w:t>
            </w:r>
          </w:p>
          <w:p>
            <w:pPr>
              <w:pStyle w:val="null3"/>
              <w:ind w:firstLine="560"/>
              <w:jc w:val="both"/>
            </w:pPr>
            <w:r>
              <w:rPr>
                <w:rFonts w:ascii="仿宋_GB2312" w:hAnsi="仿宋_GB2312" w:cs="仿宋_GB2312" w:eastAsia="仿宋_GB2312"/>
                <w:sz w:val="24"/>
              </w:rPr>
              <w:t>为保证因重大安全责任等事故导致的损害得到及时有效的赔偿，供应商须承诺中标后购买食品安全责任险，且保险金额不低于500万元，并承诺保险期限覆盖整个供货服务期。（提供承诺函原件，格式自拟）</w:t>
            </w:r>
          </w:p>
          <w:p>
            <w:pPr>
              <w:pStyle w:val="null3"/>
              <w:ind w:firstLine="562"/>
              <w:jc w:val="both"/>
            </w:pPr>
            <w:r>
              <w:rPr>
                <w:rFonts w:ascii="仿宋_GB2312" w:hAnsi="仿宋_GB2312" w:cs="仿宋_GB2312" w:eastAsia="仿宋_GB2312"/>
                <w:sz w:val="24"/>
                <w:b/>
              </w:rPr>
              <w:t>六、确定结算价格</w:t>
            </w:r>
          </w:p>
          <w:p>
            <w:pPr>
              <w:pStyle w:val="null3"/>
              <w:ind w:firstLine="560"/>
              <w:jc w:val="both"/>
            </w:pPr>
            <w:r>
              <w:rPr>
                <w:rFonts w:ascii="仿宋_GB2312" w:hAnsi="仿宋_GB2312" w:cs="仿宋_GB2312" w:eastAsia="仿宋_GB2312"/>
                <w:sz w:val="24"/>
              </w:rPr>
              <w:t>1、基准价格确定：建立由采购人与成交供应商共同组成的询价小组，在雅江县农贸市场和超市对本包配送内容的价格进行调查，每两月进行1次市场价格调查，随机询价三家，进行1次询价后以平均价作为基准价。</w:t>
            </w:r>
          </w:p>
          <w:p>
            <w:pPr>
              <w:pStyle w:val="null3"/>
              <w:ind w:firstLine="560"/>
              <w:jc w:val="both"/>
            </w:pPr>
            <w:r>
              <w:rPr>
                <w:rFonts w:ascii="仿宋_GB2312" w:hAnsi="仿宋_GB2312" w:cs="仿宋_GB2312" w:eastAsia="仿宋_GB2312"/>
                <w:sz w:val="24"/>
              </w:rPr>
              <w:t>2、若在定价后市场价格涨幅超过10%，由供应商提出申请，经采购人相关部门核实后，重新询价和定价。若市场价格下降幅度超过10%，供应商必须告知采购人，经采购人相关部门核实后，重新询价和定价,也可以由采购人相关部门直接重新询价。</w:t>
            </w:r>
          </w:p>
          <w:p>
            <w:pPr>
              <w:pStyle w:val="null3"/>
              <w:ind w:firstLine="562"/>
              <w:jc w:val="both"/>
            </w:pPr>
            <w:r>
              <w:rPr>
                <w:rFonts w:ascii="仿宋_GB2312" w:hAnsi="仿宋_GB2312" w:cs="仿宋_GB2312" w:eastAsia="仿宋_GB2312"/>
                <w:sz w:val="24"/>
                <w:b/>
              </w:rPr>
              <w:t>七、月度考核要求</w:t>
            </w:r>
          </w:p>
          <w:p>
            <w:pPr>
              <w:pStyle w:val="null3"/>
              <w:ind w:firstLine="560"/>
              <w:jc w:val="both"/>
            </w:pPr>
            <w:r>
              <w:rPr>
                <w:rFonts w:ascii="仿宋_GB2312" w:hAnsi="仿宋_GB2312" w:cs="仿宋_GB2312" w:eastAsia="仿宋_GB2312"/>
                <w:sz w:val="24"/>
              </w:rPr>
              <w:t>1、为保证项目服务质量，采购人根据考评机制规定对成交供应商服务质量进行月度考核，考核机制为扣分制(满分100分，出现违反考核细则规定的情况按照相应要求进行扣分)。</w:t>
            </w:r>
          </w:p>
          <w:p>
            <w:pPr>
              <w:pStyle w:val="null3"/>
              <w:ind w:firstLine="560"/>
              <w:jc w:val="both"/>
            </w:pPr>
            <w:r>
              <w:rPr>
                <w:rFonts w:ascii="仿宋_GB2312" w:hAnsi="仿宋_GB2312" w:cs="仿宋_GB2312" w:eastAsia="仿宋_GB2312"/>
                <w:sz w:val="24"/>
              </w:rPr>
              <w:t>1.1、月度考核得分在90分（含）以上视为考核合格，全额支付该月货款；</w:t>
            </w:r>
          </w:p>
          <w:p>
            <w:pPr>
              <w:pStyle w:val="null3"/>
              <w:ind w:firstLine="560"/>
              <w:jc w:val="both"/>
            </w:pPr>
            <w:r>
              <w:rPr>
                <w:rFonts w:ascii="仿宋_GB2312" w:hAnsi="仿宋_GB2312" w:cs="仿宋_GB2312" w:eastAsia="仿宋_GB2312"/>
                <w:sz w:val="24"/>
              </w:rPr>
              <w:t>1.2、月度考核得分90分（不含）-85分（含），此分段每扣1分扣该月货款2000元。</w:t>
            </w:r>
          </w:p>
          <w:p>
            <w:pPr>
              <w:pStyle w:val="null3"/>
              <w:ind w:firstLine="560"/>
              <w:jc w:val="both"/>
            </w:pPr>
            <w:r>
              <w:rPr>
                <w:rFonts w:ascii="仿宋_GB2312" w:hAnsi="仿宋_GB2312" w:cs="仿宋_GB2312" w:eastAsia="仿宋_GB2312"/>
                <w:sz w:val="24"/>
              </w:rPr>
              <w:t>1.3、月度考核得分85分（不含）以下视为不合格，将处以该月货款20%的罚款。</w:t>
            </w:r>
          </w:p>
          <w:p>
            <w:pPr>
              <w:pStyle w:val="null3"/>
              <w:ind w:firstLine="560"/>
              <w:jc w:val="both"/>
            </w:pPr>
            <w:r>
              <w:rPr>
                <w:rFonts w:ascii="仿宋_GB2312" w:hAnsi="仿宋_GB2312" w:cs="仿宋_GB2312" w:eastAsia="仿宋_GB2312"/>
                <w:sz w:val="24"/>
              </w:rPr>
              <w:t>2、考核人员：采购人单位相关部门领导及单位职工共同监管考核，若全年考核出现两次（含）以上不合格，即判定为服务不合格，采购人将有权终止合同，由供应商承担违约和赔偿责任。</w:t>
            </w:r>
          </w:p>
          <w:p>
            <w:pPr>
              <w:pStyle w:val="null3"/>
              <w:ind w:firstLine="560"/>
              <w:jc w:val="both"/>
            </w:pPr>
            <w:r>
              <w:rPr>
                <w:rFonts w:ascii="仿宋_GB2312" w:hAnsi="仿宋_GB2312" w:cs="仿宋_GB2312" w:eastAsia="仿宋_GB2312"/>
                <w:sz w:val="24"/>
              </w:rPr>
              <w:t>3、月度考核细则</w:t>
            </w:r>
          </w:p>
          <w:tbl>
            <w:tblPr>
              <w:tblBorders>
                <w:top w:val="none" w:color="000000" w:sz="4"/>
                <w:left w:val="none" w:color="000000" w:sz="4"/>
                <w:bottom w:val="none" w:color="000000" w:sz="4"/>
                <w:right w:val="none" w:color="000000" w:sz="4"/>
                <w:insideH w:val="none"/>
                <w:insideV w:val="none"/>
              </w:tblBorders>
            </w:tblPr>
            <w:tblGrid>
              <w:gridCol w:w="1005"/>
              <w:gridCol w:w="3400"/>
              <w:gridCol w:w="1182"/>
            </w:tblGrid>
            <w:tr>
              <w:tc>
                <w:tcPr>
                  <w:tcW w:type="dxa" w:w="10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考核项目</w:t>
                  </w:r>
                </w:p>
              </w:tc>
              <w:tc>
                <w:tcPr>
                  <w:tcW w:type="dxa" w:w="34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考核细则</w:t>
                  </w:r>
                </w:p>
              </w:tc>
              <w:tc>
                <w:tcPr>
                  <w:tcW w:type="dxa" w:w="11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分值</w:t>
                  </w:r>
                </w:p>
              </w:tc>
            </w:tr>
            <w:tr>
              <w:tc>
                <w:tcPr>
                  <w:tcW w:type="dxa" w:w="1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食材建档</w:t>
                  </w:r>
                </w:p>
              </w:tc>
              <w:tc>
                <w:tcPr>
                  <w:tcW w:type="dxa" w:w="3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出现配送食材未有效建立档案或档案丢失、无法有效溯源等情况。</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每发现一次扣1分</w:t>
                  </w:r>
                </w:p>
              </w:tc>
            </w:tr>
            <w:tr>
              <w:tc>
                <w:tcPr>
                  <w:tcW w:type="dxa" w:w="10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食材安全</w:t>
                  </w:r>
                </w:p>
              </w:tc>
              <w:tc>
                <w:tcPr>
                  <w:tcW w:type="dxa" w:w="3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成交供应商未按照招标文件要求、投标文件响应及承诺、采购合同的要求配送货物，配送货物出现以次充好、来历不明的。</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每发现一次扣3分</w:t>
                  </w:r>
                </w:p>
              </w:tc>
            </w:tr>
            <w:tr>
              <w:tc>
                <w:tcPr>
                  <w:tcW w:type="dxa" w:w="1005"/>
                  <w:vMerge/>
                  <w:tcBorders>
                    <w:top w:val="none" w:color="000000" w:sz="4"/>
                    <w:left w:val="single" w:color="000000" w:sz="4"/>
                    <w:bottom w:val="single" w:color="000000" w:sz="4"/>
                    <w:right w:val="single" w:color="000000" w:sz="4"/>
                  </w:tcBorders>
                </w:tcPr>
                <w:p/>
              </w:tc>
              <w:tc>
                <w:tcPr>
                  <w:tcW w:type="dxa" w:w="3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配送食材中发现老鼠、蟑螂等异物。</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每发现一次扣1分</w:t>
                  </w:r>
                </w:p>
              </w:tc>
            </w:tr>
            <w:tr>
              <w:tc>
                <w:tcPr>
                  <w:tcW w:type="dxa" w:w="1005"/>
                  <w:vMerge/>
                  <w:tcBorders>
                    <w:top w:val="none" w:color="000000" w:sz="4"/>
                    <w:left w:val="single" w:color="000000" w:sz="4"/>
                    <w:bottom w:val="single" w:color="000000" w:sz="4"/>
                    <w:right w:val="single" w:color="000000" w:sz="4"/>
                  </w:tcBorders>
                </w:tcPr>
                <w:p/>
              </w:tc>
              <w:tc>
                <w:tcPr>
                  <w:tcW w:type="dxa" w:w="3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配送食材出现异味、腐、烂、变质、包装破损等情况。</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每发现一次扣5分</w:t>
                  </w:r>
                </w:p>
              </w:tc>
            </w:tr>
            <w:tr>
              <w:tc>
                <w:tcPr>
                  <w:tcW w:type="dxa" w:w="1005"/>
                  <w:vMerge/>
                  <w:tcBorders>
                    <w:top w:val="none" w:color="000000" w:sz="4"/>
                    <w:left w:val="single" w:color="000000" w:sz="4"/>
                    <w:bottom w:val="single" w:color="000000" w:sz="4"/>
                    <w:right w:val="single" w:color="000000" w:sz="4"/>
                  </w:tcBorders>
                </w:tcPr>
                <w:p/>
              </w:tc>
              <w:tc>
                <w:tcPr>
                  <w:tcW w:type="dxa" w:w="3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成交供应商未有效执行食品安全卫生相关制度。</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每发现一次扣3分</w:t>
                  </w:r>
                </w:p>
              </w:tc>
            </w:tr>
            <w:tr>
              <w:tc>
                <w:tcPr>
                  <w:tcW w:type="dxa" w:w="1005"/>
                  <w:vMerge/>
                  <w:tcBorders>
                    <w:top w:val="none" w:color="000000" w:sz="4"/>
                    <w:left w:val="single" w:color="000000" w:sz="4"/>
                    <w:bottom w:val="single" w:color="000000" w:sz="4"/>
                    <w:right w:val="single" w:color="000000" w:sz="4"/>
                  </w:tcBorders>
                </w:tcPr>
                <w:p/>
              </w:tc>
              <w:tc>
                <w:tcPr>
                  <w:tcW w:type="dxa" w:w="3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成交供应商未及时提供原材料检验报告、合格证书等情况。</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每发现一次扣2分</w:t>
                  </w:r>
                </w:p>
              </w:tc>
            </w:tr>
            <w:tr>
              <w:tc>
                <w:tcPr>
                  <w:tcW w:type="dxa" w:w="10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配送服务</w:t>
                  </w:r>
                </w:p>
              </w:tc>
              <w:tc>
                <w:tcPr>
                  <w:tcW w:type="dxa" w:w="3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配送出现迟到现象，严重影响采购人就餐。</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每发现一次扣5分</w:t>
                  </w:r>
                </w:p>
              </w:tc>
            </w:tr>
            <w:tr>
              <w:tc>
                <w:tcPr>
                  <w:tcW w:type="dxa" w:w="1005"/>
                  <w:vMerge/>
                  <w:tcBorders>
                    <w:top w:val="none" w:color="000000" w:sz="4"/>
                    <w:left w:val="single" w:color="000000" w:sz="4"/>
                    <w:bottom w:val="single" w:color="000000" w:sz="4"/>
                    <w:right w:val="single" w:color="000000" w:sz="4"/>
                  </w:tcBorders>
                </w:tcPr>
                <w:p/>
              </w:tc>
              <w:tc>
                <w:tcPr>
                  <w:tcW w:type="dxa" w:w="3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配送食材出现错送、漏送、少送等情况。</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每发现一次扣2分</w:t>
                  </w:r>
                </w:p>
              </w:tc>
            </w:tr>
            <w:tr>
              <w:tc>
                <w:tcPr>
                  <w:tcW w:type="dxa" w:w="1005"/>
                  <w:vMerge/>
                  <w:tcBorders>
                    <w:top w:val="none" w:color="000000" w:sz="4"/>
                    <w:left w:val="single" w:color="000000" w:sz="4"/>
                    <w:bottom w:val="single" w:color="000000" w:sz="4"/>
                    <w:right w:val="single" w:color="000000" w:sz="4"/>
                  </w:tcBorders>
                </w:tcPr>
                <w:p/>
              </w:tc>
              <w:tc>
                <w:tcPr>
                  <w:tcW w:type="dxa" w:w="3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配送人员未按规定着装，未佩戴相关证件。</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每发现一次扣1分</w:t>
                  </w:r>
                </w:p>
              </w:tc>
            </w:tr>
            <w:tr>
              <w:tc>
                <w:tcPr>
                  <w:tcW w:type="dxa" w:w="1005"/>
                  <w:vMerge/>
                  <w:tcBorders>
                    <w:top w:val="none" w:color="000000" w:sz="4"/>
                    <w:left w:val="single" w:color="000000" w:sz="4"/>
                    <w:bottom w:val="single" w:color="000000" w:sz="4"/>
                    <w:right w:val="single" w:color="000000" w:sz="4"/>
                  </w:tcBorders>
                </w:tcPr>
                <w:p/>
              </w:tc>
              <w:tc>
                <w:tcPr>
                  <w:tcW w:type="dxa" w:w="3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配送车辆不符合规定。</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每发现一次扣1分</w:t>
                  </w:r>
                </w:p>
              </w:tc>
            </w:tr>
            <w:tr>
              <w:tc>
                <w:tcPr>
                  <w:tcW w:type="dxa" w:w="1005"/>
                  <w:vMerge/>
                  <w:tcBorders>
                    <w:top w:val="none" w:color="000000" w:sz="4"/>
                    <w:left w:val="single" w:color="000000" w:sz="4"/>
                    <w:bottom w:val="single" w:color="000000" w:sz="4"/>
                    <w:right w:val="single" w:color="000000" w:sz="4"/>
                  </w:tcBorders>
                </w:tcPr>
                <w:p/>
              </w:tc>
              <w:tc>
                <w:tcPr>
                  <w:tcW w:type="dxa" w:w="3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出现紧急情况，未有效保障食材及时配送。</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每发现一次扣3分</w:t>
                  </w:r>
                </w:p>
              </w:tc>
            </w:tr>
            <w:tr>
              <w:tc>
                <w:tcPr>
                  <w:tcW w:type="dxa" w:w="1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服务满意度</w:t>
                  </w:r>
                </w:p>
              </w:tc>
              <w:tc>
                <w:tcPr>
                  <w:tcW w:type="dxa" w:w="3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因原材料配送导致投诉或因为人员服务态度等导致投诉。</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每发现一次扣3分</w:t>
                  </w:r>
                </w:p>
              </w:tc>
            </w:tr>
            <w:tr>
              <w:tc>
                <w:tcPr>
                  <w:tcW w:type="dxa" w:w="1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售后服务</w:t>
                  </w:r>
                </w:p>
              </w:tc>
              <w:tc>
                <w:tcPr>
                  <w:tcW w:type="dxa" w:w="3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售后服务电话无人接听或售后服务电话接听人员不熟悉售后业务或售后诉求登记后没有有效执行售后事宜等情况。</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每发现一次扣3分</w:t>
                  </w:r>
                </w:p>
              </w:tc>
            </w:tr>
            <w:tr>
              <w:tc>
                <w:tcPr>
                  <w:tcW w:type="dxa" w:w="1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总分</w:t>
                  </w:r>
                </w:p>
              </w:tc>
              <w:tc>
                <w:tcPr>
                  <w:tcW w:type="dxa" w:w="458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100分</w:t>
                  </w:r>
                </w:p>
              </w:tc>
            </w:tr>
            <w:tr>
              <w:tc>
                <w:tcPr>
                  <w:tcW w:type="dxa" w:w="558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满分100分，出现违反考核细则规定的情况按照相应要求进行扣分</w:t>
                  </w:r>
                </w:p>
              </w:tc>
            </w:tr>
          </w:tbl>
          <w:p>
            <w:pPr>
              <w:pStyle w:val="null3"/>
              <w:ind w:firstLine="482"/>
              <w:jc w:val="both"/>
            </w:pPr>
            <w:r>
              <w:rPr>
                <w:rFonts w:ascii="仿宋_GB2312" w:hAnsi="仿宋_GB2312" w:cs="仿宋_GB2312" w:eastAsia="仿宋_GB2312"/>
                <w:sz w:val="24"/>
                <w:b/>
              </w:rPr>
              <w:t>注：1.以上“★”项内容为实质性要求，负偏离作无效响应处理。</w:t>
            </w:r>
          </w:p>
          <w:p>
            <w:pPr>
              <w:pStyle w:val="null3"/>
              <w:ind w:firstLine="482"/>
              <w:jc w:val="both"/>
            </w:pPr>
            <w:r>
              <w:rPr>
                <w:rFonts w:ascii="仿宋_GB2312" w:hAnsi="仿宋_GB2312" w:cs="仿宋_GB2312" w:eastAsia="仿宋_GB2312"/>
                <w:sz w:val="24"/>
                <w:b/>
              </w:rPr>
              <w:t>2.本项目所涉及的所有国家标准、地方标准、行业标准等如有最新的标准以最新标准为准。</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标的名称：蔬果类</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firstLine="422"/>
              <w:jc w:val="both"/>
            </w:pPr>
            <w:r>
              <w:rPr>
                <w:rFonts w:ascii="仿宋_GB2312" w:hAnsi="仿宋_GB2312" w:cs="仿宋_GB2312" w:eastAsia="仿宋_GB2312"/>
                <w:sz w:val="24"/>
                <w:b/>
              </w:rPr>
              <w:t>一、服务内容</w:t>
            </w:r>
          </w:p>
          <w:p>
            <w:pPr>
              <w:pStyle w:val="null3"/>
              <w:ind w:firstLine="560"/>
              <w:jc w:val="both"/>
            </w:pPr>
            <w:r>
              <w:rPr>
                <w:rFonts w:ascii="仿宋_GB2312" w:hAnsi="仿宋_GB2312" w:cs="仿宋_GB2312" w:eastAsia="仿宋_GB2312"/>
                <w:sz w:val="24"/>
              </w:rPr>
              <w:t>1、蔬果类配送内容：①蔬菜、②水果。</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rPr>
              <w:t>2、蔬菜类：包括有叶菜类、根茎类、果菜类、芽苗类、和菌类等。农药残留符合GB 2763-2021 食品安全国家标准 食品中农药最大残留限量要求。</w:t>
            </w:r>
          </w:p>
          <w:p>
            <w:pPr>
              <w:pStyle w:val="null3"/>
              <w:ind w:firstLine="560"/>
              <w:jc w:val="both"/>
            </w:pPr>
            <w:r>
              <w:rPr>
                <w:rFonts w:ascii="仿宋_GB2312" w:hAnsi="仿宋_GB2312" w:cs="仿宋_GB2312" w:eastAsia="仿宋_GB2312"/>
                <w:sz w:val="24"/>
              </w:rPr>
              <w:t>2.1、叶菜类：鲜嫩，无枯黄叶，无花斑叶，无烂叶；叶茎完整无折断，基部不老化，干爽无水；无裂口损伤，表面无泥土及其它杂物，无明显机械伤和病虫害伤，无烧心焦边、腐烂等现象，无抽苔（菜心除外），无畸形、异味，结球叶菜要结球适度，花椰菜应新鲜洁白，不带叶麸，无畸形花。</w:t>
            </w:r>
          </w:p>
          <w:p>
            <w:pPr>
              <w:pStyle w:val="null3"/>
              <w:ind w:firstLine="560"/>
              <w:jc w:val="both"/>
            </w:pPr>
            <w:r>
              <w:rPr>
                <w:rFonts w:ascii="仿宋_GB2312" w:hAnsi="仿宋_GB2312" w:cs="仿宋_GB2312" w:eastAsia="仿宋_GB2312"/>
                <w:sz w:val="24"/>
              </w:rPr>
              <w:t>2.2、根茎类：个体均匀，根形完整，无畸形，无泥土，无虫蛀和机械伤，无腐烂，无断折断裂，不萎蔫变软，不发芽，不空心，不糠心，不黑心，弹击有实心感。</w:t>
            </w:r>
          </w:p>
          <w:p>
            <w:pPr>
              <w:pStyle w:val="null3"/>
              <w:ind w:firstLine="560"/>
              <w:jc w:val="both"/>
            </w:pPr>
            <w:r>
              <w:rPr>
                <w:rFonts w:ascii="仿宋_GB2312" w:hAnsi="仿宋_GB2312" w:cs="仿宋_GB2312" w:eastAsia="仿宋_GB2312"/>
                <w:sz w:val="24"/>
              </w:rPr>
              <w:t>2.3、果菜类：外观良好，个体整齐，色泽正常，瓜肉坚实，表皮无损伤、无病斑或烂斑，无裂口，无折断，无压痕，无异味，不发软皱缩。</w:t>
            </w:r>
          </w:p>
          <w:p>
            <w:pPr>
              <w:pStyle w:val="null3"/>
              <w:ind w:firstLine="560"/>
              <w:jc w:val="both"/>
            </w:pPr>
            <w:r>
              <w:rPr>
                <w:rFonts w:ascii="仿宋_GB2312" w:hAnsi="仿宋_GB2312" w:cs="仿宋_GB2312" w:eastAsia="仿宋_GB2312"/>
                <w:sz w:val="24"/>
              </w:rPr>
              <w:t>2.4、芽苗类：鲜嫩、无老叶、无花斑黄叶，根部切口新鲜，茎叶完整，无腐烂现象。</w:t>
            </w:r>
          </w:p>
          <w:p>
            <w:pPr>
              <w:pStyle w:val="null3"/>
              <w:ind w:firstLine="560"/>
              <w:jc w:val="both"/>
            </w:pPr>
            <w:r>
              <w:rPr>
                <w:rFonts w:ascii="仿宋_GB2312" w:hAnsi="仿宋_GB2312" w:cs="仿宋_GB2312" w:eastAsia="仿宋_GB2312"/>
                <w:sz w:val="24"/>
              </w:rPr>
              <w:t>2.5、菌类：色泽与其品种相适应，气味正常；无腐烂及虫蛀株，无毒、无发霉，无失水枯萎，朵片完整，手轻捏不能有水渗出。</w:t>
            </w:r>
          </w:p>
          <w:p>
            <w:pPr>
              <w:pStyle w:val="null3"/>
              <w:ind w:firstLine="560"/>
              <w:jc w:val="both"/>
            </w:pPr>
            <w:r>
              <w:rPr>
                <w:rFonts w:ascii="仿宋_GB2312" w:hAnsi="仿宋_GB2312" w:cs="仿宋_GB2312" w:eastAsia="仿宋_GB2312"/>
                <w:sz w:val="24"/>
              </w:rPr>
              <w:t>3、供应商所供水果农药残留检测须符合要求，自检、送检、抽检相结合，符合《中华人民共和国食品安全法》要求，农药残留达到国家规定的无公害水果标准。标准：发育正常，不存在明显的果型偏小的情况，果子肉质紧实；颜色：符合该品种特有颜色，有光泽，外形端正。无明显挤压、磕碰的痕迹，符合该品种特有香味。</w:t>
            </w:r>
          </w:p>
          <w:p>
            <w:pPr>
              <w:pStyle w:val="null3"/>
              <w:ind w:firstLine="562"/>
              <w:jc w:val="both"/>
            </w:pPr>
            <w:r>
              <w:rPr>
                <w:rFonts w:ascii="仿宋_GB2312" w:hAnsi="仿宋_GB2312" w:cs="仿宋_GB2312" w:eastAsia="仿宋_GB2312"/>
                <w:sz w:val="24"/>
                <w:b/>
              </w:rPr>
              <w:t>二、服务要求</w:t>
            </w:r>
          </w:p>
          <w:p>
            <w:pPr>
              <w:pStyle w:val="null3"/>
              <w:ind w:firstLine="560"/>
              <w:jc w:val="both"/>
            </w:pPr>
            <w:r>
              <w:rPr>
                <w:rFonts w:ascii="仿宋_GB2312" w:hAnsi="仿宋_GB2312" w:cs="仿宋_GB2312" w:eastAsia="仿宋_GB2312"/>
                <w:sz w:val="24"/>
              </w:rPr>
              <w:t>1、配送服务相关人员实行备案制，合同履行期间不得擅自调整，且需建立统一配送网络，成交供应商需负责统一安排和管理配送车辆，成交供应商需安排专人与采购人负责联系（提供电话、短信、微信、QQ信息等），确认产品需求量、加工要求（如有）和配送要求。</w:t>
            </w:r>
          </w:p>
          <w:p>
            <w:pPr>
              <w:pStyle w:val="null3"/>
              <w:ind w:firstLine="560"/>
              <w:jc w:val="both"/>
            </w:pPr>
            <w:r>
              <w:rPr>
                <w:rFonts w:ascii="仿宋_GB2312" w:hAnsi="仿宋_GB2312" w:cs="仿宋_GB2312" w:eastAsia="仿宋_GB2312"/>
                <w:sz w:val="24"/>
              </w:rPr>
              <w:t>2、供应商应严格按照采购人要求的食材质量、数量准确配送，并根据采购人实际情况自行制定配送路线。成交供应商不按采购人要求配送，采购人有权拒绝签字、收货。成交供应商接到采购人通知，60分钟响应，2小时内送达；应急配送要求应在30分钟内予以送达。所有产品配送符合产品加工运输的国家标准，并实行专车专人定点配送，按规定送到采购人指定的库房，并按存放要求堆放整齐。若人车情况有变更，供应商应提前与采购人衔接，做好培训并接受采购人管理。</w:t>
            </w:r>
          </w:p>
          <w:p>
            <w:pPr>
              <w:pStyle w:val="null3"/>
              <w:ind w:firstLine="560"/>
              <w:jc w:val="both"/>
            </w:pPr>
            <w:r>
              <w:rPr>
                <w:rFonts w:ascii="仿宋_GB2312" w:hAnsi="仿宋_GB2312" w:cs="仿宋_GB2312" w:eastAsia="仿宋_GB2312"/>
                <w:sz w:val="24"/>
              </w:rPr>
              <w:t>3、供应商应建立严格完善的规章制度、管理记录档案和台账，严格规范地执行产品的检测、留样、出库、入库、运输、搬运等制度，详细记载相关内容，对每批次配送产品应进行留样、随时备查，协助有关部门检查食品安全工作。</w:t>
            </w:r>
          </w:p>
          <w:p>
            <w:pPr>
              <w:pStyle w:val="null3"/>
              <w:ind w:firstLine="560"/>
              <w:jc w:val="both"/>
            </w:pPr>
            <w:r>
              <w:rPr>
                <w:rFonts w:ascii="仿宋_GB2312" w:hAnsi="仿宋_GB2312" w:cs="仿宋_GB2312" w:eastAsia="仿宋_GB2312"/>
                <w:sz w:val="24"/>
              </w:rPr>
              <w:t>4、所供食材在配送前供应商应自行査验，标签标识内容必须真实，符合要求。</w:t>
            </w:r>
          </w:p>
          <w:p>
            <w:pPr>
              <w:pStyle w:val="null3"/>
              <w:ind w:firstLine="560"/>
              <w:jc w:val="both"/>
            </w:pPr>
            <w:r>
              <w:rPr>
                <w:rFonts w:ascii="仿宋_GB2312" w:hAnsi="仿宋_GB2312" w:cs="仿宋_GB2312" w:eastAsia="仿宋_GB2312"/>
                <w:sz w:val="24"/>
              </w:rPr>
              <w:t>5、配送人员要求：配送人员无犯罪、吸毒史；在配送工作时应着工作服、佩戴工作证，保持仪表整洁；供应商签订合同后开始配送前须将配送人员健康证提交到采购人处备案。</w:t>
            </w:r>
          </w:p>
          <w:p>
            <w:pPr>
              <w:pStyle w:val="null3"/>
              <w:ind w:firstLine="560"/>
              <w:jc w:val="both"/>
            </w:pPr>
            <w:r>
              <w:rPr>
                <w:rFonts w:ascii="仿宋_GB2312" w:hAnsi="仿宋_GB2312" w:cs="仿宋_GB2312" w:eastAsia="仿宋_GB2312"/>
                <w:sz w:val="24"/>
              </w:rPr>
              <w:t>6、供应商在配送过程中应做好保鲜、保质措施，严禁喷洒有毒有害物质进行保鲜或保质。</w:t>
            </w:r>
          </w:p>
          <w:p>
            <w:pPr>
              <w:pStyle w:val="null3"/>
              <w:ind w:firstLine="560"/>
              <w:jc w:val="both"/>
            </w:pPr>
            <w:r>
              <w:rPr>
                <w:rFonts w:ascii="仿宋_GB2312" w:hAnsi="仿宋_GB2312" w:cs="仿宋_GB2312" w:eastAsia="仿宋_GB2312"/>
                <w:sz w:val="24"/>
              </w:rPr>
              <w:t>7、供应商须具备组织配送、调运、包装、二次搬运的能力，须具有固定配送网点服务能力，所供产品在保质期内岀现任何问题，及时更换相同产品。</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rPr>
              <w:t>8、车辆要求：供应商中标后须配置1辆配送专用车。所供食材须由专用车辆配送，且悬挂统一标志牌，车辆符合安全、卫生要求。供应商应定期对车辆进行清洁消毒并做好相关记录，运输时应避免日晒、雨淋。所供食材禁止与有毒、有害、易质变、有异味的物品及其他物品混装运输，不得有污染事故发生。配送车辆和人员应遵守有关交通、安全等方面的要求。（提供承诺函原件，格式自拟）</w:t>
            </w:r>
          </w:p>
          <w:p>
            <w:pPr>
              <w:pStyle w:val="null3"/>
              <w:ind w:firstLine="560"/>
              <w:jc w:val="both"/>
            </w:pPr>
            <w:r>
              <w:rPr>
                <w:rFonts w:ascii="仿宋_GB2312" w:hAnsi="仿宋_GB2312" w:cs="仿宋_GB2312" w:eastAsia="仿宋_GB2312"/>
                <w:sz w:val="24"/>
              </w:rPr>
              <w:t>★9、供应商中标后应按照采购人要求及时保质保量配送，保障采购人食堂正常运行。供应商中标后须按照采购文件要求提供货物且保证供应的食品安全和运输安全，并负责更换运输过程中包装破损产品，且相关费用由成交供应商自行承担。</w:t>
            </w:r>
          </w:p>
          <w:p>
            <w:pPr>
              <w:pStyle w:val="null3"/>
              <w:ind w:firstLine="562"/>
              <w:jc w:val="both"/>
            </w:pPr>
            <w:r>
              <w:rPr>
                <w:rFonts w:ascii="仿宋_GB2312" w:hAnsi="仿宋_GB2312" w:cs="仿宋_GB2312" w:eastAsia="仿宋_GB2312"/>
                <w:sz w:val="24"/>
                <w:b/>
              </w:rPr>
              <w:t>三、其他要求</w:t>
            </w:r>
          </w:p>
          <w:p>
            <w:pPr>
              <w:pStyle w:val="null3"/>
              <w:ind w:firstLine="560"/>
              <w:jc w:val="both"/>
            </w:pPr>
            <w:r>
              <w:rPr>
                <w:rFonts w:ascii="仿宋_GB2312" w:hAnsi="仿宋_GB2312" w:cs="仿宋_GB2312" w:eastAsia="仿宋_GB2312"/>
                <w:sz w:val="24"/>
              </w:rPr>
              <w:t>1、若因食材、食品本身质量问题或配送中污染、变质造成的食品安全事故，由供应商承担全部责任，并赔偿由此给采购人造成的损失，且采购人有权终止本项目合同；在食品安全相关主管部门的食材、食品安全检查中，因供应商配送的食品存在安全隐患，导致检查不合格，造成采购人被通报或处罚的，由供应商承担全部责任，并赔偿采购人相应损失，且采购人有权终止本项目合同。</w:t>
            </w:r>
          </w:p>
          <w:p>
            <w:pPr>
              <w:pStyle w:val="null3"/>
              <w:ind w:firstLine="560"/>
              <w:jc w:val="both"/>
            </w:pPr>
            <w:r>
              <w:rPr>
                <w:rFonts w:ascii="仿宋_GB2312" w:hAnsi="仿宋_GB2312" w:cs="仿宋_GB2312" w:eastAsia="仿宋_GB2312"/>
                <w:sz w:val="24"/>
              </w:rPr>
              <w:t>2、供应商为食堂配送的所有品类的食材在运输过程中必须分类存放。</w:t>
            </w:r>
          </w:p>
          <w:p>
            <w:pPr>
              <w:pStyle w:val="null3"/>
              <w:ind w:firstLine="560"/>
              <w:jc w:val="both"/>
            </w:pPr>
            <w:r>
              <w:rPr>
                <w:rFonts w:ascii="仿宋_GB2312" w:hAnsi="仿宋_GB2312" w:cs="仿宋_GB2312" w:eastAsia="仿宋_GB2312"/>
                <w:sz w:val="24"/>
              </w:rPr>
              <w:t>3、供应商派专车和专人，提供全天候的跟踪服务，保证采购人的任何配送需要都得到即时的落实。</w:t>
            </w:r>
          </w:p>
          <w:p>
            <w:pPr>
              <w:pStyle w:val="null3"/>
              <w:ind w:firstLine="560"/>
              <w:jc w:val="both"/>
            </w:pPr>
            <w:r>
              <w:rPr>
                <w:rFonts w:ascii="仿宋_GB2312" w:hAnsi="仿宋_GB2312" w:cs="仿宋_GB2312" w:eastAsia="仿宋_GB2312"/>
                <w:sz w:val="24"/>
              </w:rPr>
              <w:t>4、供应商本项目负责人须每月定期上门回访采购人，及时了解采购人各种建议、意见和要求，并迅速处理。</w:t>
            </w:r>
          </w:p>
          <w:p>
            <w:pPr>
              <w:pStyle w:val="null3"/>
              <w:ind w:firstLine="560"/>
              <w:jc w:val="both"/>
            </w:pPr>
            <w:r>
              <w:rPr>
                <w:rFonts w:ascii="仿宋_GB2312" w:hAnsi="仿宋_GB2312" w:cs="仿宋_GB2312" w:eastAsia="仿宋_GB2312"/>
                <w:sz w:val="24"/>
              </w:rPr>
              <w:t>5、因市场特殊原因，个别食材品种不能及时提供，供应商应主动与釆购人沟通协调，更换品种，满足采购人需要。</w:t>
            </w:r>
          </w:p>
          <w:p>
            <w:pPr>
              <w:pStyle w:val="null3"/>
              <w:ind w:firstLine="482"/>
              <w:jc w:val="both"/>
            </w:pPr>
            <w:r>
              <w:rPr>
                <w:rFonts w:ascii="仿宋_GB2312" w:hAnsi="仿宋_GB2312" w:cs="仿宋_GB2312" w:eastAsia="仿宋_GB2312"/>
                <w:sz w:val="24"/>
                <w:b/>
              </w:rPr>
              <w:t>★四、安全要求</w:t>
            </w:r>
          </w:p>
          <w:p>
            <w:pPr>
              <w:pStyle w:val="null3"/>
              <w:ind w:firstLine="560"/>
              <w:jc w:val="both"/>
            </w:pPr>
            <w:r>
              <w:rPr>
                <w:rFonts w:ascii="仿宋_GB2312" w:hAnsi="仿宋_GB2312" w:cs="仿宋_GB2312" w:eastAsia="仿宋_GB2312"/>
                <w:sz w:val="24"/>
              </w:rPr>
              <w:t>在项目服务过程中，由于成交供应商或其工作人员原因给他人或自身造成伤害的安全责任(含事故)均由成交供应商承担相应责任。（提供承诺函原件，格式自拟）</w:t>
            </w:r>
          </w:p>
          <w:p>
            <w:pPr>
              <w:pStyle w:val="null3"/>
              <w:ind w:firstLine="482"/>
              <w:jc w:val="both"/>
            </w:pPr>
            <w:r>
              <w:rPr>
                <w:rFonts w:ascii="仿宋_GB2312" w:hAnsi="仿宋_GB2312" w:cs="仿宋_GB2312" w:eastAsia="仿宋_GB2312"/>
                <w:sz w:val="24"/>
                <w:b/>
              </w:rPr>
              <w:t>★五、保险要求</w:t>
            </w:r>
          </w:p>
          <w:p>
            <w:pPr>
              <w:pStyle w:val="null3"/>
              <w:ind w:firstLine="560"/>
              <w:jc w:val="both"/>
            </w:pPr>
            <w:r>
              <w:rPr>
                <w:rFonts w:ascii="仿宋_GB2312" w:hAnsi="仿宋_GB2312" w:cs="仿宋_GB2312" w:eastAsia="仿宋_GB2312"/>
                <w:sz w:val="24"/>
              </w:rPr>
              <w:t>为保证因重大安全责任等事故导致的损害得到及时有效的赔偿，供应商须承诺中标后购买食品安全责任险，且保险金额不低于500万元，并承诺保险期限覆盖整个供货服务期。（提供承诺函原件，格式自拟）</w:t>
            </w:r>
          </w:p>
          <w:p>
            <w:pPr>
              <w:pStyle w:val="null3"/>
              <w:ind w:firstLine="562"/>
              <w:jc w:val="both"/>
            </w:pPr>
            <w:r>
              <w:rPr>
                <w:rFonts w:ascii="仿宋_GB2312" w:hAnsi="仿宋_GB2312" w:cs="仿宋_GB2312" w:eastAsia="仿宋_GB2312"/>
                <w:sz w:val="24"/>
                <w:b/>
              </w:rPr>
              <w:t>六、确定结算价格</w:t>
            </w:r>
          </w:p>
          <w:p>
            <w:pPr>
              <w:pStyle w:val="null3"/>
              <w:ind w:firstLine="560"/>
              <w:jc w:val="both"/>
            </w:pPr>
            <w:r>
              <w:rPr>
                <w:rFonts w:ascii="仿宋_GB2312" w:hAnsi="仿宋_GB2312" w:cs="仿宋_GB2312" w:eastAsia="仿宋_GB2312"/>
                <w:sz w:val="24"/>
              </w:rPr>
              <w:t>1、基准价格确定：建立由采购人与成交供应商共同组成的询价小组，在雅江县农贸市场和超市对本包配送内容的价格进行调查，每两月进行1次市场价格调查，随机询价三家，进行1次询价后以平均价作为基准价。</w:t>
            </w:r>
          </w:p>
          <w:p>
            <w:pPr>
              <w:pStyle w:val="null3"/>
              <w:ind w:firstLine="560"/>
              <w:jc w:val="both"/>
            </w:pPr>
            <w:r>
              <w:rPr>
                <w:rFonts w:ascii="仿宋_GB2312" w:hAnsi="仿宋_GB2312" w:cs="仿宋_GB2312" w:eastAsia="仿宋_GB2312"/>
                <w:sz w:val="24"/>
              </w:rPr>
              <w:t>2、若在定价后市场价格涨幅超过10%，由供应商提出申请，经采购人相关部门核实后，重新询价和定价。若市场价格下降幅度超过10%，供应商必须告知采购人，经采购人相关部门核实后，重新询价和定价,也可以由采购人相关部门直接重新询价。</w:t>
            </w:r>
          </w:p>
          <w:p>
            <w:pPr>
              <w:pStyle w:val="null3"/>
              <w:ind w:firstLine="562"/>
              <w:jc w:val="both"/>
            </w:pPr>
            <w:r>
              <w:rPr>
                <w:rFonts w:ascii="仿宋_GB2312" w:hAnsi="仿宋_GB2312" w:cs="仿宋_GB2312" w:eastAsia="仿宋_GB2312"/>
                <w:sz w:val="24"/>
                <w:b/>
              </w:rPr>
              <w:t>七、月度考核要求</w:t>
            </w:r>
          </w:p>
          <w:p>
            <w:pPr>
              <w:pStyle w:val="null3"/>
              <w:ind w:firstLine="560"/>
              <w:jc w:val="both"/>
            </w:pPr>
            <w:r>
              <w:rPr>
                <w:rFonts w:ascii="仿宋_GB2312" w:hAnsi="仿宋_GB2312" w:cs="仿宋_GB2312" w:eastAsia="仿宋_GB2312"/>
                <w:sz w:val="24"/>
              </w:rPr>
              <w:t>1、为保证项目服务质量，采购人根据考评机制规定对成交供应商服务质量进行月度考核，考核机制为扣分制(满分100分，出现违反考核细则规定的情况按照相应要求进行扣分)。</w:t>
            </w:r>
          </w:p>
          <w:p>
            <w:pPr>
              <w:pStyle w:val="null3"/>
              <w:ind w:firstLine="560"/>
              <w:jc w:val="both"/>
            </w:pPr>
            <w:r>
              <w:rPr>
                <w:rFonts w:ascii="仿宋_GB2312" w:hAnsi="仿宋_GB2312" w:cs="仿宋_GB2312" w:eastAsia="仿宋_GB2312"/>
                <w:sz w:val="24"/>
              </w:rPr>
              <w:t>1.1、月度考核得分在90分（含）以上视为考核合格，全额支付该月货款；</w:t>
            </w:r>
          </w:p>
          <w:p>
            <w:pPr>
              <w:pStyle w:val="null3"/>
              <w:ind w:firstLine="560"/>
              <w:jc w:val="both"/>
            </w:pPr>
            <w:r>
              <w:rPr>
                <w:rFonts w:ascii="仿宋_GB2312" w:hAnsi="仿宋_GB2312" w:cs="仿宋_GB2312" w:eastAsia="仿宋_GB2312"/>
                <w:sz w:val="24"/>
              </w:rPr>
              <w:t>1.2、月度考核得分90分（不含）-85分（含），此分段每扣1分扣该月货款2000元。</w:t>
            </w:r>
          </w:p>
          <w:p>
            <w:pPr>
              <w:pStyle w:val="null3"/>
              <w:ind w:firstLine="560"/>
              <w:jc w:val="both"/>
            </w:pPr>
            <w:r>
              <w:rPr>
                <w:rFonts w:ascii="仿宋_GB2312" w:hAnsi="仿宋_GB2312" w:cs="仿宋_GB2312" w:eastAsia="仿宋_GB2312"/>
                <w:sz w:val="24"/>
              </w:rPr>
              <w:t>1.3、月度考核得分85分（不含）以下视为不合格，将处以该月货款20%的罚款。</w:t>
            </w:r>
          </w:p>
          <w:p>
            <w:pPr>
              <w:pStyle w:val="null3"/>
              <w:ind w:firstLine="560"/>
              <w:jc w:val="both"/>
            </w:pPr>
            <w:r>
              <w:rPr>
                <w:rFonts w:ascii="仿宋_GB2312" w:hAnsi="仿宋_GB2312" w:cs="仿宋_GB2312" w:eastAsia="仿宋_GB2312"/>
                <w:sz w:val="24"/>
              </w:rPr>
              <w:t>2、考核人员：采购人单位相关部门领导及单位职工共同监管考核，若全年考核出现两次（含）以上不合格，即判定为服务不合格，采购人将有权终止合同，由供应商承担违约和赔偿责任。</w:t>
            </w:r>
          </w:p>
          <w:p>
            <w:pPr>
              <w:pStyle w:val="null3"/>
              <w:ind w:firstLine="560"/>
              <w:jc w:val="both"/>
            </w:pPr>
            <w:r>
              <w:rPr>
                <w:rFonts w:ascii="仿宋_GB2312" w:hAnsi="仿宋_GB2312" w:cs="仿宋_GB2312" w:eastAsia="仿宋_GB2312"/>
                <w:sz w:val="24"/>
              </w:rPr>
              <w:t>3、月度考核细则</w:t>
            </w:r>
          </w:p>
          <w:tbl>
            <w:tblPr>
              <w:tblBorders>
                <w:top w:val="none" w:color="000000" w:sz="4"/>
                <w:left w:val="none" w:color="000000" w:sz="4"/>
                <w:bottom w:val="none" w:color="000000" w:sz="4"/>
                <w:right w:val="none" w:color="000000" w:sz="4"/>
                <w:insideH w:val="none"/>
                <w:insideV w:val="none"/>
              </w:tblBorders>
            </w:tblPr>
            <w:tblGrid>
              <w:gridCol w:w="1005"/>
              <w:gridCol w:w="3400"/>
              <w:gridCol w:w="1182"/>
            </w:tblGrid>
            <w:tr>
              <w:tc>
                <w:tcPr>
                  <w:tcW w:type="dxa" w:w="10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考核项目</w:t>
                  </w:r>
                </w:p>
              </w:tc>
              <w:tc>
                <w:tcPr>
                  <w:tcW w:type="dxa" w:w="34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考核细则</w:t>
                  </w:r>
                </w:p>
              </w:tc>
              <w:tc>
                <w:tcPr>
                  <w:tcW w:type="dxa" w:w="11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分值</w:t>
                  </w:r>
                </w:p>
              </w:tc>
            </w:tr>
            <w:tr>
              <w:tc>
                <w:tcPr>
                  <w:tcW w:type="dxa" w:w="1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食材建档</w:t>
                  </w:r>
                </w:p>
              </w:tc>
              <w:tc>
                <w:tcPr>
                  <w:tcW w:type="dxa" w:w="3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出现配送食材未有效建立档案或档案丢失、无法有效溯源等情况。</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每发现一次扣1分</w:t>
                  </w:r>
                </w:p>
              </w:tc>
            </w:tr>
            <w:tr>
              <w:tc>
                <w:tcPr>
                  <w:tcW w:type="dxa" w:w="10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食材安全</w:t>
                  </w:r>
                </w:p>
              </w:tc>
              <w:tc>
                <w:tcPr>
                  <w:tcW w:type="dxa" w:w="3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成交供应商未按照招标文件要求、投标文件响应及承诺、采购合同的要求配送货物，配送货物出现以次充好、来历不明的。</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每发现一次扣3分</w:t>
                  </w:r>
                </w:p>
              </w:tc>
            </w:tr>
            <w:tr>
              <w:tc>
                <w:tcPr>
                  <w:tcW w:type="dxa" w:w="1005"/>
                  <w:vMerge/>
                  <w:tcBorders>
                    <w:top w:val="none" w:color="000000" w:sz="4"/>
                    <w:left w:val="single" w:color="000000" w:sz="4"/>
                    <w:bottom w:val="single" w:color="000000" w:sz="4"/>
                    <w:right w:val="single" w:color="000000" w:sz="4"/>
                  </w:tcBorders>
                </w:tcPr>
                <w:p/>
              </w:tc>
              <w:tc>
                <w:tcPr>
                  <w:tcW w:type="dxa" w:w="3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配送食材中发现老鼠、蟑螂等异物。</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每发现一次扣1分</w:t>
                  </w:r>
                </w:p>
              </w:tc>
            </w:tr>
            <w:tr>
              <w:tc>
                <w:tcPr>
                  <w:tcW w:type="dxa" w:w="1005"/>
                  <w:vMerge/>
                  <w:tcBorders>
                    <w:top w:val="none" w:color="000000" w:sz="4"/>
                    <w:left w:val="single" w:color="000000" w:sz="4"/>
                    <w:bottom w:val="single" w:color="000000" w:sz="4"/>
                    <w:right w:val="single" w:color="000000" w:sz="4"/>
                  </w:tcBorders>
                </w:tcPr>
                <w:p/>
              </w:tc>
              <w:tc>
                <w:tcPr>
                  <w:tcW w:type="dxa" w:w="3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配送食材出现异味、腐、烂、变质、包装破损等情况。</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每发现一次扣5分</w:t>
                  </w:r>
                </w:p>
              </w:tc>
            </w:tr>
            <w:tr>
              <w:tc>
                <w:tcPr>
                  <w:tcW w:type="dxa" w:w="1005"/>
                  <w:vMerge/>
                  <w:tcBorders>
                    <w:top w:val="none" w:color="000000" w:sz="4"/>
                    <w:left w:val="single" w:color="000000" w:sz="4"/>
                    <w:bottom w:val="single" w:color="000000" w:sz="4"/>
                    <w:right w:val="single" w:color="000000" w:sz="4"/>
                  </w:tcBorders>
                </w:tcPr>
                <w:p/>
              </w:tc>
              <w:tc>
                <w:tcPr>
                  <w:tcW w:type="dxa" w:w="3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成交供应商未有效执行食品安全卫生相关制度。</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每发现一次扣3分</w:t>
                  </w:r>
                </w:p>
              </w:tc>
            </w:tr>
            <w:tr>
              <w:tc>
                <w:tcPr>
                  <w:tcW w:type="dxa" w:w="1005"/>
                  <w:vMerge/>
                  <w:tcBorders>
                    <w:top w:val="none" w:color="000000" w:sz="4"/>
                    <w:left w:val="single" w:color="000000" w:sz="4"/>
                    <w:bottom w:val="single" w:color="000000" w:sz="4"/>
                    <w:right w:val="single" w:color="000000" w:sz="4"/>
                  </w:tcBorders>
                </w:tcPr>
                <w:p/>
              </w:tc>
              <w:tc>
                <w:tcPr>
                  <w:tcW w:type="dxa" w:w="3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成交供应商未及时提供原材料检验报告、合格证书等情况。</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每发现一次扣2分</w:t>
                  </w:r>
                </w:p>
              </w:tc>
            </w:tr>
            <w:tr>
              <w:tc>
                <w:tcPr>
                  <w:tcW w:type="dxa" w:w="10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配送服务</w:t>
                  </w:r>
                </w:p>
              </w:tc>
              <w:tc>
                <w:tcPr>
                  <w:tcW w:type="dxa" w:w="3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配送出现迟到现象，严重影响采购人就餐。</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每发现一次扣5分</w:t>
                  </w:r>
                </w:p>
              </w:tc>
            </w:tr>
            <w:tr>
              <w:tc>
                <w:tcPr>
                  <w:tcW w:type="dxa" w:w="1005"/>
                  <w:vMerge/>
                  <w:tcBorders>
                    <w:top w:val="none" w:color="000000" w:sz="4"/>
                    <w:left w:val="single" w:color="000000" w:sz="4"/>
                    <w:bottom w:val="single" w:color="000000" w:sz="4"/>
                    <w:right w:val="single" w:color="000000" w:sz="4"/>
                  </w:tcBorders>
                </w:tcPr>
                <w:p/>
              </w:tc>
              <w:tc>
                <w:tcPr>
                  <w:tcW w:type="dxa" w:w="3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配送食材出现错送、漏送、少送等情况。</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每发现一次扣2分</w:t>
                  </w:r>
                </w:p>
              </w:tc>
            </w:tr>
            <w:tr>
              <w:tc>
                <w:tcPr>
                  <w:tcW w:type="dxa" w:w="1005"/>
                  <w:vMerge/>
                  <w:tcBorders>
                    <w:top w:val="none" w:color="000000" w:sz="4"/>
                    <w:left w:val="single" w:color="000000" w:sz="4"/>
                    <w:bottom w:val="single" w:color="000000" w:sz="4"/>
                    <w:right w:val="single" w:color="000000" w:sz="4"/>
                  </w:tcBorders>
                </w:tcPr>
                <w:p/>
              </w:tc>
              <w:tc>
                <w:tcPr>
                  <w:tcW w:type="dxa" w:w="3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配送人员未按规定着装，未佩戴相关证件。</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每发现一次扣1分</w:t>
                  </w:r>
                </w:p>
              </w:tc>
            </w:tr>
            <w:tr>
              <w:tc>
                <w:tcPr>
                  <w:tcW w:type="dxa" w:w="1005"/>
                  <w:vMerge/>
                  <w:tcBorders>
                    <w:top w:val="none" w:color="000000" w:sz="4"/>
                    <w:left w:val="single" w:color="000000" w:sz="4"/>
                    <w:bottom w:val="single" w:color="000000" w:sz="4"/>
                    <w:right w:val="single" w:color="000000" w:sz="4"/>
                  </w:tcBorders>
                </w:tcPr>
                <w:p/>
              </w:tc>
              <w:tc>
                <w:tcPr>
                  <w:tcW w:type="dxa" w:w="3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配送车辆不符合规定。</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每发现一次扣1分</w:t>
                  </w:r>
                </w:p>
              </w:tc>
            </w:tr>
            <w:tr>
              <w:tc>
                <w:tcPr>
                  <w:tcW w:type="dxa" w:w="1005"/>
                  <w:vMerge/>
                  <w:tcBorders>
                    <w:top w:val="none" w:color="000000" w:sz="4"/>
                    <w:left w:val="single" w:color="000000" w:sz="4"/>
                    <w:bottom w:val="single" w:color="000000" w:sz="4"/>
                    <w:right w:val="single" w:color="000000" w:sz="4"/>
                  </w:tcBorders>
                </w:tcPr>
                <w:p/>
              </w:tc>
              <w:tc>
                <w:tcPr>
                  <w:tcW w:type="dxa" w:w="3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出现紧急情况，未有效保障食材及时配送。</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每发现一次扣3分</w:t>
                  </w:r>
                </w:p>
              </w:tc>
            </w:tr>
            <w:tr>
              <w:tc>
                <w:tcPr>
                  <w:tcW w:type="dxa" w:w="1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服务满意度</w:t>
                  </w:r>
                </w:p>
              </w:tc>
              <w:tc>
                <w:tcPr>
                  <w:tcW w:type="dxa" w:w="3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因原材料配送导致投诉或因为人员服务态度等导致投诉。</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每发现一次扣3分</w:t>
                  </w:r>
                </w:p>
              </w:tc>
            </w:tr>
            <w:tr>
              <w:tc>
                <w:tcPr>
                  <w:tcW w:type="dxa" w:w="1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售后服务</w:t>
                  </w:r>
                </w:p>
              </w:tc>
              <w:tc>
                <w:tcPr>
                  <w:tcW w:type="dxa" w:w="3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售后服务电话无人接听或售后服务电话接听人员不熟悉售后业务或售后诉求登记后没有有效执行售后事宜等情况。</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每发现一次扣3分</w:t>
                  </w:r>
                </w:p>
              </w:tc>
            </w:tr>
            <w:tr>
              <w:tc>
                <w:tcPr>
                  <w:tcW w:type="dxa" w:w="1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总分</w:t>
                  </w:r>
                </w:p>
              </w:tc>
              <w:tc>
                <w:tcPr>
                  <w:tcW w:type="dxa" w:w="458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100分</w:t>
                  </w:r>
                </w:p>
              </w:tc>
            </w:tr>
            <w:tr>
              <w:tc>
                <w:tcPr>
                  <w:tcW w:type="dxa" w:w="558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满分100分，出现违反考核细则规定的情况按照相应要求进行扣分</w:t>
                  </w:r>
                </w:p>
              </w:tc>
            </w:tr>
          </w:tbl>
          <w:p>
            <w:pPr>
              <w:pStyle w:val="null3"/>
              <w:ind w:firstLine="482"/>
              <w:jc w:val="both"/>
            </w:pPr>
            <w:r>
              <w:rPr>
                <w:rFonts w:ascii="仿宋_GB2312" w:hAnsi="仿宋_GB2312" w:cs="仿宋_GB2312" w:eastAsia="仿宋_GB2312"/>
                <w:sz w:val="24"/>
                <w:b/>
              </w:rPr>
              <w:t>注：1.以上“★”项内容为实质性要求，负偏离作无效响应处理。</w:t>
            </w:r>
          </w:p>
          <w:p>
            <w:pPr>
              <w:pStyle w:val="null3"/>
              <w:ind w:firstLine="482"/>
              <w:jc w:val="both"/>
            </w:pPr>
            <w:r>
              <w:rPr>
                <w:rFonts w:ascii="仿宋_GB2312" w:hAnsi="仿宋_GB2312" w:cs="仿宋_GB2312" w:eastAsia="仿宋_GB2312"/>
                <w:sz w:val="24"/>
                <w:b/>
              </w:rPr>
              <w:t>2.本项目所涉及的所有国家标准、地方标准、行业标准等如有最新的标准以最新标准为准。</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标的名称：干杂类</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firstLine="562"/>
              <w:jc w:val="both"/>
            </w:pPr>
            <w:r>
              <w:rPr>
                <w:rFonts w:ascii="仿宋_GB2312" w:hAnsi="仿宋_GB2312" w:cs="仿宋_GB2312" w:eastAsia="仿宋_GB2312"/>
                <w:sz w:val="24"/>
                <w:b/>
              </w:rPr>
              <w:t>一、服务内容</w:t>
            </w:r>
          </w:p>
          <w:p>
            <w:pPr>
              <w:pStyle w:val="null3"/>
              <w:ind w:firstLine="560"/>
              <w:jc w:val="both"/>
            </w:pPr>
            <w:r>
              <w:rPr>
                <w:rFonts w:ascii="仿宋_GB2312" w:hAnsi="仿宋_GB2312" w:cs="仿宋_GB2312" w:eastAsia="仿宋_GB2312"/>
                <w:sz w:val="24"/>
              </w:rPr>
              <w:t>1、干杂类配送内容：①米、②面、③调味品、④牛奶、⑤鸡蛋等。</w:t>
            </w:r>
          </w:p>
          <w:p>
            <w:pPr>
              <w:pStyle w:val="null3"/>
              <w:ind w:firstLine="560"/>
              <w:jc w:val="both"/>
            </w:pPr>
            <w:r>
              <w:rPr>
                <w:rFonts w:ascii="仿宋_GB2312" w:hAnsi="仿宋_GB2312" w:cs="仿宋_GB2312" w:eastAsia="仿宋_GB2312"/>
                <w:sz w:val="24"/>
              </w:rPr>
              <w:t>2、大米</w:t>
            </w:r>
          </w:p>
          <w:p>
            <w:pPr>
              <w:pStyle w:val="null3"/>
              <w:ind w:firstLine="560"/>
              <w:jc w:val="both"/>
            </w:pPr>
            <w:r>
              <w:rPr>
                <w:rFonts w:ascii="仿宋_GB2312" w:hAnsi="仿宋_GB2312" w:cs="仿宋_GB2312" w:eastAsia="仿宋_GB2312"/>
                <w:sz w:val="24"/>
              </w:rPr>
              <w:t>2.1、执行标准及质量等级要求：GB/T 1354-2018 大米及国家卫生、食品安全最新标准。</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rPr>
              <w:t>2.2、无异常色泽，独立包装，包装应符合GB 7718-2011 食品安全国家标准 预包装食品标签通则要求，包装袋无破损。包装上注明产品名称、配料表、净含量、厂名、厂址、生产日期、保质期、产品标准号，规格以便于运输存储使用为原则。</w:t>
            </w:r>
          </w:p>
          <w:p>
            <w:pPr>
              <w:pStyle w:val="null3"/>
              <w:ind w:firstLine="560"/>
              <w:jc w:val="both"/>
            </w:pPr>
            <w:r>
              <w:rPr>
                <w:rFonts w:ascii="仿宋_GB2312" w:hAnsi="仿宋_GB2312" w:cs="仿宋_GB2312" w:eastAsia="仿宋_GB2312"/>
                <w:sz w:val="24"/>
              </w:rPr>
              <w:t>2.3、每批货物剩余保质期不得少于原有保质期的三分之二。</w:t>
            </w:r>
          </w:p>
          <w:p>
            <w:pPr>
              <w:pStyle w:val="null3"/>
              <w:ind w:firstLine="560"/>
              <w:jc w:val="both"/>
            </w:pPr>
            <w:r>
              <w:rPr>
                <w:rFonts w:ascii="仿宋_GB2312" w:hAnsi="仿宋_GB2312" w:cs="仿宋_GB2312" w:eastAsia="仿宋_GB2312"/>
                <w:sz w:val="24"/>
              </w:rPr>
              <w:t>3、面粉</w:t>
            </w:r>
          </w:p>
          <w:p>
            <w:pPr>
              <w:pStyle w:val="null3"/>
              <w:ind w:firstLine="560"/>
              <w:jc w:val="both"/>
            </w:pPr>
            <w:r>
              <w:rPr>
                <w:rFonts w:ascii="仿宋_GB2312" w:hAnsi="仿宋_GB2312" w:cs="仿宋_GB2312" w:eastAsia="仿宋_GB2312"/>
                <w:sz w:val="24"/>
              </w:rPr>
              <w:t>3.1、非转基因产品，普通小麦粉符合GB/T 1355-2021 小麦粉要求。</w:t>
            </w:r>
          </w:p>
          <w:p>
            <w:pPr>
              <w:pStyle w:val="null3"/>
              <w:ind w:firstLine="560"/>
              <w:jc w:val="both"/>
            </w:pPr>
            <w:r>
              <w:rPr>
                <w:rFonts w:ascii="仿宋_GB2312" w:hAnsi="仿宋_GB2312" w:cs="仿宋_GB2312" w:eastAsia="仿宋_GB2312"/>
                <w:sz w:val="24"/>
              </w:rPr>
              <w:t>3.2、色泽正常，干爽无异味。</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rPr>
              <w:t>3.3、包装应符合GB 7718-2011 食品安全国家标准 预包装食品标签通则要求。包装袋应当符合国家食品相关标准，包装袋无破损。包装上注明产品名称、配料表、净含量、厂名、厂址、生产日期、保质期、产品标准号。规格由双方协商确定，以便于运输存储使用为原则。</w:t>
            </w:r>
          </w:p>
          <w:p>
            <w:pPr>
              <w:pStyle w:val="null3"/>
              <w:ind w:firstLine="560"/>
              <w:jc w:val="both"/>
            </w:pPr>
            <w:r>
              <w:rPr>
                <w:rFonts w:ascii="仿宋_GB2312" w:hAnsi="仿宋_GB2312" w:cs="仿宋_GB2312" w:eastAsia="仿宋_GB2312"/>
                <w:sz w:val="24"/>
              </w:rPr>
              <w:t>3.4、每批货物剩余保质期不得少于原有保质期的三分之二。</w:t>
            </w:r>
          </w:p>
          <w:p>
            <w:pPr>
              <w:pStyle w:val="null3"/>
              <w:ind w:firstLine="560"/>
              <w:jc w:val="both"/>
            </w:pPr>
            <w:r>
              <w:rPr>
                <w:rFonts w:ascii="仿宋_GB2312" w:hAnsi="仿宋_GB2312" w:cs="仿宋_GB2312" w:eastAsia="仿宋_GB2312"/>
                <w:sz w:val="24"/>
              </w:rPr>
              <w:t>4、调味品类</w:t>
            </w:r>
          </w:p>
          <w:p>
            <w:pPr>
              <w:pStyle w:val="null3"/>
              <w:ind w:firstLine="560"/>
              <w:jc w:val="both"/>
            </w:pPr>
            <w:r>
              <w:rPr>
                <w:rFonts w:ascii="仿宋_GB2312" w:hAnsi="仿宋_GB2312" w:cs="仿宋_GB2312" w:eastAsia="仿宋_GB2312"/>
                <w:sz w:val="24"/>
              </w:rPr>
              <w:t>4.1、桂皮、辣椒、花椒、胡椒等的质量基本标准要求符合国家相关行业标准，干爽，不霉烂、整齐、均匀、完整，无虫蛀、无杂质，保持应有的色泽。</w:t>
            </w:r>
          </w:p>
          <w:p>
            <w:pPr>
              <w:pStyle w:val="null3"/>
              <w:ind w:firstLine="560"/>
              <w:jc w:val="both"/>
            </w:pPr>
            <w:r>
              <w:rPr>
                <w:rFonts w:ascii="仿宋_GB2312" w:hAnsi="仿宋_GB2312" w:cs="仿宋_GB2312" w:eastAsia="仿宋_GB2312"/>
                <w:sz w:val="24"/>
              </w:rPr>
              <w:t>4.2、食品原料必须符合国家最新质量、卫生、安全标准或行业质量要求；定型包装类食品原料必须符合食品安全国家标准要求，具备产品合格证、不变质、不过期，包装袋无破损。</w:t>
            </w:r>
          </w:p>
          <w:p>
            <w:pPr>
              <w:pStyle w:val="null3"/>
              <w:ind w:firstLine="560"/>
              <w:jc w:val="both"/>
            </w:pPr>
            <w:r>
              <w:rPr>
                <w:rFonts w:ascii="仿宋_GB2312" w:hAnsi="仿宋_GB2312" w:cs="仿宋_GB2312" w:eastAsia="仿宋_GB2312"/>
                <w:sz w:val="24"/>
              </w:rPr>
              <w:t>4.3、包装上注明产品名称、对原材料产地、用途、使用方法、规格、质量、等级、配料表、净含量、厂名、厂址、生产日期、保质期、产品标准号、生产许可证编号等商品使用属性密切相关的内容须有清晰的标示。</w:t>
            </w:r>
          </w:p>
          <w:p>
            <w:pPr>
              <w:pStyle w:val="null3"/>
              <w:ind w:firstLine="560"/>
              <w:jc w:val="both"/>
            </w:pPr>
            <w:r>
              <w:rPr>
                <w:rFonts w:ascii="仿宋_GB2312" w:hAnsi="仿宋_GB2312" w:cs="仿宋_GB2312" w:eastAsia="仿宋_GB2312"/>
                <w:sz w:val="24"/>
              </w:rPr>
              <w:t>4.4、每批货物剩余保质期不得少于原有保质期的三分之二。</w:t>
            </w:r>
          </w:p>
          <w:p>
            <w:pPr>
              <w:pStyle w:val="null3"/>
              <w:ind w:firstLine="560"/>
              <w:jc w:val="both"/>
            </w:pPr>
            <w:r>
              <w:rPr>
                <w:rFonts w:ascii="仿宋_GB2312" w:hAnsi="仿宋_GB2312" w:cs="仿宋_GB2312" w:eastAsia="仿宋_GB2312"/>
                <w:sz w:val="24"/>
              </w:rPr>
              <w:t>5、其余调味品执行标准</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rPr>
              <w:t>5.1、酱油执行标准：GB 2717-2018 食品安全国家标准 酱油；</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rPr>
              <w:t>5.2、醋执行标准：GB 2719-2018 食品安全国家标准 食醋；</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rPr>
              <w:t>5.3、味精执行标准：GB 2720-2015 食品安全国家标准 味精；</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rPr>
              <w:t>5.4、食盐执行标准：GB 2721-2015 食品安全国家标准 食用盐；</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rPr>
              <w:t>5.5、豆瓣执行标准：GB 2718-2014 食品安全国家标准 酿造酱；</w:t>
            </w:r>
          </w:p>
          <w:p>
            <w:pPr>
              <w:pStyle w:val="null3"/>
              <w:ind w:firstLine="560"/>
              <w:jc w:val="both"/>
            </w:pPr>
            <w:r>
              <w:rPr>
                <w:rFonts w:ascii="仿宋_GB2312" w:hAnsi="仿宋_GB2312" w:cs="仿宋_GB2312" w:eastAsia="仿宋_GB2312"/>
                <w:sz w:val="24"/>
              </w:rPr>
              <w:t>5.6、其它调味品，执行国家最新安全和质量、卫生标准。</w:t>
            </w:r>
          </w:p>
          <w:p>
            <w:pPr>
              <w:pStyle w:val="null3"/>
              <w:ind w:firstLine="560"/>
              <w:jc w:val="both"/>
            </w:pPr>
            <w:r>
              <w:rPr>
                <w:rFonts w:ascii="仿宋_GB2312" w:hAnsi="仿宋_GB2312" w:cs="仿宋_GB2312" w:eastAsia="仿宋_GB2312"/>
                <w:sz w:val="24"/>
              </w:rPr>
              <w:t>5.7、每批货物剩余保质期不得少于原有保质期的三分之二。</w:t>
            </w:r>
          </w:p>
          <w:p>
            <w:pPr>
              <w:pStyle w:val="null3"/>
              <w:ind w:firstLine="560"/>
              <w:jc w:val="both"/>
            </w:pPr>
            <w:r>
              <w:rPr>
                <w:rFonts w:ascii="仿宋_GB2312" w:hAnsi="仿宋_GB2312" w:cs="仿宋_GB2312" w:eastAsia="仿宋_GB2312"/>
                <w:sz w:val="24"/>
              </w:rPr>
              <w:t>6、奶制品：符合《中华人民共和国食品安全法》、《乳品质量安全监督管理条例》及《乳品安全国家标准》相关标准。</w:t>
            </w:r>
          </w:p>
          <w:p>
            <w:pPr>
              <w:pStyle w:val="null3"/>
              <w:ind w:firstLine="560"/>
              <w:jc w:val="both"/>
            </w:pPr>
            <w:r>
              <w:rPr>
                <w:rFonts w:ascii="仿宋_GB2312" w:hAnsi="仿宋_GB2312" w:cs="仿宋_GB2312" w:eastAsia="仿宋_GB2312"/>
                <w:sz w:val="24"/>
              </w:rPr>
              <w:t>7、鸡蛋：鲜鸡蛋每枚净重≥50g，严禁供应“假蛋”、“毒蛋”、“毛蛋”、“臭蛋”；蛋皮光滑、干净，无破损，无沙壳、畸形、麻点。</w:t>
            </w:r>
          </w:p>
          <w:p>
            <w:pPr>
              <w:pStyle w:val="null3"/>
              <w:ind w:firstLine="560"/>
              <w:jc w:val="both"/>
            </w:pPr>
            <w:r>
              <w:rPr>
                <w:rFonts w:ascii="仿宋_GB2312" w:hAnsi="仿宋_GB2312" w:cs="仿宋_GB2312" w:eastAsia="仿宋_GB2312"/>
                <w:sz w:val="24"/>
              </w:rPr>
              <w:t>8、以上产品有保质期的，供货时保质期保持在三分之二以上，无保质期的以是否发霉、发酸、变味、变色、变质、腐烂、严重残缺、虫蛀等判定是否合格。</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rPr>
              <w:t>9、食品中污染物限量标准应符合国家标准GB 2762-2022 食品安全国家标准 食品中污染物限量、GB 2761-2017 食品安全国家标准 食品中真菌毒素限量标准或国家卫生、食品安全最新标准，即预包装原料必须为原公司(厂)生产的全新产品，符合国家相关规定的质量标准、环保标准、技术参数和规格要求。</w:t>
            </w:r>
          </w:p>
          <w:p>
            <w:pPr>
              <w:pStyle w:val="null3"/>
              <w:ind w:firstLine="560"/>
              <w:jc w:val="both"/>
            </w:pPr>
            <w:r>
              <w:rPr>
                <w:rFonts w:ascii="仿宋_GB2312" w:hAnsi="仿宋_GB2312" w:cs="仿宋_GB2312" w:eastAsia="仿宋_GB2312"/>
                <w:sz w:val="24"/>
              </w:rPr>
              <w:t>10、达到采购人对食材的要求，特殊食品必须符合国家有关特殊标准和规定，不得提供假冒伪劣、有毒有害食品。</w:t>
            </w:r>
          </w:p>
          <w:p>
            <w:pPr>
              <w:pStyle w:val="null3"/>
              <w:ind w:firstLine="562"/>
              <w:jc w:val="both"/>
            </w:pPr>
            <w:r>
              <w:rPr>
                <w:rFonts w:ascii="仿宋_GB2312" w:hAnsi="仿宋_GB2312" w:cs="仿宋_GB2312" w:eastAsia="仿宋_GB2312"/>
                <w:sz w:val="24"/>
                <w:b/>
              </w:rPr>
              <w:t>二、服务要求</w:t>
            </w:r>
          </w:p>
          <w:p>
            <w:pPr>
              <w:pStyle w:val="null3"/>
              <w:ind w:firstLine="560"/>
              <w:jc w:val="both"/>
            </w:pPr>
            <w:r>
              <w:rPr>
                <w:rFonts w:ascii="仿宋_GB2312" w:hAnsi="仿宋_GB2312" w:cs="仿宋_GB2312" w:eastAsia="仿宋_GB2312"/>
                <w:sz w:val="24"/>
              </w:rPr>
              <w:t>1、配送服务相关人员实行备案制，合同履行期间不得擅自调整，且需建立统一配送网络，成交供应商需负责统一安排和管理配送车辆，成交供应商需安排专人与采购人负责联系（提供电话、短信、微信、QQ信息等），确认产品需求量、加工要求（如有）和配送要求。</w:t>
            </w:r>
          </w:p>
          <w:p>
            <w:pPr>
              <w:pStyle w:val="null3"/>
              <w:ind w:firstLine="560"/>
              <w:jc w:val="both"/>
            </w:pPr>
            <w:r>
              <w:rPr>
                <w:rFonts w:ascii="仿宋_GB2312" w:hAnsi="仿宋_GB2312" w:cs="仿宋_GB2312" w:eastAsia="仿宋_GB2312"/>
                <w:sz w:val="24"/>
              </w:rPr>
              <w:t>2、供应商应严格按照采购人要求的食材质量、数量准确配送，并根据采购人实际情况自行制定配送路线。成交供应商不按采购人要求配送，采购人有权拒绝签字、收货。成交供应商接到采购人通知，60分钟响应，2小时内送达；应急配送要求应在30分钟内予以送达。所有产品配送符合产品加工运输的国家标准，并实行专车专人定点配送，按规定送到采购人指定的库房，并按存放要求堆放整齐。若人车情况有变更，供应商应提前与采购人衔接，做好培训并接受采购人管理。</w:t>
            </w:r>
          </w:p>
          <w:p>
            <w:pPr>
              <w:pStyle w:val="null3"/>
              <w:ind w:firstLine="560"/>
              <w:jc w:val="both"/>
            </w:pPr>
            <w:r>
              <w:rPr>
                <w:rFonts w:ascii="仿宋_GB2312" w:hAnsi="仿宋_GB2312" w:cs="仿宋_GB2312" w:eastAsia="仿宋_GB2312"/>
                <w:sz w:val="24"/>
              </w:rPr>
              <w:t>3、供应商应建立严格完善的规章制度、管理记录档案和台账，严格规范地执行产品的检测、留样、出库、入库、运输、搬运等制度，详细记载相关内容，对每批次配送产品应进行留样、随时备查，协助有关部门检查食品安全工作。</w:t>
            </w:r>
          </w:p>
          <w:p>
            <w:pPr>
              <w:pStyle w:val="null3"/>
              <w:ind w:firstLine="560"/>
              <w:jc w:val="both"/>
            </w:pPr>
            <w:r>
              <w:rPr>
                <w:rFonts w:ascii="仿宋_GB2312" w:hAnsi="仿宋_GB2312" w:cs="仿宋_GB2312" w:eastAsia="仿宋_GB2312"/>
                <w:sz w:val="24"/>
              </w:rPr>
              <w:t>4、所供食材在配送前供应商应自行査验，标签标识内容必须真实，符合要求。</w:t>
            </w:r>
          </w:p>
          <w:p>
            <w:pPr>
              <w:pStyle w:val="null3"/>
              <w:ind w:firstLine="560"/>
              <w:jc w:val="both"/>
            </w:pPr>
            <w:r>
              <w:rPr>
                <w:rFonts w:ascii="仿宋_GB2312" w:hAnsi="仿宋_GB2312" w:cs="仿宋_GB2312" w:eastAsia="仿宋_GB2312"/>
                <w:sz w:val="24"/>
              </w:rPr>
              <w:t>5、配送人员要求：配送人员无犯罪、吸毒史；在配送工作时应着工作服、佩戴工作证，保持仪表整洁；供应商签订合同后开始配送前须将配送人员健康证提交到采购人处备案。</w:t>
            </w:r>
          </w:p>
          <w:p>
            <w:pPr>
              <w:pStyle w:val="null3"/>
              <w:ind w:firstLine="560"/>
              <w:jc w:val="both"/>
            </w:pPr>
            <w:r>
              <w:rPr>
                <w:rFonts w:ascii="仿宋_GB2312" w:hAnsi="仿宋_GB2312" w:cs="仿宋_GB2312" w:eastAsia="仿宋_GB2312"/>
                <w:sz w:val="24"/>
              </w:rPr>
              <w:t>6、供应商在配送过程中应做好保鲜、保质措施，严禁喷洒有毒有害物质进行保鲜或保质。</w:t>
            </w:r>
          </w:p>
          <w:p>
            <w:pPr>
              <w:pStyle w:val="null3"/>
              <w:ind w:firstLine="560"/>
              <w:jc w:val="both"/>
            </w:pPr>
            <w:r>
              <w:rPr>
                <w:rFonts w:ascii="仿宋_GB2312" w:hAnsi="仿宋_GB2312" w:cs="仿宋_GB2312" w:eastAsia="仿宋_GB2312"/>
                <w:sz w:val="24"/>
              </w:rPr>
              <w:t>7、供应商须具备组织配送、调运、包装、二次搬运的能力，须具有固定配送网点服务能力，所供产品在保质期内岀现任何问题，及时更换相同产品。</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rPr>
              <w:t>8、车辆要求：供应商中标后须配置1辆配送专用车。所供食材须由专用车辆配送，且悬挂统一标志牌，车辆符合安全、卫生要求。供应商应定期对车辆进行清洁消毒并做好相关记录，运输时应避免日晒、雨淋。所供食材禁止与有毒、有害、易质变、有异味的物品及其他物品混装运输，不得有污染事故发生。配送车辆和人员应遵守有关交通、安全等方面的要求。（提供承诺函原件，格式自拟）</w:t>
            </w:r>
          </w:p>
          <w:p>
            <w:pPr>
              <w:pStyle w:val="null3"/>
              <w:ind w:firstLine="560"/>
              <w:jc w:val="both"/>
            </w:pPr>
            <w:r>
              <w:rPr>
                <w:rFonts w:ascii="仿宋_GB2312" w:hAnsi="仿宋_GB2312" w:cs="仿宋_GB2312" w:eastAsia="仿宋_GB2312"/>
                <w:sz w:val="24"/>
              </w:rPr>
              <w:t>★9、供应商中标后应按照采购人要求及时保质保量配送，保障采购人食堂正常运行。供应商中标后须按照采购文件要求提供货物且保证供应的食品安全和运输安全，并负责更换运输过程中包装破损产品，且相关费用由成交供应商自行承担。</w:t>
            </w:r>
          </w:p>
          <w:p>
            <w:pPr>
              <w:pStyle w:val="null3"/>
              <w:ind w:firstLine="562"/>
              <w:jc w:val="both"/>
            </w:pPr>
            <w:r>
              <w:rPr>
                <w:rFonts w:ascii="仿宋_GB2312" w:hAnsi="仿宋_GB2312" w:cs="仿宋_GB2312" w:eastAsia="仿宋_GB2312"/>
                <w:sz w:val="24"/>
                <w:b/>
              </w:rPr>
              <w:t>三、其他要求</w:t>
            </w:r>
          </w:p>
          <w:p>
            <w:pPr>
              <w:pStyle w:val="null3"/>
              <w:ind w:firstLine="560"/>
              <w:jc w:val="both"/>
            </w:pPr>
            <w:r>
              <w:rPr>
                <w:rFonts w:ascii="仿宋_GB2312" w:hAnsi="仿宋_GB2312" w:cs="仿宋_GB2312" w:eastAsia="仿宋_GB2312"/>
                <w:sz w:val="24"/>
              </w:rPr>
              <w:t>1、若因食材、食品本身质量问题或配送中污染、变质造成的食品安全事故，由供应商承担全部责任，并赔偿由此给采购人造成的损失，且采购人有权终止本项目合同；在食品安全相关主管部门的食材、食品安全检查中，因供应商配送的食品存在安全隐患，导致检查不合格，造成采购人被通报或处罚的，由供应商承担全部责任，并赔偿采购人相应损失，且采购人有权终止本项目合同。</w:t>
            </w:r>
          </w:p>
          <w:p>
            <w:pPr>
              <w:pStyle w:val="null3"/>
              <w:ind w:firstLine="560"/>
              <w:jc w:val="both"/>
            </w:pPr>
            <w:r>
              <w:rPr>
                <w:rFonts w:ascii="仿宋_GB2312" w:hAnsi="仿宋_GB2312" w:cs="仿宋_GB2312" w:eastAsia="仿宋_GB2312"/>
                <w:sz w:val="24"/>
              </w:rPr>
              <w:t>2、供应商为食堂配送的所有品类的食材在运输过程中必须分类存放。</w:t>
            </w:r>
          </w:p>
          <w:p>
            <w:pPr>
              <w:pStyle w:val="null3"/>
              <w:ind w:firstLine="560"/>
              <w:jc w:val="both"/>
            </w:pPr>
            <w:r>
              <w:rPr>
                <w:rFonts w:ascii="仿宋_GB2312" w:hAnsi="仿宋_GB2312" w:cs="仿宋_GB2312" w:eastAsia="仿宋_GB2312"/>
                <w:sz w:val="24"/>
              </w:rPr>
              <w:t>3、供应商派专车和专人，提供全天候的跟踪服务，保证采购人的任何配送需要都得到即时的落实。</w:t>
            </w:r>
          </w:p>
          <w:p>
            <w:pPr>
              <w:pStyle w:val="null3"/>
              <w:ind w:firstLine="560"/>
              <w:jc w:val="both"/>
            </w:pPr>
            <w:r>
              <w:rPr>
                <w:rFonts w:ascii="仿宋_GB2312" w:hAnsi="仿宋_GB2312" w:cs="仿宋_GB2312" w:eastAsia="仿宋_GB2312"/>
                <w:sz w:val="24"/>
              </w:rPr>
              <w:t>4、供应商本项目负责人须每月定期上门回访采购人，及时了解采购人各种建议、意见和要求，并迅速处理。</w:t>
            </w:r>
          </w:p>
          <w:p>
            <w:pPr>
              <w:pStyle w:val="null3"/>
              <w:ind w:firstLine="560"/>
              <w:jc w:val="both"/>
            </w:pPr>
            <w:r>
              <w:rPr>
                <w:rFonts w:ascii="仿宋_GB2312" w:hAnsi="仿宋_GB2312" w:cs="仿宋_GB2312" w:eastAsia="仿宋_GB2312"/>
                <w:sz w:val="24"/>
              </w:rPr>
              <w:t>5、因市场特殊原因，个别食材品种不能及时提供，供应商应主动与釆购人沟通协调，更换品种，满足采购人需要。</w:t>
            </w:r>
          </w:p>
          <w:p>
            <w:pPr>
              <w:pStyle w:val="null3"/>
              <w:ind w:firstLine="482"/>
              <w:jc w:val="both"/>
            </w:pPr>
            <w:r>
              <w:rPr>
                <w:rFonts w:ascii="仿宋_GB2312" w:hAnsi="仿宋_GB2312" w:cs="仿宋_GB2312" w:eastAsia="仿宋_GB2312"/>
                <w:sz w:val="24"/>
                <w:b/>
              </w:rPr>
              <w:t>★四、安全要求</w:t>
            </w:r>
          </w:p>
          <w:p>
            <w:pPr>
              <w:pStyle w:val="null3"/>
              <w:ind w:firstLine="560"/>
              <w:jc w:val="both"/>
            </w:pPr>
            <w:r>
              <w:rPr>
                <w:rFonts w:ascii="仿宋_GB2312" w:hAnsi="仿宋_GB2312" w:cs="仿宋_GB2312" w:eastAsia="仿宋_GB2312"/>
                <w:sz w:val="24"/>
              </w:rPr>
              <w:t>在项目服务过程中，由于成交供应商或其工作人员原因给他人或自身造成伤害的安全责任(含事故)均由成交供应商承担相应责任。（提供承诺函原件，格式自拟）</w:t>
            </w:r>
          </w:p>
          <w:p>
            <w:pPr>
              <w:pStyle w:val="null3"/>
              <w:ind w:firstLine="482"/>
              <w:jc w:val="both"/>
            </w:pPr>
            <w:r>
              <w:rPr>
                <w:rFonts w:ascii="仿宋_GB2312" w:hAnsi="仿宋_GB2312" w:cs="仿宋_GB2312" w:eastAsia="仿宋_GB2312"/>
                <w:sz w:val="24"/>
                <w:b/>
              </w:rPr>
              <w:t>★五、保险要求</w:t>
            </w:r>
          </w:p>
          <w:p>
            <w:pPr>
              <w:pStyle w:val="null3"/>
              <w:ind w:firstLine="560"/>
              <w:jc w:val="both"/>
            </w:pPr>
            <w:r>
              <w:rPr>
                <w:rFonts w:ascii="仿宋_GB2312" w:hAnsi="仿宋_GB2312" w:cs="仿宋_GB2312" w:eastAsia="仿宋_GB2312"/>
                <w:sz w:val="24"/>
              </w:rPr>
              <w:t>为保证因重大安全责任等事故导致的损害得到及时有效的赔偿，供应商须承诺中标后购买食品安全责任险，且保险金额不低于500万元，并承诺保险期限覆盖整个供货服务期。（提供承诺函原件，格式自拟）</w:t>
            </w:r>
          </w:p>
          <w:p>
            <w:pPr>
              <w:pStyle w:val="null3"/>
              <w:ind w:firstLine="562"/>
              <w:jc w:val="both"/>
            </w:pPr>
            <w:r>
              <w:rPr>
                <w:rFonts w:ascii="仿宋_GB2312" w:hAnsi="仿宋_GB2312" w:cs="仿宋_GB2312" w:eastAsia="仿宋_GB2312"/>
                <w:sz w:val="24"/>
                <w:b/>
              </w:rPr>
              <w:t>六、确定结算价格</w:t>
            </w:r>
          </w:p>
          <w:p>
            <w:pPr>
              <w:pStyle w:val="null3"/>
              <w:ind w:firstLine="560"/>
              <w:jc w:val="both"/>
            </w:pPr>
            <w:r>
              <w:rPr>
                <w:rFonts w:ascii="仿宋_GB2312" w:hAnsi="仿宋_GB2312" w:cs="仿宋_GB2312" w:eastAsia="仿宋_GB2312"/>
                <w:sz w:val="24"/>
              </w:rPr>
              <w:t>1、基准价格确定：建立由采购人与成交供应商共同组成的询价小组，在雅江县农贸市场和超市对本包配送内容的价格进行调查，每两月进行1次市场价格调查，随机询价三家，进行1次询价后以平均价作为基准价。</w:t>
            </w:r>
          </w:p>
          <w:p>
            <w:pPr>
              <w:pStyle w:val="null3"/>
              <w:ind w:firstLine="560"/>
              <w:jc w:val="both"/>
            </w:pPr>
            <w:r>
              <w:rPr>
                <w:rFonts w:ascii="仿宋_GB2312" w:hAnsi="仿宋_GB2312" w:cs="仿宋_GB2312" w:eastAsia="仿宋_GB2312"/>
                <w:sz w:val="24"/>
              </w:rPr>
              <w:t>2、若在定价后市场价格涨幅超过10%，由供应商提出申请，经采购人相关部门核实后，重新询价和定价。若市场价格下降幅度超过10%，供应商必须告知采购人，经采购人相关部门核实后，重新询价和定价,也可以由采购人相关部门直接重新询价。</w:t>
            </w:r>
          </w:p>
          <w:p>
            <w:pPr>
              <w:pStyle w:val="null3"/>
              <w:ind w:firstLine="562"/>
              <w:jc w:val="both"/>
            </w:pPr>
            <w:r>
              <w:rPr>
                <w:rFonts w:ascii="仿宋_GB2312" w:hAnsi="仿宋_GB2312" w:cs="仿宋_GB2312" w:eastAsia="仿宋_GB2312"/>
                <w:sz w:val="24"/>
                <w:b/>
              </w:rPr>
              <w:t>七、月度考核要求</w:t>
            </w:r>
          </w:p>
          <w:p>
            <w:pPr>
              <w:pStyle w:val="null3"/>
              <w:ind w:firstLine="560"/>
              <w:jc w:val="both"/>
            </w:pPr>
            <w:r>
              <w:rPr>
                <w:rFonts w:ascii="仿宋_GB2312" w:hAnsi="仿宋_GB2312" w:cs="仿宋_GB2312" w:eastAsia="仿宋_GB2312"/>
                <w:sz w:val="24"/>
              </w:rPr>
              <w:t>1、为保证项目服务质量，采购人根据考评机制规定对成交供应商服务质量进行月度考核，考核机制为扣分制(满分100分，出现违反考核细则规定的情况按照相应要求进行扣分)。</w:t>
            </w:r>
          </w:p>
          <w:p>
            <w:pPr>
              <w:pStyle w:val="null3"/>
              <w:ind w:firstLine="560"/>
              <w:jc w:val="both"/>
            </w:pPr>
            <w:r>
              <w:rPr>
                <w:rFonts w:ascii="仿宋_GB2312" w:hAnsi="仿宋_GB2312" w:cs="仿宋_GB2312" w:eastAsia="仿宋_GB2312"/>
                <w:sz w:val="24"/>
              </w:rPr>
              <w:t>1.1、月度考核得分在90分（含）以上视为考核合格，全额支付该月货款；</w:t>
            </w:r>
          </w:p>
          <w:p>
            <w:pPr>
              <w:pStyle w:val="null3"/>
              <w:ind w:firstLine="560"/>
              <w:jc w:val="both"/>
            </w:pPr>
            <w:r>
              <w:rPr>
                <w:rFonts w:ascii="仿宋_GB2312" w:hAnsi="仿宋_GB2312" w:cs="仿宋_GB2312" w:eastAsia="仿宋_GB2312"/>
                <w:sz w:val="24"/>
              </w:rPr>
              <w:t>1.2、月度考核得分90分（不含）-85分（含），此分段每扣1分扣该月货款2000元。</w:t>
            </w:r>
          </w:p>
          <w:p>
            <w:pPr>
              <w:pStyle w:val="null3"/>
              <w:ind w:firstLine="560"/>
              <w:jc w:val="both"/>
            </w:pPr>
            <w:r>
              <w:rPr>
                <w:rFonts w:ascii="仿宋_GB2312" w:hAnsi="仿宋_GB2312" w:cs="仿宋_GB2312" w:eastAsia="仿宋_GB2312"/>
                <w:sz w:val="24"/>
              </w:rPr>
              <w:t>1.3、月度考核得分85分（不含）以下视为不合格，将处以该月货款20%的罚款。</w:t>
            </w:r>
          </w:p>
          <w:p>
            <w:pPr>
              <w:pStyle w:val="null3"/>
              <w:ind w:firstLine="560"/>
              <w:jc w:val="both"/>
            </w:pPr>
            <w:r>
              <w:rPr>
                <w:rFonts w:ascii="仿宋_GB2312" w:hAnsi="仿宋_GB2312" w:cs="仿宋_GB2312" w:eastAsia="仿宋_GB2312"/>
                <w:sz w:val="24"/>
              </w:rPr>
              <w:t>2、考核人员：采购人单位相关部门领导及单位职工共同监管考核，若全年考核出现两次（含）以上不合格，即判定为服务不合格，采购人将有权终止合同，由供应商承担违约和赔偿责任。</w:t>
            </w:r>
          </w:p>
          <w:p>
            <w:pPr>
              <w:pStyle w:val="null3"/>
              <w:ind w:firstLine="560"/>
              <w:jc w:val="both"/>
            </w:pPr>
            <w:r>
              <w:rPr>
                <w:rFonts w:ascii="仿宋_GB2312" w:hAnsi="仿宋_GB2312" w:cs="仿宋_GB2312" w:eastAsia="仿宋_GB2312"/>
                <w:sz w:val="24"/>
              </w:rPr>
              <w:t>3、月度考核细则</w:t>
            </w:r>
          </w:p>
          <w:tbl>
            <w:tblPr>
              <w:tblBorders>
                <w:top w:val="none" w:color="000000" w:sz="4"/>
                <w:left w:val="none" w:color="000000" w:sz="4"/>
                <w:bottom w:val="none" w:color="000000" w:sz="4"/>
                <w:right w:val="none" w:color="000000" w:sz="4"/>
                <w:insideH w:val="none"/>
                <w:insideV w:val="none"/>
              </w:tblBorders>
            </w:tblPr>
            <w:tblGrid>
              <w:gridCol w:w="1005"/>
              <w:gridCol w:w="3400"/>
              <w:gridCol w:w="1182"/>
            </w:tblGrid>
            <w:tr>
              <w:tc>
                <w:tcPr>
                  <w:tcW w:type="dxa" w:w="10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考核项目</w:t>
                  </w:r>
                </w:p>
              </w:tc>
              <w:tc>
                <w:tcPr>
                  <w:tcW w:type="dxa" w:w="34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考核细则</w:t>
                  </w:r>
                </w:p>
              </w:tc>
              <w:tc>
                <w:tcPr>
                  <w:tcW w:type="dxa" w:w="11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分值</w:t>
                  </w:r>
                </w:p>
              </w:tc>
            </w:tr>
            <w:tr>
              <w:tc>
                <w:tcPr>
                  <w:tcW w:type="dxa" w:w="1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食材建档</w:t>
                  </w:r>
                </w:p>
              </w:tc>
              <w:tc>
                <w:tcPr>
                  <w:tcW w:type="dxa" w:w="3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出现配送食材未有效建立档案或档案丢失、无法有效溯源等情况。</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每发现一次扣1分</w:t>
                  </w:r>
                </w:p>
              </w:tc>
            </w:tr>
            <w:tr>
              <w:tc>
                <w:tcPr>
                  <w:tcW w:type="dxa" w:w="10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食材安全</w:t>
                  </w:r>
                </w:p>
              </w:tc>
              <w:tc>
                <w:tcPr>
                  <w:tcW w:type="dxa" w:w="3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成交供应商未按照招标文件要求、投标文件响应及承诺、采购合同的要求配送货物，配送货物出现以次充好、来历不明的。</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每发现一次扣3分</w:t>
                  </w:r>
                </w:p>
              </w:tc>
            </w:tr>
            <w:tr>
              <w:tc>
                <w:tcPr>
                  <w:tcW w:type="dxa" w:w="1005"/>
                  <w:vMerge/>
                  <w:tcBorders>
                    <w:top w:val="none" w:color="000000" w:sz="4"/>
                    <w:left w:val="single" w:color="000000" w:sz="4"/>
                    <w:bottom w:val="single" w:color="000000" w:sz="4"/>
                    <w:right w:val="single" w:color="000000" w:sz="4"/>
                  </w:tcBorders>
                </w:tcPr>
                <w:p/>
              </w:tc>
              <w:tc>
                <w:tcPr>
                  <w:tcW w:type="dxa" w:w="3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配送食材中发现老鼠、蟑螂等异物。</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每发现一次扣1分</w:t>
                  </w:r>
                </w:p>
              </w:tc>
            </w:tr>
            <w:tr>
              <w:tc>
                <w:tcPr>
                  <w:tcW w:type="dxa" w:w="1005"/>
                  <w:vMerge/>
                  <w:tcBorders>
                    <w:top w:val="none" w:color="000000" w:sz="4"/>
                    <w:left w:val="single" w:color="000000" w:sz="4"/>
                    <w:bottom w:val="single" w:color="000000" w:sz="4"/>
                    <w:right w:val="single" w:color="000000" w:sz="4"/>
                  </w:tcBorders>
                </w:tcPr>
                <w:p/>
              </w:tc>
              <w:tc>
                <w:tcPr>
                  <w:tcW w:type="dxa" w:w="3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配送食材出现异味、腐、烂、变质、包装破损等情况。</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每发现一次扣5分</w:t>
                  </w:r>
                </w:p>
              </w:tc>
            </w:tr>
            <w:tr>
              <w:tc>
                <w:tcPr>
                  <w:tcW w:type="dxa" w:w="1005"/>
                  <w:vMerge/>
                  <w:tcBorders>
                    <w:top w:val="none" w:color="000000" w:sz="4"/>
                    <w:left w:val="single" w:color="000000" w:sz="4"/>
                    <w:bottom w:val="single" w:color="000000" w:sz="4"/>
                    <w:right w:val="single" w:color="000000" w:sz="4"/>
                  </w:tcBorders>
                </w:tcPr>
                <w:p/>
              </w:tc>
              <w:tc>
                <w:tcPr>
                  <w:tcW w:type="dxa" w:w="3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成交供应商未有效执行食品安全卫生相关制度。</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每发现一次扣3分</w:t>
                  </w:r>
                </w:p>
              </w:tc>
            </w:tr>
            <w:tr>
              <w:tc>
                <w:tcPr>
                  <w:tcW w:type="dxa" w:w="1005"/>
                  <w:vMerge/>
                  <w:tcBorders>
                    <w:top w:val="none" w:color="000000" w:sz="4"/>
                    <w:left w:val="single" w:color="000000" w:sz="4"/>
                    <w:bottom w:val="single" w:color="000000" w:sz="4"/>
                    <w:right w:val="single" w:color="000000" w:sz="4"/>
                  </w:tcBorders>
                </w:tcPr>
                <w:p/>
              </w:tc>
              <w:tc>
                <w:tcPr>
                  <w:tcW w:type="dxa" w:w="3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成交供应商未及时提供原材料检验报告、合格证书等情况。</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每发现一次扣2分</w:t>
                  </w:r>
                </w:p>
              </w:tc>
            </w:tr>
            <w:tr>
              <w:tc>
                <w:tcPr>
                  <w:tcW w:type="dxa" w:w="10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配送服务</w:t>
                  </w:r>
                </w:p>
              </w:tc>
              <w:tc>
                <w:tcPr>
                  <w:tcW w:type="dxa" w:w="3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配送出现迟到现象，严重影响采购人就餐。</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每发现一次扣5分</w:t>
                  </w:r>
                </w:p>
              </w:tc>
            </w:tr>
            <w:tr>
              <w:tc>
                <w:tcPr>
                  <w:tcW w:type="dxa" w:w="1005"/>
                  <w:vMerge/>
                  <w:tcBorders>
                    <w:top w:val="none" w:color="000000" w:sz="4"/>
                    <w:left w:val="single" w:color="000000" w:sz="4"/>
                    <w:bottom w:val="single" w:color="000000" w:sz="4"/>
                    <w:right w:val="single" w:color="000000" w:sz="4"/>
                  </w:tcBorders>
                </w:tcPr>
                <w:p/>
              </w:tc>
              <w:tc>
                <w:tcPr>
                  <w:tcW w:type="dxa" w:w="3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配送食材出现错送、漏送、少送等情况。</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每发现一次扣2分</w:t>
                  </w:r>
                </w:p>
              </w:tc>
            </w:tr>
            <w:tr>
              <w:tc>
                <w:tcPr>
                  <w:tcW w:type="dxa" w:w="1005"/>
                  <w:vMerge/>
                  <w:tcBorders>
                    <w:top w:val="none" w:color="000000" w:sz="4"/>
                    <w:left w:val="single" w:color="000000" w:sz="4"/>
                    <w:bottom w:val="single" w:color="000000" w:sz="4"/>
                    <w:right w:val="single" w:color="000000" w:sz="4"/>
                  </w:tcBorders>
                </w:tcPr>
                <w:p/>
              </w:tc>
              <w:tc>
                <w:tcPr>
                  <w:tcW w:type="dxa" w:w="3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配送人员未按规定着装，未佩戴相关证件。</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每发现一次扣1分</w:t>
                  </w:r>
                </w:p>
              </w:tc>
            </w:tr>
            <w:tr>
              <w:tc>
                <w:tcPr>
                  <w:tcW w:type="dxa" w:w="1005"/>
                  <w:vMerge/>
                  <w:tcBorders>
                    <w:top w:val="none" w:color="000000" w:sz="4"/>
                    <w:left w:val="single" w:color="000000" w:sz="4"/>
                    <w:bottom w:val="single" w:color="000000" w:sz="4"/>
                    <w:right w:val="single" w:color="000000" w:sz="4"/>
                  </w:tcBorders>
                </w:tcPr>
                <w:p/>
              </w:tc>
              <w:tc>
                <w:tcPr>
                  <w:tcW w:type="dxa" w:w="3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配送车辆不符合规定。</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每发现一次扣1分</w:t>
                  </w:r>
                </w:p>
              </w:tc>
            </w:tr>
            <w:tr>
              <w:tc>
                <w:tcPr>
                  <w:tcW w:type="dxa" w:w="1005"/>
                  <w:vMerge/>
                  <w:tcBorders>
                    <w:top w:val="none" w:color="000000" w:sz="4"/>
                    <w:left w:val="single" w:color="000000" w:sz="4"/>
                    <w:bottom w:val="single" w:color="000000" w:sz="4"/>
                    <w:right w:val="single" w:color="000000" w:sz="4"/>
                  </w:tcBorders>
                </w:tcPr>
                <w:p/>
              </w:tc>
              <w:tc>
                <w:tcPr>
                  <w:tcW w:type="dxa" w:w="3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出现紧急情况，未有效保障食材及时配送。</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每发现一次扣3分</w:t>
                  </w:r>
                </w:p>
              </w:tc>
            </w:tr>
            <w:tr>
              <w:tc>
                <w:tcPr>
                  <w:tcW w:type="dxa" w:w="1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服务满意度</w:t>
                  </w:r>
                </w:p>
              </w:tc>
              <w:tc>
                <w:tcPr>
                  <w:tcW w:type="dxa" w:w="3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因原材料配送导致投诉或因为人员服务态度等导致投诉。</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每发现一次扣3分</w:t>
                  </w:r>
                </w:p>
              </w:tc>
            </w:tr>
            <w:tr>
              <w:tc>
                <w:tcPr>
                  <w:tcW w:type="dxa" w:w="1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售后服务</w:t>
                  </w:r>
                </w:p>
              </w:tc>
              <w:tc>
                <w:tcPr>
                  <w:tcW w:type="dxa" w:w="3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售后服务电话无人接听或售后服务电话接听人员不熟悉售后业务或售后诉求登记后没有有效执行售后事宜等情况。</w:t>
                  </w:r>
                </w:p>
              </w:tc>
              <w:tc>
                <w:tcPr>
                  <w:tcW w:type="dxa" w:w="1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每发现一次扣3分</w:t>
                  </w:r>
                </w:p>
              </w:tc>
            </w:tr>
            <w:tr>
              <w:tc>
                <w:tcPr>
                  <w:tcW w:type="dxa" w:w="1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总分</w:t>
                  </w:r>
                </w:p>
              </w:tc>
              <w:tc>
                <w:tcPr>
                  <w:tcW w:type="dxa" w:w="458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100分</w:t>
                  </w:r>
                </w:p>
              </w:tc>
            </w:tr>
            <w:tr>
              <w:tc>
                <w:tcPr>
                  <w:tcW w:type="dxa" w:w="558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满分100分，出现违反考核细则规定的情况按照相应要求进行扣分</w:t>
                  </w:r>
                </w:p>
              </w:tc>
            </w:tr>
          </w:tbl>
          <w:p>
            <w:pPr>
              <w:pStyle w:val="null3"/>
              <w:ind w:firstLine="482"/>
              <w:jc w:val="both"/>
            </w:pPr>
            <w:r>
              <w:rPr>
                <w:rFonts w:ascii="仿宋_GB2312" w:hAnsi="仿宋_GB2312" w:cs="仿宋_GB2312" w:eastAsia="仿宋_GB2312"/>
                <w:sz w:val="24"/>
                <w:b/>
              </w:rPr>
              <w:t>注：1.以上“★”项内容为实质性要求，负偏离作无效响应处理。</w:t>
            </w:r>
          </w:p>
          <w:p>
            <w:pPr>
              <w:pStyle w:val="null3"/>
              <w:ind w:firstLine="482"/>
              <w:jc w:val="both"/>
            </w:pPr>
            <w:r>
              <w:rPr>
                <w:rFonts w:ascii="仿宋_GB2312" w:hAnsi="仿宋_GB2312" w:cs="仿宋_GB2312" w:eastAsia="仿宋_GB2312"/>
                <w:sz w:val="24"/>
                <w:b/>
              </w:rPr>
              <w:t>2.本项目所涉及的所有国家标准、地方标准、行业标准等如有最新的标准以最新标准为准。</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合同签订后8个月</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四川省甘孜藏族自治州雅江县，具体地点由采购人指定。</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严格按照政府采购相关法律法规以及《财政部关于进一步加强政府采购需求和履约验收管理的指导意见》(财库〔2016〕205号)、《政府采购需求管理办法》（财库〔2021〕22号）、采购文件要求、中标（成交）供应商的响应文件及承诺、签订的合同及相关要求进行验收。</w:t>
            </w: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货款每两个月支付一次，采购人与供应商共同核实两个月的供货量后采购人收到成交供应商出具合法有效完整的等额完税发票之日起10个工作日内支付货款（按照月度考核要求据实支付），达到付款条件起10日内，据实情况说明为货款每两个月支付一次，采购人与供应商共同核实两个月的供货量后采购人收到成交供应商出具合法有效完整的等额完税发票之日起10个工作日内支付货款（按照月度考核要求据实支付）。最终结算价：最终结算价格=基准价格×统一结算比例×实际发生数量。若供应商未及时提交有效增值税发票，采购人付款时间顺延且对此不承担任何责任</w:t>
            </w:r>
          </w:p>
        </w:tc>
      </w:tr>
      <w:tr>
        <w:tc>
          <w:tcPr>
            <w:tcW w:type="dxa" w:w="415"/>
          </w:tcPr>
          <w:p>
            <w:pPr>
              <w:pStyle w:val="null3"/>
              <w:jc w:val="center"/>
            </w:pPr>
            <w:r>
              <w:rPr>
                <w:rFonts w:ascii="仿宋_GB2312" w:hAnsi="仿宋_GB2312" w:cs="仿宋_GB2312" w:eastAsia="仿宋_GB2312"/>
              </w:rPr>
              <w:t>6</w:t>
            </w:r>
          </w:p>
        </w:tc>
        <w:tc>
          <w:tcPr>
            <w:tcW w:type="dxa" w:w="581"/>
          </w:tcP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违约责任：①甲乙双方必须遵守本合同并执行合同中的各项规定，保证本合同的正常履行。②如因乙方工作人员在履行职务过程中的疏忽、失职、过错等故意或者过失原因给甲方造成损失或侵害，包括但不限于甲方本身的财产损失、由此而导致的甲方对任何第三方的法律责任等，乙方对此均应承担全部的赔偿责任。 （2）解决争议的方法：①在执行本合同中发生的或与本合同有关的争端，双方应通过友好协商解决，经协商在30天内不能达成协议时，应提交仲裁委员会仲裁。②仲裁裁决应为最终决定，并对双方具有约束力。③除另有裁决外，仲裁费应由败诉方负担。④在仲裁期间，除正在进行仲裁部分外，合同其他部分继续执行。</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合同签订后8个月</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四川省甘孜藏族自治州雅江县，具体地点由采购人指定。</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严格按照政府采购相关法律法规以及《财政部关于进一步加强政府采购需求和履约验收管理的指导意见》(财库〔2016〕205号)、《政府采购需求管理办法》（财库〔2021〕22号）、采购文件要求、中标（成交）供应商的响应文件及承诺、签订的合同及相关要求进行验收。</w:t>
            </w: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货款每两个月支付一次，采购人与供应商共同核实两个月的供货量后采购人收到成交供应商出具合法有效完整的等额完税发票之日起10个工作日内支付货款（按照月度考核要求据实支付），达到付款条件起10日内，据实情况说明为货款每两个月支付一次，采购人与供应商共同核实两个月的供货量后采购人收到成交供应商出具合法有效完整的等额完税发票之日起10个工作日内支付货款（按照月度考核要求据实支付）。最终结算价：最终结算价格=基准价格×统一结算比例×实际发生数量。若供应商未及时提交有效增值税发票，采购人付款时间顺延且对此不承担任何责任</w:t>
            </w:r>
          </w:p>
        </w:tc>
      </w:tr>
      <w:tr>
        <w:tc>
          <w:tcPr>
            <w:tcW w:type="dxa" w:w="415"/>
          </w:tcPr>
          <w:p>
            <w:pPr>
              <w:pStyle w:val="null3"/>
              <w:jc w:val="center"/>
            </w:pPr>
            <w:r>
              <w:rPr>
                <w:rFonts w:ascii="仿宋_GB2312" w:hAnsi="仿宋_GB2312" w:cs="仿宋_GB2312" w:eastAsia="仿宋_GB2312"/>
              </w:rPr>
              <w:t>6</w:t>
            </w:r>
          </w:p>
        </w:tc>
        <w:tc>
          <w:tcPr>
            <w:tcW w:type="dxa" w:w="581"/>
          </w:tcP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违约责任：①甲乙双方必须遵守本合同并执行合同中的各项规定，保证本合同的正常履行。②如因乙方工作人员在履行职务过程中的疏忽、失职、过错等故意或者过失原因给甲方造成损失或侵害，包括但不限于甲方本身的财产损失、由此而导致的甲方对任何第三方的法律责任等，乙方对此均应承担全部的赔偿责任。 （2）解决争议的方法：①在执行本合同中发生的或与本合同有关的争端，双方应通过友好协商解决，经协商在30天内不能达成协议时，应提交仲裁委员会仲裁。②仲裁裁决应为最终决定，并对双方具有约束力。③除另有裁决外，仲裁费应由败诉方负担。④在仲裁期间，除正在进行仲裁部分外，合同其他部分继续执行。</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合同签订后8个月</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四川省甘孜藏族自治州雅江县，具体地点由采购人指定。</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严格按照政府采购相关法律法规以及《财政部关于进一步加强政府采购需求和履约验收管理的指导意见》(财库〔2016〕205号)、《政府采购需求管理办法》（财库〔2021〕22号）、采购文件要求、中标（成交）供应商的响应文件及承诺、签订的合同及相关要求进行验收。</w:t>
            </w: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货款每两个月支付一次，采购人与供应商共同核实两个月的供货量后采购人收到成交供应商出具合法有效完整的等额完税发票之日起10个工作日内支付货款（按照月度考核要求据实支付），达到付款条件起10日内，据实情况说明为货款每两个月支付一次，采购人与供应商共同核实两个月的供货量后采购人收到成交供应商出具合法有效完整的等额完税发票之日起10个工作日内支付货款（按照月度考核要求据实支付）。最终结算价：最终结算价格=基准价格×统一结算比例×实际发生数量。若供应商未及时提交有效增值税发票，采购人付款时间顺延且对此不承担任何责任</w:t>
            </w:r>
          </w:p>
        </w:tc>
      </w:tr>
      <w:tr>
        <w:tc>
          <w:tcPr>
            <w:tcW w:type="dxa" w:w="415"/>
          </w:tcPr>
          <w:p>
            <w:pPr>
              <w:pStyle w:val="null3"/>
              <w:jc w:val="center"/>
            </w:pPr>
            <w:r>
              <w:rPr>
                <w:rFonts w:ascii="仿宋_GB2312" w:hAnsi="仿宋_GB2312" w:cs="仿宋_GB2312" w:eastAsia="仿宋_GB2312"/>
              </w:rPr>
              <w:t>6</w:t>
            </w:r>
          </w:p>
        </w:tc>
        <w:tc>
          <w:tcPr>
            <w:tcW w:type="dxa" w:w="581"/>
          </w:tcP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违约责任：①甲乙双方必须遵守本合同并执行合同中的各项规定，保证本合同的正常履行。②如因乙方工作人员在履行职务过程中的疏忽、失职、过错等故意或者过失原因给甲方造成损失或侵害，包括但不限于甲方本身的财产损失、由此而导致的甲方对任何第三方的法律责任等，乙方对此均应承担全部的赔偿责任。 （2）解决争议的方法：①在执行本合同中发生的或与本合同有关的争端，双方应通过友好协商解决，经协商在30天内不能达成协议时，应提交仲裁委员会仲裁。②仲裁裁决应为最终决定，并对双方具有约束力。③除另有裁决外，仲裁费应由败诉方负担。④在仲裁期间，除正在进行仲裁部分外，合同其他部分继续执行。</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磋商过程中可实质性变动的内容</w:t>
      </w:r>
    </w:p>
    <w:p>
      <w:pPr>
        <w:pStyle w:val="null3"/>
        <w:ind w:firstLine="480"/>
        <w:jc w:val="left"/>
      </w:pPr>
      <w:r>
        <w:rPr>
          <w:rFonts w:ascii="仿宋_GB2312" w:hAnsi="仿宋_GB2312" w:cs="仿宋_GB2312" w:eastAsia="仿宋_GB2312"/>
        </w:rPr>
        <w:t>磋商小组可以根据磋商文件和磋商情况实质性变动以下内容：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 xml:space="preserve"> 二、第七章“拟签订采购合同文本”：</w:t>
      </w:r>
    </w:p>
    <w:p>
      <w:pPr>
        <w:pStyle w:val="null3"/>
        <w:ind w:firstLine="480"/>
        <w:jc w:val="left"/>
      </w:pP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除以上内容外，磋商小组不得变动磋商文件中的其他内容。</w:t>
      </w:r>
    </w:p>
    <w:p>
      <w:pPr>
        <w:pStyle w:val="null3"/>
        <w:ind w:firstLine="480"/>
        <w:jc w:val="left"/>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rFonts w:ascii="仿宋_GB2312" w:hAnsi="仿宋_GB2312" w:cs="仿宋_GB2312" w:eastAsia="仿宋_GB2312"/>
        </w:rPr>
        <w:t>二、评审工作由代理机构组织，具体评审事务由依法组建的磋商小组负责。磋商小组由采购人代表和评审专家组成。</w:t>
      </w:r>
    </w:p>
    <w:p>
      <w:pPr>
        <w:pStyle w:val="null3"/>
        <w:ind w:firstLine="480"/>
        <w:jc w:val="left"/>
      </w:pPr>
      <w:r>
        <w:rPr>
          <w:rFonts w:ascii="仿宋_GB2312" w:hAnsi="仿宋_GB2312" w:cs="仿宋_GB2312" w:eastAsia="仿宋_GB2312"/>
        </w:rPr>
        <w:t>三、评审工作应遵循客观、公正、审慎的原则，根据磋商文件规定的评审程序、评审方法和评审标准进行独立评审。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5.2.磋商小组</w:t>
      </w:r>
    </w:p>
    <w:p>
      <w:pPr>
        <w:pStyle w:val="null3"/>
        <w:ind w:firstLine="480"/>
        <w:jc w:val="left"/>
      </w:pPr>
      <w:r>
        <w:rPr>
          <w:rFonts w:ascii="仿宋_GB2312" w:hAnsi="仿宋_GB2312" w:cs="仿宋_GB2312" w:eastAsia="仿宋_GB2312"/>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rFonts w:ascii="仿宋_GB2312" w:hAnsi="仿宋_GB2312" w:cs="仿宋_GB2312" w:eastAsia="仿宋_GB2312"/>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rFonts w:ascii="仿宋_GB2312" w:hAnsi="仿宋_GB2312" w:cs="仿宋_GB2312" w:eastAsia="仿宋_GB2312"/>
        </w:rPr>
        <w:t>三、磋商小组成员获取解密后的响应文件，开展评审活动。出现评审专家请假、回避等情况时，采购人或者代理机构按规定申请补充抽取评审专家。无法及时补充抽取的，采购人或者代理机构应当封存供应商响应文件，按规定重新组建磋商小组，解封响应文件后，开展评审活动。</w:t>
      </w:r>
    </w:p>
    <w:p>
      <w:pPr>
        <w:pStyle w:val="null3"/>
        <w:ind w:firstLine="480"/>
        <w:jc w:val="left"/>
      </w:pPr>
      <w:r>
        <w:rPr>
          <w:rFonts w:ascii="仿宋_GB2312" w:hAnsi="仿宋_GB2312" w:cs="仿宋_GB2312" w:eastAsia="仿宋_GB2312"/>
        </w:rPr>
        <w:t>四、磋商小组应当履行下列职责：</w:t>
      </w:r>
    </w:p>
    <w:p>
      <w:pPr>
        <w:pStyle w:val="null3"/>
        <w:ind w:firstLine="480"/>
        <w:jc w:val="left"/>
      </w:pPr>
      <w:r>
        <w:rPr>
          <w:rFonts w:ascii="仿宋_GB2312" w:hAnsi="仿宋_GB2312" w:cs="仿宋_GB2312" w:eastAsia="仿宋_GB2312"/>
        </w:rPr>
        <w:t>（一）熟悉和理解磋商文件；</w:t>
      </w:r>
    </w:p>
    <w:p>
      <w:pPr>
        <w:pStyle w:val="null3"/>
        <w:ind w:firstLine="480"/>
        <w:jc w:val="left"/>
      </w:pPr>
      <w:r>
        <w:rPr>
          <w:rFonts w:ascii="仿宋_GB2312" w:hAnsi="仿宋_GB2312" w:cs="仿宋_GB2312" w:eastAsia="仿宋_GB2312"/>
        </w:rPr>
        <w:t>（二）审查、评价供应商响应文件等是否满足磋商文件要求；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（四）根据需要要求采购人、代理机构对磋商文件作出解释；根据需要要求供应商对响应文件有关事项作出澄清、说明或者更正；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（六）起草资格审查报告、磋商报告并进行签署；</w:t>
      </w:r>
    </w:p>
    <w:p>
      <w:pPr>
        <w:pStyle w:val="null3"/>
        <w:ind w:firstLine="480"/>
        <w:jc w:val="left"/>
      </w:pPr>
      <w:r>
        <w:rPr>
          <w:rFonts w:ascii="仿宋_GB2312" w:hAnsi="仿宋_GB2312" w:cs="仿宋_GB2312" w:eastAsia="仿宋_GB2312"/>
        </w:rPr>
        <w:t>（七）向采购人、代理机构或者有关部门报告磋商中非法干预评审工作的行为；</w:t>
      </w:r>
    </w:p>
    <w:p>
      <w:pPr>
        <w:pStyle w:val="null3"/>
        <w:ind w:firstLine="480"/>
        <w:jc w:val="left"/>
      </w:pPr>
      <w:r>
        <w:rPr>
          <w:rFonts w:ascii="仿宋_GB2312" w:hAnsi="仿宋_GB2312" w:cs="仿宋_GB2312" w:eastAsia="仿宋_GB2312"/>
        </w:rPr>
        <w:t>（八）按规定告知供应商，未实质性响应磋商文件的响应文件按无效响应处理；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 评审程序</w:t>
      </w:r>
    </w:p>
    <w:p>
      <w:pPr>
        <w:pStyle w:val="null3"/>
        <w:jc w:val="left"/>
        <w:outlineLvl w:val="3"/>
      </w:pPr>
      <w:r>
        <w:rPr>
          <w:rFonts w:ascii="仿宋_GB2312" w:hAnsi="仿宋_GB2312" w:cs="仿宋_GB2312" w:eastAsia="仿宋_GB2312"/>
          <w:sz w:val="24"/>
          <w:b/>
        </w:rPr>
        <w:t>5.3.1.熟悉和理解磋商文件</w:t>
      </w:r>
    </w:p>
    <w:p>
      <w:pPr>
        <w:pStyle w:val="null3"/>
        <w:ind w:firstLine="480"/>
        <w:jc w:val="left"/>
      </w:pPr>
      <w:r>
        <w:rPr>
          <w:rFonts w:ascii="仿宋_GB2312" w:hAnsi="仿宋_GB2312" w:cs="仿宋_GB2312" w:eastAsia="仿宋_GB2312"/>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本磋商文件有下列情形之一的，磋商小组应当停止评审：</w:t>
      </w:r>
    </w:p>
    <w:p>
      <w:pPr>
        <w:pStyle w:val="null3"/>
        <w:ind w:firstLine="480"/>
        <w:jc w:val="left"/>
      </w:pPr>
      <w:r>
        <w:rPr>
          <w:rFonts w:ascii="仿宋_GB2312" w:hAnsi="仿宋_GB2312" w:cs="仿宋_GB2312" w:eastAsia="仿宋_GB2312"/>
        </w:rPr>
        <w:t>一、磋商文件的规定存在歧义、重大缺陷，导致评审工作无法进行的；</w:t>
      </w:r>
    </w:p>
    <w:p>
      <w:pPr>
        <w:pStyle w:val="null3"/>
        <w:ind w:firstLine="480"/>
        <w:jc w:val="left"/>
      </w:pPr>
      <w:r>
        <w:rPr>
          <w:rFonts w:ascii="仿宋_GB2312" w:hAnsi="仿宋_GB2312" w:cs="仿宋_GB2312" w:eastAsia="仿宋_GB2312"/>
        </w:rPr>
        <w:t>二、磋商文件明显以不合理条件对供应商实行差别待遇或者歧视待遇的；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jc w:val="left"/>
      </w:pPr>
      <w:r>
        <w:rPr>
          <w:rFonts w:ascii="仿宋_GB2312" w:hAnsi="仿宋_GB2312" w:cs="仿宋_GB2312" w:eastAsia="仿宋_GB2312"/>
        </w:rPr>
        <w:t>五、磋商文件将供应商的资格条件列为评分因素的；</w:t>
      </w:r>
    </w:p>
    <w:p>
      <w:pPr>
        <w:pStyle w:val="null3"/>
        <w:ind w:firstLine="480"/>
        <w:jc w:val="left"/>
      </w:pPr>
      <w:r>
        <w:rPr>
          <w:rFonts w:ascii="仿宋_GB2312" w:hAnsi="仿宋_GB2312" w:cs="仿宋_GB2312" w:eastAsia="仿宋_GB2312"/>
        </w:rPr>
        <w:t>六、磋商文件载明的成交原则不合法的；</w:t>
      </w:r>
    </w:p>
    <w:p>
      <w:pPr>
        <w:pStyle w:val="null3"/>
        <w:ind w:firstLine="480"/>
        <w:jc w:val="left"/>
      </w:pPr>
      <w:r>
        <w:rPr>
          <w:rFonts w:ascii="仿宋_GB2312" w:hAnsi="仿宋_GB2312" w:cs="仿宋_GB2312" w:eastAsia="仿宋_GB2312"/>
        </w:rPr>
        <w:t>七、磋商文件有违反国家其他有关强制性规定的情形。</w:t>
      </w:r>
    </w:p>
    <w:p>
      <w:pPr>
        <w:pStyle w:val="null3"/>
        <w:ind w:firstLine="480"/>
        <w:jc w:val="left"/>
      </w:pPr>
      <w:r>
        <w:rPr>
          <w:rFonts w:ascii="仿宋_GB2312" w:hAnsi="仿宋_GB2312" w:cs="仿宋_GB2312" w:eastAsia="仿宋_GB2312"/>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1.供应商需在使用投标(响应)客户端编制响应文件时，按要求填写《投标（响应）函》完成承诺并进行电子签章。2.①供应商若为企业法人：提供“统一社会信用代码营业执照”；未换证的提供“营业执照、税务登记证、组织机构代码证”；②若为事业法人：提供“统一社会信用代码法人登记证书”；未换证的提交“事业法人登记证书、组织机构代码证”；③若为其他组织：提供“对应主管部门颁发的准许执业证明文件或营业执照”；④若为自然人：提供“身份证明材料”；（提供复印件并进行电子签章）</w:t>
            </w:r>
          </w:p>
        </w:tc>
        <w:tc>
          <w:tcPr>
            <w:tcW w:type="dxa" w:w="1910"/>
          </w:tcPr>
          <w:p>
            <w:pPr>
              <w:pStyle w:val="null3"/>
              <w:jc w:val="left"/>
            </w:pPr>
            <w:r>
              <w:rPr>
                <w:rFonts w:ascii="仿宋_GB2312" w:hAnsi="仿宋_GB2312" w:cs="仿宋_GB2312" w:eastAsia="仿宋_GB2312"/>
              </w:rPr>
              <w:t>响应文件封面,供应商应提交的相关证明材料,投标（响应）函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1.供应商需在使用投标(响应)客户端编制响应文件时，按要求填写《投标（响应）函》完成承诺并进行电子签章。2.①供应商若为企业法人：提供“统一社会信用代码营业执照”；未换证的提供“营业执照、税务登记证、组织机构代码证”；②若为事业法人：提供“统一社会信用代码法人登记证书”；未换证的提交“事业法人登记证书、组织机构代码证”；③若为其他组织：提供“对应主管部门颁发的准许执业证明文件或营业执照”；④若为自然人：提供“身份证明材料”；（提供复印件并进行电子签章）</w:t>
            </w:r>
          </w:p>
        </w:tc>
        <w:tc>
          <w:tcPr>
            <w:tcW w:type="dxa" w:w="1910"/>
          </w:tcPr>
          <w:p>
            <w:pPr>
              <w:pStyle w:val="null3"/>
              <w:jc w:val="left"/>
            </w:pPr>
            <w:r>
              <w:rPr>
                <w:rFonts w:ascii="仿宋_GB2312" w:hAnsi="仿宋_GB2312" w:cs="仿宋_GB2312" w:eastAsia="仿宋_GB2312"/>
              </w:rPr>
              <w:t>响应文件封面,供应商应提交的相关证明材料,投标（响应）函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 xml:space="preserve">1.供应商需在使用投标(响应)客户端编制响应文件时，按要求填写《投标（响应）函》完成承诺并进行电子签章。2.①供应商若为企业法人：提供“统一社会信用代码营业执照”；未换证的提供“营业执照、税务登记证、组织机构代码证”；②若为事业法人：提供“统一社会信用代码法人登记证书”；未换证的提交“事业法人登记证书、组织机构代码证”；③若为其他组织：提供“对应主管部门颁发的准许执业证明文件或营业执照”；④若为自然人：提供“身份证明材料”；（提供复印件并进行电子签章） </w:t>
            </w:r>
          </w:p>
        </w:tc>
        <w:tc>
          <w:tcPr>
            <w:tcW w:type="dxa" w:w="1910"/>
          </w:tcPr>
          <w:p>
            <w:pPr>
              <w:pStyle w:val="null3"/>
              <w:jc w:val="left"/>
            </w:pPr>
            <w:r>
              <w:rPr>
                <w:rFonts w:ascii="仿宋_GB2312" w:hAnsi="仿宋_GB2312" w:cs="仿宋_GB2312" w:eastAsia="仿宋_GB2312"/>
              </w:rPr>
              <w:t>响应文件封面,供应商应提交的相关证明材料,投标（响应）函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本采购包属于专门面向中小企业采购。提供《中小企业声明函》，残疾人福利性单位提供《残疾人福利性单位声明函》，监狱企业提供由省级以上监狱管理局、戒毒管理局（含新疆生产建设兵团）出具的属于监狱企业的证明文件。</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本采购包属于专门面向中小企业采购。提供《中小企业声明函》，残疾人福利性单位提供《残疾人福利性单位声明函》，监狱企业提供由省级以上监狱管理局、戒毒管理局（含新疆生产建设兵团）出具的属于监狱企业的证明文件。</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本采购包属于专门面向中小企业采购。提供《中小企业声明函》，残疾人福利性单位提供《残疾人福利性单位声明函》，监狱企业提供由省级以上监狱管理局、戒毒管理局（含新疆生产建设兵团）出具的属于监狱企业的证明文件。</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供应商提供《食品经营许可证》或《食品经营许可备案电子证书》或仅销售预包装食品经营者备案证明材料</w:t>
            </w:r>
          </w:p>
        </w:tc>
        <w:tc>
          <w:tcPr>
            <w:tcW w:type="dxa" w:w="3322"/>
          </w:tcPr>
          <w:p>
            <w:pPr>
              <w:pStyle w:val="null3"/>
              <w:jc w:val="left"/>
            </w:pPr>
            <w:r>
              <w:rPr>
                <w:rFonts w:ascii="仿宋_GB2312" w:hAnsi="仿宋_GB2312" w:cs="仿宋_GB2312" w:eastAsia="仿宋_GB2312"/>
              </w:rPr>
              <w:t>供应商提供《食品经营许可证》或《食品经营许可备案电子证书》或仅销售预包装食品经营者备案证明材料（提供复印件并进行电子签章）</w:t>
            </w:r>
          </w:p>
        </w:tc>
        <w:tc>
          <w:tcPr>
            <w:tcW w:type="dxa" w:w="1910"/>
          </w:tcPr>
          <w:p>
            <w:pPr>
              <w:pStyle w:val="null3"/>
              <w:jc w:val="left"/>
            </w:pPr>
            <w:r>
              <w:rPr>
                <w:rFonts w:ascii="仿宋_GB2312" w:hAnsi="仿宋_GB2312" w:cs="仿宋_GB2312" w:eastAsia="仿宋_GB2312"/>
              </w:rPr>
              <w:t>供应商应提交的相关证明材料</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磋商小组依据本磋商文件的符合性审查要求，对符合资格要求供应商的响应文件有效性、完整性和响应程度进行审查。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在符合性审查过程中，如果出现磋商小组成员意见不一致的情况，按照少数服从多数的原则确定，但不得违反政府采购基本原则和磋商文件规定。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供应商认为其他需要提供的文件和资料,供应商应提交的相关证明材料,投标（响应）函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不正当竞争预防措施（实质性要求）</w:t>
            </w:r>
          </w:p>
        </w:tc>
        <w:tc>
          <w:tcPr>
            <w:tcW w:type="dxa" w:w="3322"/>
          </w:tcPr>
          <w:p>
            <w:pPr>
              <w:pStyle w:val="null3"/>
              <w:jc w:val="left"/>
            </w:pPr>
            <w:r>
              <w:rPr>
                <w:rFonts w:ascii="仿宋_GB2312" w:hAnsi="仿宋_GB2312" w:cs="仿宋_GB2312" w:eastAsia="仿宋_GB2312"/>
              </w:rPr>
              <w:t>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tc>
        <w:tc>
          <w:tcPr>
            <w:tcW w:type="dxa" w:w="1910"/>
          </w:tcPr>
          <w:p>
            <w:pPr>
              <w:pStyle w:val="null3"/>
              <w:jc w:val="left"/>
            </w:pPr>
            <w:r>
              <w:rPr>
                <w:rFonts w:ascii="仿宋_GB2312" w:hAnsi="仿宋_GB2312" w:cs="仿宋_GB2312" w:eastAsia="仿宋_GB2312"/>
              </w:rPr>
              <w:t>报价表</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符合采购文件的实质性要求</w:t>
            </w:r>
          </w:p>
        </w:tc>
        <w:tc>
          <w:tcPr>
            <w:tcW w:type="dxa" w:w="3322"/>
          </w:tcPr>
          <w:p>
            <w:pPr>
              <w:pStyle w:val="null3"/>
              <w:jc w:val="left"/>
            </w:pPr>
            <w:r>
              <w:rPr>
                <w:rFonts w:ascii="仿宋_GB2312" w:hAnsi="仿宋_GB2312" w:cs="仿宋_GB2312" w:eastAsia="仿宋_GB2312"/>
              </w:rPr>
              <w:t>供应商响应文件符合采购文件的全部实质性要求</w:t>
            </w:r>
          </w:p>
        </w:tc>
        <w:tc>
          <w:tcPr>
            <w:tcW w:type="dxa" w:w="1910"/>
          </w:tcPr>
          <w:p>
            <w:pPr>
              <w:pStyle w:val="null3"/>
              <w:jc w:val="left"/>
            </w:pPr>
            <w:r>
              <w:rPr>
                <w:rFonts w:ascii="仿宋_GB2312" w:hAnsi="仿宋_GB2312" w:cs="仿宋_GB2312" w:eastAsia="仿宋_GB2312"/>
              </w:rPr>
              <w:t>供应商认为其他需要提供的文件和资料,商务应答表,供应商应提交的相关证明材料,投标（响应）函,技术要求及服务要求应答表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供应商认为其他需要提供的文件和资料,供应商应提交的相关证明材料,投标（响应）函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不正当竞争预防措施（实质性要求）</w:t>
            </w:r>
          </w:p>
        </w:tc>
        <w:tc>
          <w:tcPr>
            <w:tcW w:type="dxa" w:w="3322"/>
          </w:tcPr>
          <w:p>
            <w:pPr>
              <w:pStyle w:val="null3"/>
              <w:jc w:val="left"/>
            </w:pPr>
            <w:r>
              <w:rPr>
                <w:rFonts w:ascii="仿宋_GB2312" w:hAnsi="仿宋_GB2312" w:cs="仿宋_GB2312" w:eastAsia="仿宋_GB2312"/>
              </w:rPr>
              <w:t>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tc>
        <w:tc>
          <w:tcPr>
            <w:tcW w:type="dxa" w:w="1910"/>
          </w:tcPr>
          <w:p>
            <w:pPr>
              <w:pStyle w:val="null3"/>
              <w:jc w:val="left"/>
            </w:pPr>
            <w:r>
              <w:rPr>
                <w:rFonts w:ascii="仿宋_GB2312" w:hAnsi="仿宋_GB2312" w:cs="仿宋_GB2312" w:eastAsia="仿宋_GB2312"/>
              </w:rPr>
              <w:t>报价表</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符合采购文件的实质性要求</w:t>
            </w:r>
          </w:p>
        </w:tc>
        <w:tc>
          <w:tcPr>
            <w:tcW w:type="dxa" w:w="3322"/>
          </w:tcPr>
          <w:p>
            <w:pPr>
              <w:pStyle w:val="null3"/>
              <w:jc w:val="left"/>
            </w:pPr>
            <w:r>
              <w:rPr>
                <w:rFonts w:ascii="仿宋_GB2312" w:hAnsi="仿宋_GB2312" w:cs="仿宋_GB2312" w:eastAsia="仿宋_GB2312"/>
              </w:rPr>
              <w:t>供应商响应文件符合采购文件的全部实质性要求</w:t>
            </w:r>
          </w:p>
        </w:tc>
        <w:tc>
          <w:tcPr>
            <w:tcW w:type="dxa" w:w="1910"/>
          </w:tcPr>
          <w:p>
            <w:pPr>
              <w:pStyle w:val="null3"/>
              <w:jc w:val="left"/>
            </w:pPr>
            <w:r>
              <w:rPr>
                <w:rFonts w:ascii="仿宋_GB2312" w:hAnsi="仿宋_GB2312" w:cs="仿宋_GB2312" w:eastAsia="仿宋_GB2312"/>
              </w:rPr>
              <w:t>供应商认为其他需要提供的文件和资料,商务应答表,供应商应提交的相关证明材料,投标（响应）函,技术要求及服务要求应答表</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供应商认为其他需要提供的文件和资料,供应商应提交的相关证明材料,投标（响应）函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不正当竞争预防措施（实质性要求）</w:t>
            </w:r>
          </w:p>
        </w:tc>
        <w:tc>
          <w:tcPr>
            <w:tcW w:type="dxa" w:w="3322"/>
          </w:tcPr>
          <w:p>
            <w:pPr>
              <w:pStyle w:val="null3"/>
              <w:jc w:val="left"/>
            </w:pPr>
            <w:r>
              <w:rPr>
                <w:rFonts w:ascii="仿宋_GB2312" w:hAnsi="仿宋_GB2312" w:cs="仿宋_GB2312" w:eastAsia="仿宋_GB2312"/>
              </w:rPr>
              <w:t>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tc>
        <w:tc>
          <w:tcPr>
            <w:tcW w:type="dxa" w:w="1910"/>
          </w:tcPr>
          <w:p>
            <w:pPr>
              <w:pStyle w:val="null3"/>
              <w:jc w:val="left"/>
            </w:pPr>
            <w:r>
              <w:rPr>
                <w:rFonts w:ascii="仿宋_GB2312" w:hAnsi="仿宋_GB2312" w:cs="仿宋_GB2312" w:eastAsia="仿宋_GB2312"/>
              </w:rPr>
              <w:t>报价表</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符合采购文件的实质性要求</w:t>
            </w:r>
          </w:p>
        </w:tc>
        <w:tc>
          <w:tcPr>
            <w:tcW w:type="dxa" w:w="3322"/>
          </w:tcPr>
          <w:p>
            <w:pPr>
              <w:pStyle w:val="null3"/>
              <w:jc w:val="left"/>
            </w:pPr>
            <w:r>
              <w:rPr>
                <w:rFonts w:ascii="仿宋_GB2312" w:hAnsi="仿宋_GB2312" w:cs="仿宋_GB2312" w:eastAsia="仿宋_GB2312"/>
              </w:rPr>
              <w:t>供应商响应文件符合采购文件的全部实质性要求</w:t>
            </w:r>
          </w:p>
        </w:tc>
        <w:tc>
          <w:tcPr>
            <w:tcW w:type="dxa" w:w="1910"/>
          </w:tcPr>
          <w:p>
            <w:pPr>
              <w:pStyle w:val="null3"/>
              <w:jc w:val="left"/>
            </w:pPr>
            <w:r>
              <w:rPr>
                <w:rFonts w:ascii="仿宋_GB2312" w:hAnsi="仿宋_GB2312" w:cs="仿宋_GB2312" w:eastAsia="仿宋_GB2312"/>
              </w:rPr>
              <w:t>供应商认为其他需要提供的文件和资料,商务应答表,供应商应提交的相关证明材料,投标（响应）函,技术要求及服务要求应答表</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响应文件满足以上符合性审查要求的，则通过符合性审查；如有任意一项未满足符合性审查要求的，则按无效响应处理，并在磋商报告中载明未通过符合性审查的具体原因。</w:t>
      </w:r>
    </w:p>
    <w:p>
      <w:pPr>
        <w:pStyle w:val="null3"/>
        <w:jc w:val="left"/>
        <w:outlineLvl w:val="3"/>
      </w:pPr>
      <w:r>
        <w:rPr>
          <w:rFonts w:ascii="仿宋_GB2312" w:hAnsi="仿宋_GB2312" w:cs="仿宋_GB2312" w:eastAsia="仿宋_GB2312"/>
          <w:sz w:val="24"/>
          <w:b/>
        </w:rPr>
        <w:t>5.3.5.磋商</w:t>
      </w:r>
    </w:p>
    <w:p>
      <w:pPr>
        <w:pStyle w:val="null3"/>
        <w:ind w:firstLine="480"/>
        <w:jc w:val="left"/>
      </w:pPr>
      <w:r>
        <w:rPr>
          <w:rFonts w:ascii="仿宋_GB2312" w:hAnsi="仿宋_GB2312" w:cs="仿宋_GB2312" w:eastAsia="仿宋_GB2312"/>
        </w:rPr>
        <w:t>一、磋商小组按照磋商文件的规定与邀请参加磋商的供应商分别进行磋商，磋商顺序由磋商小组确定。</w:t>
      </w:r>
    </w:p>
    <w:p>
      <w:pPr>
        <w:pStyle w:val="null3"/>
        <w:ind w:firstLine="480"/>
        <w:jc w:val="left"/>
      </w:pPr>
      <w:r>
        <w:rPr>
          <w:rFonts w:ascii="仿宋_GB2312" w:hAnsi="仿宋_GB2312" w:cs="仿宋_GB2312" w:eastAsia="仿宋_GB2312"/>
        </w:rPr>
        <w:t>二、磋商小组所有成员集中与单一供应商对技术、服务、合同条款等内容分别进行一轮或多轮的磋商。</w:t>
      </w:r>
    </w:p>
    <w:p>
      <w:pPr>
        <w:pStyle w:val="null3"/>
        <w:ind w:firstLine="480"/>
        <w:jc w:val="left"/>
      </w:pPr>
      <w:r>
        <w:rPr>
          <w:rFonts w:ascii="仿宋_GB2312" w:hAnsi="仿宋_GB2312" w:cs="仿宋_GB2312" w:eastAsia="仿宋_GB2312"/>
        </w:rPr>
        <w:t>三、磋商小组可以根据磋商文件和磋商情况实质性变动第四章约定的内容，但不得变动磋商文件中的其他内容。实质性变动的内容，须经采购人代表确认。</w:t>
      </w:r>
    </w:p>
    <w:p>
      <w:pPr>
        <w:pStyle w:val="null3"/>
        <w:ind w:firstLine="480"/>
        <w:jc w:val="left"/>
      </w:pPr>
      <w:r>
        <w:rPr>
          <w:rFonts w:ascii="仿宋_GB2312" w:hAnsi="仿宋_GB2312" w:cs="仿宋_GB2312" w:eastAsia="仿宋_GB2312"/>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rFonts w:ascii="仿宋_GB2312" w:hAnsi="仿宋_GB2312" w:cs="仿宋_GB2312" w:eastAsia="仿宋_GB2312"/>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六、经最终磋商后，供应商响应文件仍未实质性响应磋商文件的，磋商小组应当对其响应文件按无效处理，并通过交易系统告知供应商，说明理由。</w:t>
      </w:r>
    </w:p>
    <w:p>
      <w:pPr>
        <w:pStyle w:val="null3"/>
        <w:ind w:firstLine="480"/>
        <w:jc w:val="left"/>
      </w:pPr>
      <w:r>
        <w:rPr>
          <w:rFonts w:ascii="仿宋_GB2312" w:hAnsi="仿宋_GB2312" w:cs="仿宋_GB2312" w:eastAsia="仿宋_GB2312"/>
        </w:rPr>
        <w:t>七、磋商过程中，磋商的任何一方不得透露与磋商有关的其他供应商的技术资料、价格和其他信息。</w:t>
      </w:r>
    </w:p>
    <w:p>
      <w:pPr>
        <w:pStyle w:val="null3"/>
        <w:ind w:firstLine="480"/>
        <w:jc w:val="left"/>
      </w:pPr>
      <w:r>
        <w:rPr>
          <w:rFonts w:ascii="仿宋_GB2312" w:hAnsi="仿宋_GB2312" w:cs="仿宋_GB2312" w:eastAsia="仿宋_GB2312"/>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ind w:firstLine="480"/>
        <w:jc w:val="left"/>
      </w:pPr>
      <w:r>
        <w:rPr>
          <w:rFonts w:ascii="仿宋_GB2312" w:hAnsi="仿宋_GB2312" w:cs="仿宋_GB2312" w:eastAsia="仿宋_GB2312"/>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jc w:val="left"/>
      </w:pPr>
      <w:r>
        <w:rPr>
          <w:rFonts w:ascii="仿宋_GB2312" w:hAnsi="仿宋_GB2312" w:cs="仿宋_GB2312" w:eastAsia="仿宋_GB2312"/>
        </w:rPr>
        <w:t>采购包2：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jc w:val="left"/>
      </w:pPr>
      <w:r>
        <w:rPr>
          <w:rFonts w:ascii="仿宋_GB2312" w:hAnsi="仿宋_GB2312" w:cs="仿宋_GB2312" w:eastAsia="仿宋_GB2312"/>
        </w:rPr>
        <w:t>采购包3：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一、磋商小组开启报价后，供应商应随时关注交易系统信息提醒，登录交易系统，通过“等候大厅”进行报价并签章后提交。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三、供应商未按磋商小组要求在规定时间内提交报价的，视为无效响应，由供应商自行承担不利后果。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（三）供应商的最后报价应符合磋商文件的要求。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六、最后报价出现下列情况的，除磋商文件另有规定外，按以下原则处理：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磋商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rFonts w:ascii="仿宋_GB2312" w:hAnsi="仿宋_GB2312" w:cs="仿宋_GB2312" w:eastAsia="仿宋_GB2312"/>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5.3.8.比较与评价</w:t>
      </w:r>
    </w:p>
    <w:p>
      <w:pPr>
        <w:pStyle w:val="null3"/>
        <w:ind w:firstLine="480"/>
        <w:jc w:val="left"/>
      </w:pPr>
      <w:r>
        <w:rPr>
          <w:rFonts w:ascii="仿宋_GB2312" w:hAnsi="仿宋_GB2312" w:cs="仿宋_GB2312" w:eastAsia="仿宋_GB2312"/>
        </w:rPr>
        <w:t>由磋商小组采用综合评分法对提交最后报价的供应商的响应文件和最后报价进行综合评分，具体要求详见本章评审办法及标准部分。</w:t>
      </w:r>
    </w:p>
    <w:p>
      <w:pPr>
        <w:pStyle w:val="null3"/>
        <w:jc w:val="left"/>
        <w:outlineLvl w:val="3"/>
      </w:pPr>
      <w:r>
        <w:rPr>
          <w:rFonts w:ascii="仿宋_GB2312" w:hAnsi="仿宋_GB2312" w:cs="仿宋_GB2312" w:eastAsia="仿宋_GB2312"/>
          <w:sz w:val="24"/>
          <w:b/>
        </w:rPr>
        <w:t>5.3.9.磋商小组复核</w:t>
      </w:r>
    </w:p>
    <w:p>
      <w:pPr>
        <w:pStyle w:val="null3"/>
        <w:ind w:firstLine="480"/>
        <w:jc w:val="left"/>
      </w:pPr>
      <w:r>
        <w:rPr>
          <w:rFonts w:ascii="仿宋_GB2312" w:hAnsi="仿宋_GB2312" w:cs="仿宋_GB2312" w:eastAsia="仿宋_GB2312"/>
        </w:rPr>
        <w:t>评审结束后，磋商小组应当进行复核，特别要对拟推荐为成交候选供应商的、报价最低的、响应文件被认定为无效的进行重点复核。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5.3.10.代理机构现场复核评审结果</w:t>
      </w:r>
    </w:p>
    <w:p>
      <w:pPr>
        <w:pStyle w:val="null3"/>
        <w:ind w:firstLine="480"/>
        <w:jc w:val="left"/>
      </w:pPr>
      <w:r>
        <w:rPr>
          <w:rFonts w:ascii="仿宋_GB2312" w:hAnsi="仿宋_GB2312" w:cs="仿宋_GB2312" w:eastAsia="仿宋_GB2312"/>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rFonts w:ascii="仿宋_GB2312" w:hAnsi="仿宋_GB2312" w:cs="仿宋_GB2312" w:eastAsia="仿宋_GB2312"/>
        </w:rPr>
        <w:t>（一）资格审查认定错误的；</w:t>
      </w:r>
    </w:p>
    <w:p>
      <w:pPr>
        <w:pStyle w:val="null3"/>
        <w:ind w:firstLine="480"/>
        <w:jc w:val="left"/>
      </w:pPr>
      <w:r>
        <w:rPr>
          <w:rFonts w:ascii="仿宋_GB2312" w:hAnsi="仿宋_GB2312" w:cs="仿宋_GB2312" w:eastAsia="仿宋_GB2312"/>
        </w:rPr>
        <w:t>（二）分值汇总计算错误的；</w:t>
      </w:r>
    </w:p>
    <w:p>
      <w:pPr>
        <w:pStyle w:val="null3"/>
        <w:ind w:firstLine="480"/>
        <w:jc w:val="left"/>
      </w:pPr>
      <w:r>
        <w:rPr>
          <w:rFonts w:ascii="仿宋_GB2312" w:hAnsi="仿宋_GB2312" w:cs="仿宋_GB2312" w:eastAsia="仿宋_GB2312"/>
        </w:rPr>
        <w:t>（三）分项评分超出评分标准范围的；</w:t>
      </w:r>
    </w:p>
    <w:p>
      <w:pPr>
        <w:pStyle w:val="null3"/>
        <w:ind w:firstLine="480"/>
        <w:jc w:val="left"/>
      </w:pPr>
      <w:r>
        <w:rPr>
          <w:rFonts w:ascii="仿宋_GB2312" w:hAnsi="仿宋_GB2312" w:cs="仿宋_GB2312" w:eastAsia="仿宋_GB2312"/>
        </w:rPr>
        <w:t>（四）客观评分不一致的。</w:t>
      </w:r>
    </w:p>
    <w:p>
      <w:pPr>
        <w:pStyle w:val="null3"/>
        <w:ind w:firstLine="480"/>
        <w:jc w:val="left"/>
      </w:pPr>
      <w:r>
        <w:rPr>
          <w:rFonts w:ascii="仿宋_GB2312" w:hAnsi="仿宋_GB2312" w:cs="仿宋_GB2312" w:eastAsia="仿宋_GB2312"/>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三、代理机构复核过程中，磋商小组成员不得离开评审现场。</w:t>
      </w:r>
    </w:p>
    <w:p>
      <w:pPr>
        <w:pStyle w:val="null3"/>
        <w:ind w:firstLine="480"/>
        <w:jc w:val="left"/>
      </w:pPr>
      <w:r>
        <w:rPr>
          <w:rFonts w:ascii="仿宋_GB2312" w:hAnsi="仿宋_GB2312" w:cs="仿宋_GB2312" w:eastAsia="仿宋_GB2312"/>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5.3.11.推荐成交候选供应商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jc w:val="left"/>
      </w:pPr>
      <w:r>
        <w:rPr>
          <w:rFonts w:ascii="仿宋_GB2312" w:hAnsi="仿宋_GB2312" w:cs="仿宋_GB2312" w:eastAsia="仿宋_GB2312"/>
        </w:rPr>
        <w:t>采购包2：</w:t>
      </w:r>
      <w:r>
        <w:rPr>
          <w:rFonts w:ascii="仿宋_GB2312" w:hAnsi="仿宋_GB2312" w:cs="仿宋_GB2312" w:eastAsia="仿宋_GB2312"/>
        </w:rPr>
        <w:t>确定3名成交候选供应商。</w:t>
      </w:r>
    </w:p>
    <w:p>
      <w:pPr>
        <w:pStyle w:val="null3"/>
        <w:jc w:val="left"/>
      </w:pPr>
      <w:r>
        <w:rPr>
          <w:rFonts w:ascii="仿宋_GB2312" w:hAnsi="仿宋_GB2312" w:cs="仿宋_GB2312" w:eastAsia="仿宋_GB2312"/>
        </w:rPr>
        <w:t>采购包3：</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磋商小组应当根据综合评分情况，按照评审得分由高到低顺序推荐成交候选供应商，并编写磋商报告。如本项目属于政府购买服务项目（含政府和社会资本合作项目）、市场竞争不充分的科研项目或者需要扶持的科技成果转化项目，当提交最后报价的供应商为2家时，可以推荐2家成交候选供应商。</w:t>
      </w:r>
    </w:p>
    <w:p>
      <w:pPr>
        <w:pStyle w:val="null3"/>
        <w:ind w:firstLine="480"/>
        <w:jc w:val="left"/>
      </w:pPr>
      <w:r>
        <w:rPr>
          <w:rFonts w:ascii="仿宋_GB2312" w:hAnsi="仿宋_GB2312" w:cs="仿宋_GB2312" w:eastAsia="仿宋_GB2312"/>
        </w:rPr>
        <w:t xml:space="preserve"> 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rFonts w:ascii="仿宋_GB2312" w:hAnsi="仿宋_GB2312" w:cs="仿宋_GB2312" w:eastAsia="仿宋_GB2312"/>
        </w:rPr>
        <w:t>食材配送服务方案</w:t>
      </w:r>
      <w:r>
        <w:rPr>
          <w:rFonts w:ascii="仿宋_GB2312" w:hAnsi="仿宋_GB2312" w:cs="仿宋_GB2312" w:eastAsia="仿宋_GB2312"/>
        </w:rPr>
        <w:t xml:space="preserve"> ，按照技术指标得分确定优劣）顺序排列；评审得分且最后报价且技术指标得分均相同的，按供应商提供的经评审认定有效的优先采购产品认证证书数量由多到少顺序排列；评审得分且最后报价且技术指标且提供的经评审认定有效的优先采购产品认证证书数量相同的并列。供应商响应的产品同时具有节能产品认证证书、环境标志产品认证证书的，按认定有效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w:t>
      </w:r>
    </w:p>
    <w:p>
      <w:pPr>
        <w:pStyle w:val="null3"/>
        <w:jc w:val="left"/>
        <w:outlineLvl w:val="3"/>
      </w:pPr>
      <w:r>
        <w:rPr>
          <w:rFonts w:ascii="仿宋_GB2312" w:hAnsi="仿宋_GB2312" w:cs="仿宋_GB2312" w:eastAsia="仿宋_GB2312"/>
          <w:sz w:val="24"/>
          <w:b/>
        </w:rPr>
        <w:t>5.3.12.出具磋商报告</w:t>
      </w:r>
    </w:p>
    <w:p>
      <w:pPr>
        <w:pStyle w:val="null3"/>
        <w:ind w:firstLine="480"/>
        <w:jc w:val="left"/>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二、磋商日期和地点，磋商小组成员名单；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四、变动磋商文件实质性内容的有关资料及记录；</w:t>
      </w:r>
    </w:p>
    <w:p>
      <w:pPr>
        <w:pStyle w:val="null3"/>
        <w:ind w:firstLine="480"/>
        <w:jc w:val="left"/>
      </w:pPr>
      <w:r>
        <w:rPr>
          <w:rFonts w:ascii="仿宋_GB2312" w:hAnsi="仿宋_GB2312" w:cs="仿宋_GB2312" w:eastAsia="仿宋_GB2312"/>
        </w:rPr>
        <w:t>五、供应商响应文件响应磋商文件实质性要求情况及供应商变动响应文件有关资料及记录；</w:t>
      </w:r>
    </w:p>
    <w:p>
      <w:pPr>
        <w:pStyle w:val="null3"/>
        <w:ind w:firstLine="480"/>
        <w:jc w:val="left"/>
      </w:pPr>
      <w:r>
        <w:rPr>
          <w:rFonts w:ascii="仿宋_GB2312" w:hAnsi="仿宋_GB2312" w:cs="仿宋_GB2312" w:eastAsia="仿宋_GB2312"/>
        </w:rPr>
        <w:t>六、磋商情况记录和说明，包括对供应商的资格审查情况、供应商响应文件磋商情况等；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磋商报告应当由磋商小组全体人员签字或加盖电子印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印章又不书面说明其不同意见和理由的，视为同意磋商报告。</w:t>
      </w:r>
    </w:p>
    <w:p>
      <w:pPr>
        <w:pStyle w:val="null3"/>
        <w:jc w:val="left"/>
        <w:outlineLvl w:val="3"/>
      </w:pPr>
      <w:r>
        <w:rPr>
          <w:rFonts w:ascii="仿宋_GB2312" w:hAnsi="仿宋_GB2312" w:cs="仿宋_GB2312" w:eastAsia="仿宋_GB2312"/>
          <w:sz w:val="24"/>
          <w:b/>
        </w:rPr>
        <w:t>5.3.13.评审争议处理规则</w:t>
      </w:r>
    </w:p>
    <w:p>
      <w:pPr>
        <w:pStyle w:val="null3"/>
        <w:ind w:firstLine="480"/>
        <w:jc w:val="left"/>
      </w:pPr>
      <w:r>
        <w:rPr>
          <w:rFonts w:ascii="仿宋_GB2312" w:hAnsi="仿宋_GB2312" w:cs="仿宋_GB2312" w:eastAsia="仿宋_GB2312"/>
        </w:rPr>
        <w:t>磋商小组在磋商过程中，对于资格审查、符合性审查、对响应文件作无效响应处理的及其他需要共同认定的事项存在争议的，应当以少数服从多数的原则作出结论，但不得违反法律法规和磋商文件规定。对磋商报告有异议的，应当在磋商报告上签署不同意见并说明理由，否则视为同意磋商报告。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outlineLvl w:val="3"/>
      </w:pPr>
      <w:r>
        <w:rPr>
          <w:rFonts w:ascii="仿宋_GB2312" w:hAnsi="仿宋_GB2312" w:cs="仿宋_GB2312" w:eastAsia="仿宋_GB2312"/>
          <w:sz w:val="24"/>
          <w:b/>
        </w:rPr>
        <w:t>5.4.1.评审方法</w:t>
      </w:r>
    </w:p>
    <w:p>
      <w:pPr>
        <w:pStyle w:val="null3"/>
        <w:ind w:firstLine="480"/>
        <w:jc w:val="left"/>
      </w:pPr>
      <w:r>
        <w:rPr>
          <w:rFonts w:ascii="仿宋_GB2312" w:hAnsi="仿宋_GB2312" w:cs="仿宋_GB2312" w:eastAsia="仿宋_GB2312"/>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jc w:val="left"/>
        <w:outlineLvl w:val="3"/>
      </w:pPr>
      <w:r>
        <w:rPr>
          <w:rFonts w:ascii="仿宋_GB2312" w:hAnsi="仿宋_GB2312" w:cs="仿宋_GB2312" w:eastAsia="仿宋_GB2312"/>
          <w:sz w:val="24"/>
          <w:b/>
        </w:rPr>
        <w:t>5.4.2.评审细则及标准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详细评审70.00分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食材配送服务方案</w:t>
            </w:r>
          </w:p>
        </w:tc>
        <w:tc>
          <w:tcPr>
            <w:tcW w:type="dxa" w:w="2575"/>
          </w:tcPr>
          <w:p>
            <w:pPr>
              <w:pStyle w:val="null3"/>
              <w:jc w:val="left"/>
            </w:pPr>
            <w:r>
              <w:rPr>
                <w:rFonts w:ascii="仿宋_GB2312" w:hAnsi="仿宋_GB2312" w:cs="仿宋_GB2312" w:eastAsia="仿宋_GB2312"/>
              </w:rPr>
              <w:t>供应商针对本项目提供的食材配送服务方案包含：①食品出入库管理；②食材配送人员管理制度；③地理因素及配送路线规划；④配送管理方案。以上内容符合项目实际情况、完全响应采购要求、能够保障项目顺利实施的得20分，每缺漏一项扣5分，所提供的每项方案中每有一处缺陷的扣2.5分，本项扣完为止。 （内容缺陷是指存在项目名称错误、地点区域错误、内容与本项目采购需求无关、未完整体现采购需求内容、仅有框架或标题、适用的标准错误中任意一种情形。)</w:t>
            </w:r>
          </w:p>
        </w:tc>
        <w:tc>
          <w:tcPr>
            <w:tcW w:type="dxa" w:w="831"/>
          </w:tcPr>
          <w:p>
            <w:pPr>
              <w:pStyle w:val="null3"/>
              <w:jc w:val="center"/>
            </w:pPr>
            <w:r>
              <w:rPr>
                <w:rFonts w:ascii="仿宋_GB2312" w:hAnsi="仿宋_GB2312" w:cs="仿宋_GB2312" w:eastAsia="仿宋_GB2312"/>
              </w:rPr>
              <w:t>20.0000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供应商认为其他需要提供的文件和资料</w:t>
            </w:r>
          </w:p>
        </w:tc>
      </w:tr>
      <w:tr>
        <w:tc>
          <w:tcPr>
            <w:tcW w:type="dxa" w:w="831"/>
            <w:vMerge/>
          </w:tcPr>
          <w:p/>
        </w:tc>
        <w:tc>
          <w:tcPr>
            <w:tcW w:type="dxa" w:w="1661"/>
          </w:tcPr>
          <w:p>
            <w:pPr>
              <w:pStyle w:val="null3"/>
              <w:jc w:val="left"/>
            </w:pPr>
            <w:r>
              <w:rPr>
                <w:rFonts w:ascii="仿宋_GB2312" w:hAnsi="仿宋_GB2312" w:cs="仿宋_GB2312" w:eastAsia="仿宋_GB2312"/>
              </w:rPr>
              <w:t>食品安全管理方案</w:t>
            </w:r>
          </w:p>
        </w:tc>
        <w:tc>
          <w:tcPr>
            <w:tcW w:type="dxa" w:w="2575"/>
          </w:tcPr>
          <w:p>
            <w:pPr>
              <w:pStyle w:val="null3"/>
              <w:jc w:val="left"/>
            </w:pPr>
            <w:r>
              <w:rPr>
                <w:rFonts w:ascii="仿宋_GB2312" w:hAnsi="仿宋_GB2312" w:cs="仿宋_GB2312" w:eastAsia="仿宋_GB2312"/>
              </w:rPr>
              <w:t>供应商针对本项目提供的食品安全管理方案包含：①食品安全管理体系与管控指标;②食品采购管理;③食品来源追溯体系;④食品安全事故处理。以上内容符合项目实际情况、完全响应采购要求、能够保障项目顺利实施的得16分，每缺漏一项扣4分，所提供的每项方案中每有一处缺陷的扣2分，本项扣完为止。 （内容缺陷是指存在项目名称错误、地点区域错误、内容与本项目采购需求无关、未完整体现采购需求内容、仅有框架或标题、适用的标准错误中任意一种情形。)</w:t>
            </w:r>
          </w:p>
        </w:tc>
        <w:tc>
          <w:tcPr>
            <w:tcW w:type="dxa" w:w="831"/>
          </w:tcPr>
          <w:p>
            <w:pPr>
              <w:pStyle w:val="null3"/>
              <w:jc w:val="center"/>
            </w:pPr>
            <w:r>
              <w:rPr>
                <w:rFonts w:ascii="仿宋_GB2312" w:hAnsi="仿宋_GB2312" w:cs="仿宋_GB2312" w:eastAsia="仿宋_GB2312"/>
              </w:rPr>
              <w:t>16.0000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供应商认为其他需要提供的文件和资料</w:t>
            </w:r>
          </w:p>
        </w:tc>
      </w:tr>
      <w:tr>
        <w:tc>
          <w:tcPr>
            <w:tcW w:type="dxa" w:w="831"/>
            <w:vMerge/>
          </w:tcPr>
          <w:p/>
        </w:tc>
        <w:tc>
          <w:tcPr>
            <w:tcW w:type="dxa" w:w="1661"/>
          </w:tcPr>
          <w:p>
            <w:pPr>
              <w:pStyle w:val="null3"/>
              <w:jc w:val="left"/>
            </w:pPr>
            <w:r>
              <w:rPr>
                <w:rFonts w:ascii="仿宋_GB2312" w:hAnsi="仿宋_GB2312" w:cs="仿宋_GB2312" w:eastAsia="仿宋_GB2312"/>
              </w:rPr>
              <w:t>食材管理制度方案</w:t>
            </w:r>
          </w:p>
        </w:tc>
        <w:tc>
          <w:tcPr>
            <w:tcW w:type="dxa" w:w="2575"/>
          </w:tcPr>
          <w:p>
            <w:pPr>
              <w:pStyle w:val="null3"/>
              <w:jc w:val="left"/>
            </w:pPr>
            <w:r>
              <w:rPr>
                <w:rFonts w:ascii="仿宋_GB2312" w:hAnsi="仿宋_GB2312" w:cs="仿宋_GB2312" w:eastAsia="仿宋_GB2312"/>
              </w:rPr>
              <w:t>供应商针对本项目提供的食材管理制度方案包含：①原料采购及索证索票制度;②库房卫生管理制度;③卫生查验记录制度;④食材检验制度;⑤留样制度。以上内容符合项目实际情况、完全响应采购要求、能够保障项目顺利实施的得15分，每缺漏一项扣3分，所提供的每项方案中每有一处缺陷的扣1.5分，本项扣完为止。 （内容缺陷是指存在项目名称错误、地点区域错误、内容与本项目采购需求无关、未完整体现采购需求内容、仅有框架或标题、适用的标准错误中任意一种情形。)</w:t>
            </w:r>
          </w:p>
        </w:tc>
        <w:tc>
          <w:tcPr>
            <w:tcW w:type="dxa" w:w="831"/>
          </w:tcPr>
          <w:p>
            <w:pPr>
              <w:pStyle w:val="null3"/>
              <w:jc w:val="center"/>
            </w:pPr>
            <w:r>
              <w:rPr>
                <w:rFonts w:ascii="仿宋_GB2312" w:hAnsi="仿宋_GB2312" w:cs="仿宋_GB2312" w:eastAsia="仿宋_GB2312"/>
              </w:rPr>
              <w:t>15.0000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供应商认为其他需要提供的文件和资料</w:t>
            </w:r>
          </w:p>
        </w:tc>
      </w:tr>
      <w:tr>
        <w:tc>
          <w:tcPr>
            <w:tcW w:type="dxa" w:w="831"/>
            <w:vMerge/>
          </w:tcPr>
          <w:p/>
        </w:tc>
        <w:tc>
          <w:tcPr>
            <w:tcW w:type="dxa" w:w="1661"/>
          </w:tcPr>
          <w:p>
            <w:pPr>
              <w:pStyle w:val="null3"/>
              <w:jc w:val="left"/>
            </w:pPr>
            <w:r>
              <w:rPr>
                <w:rFonts w:ascii="仿宋_GB2312" w:hAnsi="仿宋_GB2312" w:cs="仿宋_GB2312" w:eastAsia="仿宋_GB2312"/>
              </w:rPr>
              <w:t>售后服务方案</w:t>
            </w:r>
          </w:p>
        </w:tc>
        <w:tc>
          <w:tcPr>
            <w:tcW w:type="dxa" w:w="2575"/>
          </w:tcPr>
          <w:p>
            <w:pPr>
              <w:pStyle w:val="null3"/>
              <w:jc w:val="left"/>
            </w:pPr>
            <w:r>
              <w:rPr>
                <w:rFonts w:ascii="仿宋_GB2312" w:hAnsi="仿宋_GB2312" w:cs="仿宋_GB2312" w:eastAsia="仿宋_GB2312"/>
              </w:rPr>
              <w:t>供应商针对本项目提供的售后服务方案包含：①售后服务人员;②未达标食材处理办法;③快速退换货方案。以上内容符合项目实际情况、完全响应采购要求、能够保障项目顺利实施的得9分，每缺漏一项扣3分，所提供的每项方案中每有一处缺陷的扣1.5分，本项扣完为止。 （内容缺陷是指存在项目名称错误、地点区域错误、内容与本项目采购需求无关、未完整体现采购需求内容、仅有框架或标题、适用的标准错误中任意一种情形。)</w:t>
            </w:r>
          </w:p>
        </w:tc>
        <w:tc>
          <w:tcPr>
            <w:tcW w:type="dxa" w:w="831"/>
          </w:tcPr>
          <w:p>
            <w:pPr>
              <w:pStyle w:val="null3"/>
              <w:jc w:val="center"/>
            </w:pPr>
            <w:r>
              <w:rPr>
                <w:rFonts w:ascii="仿宋_GB2312" w:hAnsi="仿宋_GB2312" w:cs="仿宋_GB2312" w:eastAsia="仿宋_GB2312"/>
              </w:rPr>
              <w:t>9.0000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供应商认为其他需要提供的文件和资料</w:t>
            </w:r>
          </w:p>
        </w:tc>
      </w:tr>
      <w:tr>
        <w:tc>
          <w:tcPr>
            <w:tcW w:type="dxa" w:w="831"/>
            <w:vMerge/>
          </w:tcPr>
          <w:p/>
        </w:tc>
        <w:tc>
          <w:tcPr>
            <w:tcW w:type="dxa" w:w="1661"/>
          </w:tcPr>
          <w:p>
            <w:pPr>
              <w:pStyle w:val="null3"/>
              <w:jc w:val="left"/>
            </w:pPr>
            <w:r>
              <w:rPr>
                <w:rFonts w:ascii="仿宋_GB2312" w:hAnsi="仿宋_GB2312" w:cs="仿宋_GB2312" w:eastAsia="仿宋_GB2312"/>
              </w:rPr>
              <w:t>业绩</w:t>
            </w:r>
          </w:p>
        </w:tc>
        <w:tc>
          <w:tcPr>
            <w:tcW w:type="dxa" w:w="2575"/>
          </w:tcPr>
          <w:p>
            <w:pPr>
              <w:pStyle w:val="null3"/>
              <w:jc w:val="left"/>
            </w:pPr>
            <w:r>
              <w:rPr>
                <w:rFonts w:ascii="仿宋_GB2312" w:hAnsi="仿宋_GB2312" w:cs="仿宋_GB2312" w:eastAsia="仿宋_GB2312"/>
              </w:rPr>
              <w:t>2022年1月1日以来，供应商具有一个类似业绩得5分，本项最多得10分。 （注：提供中标（成交）通知书或合同复印件加盖公章，未提供不得分。）</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供应商认为其他需要提供的文件和资料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肉禽类</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详细评审70.00分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食材配送服务方案</w:t>
            </w:r>
          </w:p>
        </w:tc>
        <w:tc>
          <w:tcPr>
            <w:tcW w:type="dxa" w:w="2575"/>
          </w:tcPr>
          <w:p>
            <w:pPr>
              <w:pStyle w:val="null3"/>
              <w:jc w:val="left"/>
            </w:pPr>
            <w:r>
              <w:rPr>
                <w:rFonts w:ascii="仿宋_GB2312" w:hAnsi="仿宋_GB2312" w:cs="仿宋_GB2312" w:eastAsia="仿宋_GB2312"/>
              </w:rPr>
              <w:t>供应商针对本项目提供的食材配送服务方案包含：①食品出入库流程；②食材配送人员管理；③地理因素及配送路线规划；④配送管理方案。以上内容符合项目实际情况、完全响应采购要求、能够保障项目顺利实施的得20分，每缺漏一项扣5分，所提供的每项方案中每有一处缺陷的扣2.5分，本项扣完为止。 （内容缺陷是指存在项目名称错误、地点区域错误、内容与本项目采购需求无关、未完整体现采购需求内容、仅有框架或标题、适用的标准错误中任意一种情形。)</w:t>
            </w:r>
          </w:p>
        </w:tc>
        <w:tc>
          <w:tcPr>
            <w:tcW w:type="dxa" w:w="831"/>
          </w:tcPr>
          <w:p>
            <w:pPr>
              <w:pStyle w:val="null3"/>
              <w:jc w:val="center"/>
            </w:pPr>
            <w:r>
              <w:rPr>
                <w:rFonts w:ascii="仿宋_GB2312" w:hAnsi="仿宋_GB2312" w:cs="仿宋_GB2312" w:eastAsia="仿宋_GB2312"/>
              </w:rPr>
              <w:t>20.0000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供应商认为其他需要提供的文件和资料</w:t>
            </w:r>
          </w:p>
        </w:tc>
      </w:tr>
      <w:tr>
        <w:tc>
          <w:tcPr>
            <w:tcW w:type="dxa" w:w="831"/>
            <w:vMerge/>
          </w:tcPr>
          <w:p/>
        </w:tc>
        <w:tc>
          <w:tcPr>
            <w:tcW w:type="dxa" w:w="1661"/>
          </w:tcPr>
          <w:p>
            <w:pPr>
              <w:pStyle w:val="null3"/>
              <w:jc w:val="left"/>
            </w:pPr>
            <w:r>
              <w:rPr>
                <w:rFonts w:ascii="仿宋_GB2312" w:hAnsi="仿宋_GB2312" w:cs="仿宋_GB2312" w:eastAsia="仿宋_GB2312"/>
              </w:rPr>
              <w:t>食品安全管理方案</w:t>
            </w:r>
          </w:p>
        </w:tc>
        <w:tc>
          <w:tcPr>
            <w:tcW w:type="dxa" w:w="2575"/>
          </w:tcPr>
          <w:p>
            <w:pPr>
              <w:pStyle w:val="null3"/>
              <w:jc w:val="left"/>
            </w:pPr>
            <w:r>
              <w:rPr>
                <w:rFonts w:ascii="仿宋_GB2312" w:hAnsi="仿宋_GB2312" w:cs="仿宋_GB2312" w:eastAsia="仿宋_GB2312"/>
              </w:rPr>
              <w:t>供应商针对本项目提供的食品安全管理方案包含：①食品安全管理体系;②食品采购管理;③食品来源追溯体系;④食品安全事故处理流程及处理方法。以上内容符合项目实际情况、完全响应采购要求、能够保障项目顺利实施的得16分，每缺漏一项扣4分，所提供的每项方案中每有一处缺陷的扣2分，本项扣完为止。 （内容缺陷是指存在项目名称错误、地点区域错误、内容与本项目采购需求无关、未完整体现采购需求内容、仅有框架或标题、适用的标准错误中任意一种情形。)</w:t>
            </w:r>
          </w:p>
        </w:tc>
        <w:tc>
          <w:tcPr>
            <w:tcW w:type="dxa" w:w="831"/>
          </w:tcPr>
          <w:p>
            <w:pPr>
              <w:pStyle w:val="null3"/>
              <w:jc w:val="center"/>
            </w:pPr>
            <w:r>
              <w:rPr>
                <w:rFonts w:ascii="仿宋_GB2312" w:hAnsi="仿宋_GB2312" w:cs="仿宋_GB2312" w:eastAsia="仿宋_GB2312"/>
              </w:rPr>
              <w:t>16.0000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供应商认为其他需要提供的文件和资料</w:t>
            </w:r>
          </w:p>
        </w:tc>
      </w:tr>
      <w:tr>
        <w:tc>
          <w:tcPr>
            <w:tcW w:type="dxa" w:w="831"/>
            <w:vMerge/>
          </w:tcPr>
          <w:p/>
        </w:tc>
        <w:tc>
          <w:tcPr>
            <w:tcW w:type="dxa" w:w="1661"/>
          </w:tcPr>
          <w:p>
            <w:pPr>
              <w:pStyle w:val="null3"/>
              <w:jc w:val="left"/>
            </w:pPr>
            <w:r>
              <w:rPr>
                <w:rFonts w:ascii="仿宋_GB2312" w:hAnsi="仿宋_GB2312" w:cs="仿宋_GB2312" w:eastAsia="仿宋_GB2312"/>
              </w:rPr>
              <w:t>食材管理制度方案</w:t>
            </w:r>
          </w:p>
        </w:tc>
        <w:tc>
          <w:tcPr>
            <w:tcW w:type="dxa" w:w="2575"/>
          </w:tcPr>
          <w:p>
            <w:pPr>
              <w:pStyle w:val="null3"/>
              <w:jc w:val="left"/>
            </w:pPr>
            <w:r>
              <w:rPr>
                <w:rFonts w:ascii="仿宋_GB2312" w:hAnsi="仿宋_GB2312" w:cs="仿宋_GB2312" w:eastAsia="仿宋_GB2312"/>
              </w:rPr>
              <w:t>供应商针对本项目提供的食材管理制度方案包含：①原料采购及索证索票制度;②库房卫生管理制度;③卫生查验记录;④蔬果农残检验制度;⑤原材料留样制度。以上内容符合项目实际情况、完全响应采购要求、能够保障项目顺利实施的得15分，每缺漏一项扣3分，所提供的每项方案中每有一处缺陷的扣1.5分，本项扣完为止。 （内容缺陷是指存在项目名称错误、地点区域错误、内容与本项目采购需求无关、未完整体现采购需求内容、仅有框架或标题、适用的标准错误中任意一种情形。)</w:t>
            </w:r>
          </w:p>
        </w:tc>
        <w:tc>
          <w:tcPr>
            <w:tcW w:type="dxa" w:w="831"/>
          </w:tcPr>
          <w:p>
            <w:pPr>
              <w:pStyle w:val="null3"/>
              <w:jc w:val="center"/>
            </w:pPr>
            <w:r>
              <w:rPr>
                <w:rFonts w:ascii="仿宋_GB2312" w:hAnsi="仿宋_GB2312" w:cs="仿宋_GB2312" w:eastAsia="仿宋_GB2312"/>
              </w:rPr>
              <w:t>15.0000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供应商认为其他需要提供的文件和资料</w:t>
            </w:r>
          </w:p>
        </w:tc>
      </w:tr>
      <w:tr>
        <w:tc>
          <w:tcPr>
            <w:tcW w:type="dxa" w:w="831"/>
            <w:vMerge/>
          </w:tcPr>
          <w:p/>
        </w:tc>
        <w:tc>
          <w:tcPr>
            <w:tcW w:type="dxa" w:w="1661"/>
          </w:tcPr>
          <w:p>
            <w:pPr>
              <w:pStyle w:val="null3"/>
              <w:jc w:val="left"/>
            </w:pPr>
            <w:r>
              <w:rPr>
                <w:rFonts w:ascii="仿宋_GB2312" w:hAnsi="仿宋_GB2312" w:cs="仿宋_GB2312" w:eastAsia="仿宋_GB2312"/>
              </w:rPr>
              <w:t>售后服务方案</w:t>
            </w:r>
          </w:p>
        </w:tc>
        <w:tc>
          <w:tcPr>
            <w:tcW w:type="dxa" w:w="2575"/>
          </w:tcPr>
          <w:p>
            <w:pPr>
              <w:pStyle w:val="null3"/>
              <w:jc w:val="left"/>
            </w:pPr>
            <w:r>
              <w:rPr>
                <w:rFonts w:ascii="仿宋_GB2312" w:hAnsi="仿宋_GB2312" w:cs="仿宋_GB2312" w:eastAsia="仿宋_GB2312"/>
              </w:rPr>
              <w:t>供应商针对本项目提供的售后服务方案包含：①售后服务人员构成;②未达标食材处理办法;③快速退换货机制。以上内容符合项目实际情况、完全响应采购要求、能够保障项目顺利实施的得9分，每缺漏一项扣3分，所提供的每项方案中每有一处缺陷的扣1.5分，本项扣完为止。 （内容缺陷是指存在项目名称错误、地点区域错误、内容与本项目采购需求无关、未完整体现采购需求内容、仅有框架或标题、适用的标准错误中任意一种情形。)</w:t>
            </w:r>
          </w:p>
        </w:tc>
        <w:tc>
          <w:tcPr>
            <w:tcW w:type="dxa" w:w="831"/>
          </w:tcPr>
          <w:p>
            <w:pPr>
              <w:pStyle w:val="null3"/>
              <w:jc w:val="center"/>
            </w:pPr>
            <w:r>
              <w:rPr>
                <w:rFonts w:ascii="仿宋_GB2312" w:hAnsi="仿宋_GB2312" w:cs="仿宋_GB2312" w:eastAsia="仿宋_GB2312"/>
              </w:rPr>
              <w:t>9.0000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供应商认为其他需要提供的文件和资料</w:t>
            </w:r>
          </w:p>
        </w:tc>
      </w:tr>
      <w:tr>
        <w:tc>
          <w:tcPr>
            <w:tcW w:type="dxa" w:w="831"/>
            <w:vMerge/>
          </w:tcPr>
          <w:p/>
        </w:tc>
        <w:tc>
          <w:tcPr>
            <w:tcW w:type="dxa" w:w="1661"/>
          </w:tcPr>
          <w:p>
            <w:pPr>
              <w:pStyle w:val="null3"/>
              <w:jc w:val="left"/>
            </w:pPr>
            <w:r>
              <w:rPr>
                <w:rFonts w:ascii="仿宋_GB2312" w:hAnsi="仿宋_GB2312" w:cs="仿宋_GB2312" w:eastAsia="仿宋_GB2312"/>
              </w:rPr>
              <w:t>业绩</w:t>
            </w:r>
          </w:p>
        </w:tc>
        <w:tc>
          <w:tcPr>
            <w:tcW w:type="dxa" w:w="2575"/>
          </w:tcPr>
          <w:p>
            <w:pPr>
              <w:pStyle w:val="null3"/>
              <w:jc w:val="left"/>
            </w:pPr>
            <w:r>
              <w:rPr>
                <w:rFonts w:ascii="仿宋_GB2312" w:hAnsi="仿宋_GB2312" w:cs="仿宋_GB2312" w:eastAsia="仿宋_GB2312"/>
              </w:rPr>
              <w:t>2022年1月1日以来，供应商具有一个类似业绩得5分，本项最多得10分。 （注：提供中标（成交）通知书或合同复印件加盖公章，未提供不得分。）</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供应商认为其他需要提供的文件和资料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蔬果类</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详细评审70.00分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食材配送服务方案</w:t>
            </w:r>
          </w:p>
        </w:tc>
        <w:tc>
          <w:tcPr>
            <w:tcW w:type="dxa" w:w="2575"/>
          </w:tcPr>
          <w:p>
            <w:pPr>
              <w:pStyle w:val="null3"/>
              <w:jc w:val="left"/>
            </w:pPr>
            <w:r>
              <w:rPr>
                <w:rFonts w:ascii="仿宋_GB2312" w:hAnsi="仿宋_GB2312" w:cs="仿宋_GB2312" w:eastAsia="仿宋_GB2312"/>
              </w:rPr>
              <w:t>供应商针对本项目提供的食材配送服务方案包含：①食品出入库管理；②食材配送人员管理制度；③配送路线规划；④配送管理方案。以上内容符合项目实际情况、完全响应采购要求、能够保障项目顺利实施的得20分，每缺漏一项扣5分，所提供的每项方案中每有一处缺陷的扣2.5分，本项扣完为止。 （内容缺陷是指存在项目名称错误、地点区域错误、内容与本项目采购需求无关、未完整体现采购需求内容、仅有框架或标题、适用的标准错误中任意一种情形。)</w:t>
            </w:r>
          </w:p>
        </w:tc>
        <w:tc>
          <w:tcPr>
            <w:tcW w:type="dxa" w:w="831"/>
          </w:tcPr>
          <w:p>
            <w:pPr>
              <w:pStyle w:val="null3"/>
              <w:jc w:val="center"/>
            </w:pPr>
            <w:r>
              <w:rPr>
                <w:rFonts w:ascii="仿宋_GB2312" w:hAnsi="仿宋_GB2312" w:cs="仿宋_GB2312" w:eastAsia="仿宋_GB2312"/>
              </w:rPr>
              <w:t>20.0000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供应商认为其他需要提供的文件和资料</w:t>
            </w:r>
          </w:p>
        </w:tc>
      </w:tr>
      <w:tr>
        <w:tc>
          <w:tcPr>
            <w:tcW w:type="dxa" w:w="831"/>
            <w:vMerge/>
          </w:tcPr>
          <w:p/>
        </w:tc>
        <w:tc>
          <w:tcPr>
            <w:tcW w:type="dxa" w:w="1661"/>
          </w:tcPr>
          <w:p>
            <w:pPr>
              <w:pStyle w:val="null3"/>
              <w:jc w:val="left"/>
            </w:pPr>
            <w:r>
              <w:rPr>
                <w:rFonts w:ascii="仿宋_GB2312" w:hAnsi="仿宋_GB2312" w:cs="仿宋_GB2312" w:eastAsia="仿宋_GB2312"/>
              </w:rPr>
              <w:t>食品安全管理方案</w:t>
            </w:r>
          </w:p>
        </w:tc>
        <w:tc>
          <w:tcPr>
            <w:tcW w:type="dxa" w:w="2575"/>
          </w:tcPr>
          <w:p>
            <w:pPr>
              <w:pStyle w:val="null3"/>
              <w:jc w:val="left"/>
            </w:pPr>
            <w:r>
              <w:rPr>
                <w:rFonts w:ascii="仿宋_GB2312" w:hAnsi="仿宋_GB2312" w:cs="仿宋_GB2312" w:eastAsia="仿宋_GB2312"/>
              </w:rPr>
              <w:t>供应商针对本项目提供的食品安全管理方案包含：①食品安全管理体系与管控指标;②食品采购流程;③食品来源追溯;④食品安全事故处理流程。以上内容符合项目实际情况、完全响应采购要求、能够保障项目顺利实施的得16分，每缺漏一项扣4分，所提供的每项方案中每有一处缺陷的扣2分，本项扣完为止。 （内容缺陷是指存在项目名称错误、地点区域错误、内容与本项目采购需求无关、未完整体现采购需求内容、仅有框架或标题、适用的标准错误中任意一种情形。)</w:t>
            </w:r>
          </w:p>
        </w:tc>
        <w:tc>
          <w:tcPr>
            <w:tcW w:type="dxa" w:w="831"/>
          </w:tcPr>
          <w:p>
            <w:pPr>
              <w:pStyle w:val="null3"/>
              <w:jc w:val="center"/>
            </w:pPr>
            <w:r>
              <w:rPr>
                <w:rFonts w:ascii="仿宋_GB2312" w:hAnsi="仿宋_GB2312" w:cs="仿宋_GB2312" w:eastAsia="仿宋_GB2312"/>
              </w:rPr>
              <w:t>16.0000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供应商认为其他需要提供的文件和资料</w:t>
            </w:r>
          </w:p>
        </w:tc>
      </w:tr>
      <w:tr>
        <w:tc>
          <w:tcPr>
            <w:tcW w:type="dxa" w:w="831"/>
            <w:vMerge/>
          </w:tcPr>
          <w:p/>
        </w:tc>
        <w:tc>
          <w:tcPr>
            <w:tcW w:type="dxa" w:w="1661"/>
          </w:tcPr>
          <w:p>
            <w:pPr>
              <w:pStyle w:val="null3"/>
              <w:jc w:val="left"/>
            </w:pPr>
            <w:r>
              <w:rPr>
                <w:rFonts w:ascii="仿宋_GB2312" w:hAnsi="仿宋_GB2312" w:cs="仿宋_GB2312" w:eastAsia="仿宋_GB2312"/>
              </w:rPr>
              <w:t>食材管理制度方案</w:t>
            </w:r>
          </w:p>
        </w:tc>
        <w:tc>
          <w:tcPr>
            <w:tcW w:type="dxa" w:w="2575"/>
          </w:tcPr>
          <w:p>
            <w:pPr>
              <w:pStyle w:val="null3"/>
              <w:jc w:val="left"/>
            </w:pPr>
            <w:r>
              <w:rPr>
                <w:rFonts w:ascii="仿宋_GB2312" w:hAnsi="仿宋_GB2312" w:cs="仿宋_GB2312" w:eastAsia="仿宋_GB2312"/>
              </w:rPr>
              <w:t>供应商针对本项目提供的食材管理制度方案包含：①原料采购及索证索票制度;②库房卫生管理;③库房卫生查验;④食材检验制度;⑤原材料留样制度。以上内容符合项目实际情况、完全响应采购要求、能够保障项目顺利实施的得15分，每缺漏一项扣3分，所提供的每项方案中每有一处缺陷的扣1.5分，本项扣完为止。 （内容缺陷是指存在项目名称错误、地点区域错误、内容与本项目采购需求无关、未完整体现采购需求内容、仅有框架或标题、适用的标准错误中任意一种情形。)</w:t>
            </w:r>
          </w:p>
        </w:tc>
        <w:tc>
          <w:tcPr>
            <w:tcW w:type="dxa" w:w="831"/>
          </w:tcPr>
          <w:p>
            <w:pPr>
              <w:pStyle w:val="null3"/>
              <w:jc w:val="center"/>
            </w:pPr>
            <w:r>
              <w:rPr>
                <w:rFonts w:ascii="仿宋_GB2312" w:hAnsi="仿宋_GB2312" w:cs="仿宋_GB2312" w:eastAsia="仿宋_GB2312"/>
              </w:rPr>
              <w:t>15.0000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供应商认为其他需要提供的文件和资料</w:t>
            </w:r>
          </w:p>
        </w:tc>
      </w:tr>
      <w:tr>
        <w:tc>
          <w:tcPr>
            <w:tcW w:type="dxa" w:w="831"/>
            <w:vMerge/>
          </w:tcPr>
          <w:p/>
        </w:tc>
        <w:tc>
          <w:tcPr>
            <w:tcW w:type="dxa" w:w="1661"/>
          </w:tcPr>
          <w:p>
            <w:pPr>
              <w:pStyle w:val="null3"/>
              <w:jc w:val="left"/>
            </w:pPr>
            <w:r>
              <w:rPr>
                <w:rFonts w:ascii="仿宋_GB2312" w:hAnsi="仿宋_GB2312" w:cs="仿宋_GB2312" w:eastAsia="仿宋_GB2312"/>
              </w:rPr>
              <w:t>售后服务方案</w:t>
            </w:r>
          </w:p>
        </w:tc>
        <w:tc>
          <w:tcPr>
            <w:tcW w:type="dxa" w:w="2575"/>
          </w:tcPr>
          <w:p>
            <w:pPr>
              <w:pStyle w:val="null3"/>
              <w:jc w:val="left"/>
            </w:pPr>
            <w:r>
              <w:rPr>
                <w:rFonts w:ascii="仿宋_GB2312" w:hAnsi="仿宋_GB2312" w:cs="仿宋_GB2312" w:eastAsia="仿宋_GB2312"/>
              </w:rPr>
              <w:t>供应商针对本项目提供的售后服务方案包含：①售后服务人员构成;②未达标食材处理;③快速退换货流程。以上内容符合项目实际情况、完全响应采购要求、能够保障项目顺利实施的得9分，每缺漏一项扣3分，所提供的每项方案中每有一处缺陷的扣1.5分，本项扣完为止。 （内容缺陷是指存在项目名称错误、地点区域错误、内容与本项目采购需求无关、未完整体现采购需求内容、仅有框架或标题、适用的标准错误中任意一种情形。)</w:t>
            </w:r>
          </w:p>
        </w:tc>
        <w:tc>
          <w:tcPr>
            <w:tcW w:type="dxa" w:w="831"/>
          </w:tcPr>
          <w:p>
            <w:pPr>
              <w:pStyle w:val="null3"/>
              <w:jc w:val="center"/>
            </w:pPr>
            <w:r>
              <w:rPr>
                <w:rFonts w:ascii="仿宋_GB2312" w:hAnsi="仿宋_GB2312" w:cs="仿宋_GB2312" w:eastAsia="仿宋_GB2312"/>
              </w:rPr>
              <w:t>9.0000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供应商认为其他需要提供的文件和资料</w:t>
            </w:r>
          </w:p>
        </w:tc>
      </w:tr>
      <w:tr>
        <w:tc>
          <w:tcPr>
            <w:tcW w:type="dxa" w:w="831"/>
            <w:vMerge/>
          </w:tcPr>
          <w:p/>
        </w:tc>
        <w:tc>
          <w:tcPr>
            <w:tcW w:type="dxa" w:w="1661"/>
          </w:tcPr>
          <w:p>
            <w:pPr>
              <w:pStyle w:val="null3"/>
              <w:jc w:val="left"/>
            </w:pPr>
            <w:r>
              <w:rPr>
                <w:rFonts w:ascii="仿宋_GB2312" w:hAnsi="仿宋_GB2312" w:cs="仿宋_GB2312" w:eastAsia="仿宋_GB2312"/>
              </w:rPr>
              <w:t>业绩</w:t>
            </w:r>
          </w:p>
        </w:tc>
        <w:tc>
          <w:tcPr>
            <w:tcW w:type="dxa" w:w="2575"/>
          </w:tcPr>
          <w:p>
            <w:pPr>
              <w:pStyle w:val="null3"/>
              <w:jc w:val="left"/>
            </w:pPr>
            <w:r>
              <w:rPr>
                <w:rFonts w:ascii="仿宋_GB2312" w:hAnsi="仿宋_GB2312" w:cs="仿宋_GB2312" w:eastAsia="仿宋_GB2312"/>
              </w:rPr>
              <w:t>2022年1月1日以来，供应商具有一个类似业绩得5分，本项最多得10分。 （注：提供中标（成交）通知书或合同复印件加盖公章，未提供不得分。）</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供应商认为其他需要提供的文件和资料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干杂类</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一、因情况变化，不再符合规定的竞争性磋商采购方式适用情形的；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除政府购买服务项目（含政府和社会资本合作项目）、市场竞争不充分的科研项目、需要扶持的科技成果转化项目，提交最后报价的供应商可以为2家外，在采购过程中符合要求的供应商或者报价未超过采购预算的供应商不足3家的。</w:t>
      </w:r>
    </w:p>
    <w:p>
      <w:pPr>
        <w:pStyle w:val="null3"/>
        <w:jc w:val="left"/>
        <w:outlineLvl w:val="2"/>
      </w:pPr>
      <w:r>
        <w:rPr>
          <w:rFonts w:ascii="仿宋_GB2312" w:hAnsi="仿宋_GB2312" w:cs="仿宋_GB2312" w:eastAsia="仿宋_GB2312"/>
          <w:sz w:val="28"/>
          <w:b/>
        </w:rPr>
        <w:t>5.6.确定成交供应商</w:t>
      </w:r>
    </w:p>
    <w:p>
      <w:pPr>
        <w:pStyle w:val="null3"/>
        <w:ind w:firstLine="480"/>
        <w:jc w:val="left"/>
      </w:pPr>
      <w:r>
        <w:rPr>
          <w:rFonts w:ascii="仿宋_GB2312" w:hAnsi="仿宋_GB2312" w:cs="仿宋_GB2312" w:eastAsia="仿宋_GB2312"/>
        </w:rPr>
        <w:t>一、评审结束后，代理机构在评审结束后2个工作日内将磋商报告送采购人。</w:t>
      </w:r>
    </w:p>
    <w:p>
      <w:pPr>
        <w:pStyle w:val="null3"/>
        <w:jc w:val="left"/>
      </w:pPr>
      <w:r>
        <w:rPr>
          <w:rFonts w:ascii="仿宋_GB2312" w:hAnsi="仿宋_GB2312" w:cs="仿宋_GB2312" w:eastAsia="仿宋_GB2312"/>
        </w:rPr>
        <w:t>二、采购人应当自收到磋商报告之日起5个工作日内，在磋商报告确定的成交候选供应商名单中按顺序确定1名成交供应商。采购人逾期未确定成交供应商且不提出异议的，视为确定磋商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个工作日内，在四川政府采购网公告成交结果，磋商文件应当随成交结果同时公告。</w:t>
      </w:r>
    </w:p>
    <w:p>
      <w:pPr>
        <w:pStyle w:val="null3"/>
        <w:jc w:val="left"/>
        <w:outlineLvl w:val="2"/>
      </w:pPr>
      <w:r>
        <w:rPr>
          <w:rFonts w:ascii="仿宋_GB2312" w:hAnsi="仿宋_GB2312" w:cs="仿宋_GB2312" w:eastAsia="仿宋_GB2312"/>
          <w:sz w:val="28"/>
          <w:b/>
        </w:rPr>
        <w:t>5.7.磋商小组义务</w:t>
      </w:r>
    </w:p>
    <w:p>
      <w:pPr>
        <w:pStyle w:val="null3"/>
        <w:ind w:firstLine="480"/>
        <w:jc w:val="left"/>
      </w:pPr>
      <w:r>
        <w:rPr>
          <w:rFonts w:ascii="仿宋_GB2312" w:hAnsi="仿宋_GB2312" w:cs="仿宋_GB2312" w:eastAsia="仿宋_GB2312"/>
        </w:rPr>
        <w:t>磋商小组在政府采购活动中应当履行下列义务：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5.8.磋商小组成员工作纪律</w:t>
      </w:r>
    </w:p>
    <w:p>
      <w:pPr>
        <w:pStyle w:val="null3"/>
        <w:ind w:firstLine="480"/>
        <w:jc w:val="left"/>
      </w:pPr>
      <w:r>
        <w:rPr>
          <w:rFonts w:ascii="仿宋_GB2312" w:hAnsi="仿宋_GB2312" w:cs="仿宋_GB2312" w:eastAsia="仿宋_GB2312"/>
        </w:rPr>
        <w:t>磋商小组成员在政府采购活动中应当遵守下列工作纪律：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一、严格遵守政府采购法律制度关于磋商小组成员回避的规定。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详见附件：技术要求及服务要求应答表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详见附件：供应商认为其他需要提供的文件和资料</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详见附件：技术要求及服务要求应答表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详见附件：供应商认为其他需要提供的文件和资料</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详见附件：技术要求及服务要求应答表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详见附件：供应商认为其他需要提供的文件和资料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 xml:space="preserve"> 政府采购合同</w:t>
      </w:r>
    </w:p>
    <w:p>
      <w:pPr>
        <w:pStyle w:val="null3"/>
        <w:jc w:val="center"/>
        <w:outlineLvl w:val="0"/>
      </w:pPr>
      <w:r>
        <w:rPr>
          <w:rFonts w:ascii="仿宋_GB2312" w:hAnsi="仿宋_GB2312" w:cs="仿宋_GB2312" w:eastAsia="仿宋_GB2312"/>
          <w:sz w:val="48"/>
          <w:b/>
        </w:rPr>
        <w:t xml:space="preserve"> （服务类）</w:t>
      </w:r>
      <w:r>
        <w:br/>
      </w:r>
      <w:r>
        <w:br/>
      </w:r>
      <w:r>
        <w:br/>
      </w:r>
      <w:r>
        <w:br/>
      </w:r>
      <w:r>
        <w:br/>
      </w:r>
    </w:p>
    <w:p>
      <w:pPr>
        <w:pStyle w:val="null3"/>
        <w:ind w:left="1800"/>
        <w:jc w:val="left"/>
      </w:pPr>
      <w:r>
        <w:rPr>
          <w:rFonts w:ascii="仿宋_GB2312" w:hAnsi="仿宋_GB2312" w:cs="仿宋_GB2312" w:eastAsia="仿宋_GB2312"/>
          <w:sz w:val="27"/>
          <w:b/>
        </w:rPr>
        <w:t xml:space="preserve"> 政府采购合同编号：</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履约地点：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签订时间：</w:t>
      </w:r>
      <w:r>
        <w:rPr>
          <w:rFonts w:ascii="仿宋_GB2312" w:hAnsi="仿宋_GB2312" w:cs="仿宋_GB2312" w:eastAsia="仿宋_GB2312"/>
          <w:sz w:val="27"/>
          <w:b/>
        </w:rPr>
        <w:t>20___年___月___日</w:t>
      </w:r>
    </w:p>
    <w:p>
      <w:pPr>
        <w:pStyle w:val="null3"/>
        <w:jc w:val="left"/>
      </w:pPr>
      <w:r>
        <w:rPr>
          <w:rFonts w:ascii="仿宋_GB2312" w:hAnsi="仿宋_GB2312" w:cs="仿宋_GB2312" w:eastAsia="仿宋_GB2312"/>
          <w:sz w:val="27"/>
          <w:b/>
        </w:rPr>
        <w:t xml:space="preserve"> 采购人（甲方）：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采购人地址：</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供应商(乙方)：__________________</w:t>
      </w:r>
    </w:p>
    <w:p>
      <w:pPr>
        <w:pStyle w:val="null3"/>
        <w:jc w:val="left"/>
      </w:pPr>
      <w:r>
        <w:rPr>
          <w:rFonts w:ascii="仿宋_GB2312" w:hAnsi="仿宋_GB2312" w:cs="仿宋_GB2312" w:eastAsia="仿宋_GB2312"/>
          <w:sz w:val="27"/>
          <w:b/>
        </w:rPr>
        <w:t xml:space="preserve"> 供应商地址：__________________</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依据《中华人民共和国民法典》 《中华人民共和国政府采购法》与项目行业有关的法律法规，以及</w:t>
      </w:r>
      <w:r>
        <w:rPr>
          <w:rFonts w:ascii="仿宋_GB2312" w:hAnsi="仿宋_GB2312" w:cs="仿宋_GB2312" w:eastAsia="仿宋_GB2312"/>
        </w:rPr>
        <w:t>________</w:t>
      </w:r>
      <w:r>
        <w:rPr>
          <w:rFonts w:ascii="仿宋_GB2312" w:hAnsi="仿宋_GB2312" w:cs="仿宋_GB2312" w:eastAsia="仿宋_GB2312"/>
        </w:rPr>
        <w:t xml:space="preserve">采购项目的 </w:t>
      </w:r>
      <w:r>
        <w:rPr>
          <w:rFonts w:ascii="仿宋_GB2312" w:hAnsi="仿宋_GB2312" w:cs="仿宋_GB2312" w:eastAsia="仿宋_GB2312"/>
        </w:rPr>
        <w:t>《磋商文件》</w:t>
      </w:r>
      <w:r>
        <w:rPr>
          <w:rFonts w:ascii="仿宋_GB2312" w:hAnsi="仿宋_GB2312" w:cs="仿宋_GB2312" w:eastAsia="仿宋_GB2312"/>
        </w:rPr>
        <w:t>，乙方的《投标（响应）文件》及《中标（成交）通知书》，甲乙双方同意签订本合同。具体情况及要求如下：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 xml:space="preserve"> 一、标的信息</w:t>
      </w:r>
    </w:p>
    <w:p>
      <w:pPr>
        <w:pStyle w:val="null3"/>
        <w:jc w:val="left"/>
      </w:pPr>
      <w:r>
        <w:br/>
      </w:r>
    </w:p>
    <w:p>
      <w:pPr>
        <w:pStyle w:val="null3"/>
        <w:jc w:val="left"/>
        <w:outlineLvl w:val="2"/>
      </w:pPr>
      <w:r>
        <w:rPr>
          <w:rFonts w:ascii="仿宋_GB2312" w:hAnsi="仿宋_GB2312" w:cs="仿宋_GB2312" w:eastAsia="仿宋_GB2312"/>
          <w:sz w:val="28"/>
          <w:b/>
        </w:rPr>
        <w:t xml:space="preserve"> 二、服务要求</w:t>
      </w:r>
    </w:p>
    <w:p>
      <w:pPr>
        <w:pStyle w:val="null3"/>
        <w:jc w:val="left"/>
        <w:outlineLvl w:val="2"/>
      </w:pPr>
      <w:r>
        <w:rPr>
          <w:rFonts w:ascii="仿宋_GB2312" w:hAnsi="仿宋_GB2312" w:cs="仿宋_GB2312" w:eastAsia="仿宋_GB2312"/>
          <w:sz w:val="28"/>
          <w:b/>
        </w:rPr>
        <w:t xml:space="preserve"> 三、合同定价方式、付款进度和支付方式 </w:t>
      </w:r>
      <w:r>
        <w:rPr>
          <w:rFonts w:ascii="仿宋_GB2312" w:hAnsi="仿宋_GB2312" w:cs="仿宋_GB2312" w:eastAsia="仿宋_GB2312"/>
        </w:rPr>
        <w:t xml:space="preserve"> 合同定价方式：</w:t>
      </w:r>
    </w:p>
    <w:p>
      <w:pPr>
        <w:pStyle w:val="null3"/>
        <w:jc w:val="left"/>
      </w:pPr>
      <w:r>
        <w:br/>
      </w:r>
    </w:p>
    <w:p>
      <w:pPr>
        <w:pStyle w:val="null3"/>
        <w:jc w:val="left"/>
        <w:outlineLvl w:val="2"/>
      </w:pPr>
      <w:r>
        <w:rPr>
          <w:rFonts w:ascii="仿宋_GB2312" w:hAnsi="仿宋_GB2312" w:cs="仿宋_GB2312" w:eastAsia="仿宋_GB2312"/>
          <w:sz w:val="28"/>
          <w:b/>
        </w:rPr>
        <w:t xml:space="preserve"> 四、履约保证金</w:t>
      </w:r>
    </w:p>
    <w:p>
      <w:pPr>
        <w:pStyle w:val="null3"/>
        <w:jc w:val="left"/>
      </w:pPr>
      <w:r>
        <w:br/>
      </w:r>
    </w:p>
    <w:p>
      <w:pPr>
        <w:pStyle w:val="null3"/>
        <w:jc w:val="left"/>
        <w:outlineLvl w:val="2"/>
      </w:pPr>
      <w:r>
        <w:rPr>
          <w:rFonts w:ascii="仿宋_GB2312" w:hAnsi="仿宋_GB2312" w:cs="仿宋_GB2312" w:eastAsia="仿宋_GB2312"/>
          <w:sz w:val="28"/>
          <w:b/>
        </w:rPr>
        <w:t xml:space="preserve"> 五、验收标准和方法</w:t>
      </w:r>
    </w:p>
    <w:p>
      <w:pPr>
        <w:pStyle w:val="null3"/>
        <w:jc w:val="left"/>
      </w:pPr>
      <w:r>
        <w:br/>
      </w:r>
    </w:p>
    <w:p>
      <w:pPr>
        <w:pStyle w:val="null3"/>
        <w:jc w:val="left"/>
        <w:outlineLvl w:val="2"/>
      </w:pPr>
      <w:r>
        <w:rPr>
          <w:rFonts w:ascii="仿宋_GB2312" w:hAnsi="仿宋_GB2312" w:cs="仿宋_GB2312" w:eastAsia="仿宋_GB2312"/>
          <w:sz w:val="28"/>
          <w:b/>
        </w:rPr>
        <w:t xml:space="preserve"> 六、甲方的权利和义务</w:t>
      </w:r>
    </w:p>
    <w:p>
      <w:pPr>
        <w:pStyle w:val="null3"/>
        <w:jc w:val="left"/>
      </w:pPr>
      <w:r>
        <w:rPr>
          <w:rFonts w:ascii="仿宋_GB2312" w:hAnsi="仿宋_GB2312" w:cs="仿宋_GB2312" w:eastAsia="仿宋_GB2312"/>
        </w:rPr>
        <w:t>1.甲方有权对合同规定范围内乙方的服务行为进行监督和检查，拥有监管权。有权定期核对乙方提供服务所配备的人员数量。对甲方认为不合理的部分XXX。</w:t>
      </w:r>
    </w:p>
    <w:p>
      <w:pPr>
        <w:pStyle w:val="null3"/>
        <w:jc w:val="left"/>
      </w:pPr>
      <w:r>
        <w:rPr>
          <w:rFonts w:ascii="仿宋_GB2312" w:hAnsi="仿宋_GB2312" w:cs="仿宋_GB2312" w:eastAsia="仿宋_GB2312"/>
        </w:rPr>
        <w:t>2.根据本合同规定，按时向乙方支付应付服务费用。</w:t>
      </w:r>
    </w:p>
    <w:p>
      <w:pPr>
        <w:pStyle w:val="null3"/>
        <w:jc w:val="left"/>
      </w:pPr>
      <w:r>
        <w:rPr>
          <w:rFonts w:ascii="仿宋_GB2312" w:hAnsi="仿宋_GB2312" w:cs="仿宋_GB2312" w:eastAsia="仿宋_GB2312"/>
        </w:rPr>
        <w:t>3.国家法律、法规所规定由甲方承担的其它责任。</w:t>
      </w:r>
    </w:p>
    <w:p>
      <w:pPr>
        <w:pStyle w:val="null3"/>
        <w:jc w:val="left"/>
        <w:outlineLvl w:val="2"/>
      </w:pPr>
      <w:r>
        <w:rPr>
          <w:rFonts w:ascii="仿宋_GB2312" w:hAnsi="仿宋_GB2312" w:cs="仿宋_GB2312" w:eastAsia="仿宋_GB2312"/>
          <w:sz w:val="28"/>
          <w:b/>
        </w:rPr>
        <w:t xml:space="preserve"> 七、乙方的权利和义务</w:t>
      </w:r>
    </w:p>
    <w:p>
      <w:pPr>
        <w:pStyle w:val="null3"/>
        <w:jc w:val="left"/>
      </w:pPr>
      <w:r>
        <w:rPr>
          <w:rFonts w:ascii="仿宋_GB2312" w:hAnsi="仿宋_GB2312" w:cs="仿宋_GB2312" w:eastAsia="仿宋_GB2312"/>
        </w:rPr>
        <w:t>1.根据本合同的约定向甲方收取相关服务费用。</w:t>
      </w:r>
    </w:p>
    <w:p>
      <w:pPr>
        <w:pStyle w:val="null3"/>
        <w:jc w:val="left"/>
      </w:pPr>
      <w:r>
        <w:rPr>
          <w:rFonts w:ascii="仿宋_GB2312" w:hAnsi="仿宋_GB2312" w:cs="仿宋_GB2312" w:eastAsia="仿宋_GB2312"/>
        </w:rPr>
        <w:t>2.接受项目行业管理部门及政府有关部门的指导，接受甲方的监督。</w:t>
      </w:r>
    </w:p>
    <w:p>
      <w:pPr>
        <w:pStyle w:val="null3"/>
        <w:jc w:val="left"/>
      </w:pPr>
      <w:r>
        <w:rPr>
          <w:rFonts w:ascii="仿宋_GB2312" w:hAnsi="仿宋_GB2312" w:cs="仿宋_GB2312" w:eastAsia="仿宋_GB2312"/>
        </w:rPr>
        <w:t>3.乙方承诺遵守《中华人民共和国劳动合同法》有关规定和《中华人民共和国妇女权益保障法》中关于“劳动和社会保障权益”的有关要求。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4.国家法律、法规所规定由乙方承担的其它责任。</w:t>
      </w:r>
    </w:p>
    <w:p>
      <w:pPr>
        <w:pStyle w:val="null3"/>
        <w:jc w:val="left"/>
        <w:outlineLvl w:val="2"/>
      </w:pPr>
      <w:r>
        <w:rPr>
          <w:rFonts w:ascii="仿宋_GB2312" w:hAnsi="仿宋_GB2312" w:cs="仿宋_GB2312" w:eastAsia="仿宋_GB2312"/>
          <w:sz w:val="28"/>
          <w:b/>
        </w:rPr>
        <w:t xml:space="preserve"> 八、违约责任</w:t>
      </w:r>
    </w:p>
    <w:p>
      <w:pPr>
        <w:pStyle w:val="null3"/>
        <w:jc w:val="left"/>
      </w:pPr>
      <w:r>
        <w:br/>
      </w:r>
    </w:p>
    <w:p>
      <w:pPr>
        <w:pStyle w:val="null3"/>
        <w:jc w:val="left"/>
        <w:outlineLvl w:val="2"/>
      </w:pPr>
      <w:r>
        <w:rPr>
          <w:rFonts w:ascii="仿宋_GB2312" w:hAnsi="仿宋_GB2312" w:cs="仿宋_GB2312" w:eastAsia="仿宋_GB2312"/>
          <w:sz w:val="28"/>
          <w:b/>
        </w:rPr>
        <w:t xml:space="preserve"> 九、不可抗事件处理</w:t>
      </w:r>
    </w:p>
    <w:p>
      <w:pPr>
        <w:pStyle w:val="null3"/>
        <w:jc w:val="left"/>
      </w:pPr>
      <w:r>
        <w:rPr>
          <w:rFonts w:ascii="仿宋_GB2312" w:hAnsi="仿宋_GB2312" w:cs="仿宋_GB2312" w:eastAsia="仿宋_GB2312"/>
        </w:rPr>
        <w:t>1.在合同有效期内，任何一方因战争、洪灾、台风、地震等不可抗力事件导致不能履行合同，则合同履行期可延长，其延长期与不可抗力事件影响期相同。</w:t>
      </w:r>
    </w:p>
    <w:p>
      <w:pPr>
        <w:pStyle w:val="null3"/>
        <w:jc w:val="left"/>
      </w:pPr>
      <w:r>
        <w:rPr>
          <w:rFonts w:ascii="仿宋_GB2312" w:hAnsi="仿宋_GB2312" w:cs="仿宋_GB2312" w:eastAsia="仿宋_GB2312"/>
        </w:rPr>
        <w:t>2.受阻一方应在不可抗事件发生后尽快用电话通知对方并于事故发生后XX天内将有关部门出具的证明文件等用特快专递或挂号信寄给对方审阅确认。</w:t>
      </w:r>
    </w:p>
    <w:p>
      <w:pPr>
        <w:pStyle w:val="null3"/>
        <w:jc w:val="left"/>
      </w:pPr>
      <w:r>
        <w:rPr>
          <w:rFonts w:ascii="仿宋_GB2312" w:hAnsi="仿宋_GB2312" w:cs="仿宋_GB2312" w:eastAsia="仿宋_GB2312"/>
        </w:rPr>
        <w:t>3.不可抗事件延续XX天以上，双方应通过友好协商，确定是否继续履行合同。</w:t>
      </w:r>
    </w:p>
    <w:p>
      <w:pPr>
        <w:pStyle w:val="null3"/>
        <w:jc w:val="left"/>
        <w:outlineLvl w:val="2"/>
      </w:pPr>
      <w:r>
        <w:rPr>
          <w:rFonts w:ascii="仿宋_GB2312" w:hAnsi="仿宋_GB2312" w:cs="仿宋_GB2312" w:eastAsia="仿宋_GB2312"/>
          <w:sz w:val="28"/>
          <w:b/>
        </w:rPr>
        <w:t xml:space="preserve"> 十、解决合同纠纷的方式</w:t>
      </w:r>
    </w:p>
    <w:p>
      <w:pPr>
        <w:pStyle w:val="null3"/>
        <w:jc w:val="left"/>
      </w:pPr>
      <w:r>
        <w:br/>
      </w:r>
    </w:p>
    <w:p>
      <w:pPr>
        <w:pStyle w:val="null3"/>
        <w:jc w:val="left"/>
        <w:outlineLvl w:val="2"/>
      </w:pPr>
      <w:r>
        <w:rPr>
          <w:rFonts w:ascii="仿宋_GB2312" w:hAnsi="仿宋_GB2312" w:cs="仿宋_GB2312" w:eastAsia="仿宋_GB2312"/>
          <w:sz w:val="28"/>
          <w:b/>
        </w:rPr>
        <w:t xml:space="preserve"> 十一、合同生效及其他</w:t>
      </w:r>
    </w:p>
    <w:p>
      <w:pPr>
        <w:pStyle w:val="null3"/>
        <w:jc w:val="left"/>
      </w:pPr>
      <w:r>
        <w:rPr>
          <w:rFonts w:ascii="仿宋_GB2312" w:hAnsi="仿宋_GB2312" w:cs="仿宋_GB2312" w:eastAsia="仿宋_GB2312"/>
        </w:rPr>
        <w:t>1.合同经双方法定代表人（或主要负责人）或授权委托代理人签字并加盖公章后生效。</w:t>
      </w:r>
    </w:p>
    <w:p>
      <w:pPr>
        <w:pStyle w:val="null3"/>
        <w:jc w:val="left"/>
      </w:pPr>
      <w:r>
        <w:rPr>
          <w:rFonts w:ascii="仿宋_GB2312" w:hAnsi="仿宋_GB2312" w:cs="仿宋_GB2312" w:eastAsia="仿宋_GB2312"/>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rFonts w:ascii="仿宋_GB2312" w:hAnsi="仿宋_GB2312" w:cs="仿宋_GB2312" w:eastAsia="仿宋_GB2312"/>
        </w:rPr>
        <w:t xml:space="preserve"> 甲方： （盖章）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r>
        <w:rPr>
          <w:rFonts w:ascii="仿宋_GB2312" w:hAnsi="仿宋_GB2312" w:cs="仿宋_GB2312" w:eastAsia="仿宋_GB2312"/>
        </w:rPr>
        <w:t xml:space="preserve"> 乙方：(盖章）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