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版本号：GLD2025-040701Z20250409001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警务大数据综合指挥调度建设项目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GLD2025-040701Z</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警务大数据综合指挥调度建设项目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GLD2025-040701Z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警务大数据综合指挥调度建设项目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汉中市公安局南郑分局警务大数据综合指挥调度建设项目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西安经济技术开发区明光路55号天朗经开中心25层2505室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17792615459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代理服务费收费标准：名 称：陕西广联达招标有限公司 开户行：中国银行股份有限公司西安万寿路支行 账 号：1028 4964 6773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联系电话：17792615459</w:t>
      </w:r>
    </w:p>
    <w:p>
      <w:pPr>
        <w:pStyle w:val="null3"/>
      </w:pPr>
      <w:r>
        <w:rPr>
          <w:rFonts w:ascii="仿宋_GB2312" w:hAnsi="仿宋_GB2312" w:cs="仿宋_GB2312" w:eastAsia="仿宋_GB2312"/>
        </w:rPr>
        <w:t>地址：西安经济技术开发区明光路55号天朗经开中心25层2505室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汉中市公安局南郑分局警务大数据综合指挥调度建设项目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1,397,000.00</w:t>
      </w:r>
    </w:p>
    <w:p>
      <w:pPr>
        <w:pStyle w:val="null3"/>
      </w:pPr>
      <w:r>
        <w:rPr>
          <w:rFonts w:ascii="仿宋_GB2312" w:hAnsi="仿宋_GB2312" w:cs="仿宋_GB2312" w:eastAsia="仿宋_GB2312"/>
        </w:rPr>
        <w:t>采购包最高限价（元）: 1,397,000.00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标的名称：其他信息化设备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6"/>
              <w:gridCol w:w="128"/>
              <w:gridCol w:w="1341"/>
              <w:gridCol w:w="134"/>
              <w:gridCol w:w="134"/>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设备名称</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招标参数</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综合指挥调度系统</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▲采用</w:t>
                  </w:r>
                  <w:r>
                    <w:rPr>
                      <w:rFonts w:ascii="仿宋_GB2312" w:hAnsi="仿宋_GB2312" w:cs="仿宋_GB2312" w:eastAsia="仿宋_GB2312"/>
                      <w:sz w:val="20"/>
                    </w:rPr>
                    <w:t>安全自主可控</w:t>
                  </w:r>
                  <w:r>
                    <w:rPr>
                      <w:rFonts w:ascii="仿宋_GB2312" w:hAnsi="仿宋_GB2312" w:cs="仿宋_GB2312" w:eastAsia="仿宋_GB2312"/>
                      <w:sz w:val="20"/>
                    </w:rPr>
                    <w:t>操作系统和数据库软件，独立硬件部署，非内置模块。</w:t>
                  </w:r>
                  <w:r>
                    <w:br/>
                  </w:r>
                  <w:r>
                    <w:rPr>
                      <w:rFonts w:ascii="仿宋_GB2312" w:hAnsi="仿宋_GB2312" w:cs="仿宋_GB2312" w:eastAsia="仿宋_GB2312"/>
                      <w:sz w:val="20"/>
                    </w:rPr>
                    <w:t>2. 单台设备支持不少于100台终端设备管理。</w:t>
                  </w:r>
                  <w:r>
                    <w:br/>
                  </w:r>
                  <w:r>
                    <w:rPr>
                      <w:rFonts w:ascii="仿宋_GB2312" w:hAnsi="仿宋_GB2312" w:cs="仿宋_GB2312" w:eastAsia="仿宋_GB2312"/>
                      <w:sz w:val="20"/>
                    </w:rPr>
                    <w:t>3. 支持IPv4和IPv6双协议栈，支持IPv4和IPv6混合组网。</w:t>
                  </w:r>
                  <w:r>
                    <w:br/>
                  </w:r>
                  <w:r>
                    <w:rPr>
                      <w:rFonts w:ascii="仿宋_GB2312" w:hAnsi="仿宋_GB2312" w:cs="仿宋_GB2312" w:eastAsia="仿宋_GB2312"/>
                      <w:sz w:val="20"/>
                    </w:rPr>
                    <w:t>4. ▲支持一键静/闭音、删除/添加会场、广播/选看会场、辅流加入多画面、设置多画面、锁定会议演示、指定会场发送辅流、声控切换、设置/释放主席、点名等功能。</w:t>
                  </w:r>
                  <w:r>
                    <w:br/>
                  </w:r>
                  <w:r>
                    <w:rPr>
                      <w:rFonts w:ascii="仿宋_GB2312" w:hAnsi="仿宋_GB2312" w:cs="仿宋_GB2312" w:eastAsia="仿宋_GB2312"/>
                      <w:sz w:val="20"/>
                    </w:rPr>
                    <w:t>5. 支持主席轮询、广播轮询、多画面轮询等功能。</w:t>
                  </w:r>
                  <w:r>
                    <w:br/>
                  </w:r>
                  <w:r>
                    <w:rPr>
                      <w:rFonts w:ascii="仿宋_GB2312" w:hAnsi="仿宋_GB2312" w:cs="仿宋_GB2312" w:eastAsia="仿宋_GB2312"/>
                      <w:sz w:val="20"/>
                    </w:rPr>
                    <w:t>6. 支持H.323 Gatekeeper、Sip Server、SIP Proxy等功能；支持H.460、ICE等协议，实现H.323/SIP设备公私网穿越。</w:t>
                  </w:r>
                  <w:r>
                    <w:br/>
                  </w:r>
                  <w:r>
                    <w:rPr>
                      <w:rFonts w:ascii="仿宋_GB2312" w:hAnsi="仿宋_GB2312" w:cs="仿宋_GB2312" w:eastAsia="仿宋_GB2312"/>
                      <w:sz w:val="20"/>
                    </w:rPr>
                    <w:t>7. 支持按用户组织架构进行管理，上级域可对下级域统一管理，下级域可独立管理；不同用户域之间互不可见，可管理各自的组织、账号。</w:t>
                  </w:r>
                  <w:r>
                    <w:br/>
                  </w:r>
                  <w:r>
                    <w:rPr>
                      <w:rFonts w:ascii="仿宋_GB2312" w:hAnsi="仿宋_GB2312" w:cs="仿宋_GB2312" w:eastAsia="仿宋_GB2312"/>
                      <w:sz w:val="20"/>
                    </w:rPr>
                    <w:t>8. 支持SM2、SM3、SM4国密算法加密。</w:t>
                  </w:r>
                  <w:r>
                    <w:br/>
                  </w:r>
                  <w:r>
                    <w:rPr>
                      <w:rFonts w:ascii="仿宋_GB2312" w:hAnsi="仿宋_GB2312" w:cs="仿宋_GB2312" w:eastAsia="仿宋_GB2312"/>
                      <w:sz w:val="20"/>
                    </w:rPr>
                    <w:t>9. 支持指挥调度终端、指挥调度控制单元等统一设备管理功能，并能够对终端、指挥调度控制单元等设备进行远程配置管理、设备批量巡检、巡检报告生成、远程批量版本升级、状态监测、故障告警及诊断、信息收集等操作。</w:t>
                  </w:r>
                  <w:r>
                    <w:br/>
                  </w:r>
                  <w:r>
                    <w:rPr>
                      <w:rFonts w:ascii="仿宋_GB2312" w:hAnsi="仿宋_GB2312" w:cs="仿宋_GB2312" w:eastAsia="仿宋_GB2312"/>
                      <w:sz w:val="20"/>
                    </w:rPr>
                    <w:t>10. ▲支持许可资源集中管理、按需分配、浮动共享，不与设备硬件绑定，可通过软件许可和计算资源平滑扩容系统容量。</w:t>
                  </w:r>
                  <w:r>
                    <w:br/>
                  </w:r>
                  <w:r>
                    <w:rPr>
                      <w:rFonts w:ascii="仿宋_GB2312" w:hAnsi="仿宋_GB2312" w:cs="仿宋_GB2312" w:eastAsia="仿宋_GB2312"/>
                      <w:sz w:val="20"/>
                    </w:rPr>
                    <w:t>11.  支持≥7×24小时连续正常工作。</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▲本次配置不少于50路硬件终端注册管理软件许可。</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视频信息处理系统</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1.采用一卡两路方式，要求每块输入/输出板卡支持 2 路信号传输，机箱可支持≥8 块输入板卡，8 块输出板卡。</w:t>
                  </w:r>
                  <w:r>
                    <w:br/>
                  </w:r>
                  <w:r>
                    <w:rPr>
                      <w:rFonts w:ascii="仿宋_GB2312" w:hAnsi="仿宋_GB2312" w:cs="仿宋_GB2312" w:eastAsia="仿宋_GB2312"/>
                      <w:sz w:val="20"/>
                    </w:rPr>
                    <w:t>2.支持 16 路信号输入，16 路信号输出；矩阵系统具有较高的可扩展性，可以通过简单扩容方式进行现场扩展，各类信号源可任意通过增加相应板卡的方式添加而不需要更换任何已采购设备。</w:t>
                  </w:r>
                  <w:r>
                    <w:br/>
                  </w:r>
                  <w:r>
                    <w:rPr>
                      <w:rFonts w:ascii="仿宋_GB2312" w:hAnsi="仿宋_GB2312" w:cs="仿宋_GB2312" w:eastAsia="仿宋_GB2312"/>
                      <w:sz w:val="20"/>
                    </w:rPr>
                    <w:t>3.支持数字音频和模拟音频，HDMI 数字音频和模拟音频可选输入，HDMI 数字音频模拟音频同时输出。主机可支持多种信号同时输入输出，包括 3G-SDI、HD-SDI、SD-SDI、HDMI、DVI、VGA、YPbPr、CVBS、HDBT</w:t>
                  </w:r>
                  <w:r>
                    <w:br/>
                  </w:r>
                  <w:r>
                    <w:rPr>
                      <w:rFonts w:ascii="仿宋_GB2312" w:hAnsi="仿宋_GB2312" w:cs="仿宋_GB2312" w:eastAsia="仿宋_GB2312"/>
                      <w:sz w:val="20"/>
                    </w:rPr>
                    <w:t>4.拼接漫游：支持图像任意缩放，跨屏，漫游，叠加。拼控卡：单块支持 4 路任意信号源输，窗口随意布局, 拼控卡数量可扩展。带回显预监功能，可实时监控输入信号源状态，按需推送各终端及大屏拼接墙等显示设备</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管理门户</w:t>
                  </w:r>
                  <w:r>
                    <w:rPr>
                      <w:rFonts w:ascii="仿宋_GB2312" w:hAnsi="仿宋_GB2312" w:cs="仿宋_GB2312" w:eastAsia="仿宋_GB2312"/>
                      <w:sz w:val="20"/>
                      <w:color w:val="000000"/>
                    </w:rPr>
                    <w:t>系统</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1.此系统具备用户统一界面、统一管理的业务需求。</w:t>
                  </w:r>
                </w:p>
                <w:p>
                  <w:pPr>
                    <w:pStyle w:val="null3"/>
                    <w:jc w:val="left"/>
                  </w:pPr>
                  <w:r>
                    <w:rPr>
                      <w:rFonts w:ascii="仿宋_GB2312" w:hAnsi="仿宋_GB2312" w:cs="仿宋_GB2312" w:eastAsia="仿宋_GB2312"/>
                      <w:sz w:val="20"/>
                    </w:rPr>
                    <w:t>2.支持管理系统的业务应用模块，包括自定义应用显示、新增应用和统一管理。</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3.▲支持自定义配置系统模板、以及登录页</w:t>
                  </w:r>
                  <w:r>
                    <w:rPr>
                      <w:rFonts w:ascii="仿宋_GB2312" w:hAnsi="仿宋_GB2312" w:cs="仿宋_GB2312" w:eastAsia="仿宋_GB2312"/>
                      <w:sz w:val="20"/>
                    </w:rPr>
                    <w:t>/</w:t>
                  </w:r>
                  <w:r>
                    <w:rPr>
                      <w:rFonts w:ascii="仿宋_GB2312" w:hAnsi="仿宋_GB2312" w:cs="仿宋_GB2312" w:eastAsia="仿宋_GB2312"/>
                      <w:sz w:val="20"/>
                    </w:rPr>
                    <w:t>首页</w:t>
                  </w:r>
                  <w:r>
                    <w:rPr>
                      <w:rFonts w:ascii="仿宋_GB2312" w:hAnsi="仿宋_GB2312" w:cs="仿宋_GB2312" w:eastAsia="仿宋_GB2312"/>
                      <w:sz w:val="20"/>
                    </w:rPr>
                    <w:t>/</w:t>
                  </w:r>
                  <w:r>
                    <w:rPr>
                      <w:rFonts w:ascii="仿宋_GB2312" w:hAnsi="仿宋_GB2312" w:cs="仿宋_GB2312" w:eastAsia="仿宋_GB2312"/>
                      <w:sz w:val="20"/>
                    </w:rPr>
                    <w:t>顶部导航栏的</w:t>
                  </w:r>
                  <w:r>
                    <w:rPr>
                      <w:rFonts w:ascii="仿宋_GB2312" w:hAnsi="仿宋_GB2312" w:cs="仿宋_GB2312" w:eastAsia="仿宋_GB2312"/>
                      <w:sz w:val="20"/>
                    </w:rPr>
                    <w:t>LOGO/</w:t>
                  </w:r>
                  <w:r>
                    <w:rPr>
                      <w:rFonts w:ascii="仿宋_GB2312" w:hAnsi="仿宋_GB2312" w:cs="仿宋_GB2312" w:eastAsia="仿宋_GB2312"/>
                      <w:sz w:val="20"/>
                    </w:rPr>
                    <w:t>背景</w:t>
                  </w:r>
                  <w:r>
                    <w:rPr>
                      <w:rFonts w:ascii="仿宋_GB2312" w:hAnsi="仿宋_GB2312" w:cs="仿宋_GB2312" w:eastAsia="仿宋_GB2312"/>
                      <w:sz w:val="20"/>
                    </w:rPr>
                    <w:t>/</w:t>
                  </w:r>
                  <w:r>
                    <w:rPr>
                      <w:rFonts w:ascii="仿宋_GB2312" w:hAnsi="仿宋_GB2312" w:cs="仿宋_GB2312" w:eastAsia="仿宋_GB2312"/>
                      <w:sz w:val="20"/>
                    </w:rPr>
                    <w:t>名称的展示效果。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支持配置用户对业务模块的访问权限。</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第三方系统可通过身份认证对接本业务应用系统。认证方式支持</w:t>
                  </w:r>
                  <w:r>
                    <w:rPr>
                      <w:rFonts w:ascii="仿宋_GB2312" w:hAnsi="仿宋_GB2312" w:cs="仿宋_GB2312" w:eastAsia="仿宋_GB2312"/>
                      <w:sz w:val="20"/>
                    </w:rPr>
                    <w:t>U盾认证、非U盾认证。</w:t>
                  </w:r>
                  <w:r>
                    <w:rPr>
                      <w:rFonts w:ascii="仿宋_GB2312" w:hAnsi="仿宋_GB2312" w:cs="仿宋_GB2312" w:eastAsia="仿宋_GB2312"/>
                      <w:sz w:val="20"/>
                    </w:rPr>
                    <w:t>利旧现有系统的服务器。</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重点人及事件智能管理系统</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1.重点人</w:t>
                  </w:r>
                  <w:r>
                    <w:rPr>
                      <w:rFonts w:ascii="仿宋_GB2312" w:hAnsi="仿宋_GB2312" w:cs="仿宋_GB2312" w:eastAsia="仿宋_GB2312"/>
                      <w:sz w:val="20"/>
                    </w:rPr>
                    <w:t>人群、高危人群动向、重点事件进行重点关注，并进行周期性访谈和管理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重点人员约谈子系统业务的作用是实现约谈内容的电子化事后记录和重点事件记录功能，通过民警手动上传约谈记录和重点事件记录，便于统一查看约谈工作信息以及约谈工作记录和重点事件记录。</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系统包括三大模块，分别为记录上传模块、信息查询界面模块、重点事件记录统计模块，分别实现约谈记录上传、约谈信息数据统计、约谈记录查询、重点事件统计、重点事件记录的功能。</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记录上传模块</w:t>
                  </w:r>
                </w:p>
                <w:p>
                  <w:pPr>
                    <w:pStyle w:val="null3"/>
                    <w:jc w:val="both"/>
                  </w:pPr>
                  <w:r>
                    <w:rPr>
                      <w:rFonts w:ascii="仿宋_GB2312" w:hAnsi="仿宋_GB2312" w:cs="仿宋_GB2312" w:eastAsia="仿宋_GB2312"/>
                      <w:sz w:val="20"/>
                    </w:rPr>
                    <w:t>民警可在该模块中新建约谈和事件记录，可上传约谈信息和事件信息，有民警姓名、约谈时间、约谈地点、约谈照片、约谈内容、重点事件、其他补充内容等，具体为：（</w:t>
                  </w:r>
                  <w:r>
                    <w:rPr>
                      <w:rFonts w:ascii="仿宋_GB2312" w:hAnsi="仿宋_GB2312" w:cs="仿宋_GB2312" w:eastAsia="仿宋_GB2312"/>
                      <w:sz w:val="20"/>
                    </w:rPr>
                    <w:t>1</w:t>
                  </w:r>
                  <w:r>
                    <w:rPr>
                      <w:rFonts w:ascii="仿宋_GB2312" w:hAnsi="仿宋_GB2312" w:cs="仿宋_GB2312" w:eastAsia="仿宋_GB2312"/>
                      <w:sz w:val="20"/>
                    </w:rPr>
                    <w:t>）民警相关信息：警员姓名，警号。 （</w:t>
                  </w:r>
                  <w:r>
                    <w:rPr>
                      <w:rFonts w:ascii="仿宋_GB2312" w:hAnsi="仿宋_GB2312" w:cs="仿宋_GB2312" w:eastAsia="仿宋_GB2312"/>
                      <w:sz w:val="20"/>
                    </w:rPr>
                    <w:t>2</w:t>
                  </w:r>
                  <w:r>
                    <w:rPr>
                      <w:rFonts w:ascii="仿宋_GB2312" w:hAnsi="仿宋_GB2312" w:cs="仿宋_GB2312" w:eastAsia="仿宋_GB2312"/>
                      <w:sz w:val="20"/>
                    </w:rPr>
                    <w:t>）约谈人员信息：人员姓名，性别，年龄，籍贯，常住地，约谈类型。（</w:t>
                  </w:r>
                  <w:r>
                    <w:rPr>
                      <w:rFonts w:ascii="仿宋_GB2312" w:hAnsi="仿宋_GB2312" w:cs="仿宋_GB2312" w:eastAsia="仿宋_GB2312"/>
                      <w:sz w:val="20"/>
                    </w:rPr>
                    <w:t>3</w:t>
                  </w:r>
                  <w:r>
                    <w:rPr>
                      <w:rFonts w:ascii="仿宋_GB2312" w:hAnsi="仿宋_GB2312" w:cs="仿宋_GB2312" w:eastAsia="仿宋_GB2312"/>
                      <w:sz w:val="20"/>
                    </w:rPr>
                    <w:t>）其他相关信息：约谈时间，约谈地点，约谈周期，约谈内容（包含图片上传），重点事件信息。</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信息查询界面模块</w:t>
                  </w:r>
                </w:p>
                <w:p>
                  <w:pPr>
                    <w:pStyle w:val="null3"/>
                    <w:jc w:val="both"/>
                  </w:pPr>
                  <w:r>
                    <w:rPr>
                      <w:rFonts w:ascii="仿宋_GB2312" w:hAnsi="仿宋_GB2312" w:cs="仿宋_GB2312" w:eastAsia="仿宋_GB2312"/>
                      <w:sz w:val="20"/>
                    </w:rPr>
                    <w:t>此模块的查询区分管理员和普通民警，管理员可以查看全部约谈信息和重点事件信息。民警可查询自己权限内所有被约谈重点人员的约谈记录，包括（约谈民警姓名、约谈时间、约谈地点、约谈照片、约谈内容、重点事件、补充内容等）具体为：（</w:t>
                  </w:r>
                  <w:r>
                    <w:rPr>
                      <w:rFonts w:ascii="仿宋_GB2312" w:hAnsi="仿宋_GB2312" w:cs="仿宋_GB2312" w:eastAsia="仿宋_GB2312"/>
                      <w:sz w:val="20"/>
                    </w:rPr>
                    <w:t>1</w:t>
                  </w:r>
                  <w:r>
                    <w:rPr>
                      <w:rFonts w:ascii="仿宋_GB2312" w:hAnsi="仿宋_GB2312" w:cs="仿宋_GB2312" w:eastAsia="仿宋_GB2312"/>
                      <w:sz w:val="20"/>
                    </w:rPr>
                    <w:t>）整体以列表的方式查询，无筛选条件的时候默认查询全部约谈记录和重点事件记录。（</w:t>
                  </w:r>
                  <w:r>
                    <w:rPr>
                      <w:rFonts w:ascii="仿宋_GB2312" w:hAnsi="仿宋_GB2312" w:cs="仿宋_GB2312" w:eastAsia="仿宋_GB2312"/>
                      <w:sz w:val="20"/>
                    </w:rPr>
                    <w:t>2</w:t>
                  </w:r>
                  <w:r>
                    <w:rPr>
                      <w:rFonts w:ascii="仿宋_GB2312" w:hAnsi="仿宋_GB2312" w:cs="仿宋_GB2312" w:eastAsia="仿宋_GB2312"/>
                      <w:sz w:val="20"/>
                    </w:rPr>
                    <w:t>）对约谈记录和重点事件可进行增，改，查的操作。（</w:t>
                  </w:r>
                  <w:r>
                    <w:rPr>
                      <w:rFonts w:ascii="仿宋_GB2312" w:hAnsi="仿宋_GB2312" w:cs="仿宋_GB2312" w:eastAsia="仿宋_GB2312"/>
                      <w:sz w:val="20"/>
                    </w:rPr>
                    <w:t>3</w:t>
                  </w:r>
                  <w:r>
                    <w:rPr>
                      <w:rFonts w:ascii="仿宋_GB2312" w:hAnsi="仿宋_GB2312" w:cs="仿宋_GB2312" w:eastAsia="仿宋_GB2312"/>
                      <w:sz w:val="20"/>
                    </w:rPr>
                    <w:t>）筛选条件有：警员姓名，警号，重点人员姓名，性别，年龄，籍贯，常住地，约谈类别，约谈时间，约谈地点，约谈周期，重点事件类别，重点事件时间、重点事件地点等。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重点事件记录统计模块</w:t>
                  </w:r>
                </w:p>
                <w:p>
                  <w:pPr>
                    <w:pStyle w:val="null3"/>
                    <w:jc w:val="both"/>
                  </w:pPr>
                  <w:r>
                    <w:rPr>
                      <w:rFonts w:ascii="仿宋_GB2312" w:hAnsi="仿宋_GB2312" w:cs="仿宋_GB2312" w:eastAsia="仿宋_GB2312"/>
                      <w:sz w:val="20"/>
                    </w:rPr>
                    <w:t>该模块可对被约谈重点人员约谈信息和重点事件汇总统计，按周期输出数据统计图，可以直观看到被约谈重点人员的信息数据和重点事件统计。具体有：</w:t>
                  </w:r>
                </w:p>
                <w:p>
                  <w:pPr>
                    <w:pStyle w:val="null3"/>
                    <w:jc w:val="both"/>
                  </w:pPr>
                  <w:r>
                    <w:rPr>
                      <w:rFonts w:ascii="仿宋_GB2312" w:hAnsi="仿宋_GB2312" w:cs="仿宋_GB2312" w:eastAsia="仿宋_GB2312"/>
                      <w:sz w:val="20"/>
                    </w:rPr>
                    <w:t>①：将统计的数据整体以饼状图，柱状图的形式做统计 ②：统计维度分别为  （</w:t>
                  </w:r>
                  <w:r>
                    <w:rPr>
                      <w:rFonts w:ascii="仿宋_GB2312" w:hAnsi="仿宋_GB2312" w:cs="仿宋_GB2312" w:eastAsia="仿宋_GB2312"/>
                      <w:sz w:val="20"/>
                    </w:rPr>
                    <w:t>1</w:t>
                  </w:r>
                  <w:r>
                    <w:rPr>
                      <w:rFonts w:ascii="仿宋_GB2312" w:hAnsi="仿宋_GB2312" w:cs="仿宋_GB2312" w:eastAsia="仿宋_GB2312"/>
                      <w:sz w:val="20"/>
                    </w:rPr>
                    <w:t>）约谈重点人员统计：性别（男，女比例的占比），年龄段统计（</w:t>
                  </w:r>
                  <w:r>
                    <w:rPr>
                      <w:rFonts w:ascii="仿宋_GB2312" w:hAnsi="仿宋_GB2312" w:cs="仿宋_GB2312" w:eastAsia="仿宋_GB2312"/>
                      <w:sz w:val="20"/>
                    </w:rPr>
                    <w:t>0-20</w:t>
                  </w:r>
                  <w:r>
                    <w:rPr>
                      <w:rFonts w:ascii="仿宋_GB2312" w:hAnsi="仿宋_GB2312" w:cs="仿宋_GB2312" w:eastAsia="仿宋_GB2312"/>
                      <w:sz w:val="20"/>
                    </w:rPr>
                    <w:t>岁，</w:t>
                  </w:r>
                  <w:r>
                    <w:rPr>
                      <w:rFonts w:ascii="仿宋_GB2312" w:hAnsi="仿宋_GB2312" w:cs="仿宋_GB2312" w:eastAsia="仿宋_GB2312"/>
                      <w:sz w:val="20"/>
                    </w:rPr>
                    <w:t>20-30</w:t>
                  </w:r>
                  <w:r>
                    <w:rPr>
                      <w:rFonts w:ascii="仿宋_GB2312" w:hAnsi="仿宋_GB2312" w:cs="仿宋_GB2312" w:eastAsia="仿宋_GB2312"/>
                      <w:sz w:val="20"/>
                    </w:rPr>
                    <w:t>岁</w:t>
                  </w:r>
                  <w:r>
                    <w:rPr>
                      <w:rFonts w:ascii="仿宋_GB2312" w:hAnsi="仿宋_GB2312" w:cs="仿宋_GB2312" w:eastAsia="仿宋_GB2312"/>
                      <w:sz w:val="20"/>
                    </w:rPr>
                    <w:t>,30-40</w:t>
                  </w:r>
                  <w:r>
                    <w:rPr>
                      <w:rFonts w:ascii="仿宋_GB2312" w:hAnsi="仿宋_GB2312" w:cs="仿宋_GB2312" w:eastAsia="仿宋_GB2312"/>
                      <w:sz w:val="20"/>
                    </w:rPr>
                    <w:t>岁</w:t>
                  </w:r>
                  <w:r>
                    <w:rPr>
                      <w:rFonts w:ascii="仿宋_GB2312" w:hAnsi="仿宋_GB2312" w:cs="仿宋_GB2312" w:eastAsia="仿宋_GB2312"/>
                      <w:sz w:val="20"/>
                    </w:rPr>
                    <w:t>,40-50</w:t>
                  </w:r>
                  <w:r>
                    <w:rPr>
                      <w:rFonts w:ascii="仿宋_GB2312" w:hAnsi="仿宋_GB2312" w:cs="仿宋_GB2312" w:eastAsia="仿宋_GB2312"/>
                      <w:sz w:val="20"/>
                    </w:rPr>
                    <w:t>岁</w:t>
                  </w:r>
                  <w:r>
                    <w:rPr>
                      <w:rFonts w:ascii="仿宋_GB2312" w:hAnsi="仿宋_GB2312" w:cs="仿宋_GB2312" w:eastAsia="仿宋_GB2312"/>
                      <w:sz w:val="20"/>
                    </w:rPr>
                    <w:t>,50-60</w:t>
                  </w:r>
                  <w:r>
                    <w:rPr>
                      <w:rFonts w:ascii="仿宋_GB2312" w:hAnsi="仿宋_GB2312" w:cs="仿宋_GB2312" w:eastAsia="仿宋_GB2312"/>
                      <w:sz w:val="20"/>
                    </w:rPr>
                    <w:t>岁</w:t>
                  </w:r>
                  <w:r>
                    <w:rPr>
                      <w:rFonts w:ascii="仿宋_GB2312" w:hAnsi="仿宋_GB2312" w:cs="仿宋_GB2312" w:eastAsia="仿宋_GB2312"/>
                      <w:sz w:val="20"/>
                    </w:rPr>
                    <w:t>,60-70</w:t>
                  </w:r>
                  <w:r>
                    <w:rPr>
                      <w:rFonts w:ascii="仿宋_GB2312" w:hAnsi="仿宋_GB2312" w:cs="仿宋_GB2312" w:eastAsia="仿宋_GB2312"/>
                      <w:sz w:val="20"/>
                    </w:rPr>
                    <w:t xml:space="preserve">岁） </w:t>
                  </w:r>
                  <w:r>
                    <w:rPr>
                      <w:rFonts w:ascii="仿宋_GB2312" w:hAnsi="仿宋_GB2312" w:cs="仿宋_GB2312" w:eastAsia="仿宋_GB2312"/>
                      <w:sz w:val="20"/>
                    </w:rPr>
                    <w:t>C</w:t>
                  </w:r>
                  <w:r>
                    <w:rPr>
                      <w:rFonts w:ascii="仿宋_GB2312" w:hAnsi="仿宋_GB2312" w:cs="仿宋_GB2312" w:eastAsia="仿宋_GB2312"/>
                      <w:sz w:val="20"/>
                    </w:rPr>
                    <w:t>：约谈类型统计（打架，吸毒，走私•••），约谈周期（</w:t>
                  </w:r>
                  <w:r>
                    <w:rPr>
                      <w:rFonts w:ascii="仿宋_GB2312" w:hAnsi="仿宋_GB2312" w:cs="仿宋_GB2312" w:eastAsia="仿宋_GB2312"/>
                      <w:sz w:val="20"/>
                    </w:rPr>
                    <w:t>1</w:t>
                  </w:r>
                  <w:r>
                    <w:rPr>
                      <w:rFonts w:ascii="仿宋_GB2312" w:hAnsi="仿宋_GB2312" w:cs="仿宋_GB2312" w:eastAsia="仿宋_GB2312"/>
                      <w:sz w:val="20"/>
                    </w:rPr>
                    <w:t>个月，</w:t>
                  </w:r>
                  <w:r>
                    <w:rPr>
                      <w:rFonts w:ascii="仿宋_GB2312" w:hAnsi="仿宋_GB2312" w:cs="仿宋_GB2312" w:eastAsia="仿宋_GB2312"/>
                      <w:sz w:val="20"/>
                    </w:rPr>
                    <w:t>3</w:t>
                  </w:r>
                  <w:r>
                    <w:rPr>
                      <w:rFonts w:ascii="仿宋_GB2312" w:hAnsi="仿宋_GB2312" w:cs="仿宋_GB2312" w:eastAsia="仿宋_GB2312"/>
                      <w:sz w:val="20"/>
                    </w:rPr>
                    <w:t>月，</w:t>
                  </w:r>
                  <w:r>
                    <w:rPr>
                      <w:rFonts w:ascii="仿宋_GB2312" w:hAnsi="仿宋_GB2312" w:cs="仿宋_GB2312" w:eastAsia="仿宋_GB2312"/>
                      <w:sz w:val="20"/>
                    </w:rPr>
                    <w:t>6</w:t>
                  </w:r>
                  <w:r>
                    <w:rPr>
                      <w:rFonts w:ascii="仿宋_GB2312" w:hAnsi="仿宋_GB2312" w:cs="仿宋_GB2312" w:eastAsia="仿宋_GB2312"/>
                      <w:sz w:val="20"/>
                    </w:rPr>
                    <w:t>个月），</w:t>
                  </w:r>
                  <w:r>
                    <w:rPr>
                      <w:rFonts w:ascii="仿宋_GB2312" w:hAnsi="仿宋_GB2312" w:cs="仿宋_GB2312" w:eastAsia="仿宋_GB2312"/>
                      <w:sz w:val="20"/>
                    </w:rPr>
                    <w:t>D</w:t>
                  </w:r>
                  <w:r>
                    <w:rPr>
                      <w:rFonts w:ascii="仿宋_GB2312" w:hAnsi="仿宋_GB2312" w:cs="仿宋_GB2312" w:eastAsia="仿宋_GB2312"/>
                      <w:sz w:val="20"/>
                    </w:rPr>
                    <w:t>：重点事件统计，常驻地等的可视化统计，方便直观的查看整体区域里面的重点人约谈和重点事件情况，便于给其他业务的研判提供数据依据和支撑。利旧现有系统的服务器运行。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安全认证登录</w:t>
                  </w:r>
                  <w:r>
                    <w:rPr>
                      <w:rFonts w:ascii="仿宋_GB2312" w:hAnsi="仿宋_GB2312" w:cs="仿宋_GB2312" w:eastAsia="仿宋_GB2312"/>
                      <w:sz w:val="20"/>
                      <w:color w:val="000000"/>
                    </w:rPr>
                    <w:t>子</w:t>
                  </w:r>
                  <w:r>
                    <w:rPr>
                      <w:rFonts w:ascii="仿宋_GB2312" w:hAnsi="仿宋_GB2312" w:cs="仿宋_GB2312" w:eastAsia="仿宋_GB2312"/>
                      <w:sz w:val="20"/>
                      <w:color w:val="000000"/>
                    </w:rPr>
                    <w:t>系统</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1.安全认证登录系统，专为用户提供安全便捷的身份认证解决方案。</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.系统集成多模态活体检测技术，高效抵御伪造攻击，确保真人验证。</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.支持快速部署和灵活扩展</w:t>
                  </w:r>
                  <w:r>
                    <w:rPr>
                      <w:rFonts w:ascii="仿宋_GB2312" w:hAnsi="仿宋_GB2312" w:cs="仿宋_GB2312" w:eastAsia="仿宋_GB2312"/>
                      <w:sz w:val="20"/>
                    </w:rPr>
                    <w:t>，</w:t>
                  </w:r>
                  <w:r>
                    <w:rPr>
                      <w:rFonts w:ascii="仿宋_GB2312" w:hAnsi="仿宋_GB2312" w:cs="仿宋_GB2312" w:eastAsia="仿宋_GB2312"/>
                      <w:sz w:val="20"/>
                    </w:rPr>
                    <w:t>毫秒级识别速度适配高频场景。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.可通过任意普通手持摄像头（如PC自带摄像头或USB外接摄像头）进行身份验证，无需依赖专用硬件设备。</w:t>
                  </w:r>
                  <w:r>
                    <w:rPr>
                      <w:rFonts w:ascii="仿宋_GB2312" w:hAnsi="仿宋_GB2312" w:cs="仿宋_GB2312" w:eastAsia="仿宋_GB2312"/>
                      <w:sz w:val="20"/>
                    </w:rPr>
                    <w:t>利旧现有系统的服务器运行。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指挥调度控制单元</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▲采用</w:t>
                  </w:r>
                  <w:r>
                    <w:rPr>
                      <w:rFonts w:ascii="仿宋_GB2312" w:hAnsi="仿宋_GB2312" w:cs="仿宋_GB2312" w:eastAsia="仿宋_GB2312"/>
                      <w:sz w:val="20"/>
                    </w:rPr>
                    <w:t>安全自主可控</w:t>
                  </w:r>
                  <w:r>
                    <w:rPr>
                      <w:rFonts w:ascii="仿宋_GB2312" w:hAnsi="仿宋_GB2312" w:cs="仿宋_GB2312" w:eastAsia="仿宋_GB2312"/>
                      <w:sz w:val="20"/>
                    </w:rPr>
                    <w:t>的操作系统及</w:t>
                  </w:r>
                  <w:r>
                    <w:rPr>
                      <w:rFonts w:ascii="仿宋_GB2312" w:hAnsi="仿宋_GB2312" w:cs="仿宋_GB2312" w:eastAsia="仿宋_GB2312"/>
                      <w:sz w:val="20"/>
                    </w:rPr>
                    <w:t>安全自主可控</w:t>
                  </w:r>
                  <w:r>
                    <w:rPr>
                      <w:rFonts w:ascii="仿宋_GB2312" w:hAnsi="仿宋_GB2312" w:cs="仿宋_GB2312" w:eastAsia="仿宋_GB2312"/>
                      <w:sz w:val="20"/>
                    </w:rPr>
                    <w:t>的处理芯片。</w:t>
                  </w:r>
                  <w:r>
                    <w:br/>
                  </w:r>
                  <w:r>
                    <w:rPr>
                      <w:rFonts w:ascii="仿宋_GB2312" w:hAnsi="仿宋_GB2312" w:cs="仿宋_GB2312" w:eastAsia="仿宋_GB2312"/>
                      <w:sz w:val="20"/>
                    </w:rPr>
                    <w:t>2. 支持ITU-T H.323、IETF SIP通信标准，支持64Kbps-8Mbps呼叫带宽，支持IPv4和IPv6双协议栈工作。</w:t>
                  </w:r>
                  <w:r>
                    <w:br/>
                  </w:r>
                  <w:r>
                    <w:rPr>
                      <w:rFonts w:ascii="仿宋_GB2312" w:hAnsi="仿宋_GB2312" w:cs="仿宋_GB2312" w:eastAsia="仿宋_GB2312"/>
                      <w:sz w:val="20"/>
                    </w:rPr>
                    <w:t>3. 支持H.263、H.264BP、H.264HP、 H.265、H.264 SVC、H.265 SVC等视频协议；支持G.711、G.722、G.722.1C、G.729、AAC-LD等音频协议。</w:t>
                  </w:r>
                  <w:r>
                    <w:br/>
                  </w:r>
                  <w:r>
                    <w:rPr>
                      <w:rFonts w:ascii="仿宋_GB2312" w:hAnsi="仿宋_GB2312" w:cs="仿宋_GB2312" w:eastAsia="仿宋_GB2312"/>
                      <w:sz w:val="20"/>
                    </w:rPr>
                    <w:t>4. 支持4K30fps、1080p60fps、1080p30fps、720p60fps、720p30fps、4CIF等视频格式。</w:t>
                  </w:r>
                  <w:r>
                    <w:br/>
                  </w:r>
                  <w:r>
                    <w:rPr>
                      <w:rFonts w:ascii="仿宋_GB2312" w:hAnsi="仿宋_GB2312" w:cs="仿宋_GB2312" w:eastAsia="仿宋_GB2312"/>
                      <w:sz w:val="20"/>
                    </w:rPr>
                    <w:t>5. 支持AVC/SVC混合调度，以适应不同线路带宽、不同设备能力、不同网络环境下的组网要求。</w:t>
                  </w:r>
                  <w:r>
                    <w:br/>
                  </w:r>
                  <w:r>
                    <w:rPr>
                      <w:rFonts w:ascii="仿宋_GB2312" w:hAnsi="仿宋_GB2312" w:cs="仿宋_GB2312" w:eastAsia="仿宋_GB2312"/>
                      <w:sz w:val="20"/>
                    </w:rPr>
                    <w:t>6. ▲在全编全解模式下，单台指挥调度控制单元最大支持≥15个4K30fps视频端口或者30个1080P60fps视频端口或者60个1080P 30fps视频端口或者120个720P30fps视频端口</w:t>
                  </w:r>
                  <w:r>
                    <w:rPr>
                      <w:rFonts w:ascii="仿宋_GB2312" w:hAnsi="仿宋_GB2312" w:cs="仿宋_GB2312" w:eastAsia="仿宋_GB2312"/>
                      <w:sz w:val="20"/>
                      <w:b/>
                    </w:rPr>
                    <w:t>。</w:t>
                  </w:r>
                  <w:r>
                    <w:br/>
                  </w:r>
                  <w:r>
                    <w:rPr>
                      <w:rFonts w:ascii="仿宋_GB2312" w:hAnsi="仿宋_GB2312" w:cs="仿宋_GB2312" w:eastAsia="仿宋_GB2312"/>
                      <w:sz w:val="20"/>
                    </w:rPr>
                    <w:t>7. 支持最大4K30fps 收发对称的25多画面分屏，多画面分屏模式≥60种。</w:t>
                  </w:r>
                  <w:r>
                    <w:br/>
                  </w:r>
                  <w:r>
                    <w:rPr>
                      <w:rFonts w:ascii="仿宋_GB2312" w:hAnsi="仿宋_GB2312" w:cs="仿宋_GB2312" w:eastAsia="仿宋_GB2312"/>
                      <w:sz w:val="20"/>
                    </w:rPr>
                    <w:t>8. 支持ITU-T H.239、IETF BFCP双流协议。支持主视频4K30fps时，辅视频同时实现4K30fps 高清效果。支持辅流加入多画面，实现在多画面中显示辅流内容，满足不支持双流的终端可正常接收内容共享。</w:t>
                  </w:r>
                  <w:r>
                    <w:br/>
                  </w:r>
                  <w:r>
                    <w:rPr>
                      <w:rFonts w:ascii="仿宋_GB2312" w:hAnsi="仿宋_GB2312" w:cs="仿宋_GB2312" w:eastAsia="仿宋_GB2312"/>
                      <w:sz w:val="20"/>
                    </w:rPr>
                    <w:t>9. 为降低网络带宽支出，以1M带宽实现4K30fps会议效果；以512Kbps带宽实现1080P60fps会议效果；以384Kbps带宽实现1080P30fps会议效果；以256Kbps带宽实现720P30fps会议效果。</w:t>
                  </w:r>
                  <w:r>
                    <w:br/>
                  </w:r>
                  <w:r>
                    <w:rPr>
                      <w:rFonts w:ascii="仿宋_GB2312" w:hAnsi="仿宋_GB2312" w:cs="仿宋_GB2312" w:eastAsia="仿宋_GB2312"/>
                      <w:sz w:val="20"/>
                    </w:rPr>
                    <w:t>10. ▲为保证指挥调度稳定在弱网情况下支持40%网络丢包下，语音清晰连续，视频清晰流畅，无卡顿、无马赛克。支持80%网络丢包下，声音清晰，不影响会议正常进行。</w:t>
                  </w:r>
                  <w:r>
                    <w:br/>
                  </w:r>
                  <w:r>
                    <w:rPr>
                      <w:rFonts w:ascii="仿宋_GB2312" w:hAnsi="仿宋_GB2312" w:cs="仿宋_GB2312" w:eastAsia="仿宋_GB2312"/>
                      <w:sz w:val="20"/>
                    </w:rPr>
                    <w:t>11. 为保证指挥调度安全支持SM2、SM3、SM4国密加密算法。支持SIP(TLS/SRTP)信令和媒体流加密、AES加密算法、H.235媒体流加密、H.235认证和信令完整性校验。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▲配置不少于26路1080P30fps全编全解端口软件授权。</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超清指挥调度终端</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▲采用分体式结构，嵌入式操作系统，非PC、非工控机架构；支持ITU-T H.323、IETF SIP协议。</w:t>
                  </w:r>
                  <w:r>
                    <w:br/>
                  </w:r>
                  <w:r>
                    <w:rPr>
                      <w:rFonts w:ascii="仿宋_GB2312" w:hAnsi="仿宋_GB2312" w:cs="仿宋_GB2312" w:eastAsia="仿宋_GB2312"/>
                      <w:sz w:val="20"/>
                    </w:rPr>
                    <w:t>2. 采用</w:t>
                  </w:r>
                  <w:r>
                    <w:rPr>
                      <w:rFonts w:ascii="仿宋_GB2312" w:hAnsi="仿宋_GB2312" w:cs="仿宋_GB2312" w:eastAsia="仿宋_GB2312"/>
                      <w:sz w:val="20"/>
                    </w:rPr>
                    <w:t>安全自主可控</w:t>
                  </w:r>
                  <w:r>
                    <w:rPr>
                      <w:rFonts w:ascii="仿宋_GB2312" w:hAnsi="仿宋_GB2312" w:cs="仿宋_GB2312" w:eastAsia="仿宋_GB2312"/>
                      <w:sz w:val="20"/>
                    </w:rPr>
                    <w:t>编解码芯片、</w:t>
                  </w:r>
                  <w:r>
                    <w:rPr>
                      <w:rFonts w:ascii="仿宋_GB2312" w:hAnsi="仿宋_GB2312" w:cs="仿宋_GB2312" w:eastAsia="仿宋_GB2312"/>
                      <w:sz w:val="20"/>
                    </w:rPr>
                    <w:t>安全自主可控</w:t>
                  </w:r>
                  <w:r>
                    <w:rPr>
                      <w:rFonts w:ascii="仿宋_GB2312" w:hAnsi="仿宋_GB2312" w:cs="仿宋_GB2312" w:eastAsia="仿宋_GB2312"/>
                      <w:sz w:val="20"/>
                    </w:rPr>
                    <w:t>操作系统。</w:t>
                  </w:r>
                  <w:r>
                    <w:br/>
                  </w:r>
                  <w:r>
                    <w:rPr>
                      <w:rFonts w:ascii="仿宋_GB2312" w:hAnsi="仿宋_GB2312" w:cs="仿宋_GB2312" w:eastAsia="仿宋_GB2312"/>
                      <w:sz w:val="20"/>
                    </w:rPr>
                    <w:t>3. 支持64Kbps-8Mbps呼叫带宽，支持IPv4和IPv6网络协议。</w:t>
                  </w:r>
                  <w:r>
                    <w:br/>
                  </w:r>
                  <w:r>
                    <w:rPr>
                      <w:rFonts w:ascii="仿宋_GB2312" w:hAnsi="仿宋_GB2312" w:cs="仿宋_GB2312" w:eastAsia="仿宋_GB2312"/>
                      <w:sz w:val="20"/>
                    </w:rPr>
                    <w:t>4. 支持H.265、H.264 HP、H.264 BP等图像编码协议。支持G.711、G.722、G.722.1C、AAC-LD等音频协议，支持双声道立体声功能。</w:t>
                  </w:r>
                  <w:r>
                    <w:br/>
                  </w:r>
                  <w:r>
                    <w:rPr>
                      <w:rFonts w:ascii="仿宋_GB2312" w:hAnsi="仿宋_GB2312" w:cs="仿宋_GB2312" w:eastAsia="仿宋_GB2312"/>
                      <w:sz w:val="20"/>
                    </w:rPr>
                    <w:t>5.支持4K30fps、1080p60fps、1080p30fps、720p60 fps、720p30fps等编解码能力。</w:t>
                  </w:r>
                  <w:r>
                    <w:br/>
                  </w:r>
                  <w:r>
                    <w:rPr>
                      <w:rFonts w:ascii="仿宋_GB2312" w:hAnsi="仿宋_GB2312" w:cs="仿宋_GB2312" w:eastAsia="仿宋_GB2312"/>
                      <w:sz w:val="20"/>
                    </w:rPr>
                    <w:t>6. 支持ITU-T H.239和IETF BFCP双流协议，支持主流达到4K30fps情况下，辅流同时达到4K30fps。</w:t>
                  </w:r>
                  <w:r>
                    <w:br/>
                  </w:r>
                  <w:r>
                    <w:rPr>
                      <w:rFonts w:ascii="仿宋_GB2312" w:hAnsi="仿宋_GB2312" w:cs="仿宋_GB2312" w:eastAsia="仿宋_GB2312"/>
                      <w:sz w:val="20"/>
                    </w:rPr>
                    <w:t>7. ▲支持≥3路高清视频输入接口、≥2路高清视频输出接口，支持≥6路音频输入接口、≥5路音频输出接口，至少具备卡侬头、RCA等音频接口。</w:t>
                  </w:r>
                  <w:r>
                    <w:br/>
                  </w:r>
                  <w:r>
                    <w:rPr>
                      <w:rFonts w:ascii="仿宋_GB2312" w:hAnsi="仿宋_GB2312" w:cs="仿宋_GB2312" w:eastAsia="仿宋_GB2312"/>
                      <w:sz w:val="20"/>
                    </w:rPr>
                    <w:t>8. 具备三合一远距离传输接口（HDbaseT），支持摄像机供电、视频信号、控制信号同时传输、实现摄像机一线连接。</w:t>
                  </w:r>
                  <w:r>
                    <w:br/>
                  </w:r>
                  <w:r>
                    <w:rPr>
                      <w:rFonts w:ascii="仿宋_GB2312" w:hAnsi="仿宋_GB2312" w:cs="仿宋_GB2312" w:eastAsia="仿宋_GB2312"/>
                      <w:sz w:val="20"/>
                    </w:rPr>
                    <w:t>9. 支持30%网络丢包时，语音清晰连续，视频清晰流畅，无卡顿、无马赛克。支持80%的网络丢包时，声音清晰流畅，不影响会议继续进行。</w:t>
                  </w:r>
                  <w:r>
                    <w:br/>
                  </w:r>
                  <w:r>
                    <w:rPr>
                      <w:rFonts w:ascii="仿宋_GB2312" w:hAnsi="仿宋_GB2312" w:cs="仿宋_GB2312" w:eastAsia="仿宋_GB2312"/>
                      <w:sz w:val="20"/>
                    </w:rPr>
                    <w:t>10. ▲支持在终端前面板显示启动、升级、休眠、异常信息、IP地址、H.323号码、SIP号码等信息。</w:t>
                  </w:r>
                  <w:r>
                    <w:br/>
                  </w:r>
                  <w:r>
                    <w:rPr>
                      <w:rFonts w:ascii="仿宋_GB2312" w:hAnsi="仿宋_GB2312" w:cs="仿宋_GB2312" w:eastAsia="仿宋_GB2312"/>
                      <w:sz w:val="20"/>
                    </w:rPr>
                    <w:t>11. 支持在H.323协议下，H.235信令加密；支持在SIP协议下，TLS、SRTP加密；支持AES媒体流加密算法，保证指挥调度安全，支持SM2、SM3、SM4国密加密算法。</w:t>
                  </w:r>
                  <w:r>
                    <w:br/>
                  </w:r>
                  <w:r>
                    <w:rPr>
                      <w:rFonts w:ascii="仿宋_GB2312" w:hAnsi="仿宋_GB2312" w:cs="仿宋_GB2312" w:eastAsia="仿宋_GB2312"/>
                      <w:sz w:val="20"/>
                    </w:rPr>
                    <w:t>12. 物理拆除Wi-Fi、蓝牙等无线通信模块，避免产生电磁泄露造成的信息安全风险。</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▲本次项目配置不低于1080P30fps对称编解码能力软件授权。</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超清摄像单元</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1.▲与所投高清终端同一品牌。</w:t>
                  </w:r>
                  <w:r>
                    <w:br/>
                  </w:r>
                  <w:r>
                    <w:rPr>
                      <w:rFonts w:ascii="仿宋_GB2312" w:hAnsi="仿宋_GB2312" w:cs="仿宋_GB2312" w:eastAsia="仿宋_GB2312"/>
                      <w:sz w:val="20"/>
                    </w:rPr>
                    <w:t>2.支持≥800万像素1/2.5英寸CMOS成像芯片；支持≥12倍光学变焦，水平视角≥80°，水平转动范围：≥+/-110°，垂直转动范围：≥+/- 30°，支持≥250个预置位。</w:t>
                  </w:r>
                  <w:r>
                    <w:br/>
                  </w:r>
                  <w:r>
                    <w:rPr>
                      <w:rFonts w:ascii="仿宋_GB2312" w:hAnsi="仿宋_GB2312" w:cs="仿宋_GB2312" w:eastAsia="仿宋_GB2312"/>
                      <w:sz w:val="20"/>
                    </w:rPr>
                    <w:t>3.支持4K30fps、1080P30fps、1080P25fps等视频输出格式。</w:t>
                  </w:r>
                  <w:r>
                    <w:br/>
                  </w:r>
                  <w:r>
                    <w:rPr>
                      <w:rFonts w:ascii="仿宋_GB2312" w:hAnsi="仿宋_GB2312" w:cs="仿宋_GB2312" w:eastAsia="仿宋_GB2312"/>
                      <w:sz w:val="20"/>
                    </w:rPr>
                    <w:t>4.支持≥1路高清视频输出接口。</w:t>
                  </w:r>
                  <w:r>
                    <w:br/>
                  </w:r>
                  <w:r>
                    <w:rPr>
                      <w:rFonts w:ascii="仿宋_GB2312" w:hAnsi="仿宋_GB2312" w:cs="仿宋_GB2312" w:eastAsia="仿宋_GB2312"/>
                      <w:sz w:val="20"/>
                    </w:rPr>
                    <w:t>5.支持RS-232控制接口,支持标准VISCA控制协议。</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高清一体化指挥调度终端</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1.▲采用一体式结构，嵌入式操作系统，非PC架构、非工控机架构，</w:t>
                  </w:r>
                  <w:r>
                    <w:rPr>
                      <w:rFonts w:ascii="仿宋_GB2312" w:hAnsi="仿宋_GB2312" w:cs="仿宋_GB2312" w:eastAsia="仿宋_GB2312"/>
                      <w:sz w:val="20"/>
                    </w:rPr>
                    <w:t>安全自主可控</w:t>
                  </w:r>
                  <w:r>
                    <w:rPr>
                      <w:rFonts w:ascii="仿宋_GB2312" w:hAnsi="仿宋_GB2312" w:cs="仿宋_GB2312" w:eastAsia="仿宋_GB2312"/>
                      <w:sz w:val="20"/>
                    </w:rPr>
                    <w:t>编解码芯片、</w:t>
                  </w:r>
                  <w:r>
                    <w:rPr>
                      <w:rFonts w:ascii="仿宋_GB2312" w:hAnsi="仿宋_GB2312" w:cs="仿宋_GB2312" w:eastAsia="仿宋_GB2312"/>
                      <w:sz w:val="20"/>
                    </w:rPr>
                    <w:t>安全自主可控</w:t>
                  </w:r>
                  <w:r>
                    <w:rPr>
                      <w:rFonts w:ascii="仿宋_GB2312" w:hAnsi="仿宋_GB2312" w:cs="仿宋_GB2312" w:eastAsia="仿宋_GB2312"/>
                      <w:sz w:val="20"/>
                    </w:rPr>
                    <w:t>操作系统。</w:t>
                  </w:r>
                  <w:r>
                    <w:br/>
                  </w:r>
                  <w:r>
                    <w:rPr>
                      <w:rFonts w:ascii="仿宋_GB2312" w:hAnsi="仿宋_GB2312" w:cs="仿宋_GB2312" w:eastAsia="仿宋_GB2312"/>
                      <w:sz w:val="20"/>
                    </w:rPr>
                    <w:t>2.支持64Kbps-8Mbps呼叫带宽，会议速率可调节，支持IPv4和IPv6双协议栈。</w:t>
                  </w:r>
                  <w:r>
                    <w:br/>
                  </w:r>
                  <w:r>
                    <w:rPr>
                      <w:rFonts w:ascii="仿宋_GB2312" w:hAnsi="仿宋_GB2312" w:cs="仿宋_GB2312" w:eastAsia="仿宋_GB2312"/>
                      <w:sz w:val="20"/>
                    </w:rPr>
                    <w:t>3.支持ITU-T H.323、IETF SIP通信标准，支持H.265、H.264 HP、H.264 BP等图像编码协议，支持G.711、G.722、G.722.1C、AAC-LD等音频协议，支持双声道立体声功能。</w:t>
                  </w:r>
                  <w:r>
                    <w:br/>
                  </w:r>
                  <w:r>
                    <w:rPr>
                      <w:rFonts w:ascii="仿宋_GB2312" w:hAnsi="仿宋_GB2312" w:cs="仿宋_GB2312" w:eastAsia="仿宋_GB2312"/>
                      <w:sz w:val="20"/>
                    </w:rPr>
                    <w:t>4.支持1080p60fps、1080p30fps、720p60 fps、720p30fps等分辨率。</w:t>
                  </w:r>
                  <w:r>
                    <w:br/>
                  </w:r>
                  <w:r>
                    <w:rPr>
                      <w:rFonts w:ascii="仿宋_GB2312" w:hAnsi="仿宋_GB2312" w:cs="仿宋_GB2312" w:eastAsia="仿宋_GB2312"/>
                      <w:sz w:val="20"/>
                    </w:rPr>
                    <w:t>5. ▲内置PTZ高清摄像机，支持≥200万像素1/2.8英寸CMOS成像芯片，支持≥1080P 60fps视频图像采集。支持≥5倍光学变焦，内置全景摄像机，支持≥200万像素1/2.9英寸CMOS成像芯片；集成数字阵列麦克风。</w:t>
                  </w:r>
                  <w:r>
                    <w:br/>
                  </w:r>
                  <w:r>
                    <w:rPr>
                      <w:rFonts w:ascii="仿宋_GB2312" w:hAnsi="仿宋_GB2312" w:cs="仿宋_GB2312" w:eastAsia="仿宋_GB2312"/>
                      <w:sz w:val="20"/>
                    </w:rPr>
                    <w:t>6.支持H.239、BFCP双流协议。支持主流达到1080P60fps情况下，辅流最大达到1080P60fps</w:t>
                  </w:r>
                  <w:r>
                    <w:br/>
                  </w:r>
                  <w:r>
                    <w:rPr>
                      <w:rFonts w:ascii="仿宋_GB2312" w:hAnsi="仿宋_GB2312" w:cs="仿宋_GB2312" w:eastAsia="仿宋_GB2312"/>
                      <w:sz w:val="20"/>
                    </w:rPr>
                    <w:t>7.▲支持≥2路高清视频输入，≥2路高清视频输出，支持≥4路音频输入，≥2路音频输出。</w:t>
                  </w:r>
                  <w:r>
                    <w:br/>
                  </w:r>
                  <w:r>
                    <w:rPr>
                      <w:rFonts w:ascii="仿宋_GB2312" w:hAnsi="仿宋_GB2312" w:cs="仿宋_GB2312" w:eastAsia="仿宋_GB2312"/>
                      <w:sz w:val="20"/>
                    </w:rPr>
                    <w:t>8.支持40%网络丢包时，语音清晰连续，视频清晰流畅，无卡顿、无马赛克，支持80%的网络丢包时，声音清晰流畅，可准确理解，不影响会议继续进行。</w:t>
                  </w:r>
                  <w:r>
                    <w:br/>
                  </w:r>
                  <w:r>
                    <w:rPr>
                      <w:rFonts w:ascii="仿宋_GB2312" w:hAnsi="仿宋_GB2312" w:cs="仿宋_GB2312" w:eastAsia="仿宋_GB2312"/>
                      <w:sz w:val="20"/>
                    </w:rPr>
                    <w:t>9.支持SM2、SM3、SM4国密加密算法。</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6"/>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▲本次项目配置不低于1080P30fps对称编解码能力软件授权。</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音频单元</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1.▲与所投高清终端同一品牌。</w:t>
                  </w:r>
                  <w:r>
                    <w:br/>
                  </w:r>
                  <w:r>
                    <w:rPr>
                      <w:rFonts w:ascii="仿宋_GB2312" w:hAnsi="仿宋_GB2312" w:cs="仿宋_GB2312" w:eastAsia="仿宋_GB2312"/>
                      <w:sz w:val="20"/>
                    </w:rPr>
                    <w:t>2.数字阵列麦克风，支持360°全向拾音，拾音距离≥6米。</w:t>
                  </w:r>
                  <w:r>
                    <w:br/>
                  </w:r>
                  <w:r>
                    <w:rPr>
                      <w:rFonts w:ascii="仿宋_GB2312" w:hAnsi="仿宋_GB2312" w:cs="仿宋_GB2312" w:eastAsia="仿宋_GB2312"/>
                      <w:sz w:val="20"/>
                    </w:rPr>
                    <w:t>3.支持终端供电，不需要额外电源。</w:t>
                  </w:r>
                  <w:r>
                    <w:br/>
                  </w:r>
                  <w:r>
                    <w:rPr>
                      <w:rFonts w:ascii="仿宋_GB2312" w:hAnsi="仿宋_GB2312" w:cs="仿宋_GB2312" w:eastAsia="仿宋_GB2312"/>
                      <w:sz w:val="20"/>
                    </w:rPr>
                    <w:t>4.采样率≥48KHz，支持回声抵消、自动增益控制、自动噪声抑制。</w:t>
                  </w:r>
                  <w:r>
                    <w:br/>
                  </w:r>
                  <w:r>
                    <w:rPr>
                      <w:rFonts w:ascii="仿宋_GB2312" w:hAnsi="仿宋_GB2312" w:cs="仿宋_GB2312" w:eastAsia="仿宋_GB2312"/>
                      <w:sz w:val="20"/>
                    </w:rPr>
                    <w:t>5.支持麦克风级联，满足不同面积会议室的应用需求。</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驻场保障服务</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为保障系统稳定运行，</w:t>
                  </w:r>
                  <w:r>
                    <w:rPr>
                      <w:rFonts w:ascii="仿宋_GB2312" w:hAnsi="仿宋_GB2312" w:cs="仿宋_GB2312" w:eastAsia="仿宋_GB2312"/>
                      <w:sz w:val="20"/>
                    </w:rPr>
                    <w:t>便于日后</w:t>
                  </w:r>
                  <w:r>
                    <w:rPr>
                      <w:rFonts w:ascii="仿宋_GB2312" w:hAnsi="仿宋_GB2312" w:cs="仿宋_GB2312" w:eastAsia="仿宋_GB2312"/>
                      <w:sz w:val="20"/>
                    </w:rPr>
                    <w:t>快速解决</w:t>
                  </w:r>
                  <w:r>
                    <w:rPr>
                      <w:rFonts w:ascii="仿宋_GB2312" w:hAnsi="仿宋_GB2312" w:cs="仿宋_GB2312" w:eastAsia="仿宋_GB2312"/>
                      <w:sz w:val="20"/>
                    </w:rPr>
                    <w:t>处理</w:t>
                  </w:r>
                  <w:r>
                    <w:rPr>
                      <w:rFonts w:ascii="仿宋_GB2312" w:hAnsi="仿宋_GB2312" w:cs="仿宋_GB2312" w:eastAsia="仿宋_GB2312"/>
                      <w:sz w:val="20"/>
                    </w:rPr>
                    <w:t>现场问题，现要求配备一名专职驻场技术人员，具备</w:t>
                  </w:r>
                  <w:r>
                    <w:rPr>
                      <w:rFonts w:ascii="仿宋_GB2312" w:hAnsi="仿宋_GB2312" w:cs="仿宋_GB2312" w:eastAsia="仿宋_GB2312"/>
                      <w:sz w:val="20"/>
                    </w:rPr>
                    <w:t>专人专职保障能力。</w:t>
                  </w:r>
                </w:p>
                <w:p>
                  <w:pPr>
                    <w:pStyle w:val="null3"/>
                    <w:jc w:val="left"/>
                  </w:pPr>
                  <w:r>
                    <w:rPr>
                      <w:rFonts w:ascii="仿宋_GB2312" w:hAnsi="仿宋_GB2312" w:cs="仿宋_GB2312" w:eastAsia="仿宋_GB2312"/>
                      <w:sz w:val="20"/>
                    </w:rPr>
                    <w:t>1.系统设备的工程规范检查。</w:t>
                  </w:r>
                </w:p>
                <w:p>
                  <w:pPr>
                    <w:pStyle w:val="null3"/>
                    <w:jc w:val="left"/>
                  </w:pPr>
                  <w:r>
                    <w:rPr>
                      <w:rFonts w:ascii="仿宋_GB2312" w:hAnsi="仿宋_GB2312" w:cs="仿宋_GB2312" w:eastAsia="仿宋_GB2312"/>
                      <w:sz w:val="20"/>
                    </w:rPr>
                    <w:t>2.潜在风险挖掘，系统运行情况全面巡检。</w:t>
                  </w:r>
                </w:p>
                <w:p>
                  <w:pPr>
                    <w:pStyle w:val="null3"/>
                    <w:jc w:val="left"/>
                  </w:pPr>
                  <w:r>
                    <w:rPr>
                      <w:rFonts w:ascii="仿宋_GB2312" w:hAnsi="仿宋_GB2312" w:cs="仿宋_GB2312" w:eastAsia="仿宋_GB2312"/>
                      <w:sz w:val="20"/>
                    </w:rPr>
                    <w:t>3.专业系统巡检报告，助力客户消除系统隐患。</w:t>
                  </w:r>
                </w:p>
                <w:p>
                  <w:pPr>
                    <w:pStyle w:val="null3"/>
                    <w:jc w:val="left"/>
                  </w:pPr>
                  <w:r>
                    <w:rPr>
                      <w:rFonts w:ascii="仿宋_GB2312" w:hAnsi="仿宋_GB2312" w:cs="仿宋_GB2312" w:eastAsia="仿宋_GB2312"/>
                      <w:sz w:val="20"/>
                    </w:rPr>
                    <w:t>4.现场分析定位</w:t>
                  </w:r>
                  <w:r>
                    <w:rPr>
                      <w:rFonts w:ascii="仿宋_GB2312" w:hAnsi="仿宋_GB2312" w:cs="仿宋_GB2312" w:eastAsia="仿宋_GB2312"/>
                      <w:sz w:val="20"/>
                    </w:rPr>
                    <w:t>，</w:t>
                  </w:r>
                  <w:r>
                    <w:rPr>
                      <w:rFonts w:ascii="仿宋_GB2312" w:hAnsi="仿宋_GB2312" w:cs="仿宋_GB2312" w:eastAsia="仿宋_GB2312"/>
                      <w:sz w:val="20"/>
                    </w:rPr>
                    <w:t>故障快速闭环。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日常操作培训，</w:t>
                  </w:r>
                  <w:r>
                    <w:rPr>
                      <w:rFonts w:ascii="仿宋_GB2312" w:hAnsi="仿宋_GB2312" w:cs="仿宋_GB2312" w:eastAsia="仿宋_GB2312"/>
                      <w:sz w:val="20"/>
                    </w:rPr>
                    <w:t>保障</w:t>
                  </w:r>
                  <w:r>
                    <w:rPr>
                      <w:rFonts w:ascii="仿宋_GB2312" w:hAnsi="仿宋_GB2312" w:cs="仿宋_GB2312" w:eastAsia="仿宋_GB2312"/>
                      <w:sz w:val="20"/>
                    </w:rPr>
                    <w:t>系统</w:t>
                  </w:r>
                  <w:r>
                    <w:rPr>
                      <w:rFonts w:ascii="仿宋_GB2312" w:hAnsi="仿宋_GB2312" w:cs="仿宋_GB2312" w:eastAsia="仿宋_GB2312"/>
                      <w:sz w:val="20"/>
                    </w:rPr>
                    <w:t>安全</w:t>
                  </w:r>
                  <w:r>
                    <w:rPr>
                      <w:rFonts w:ascii="仿宋_GB2312" w:hAnsi="仿宋_GB2312" w:cs="仿宋_GB2312" w:eastAsia="仿宋_GB2312"/>
                      <w:sz w:val="20"/>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设备机柜</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600*600*800mm尺寸标准机柜</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安装及辅材</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安装配件、六类屏蔽网线、音视频电缆等辅材</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投标单位按照采购人要求送至指定地点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终验合格后不少于18个月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《拒绝政府采购领域商业贿赂承诺书》.docx 响应函 具有履行合同所必需的设备和专业技术能力的说明及承诺.docx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有法定代表人或其委托代理人签字并加盖单位公章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应满足竞争性磋商文件中要求的交货期限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技术部分1</w:t>
            </w:r>
          </w:p>
        </w:tc>
        <w:tc>
          <w:tcPr>
            <w:tcW w:type="dxa" w:w="2492"/>
          </w:tcPr>
          <w:p>
            <w:pPr>
              <w:pStyle w:val="null3"/>
            </w:pPr>
            <w:r>
              <w:rPr>
                <w:rFonts w:ascii="仿宋_GB2312" w:hAnsi="仿宋_GB2312" w:cs="仿宋_GB2312" w:eastAsia="仿宋_GB2312"/>
              </w:rPr>
              <w:t>投标设备及软件系统的技术指标和性能优于或完全满足招标文件计25分。“▲”项为重点参数，1项不满足扣2分；其它参数为一般参数，1项不满足扣1分，扣完为止。投标人必须在投标文件中进行逐一响应，并提供相应证明材料。未提供佐证材料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技术部分2</w:t>
            </w:r>
          </w:p>
        </w:tc>
        <w:tc>
          <w:tcPr>
            <w:tcW w:type="dxa" w:w="2492"/>
          </w:tcPr>
          <w:p>
            <w:pPr>
              <w:pStyle w:val="null3"/>
            </w:pPr>
            <w:r>
              <w:rPr>
                <w:rFonts w:ascii="仿宋_GB2312" w:hAnsi="仿宋_GB2312" w:cs="仿宋_GB2312" w:eastAsia="仿宋_GB2312"/>
              </w:rPr>
              <w:t>提供周密的实施方案，包括但不限于工作程序和步骤、管理和协调方案；产品到货检验、运输送货、安装调试、验收、启动及产品出现质量问题时的补救措施、操作培训方案等： 【优秀[7-10分]】时间进度安排得当、部署清晰明确、配套质量管理、安全管理等各项措施完善、科学、合理。 【良好[4-7分）】时间进度安排较为得当、部署较为清晰明确、配套质量管理、安全管理等各项措施较为完善、科学、合理。 【一般[0-4分）】时间进度安排合理性一般、配套质量管理、安全管理等各项措施不够全面、或合理性一般。</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技术部分3</w:t>
            </w:r>
          </w:p>
        </w:tc>
        <w:tc>
          <w:tcPr>
            <w:tcW w:type="dxa" w:w="2492"/>
          </w:tcPr>
          <w:p>
            <w:pPr>
              <w:pStyle w:val="null3"/>
            </w:pPr>
            <w:r>
              <w:rPr>
                <w:rFonts w:ascii="仿宋_GB2312" w:hAnsi="仿宋_GB2312" w:cs="仿宋_GB2312" w:eastAsia="仿宋_GB2312"/>
              </w:rPr>
              <w:t>设备货源渠道正常，确保供应的设备无假货、水货、翻新货且无产权 纠纷，提供主要设备(综合指挥调度系统、视频信息处理系统、指挥调度控制单元、超清指挥调度终端、高清一体化指挥调度终端)的合法来源渠道证明文件，每提供1项设备合法来源证明文件得2分，最高得10分。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技术部分4</w:t>
            </w:r>
          </w:p>
        </w:tc>
        <w:tc>
          <w:tcPr>
            <w:tcW w:type="dxa" w:w="2492"/>
          </w:tcPr>
          <w:p>
            <w:pPr>
              <w:pStyle w:val="null3"/>
            </w:pPr>
            <w:r>
              <w:rPr>
                <w:rFonts w:ascii="仿宋_GB2312" w:hAnsi="仿宋_GB2312" w:cs="仿宋_GB2312" w:eastAsia="仿宋_GB2312"/>
              </w:rPr>
              <w:t>对产品的供货、安装调试组织措施完善，并针对本项目特点做出合理计划及调配，由专业的技术人员提供产品安装服务，能保证产品的顺利使用。内容完整，描述清晰，且能针对性满足项目需求的，得4-8分；内容笼统，描述简单，可行性一般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售后服务及培训计划1</w:t>
            </w:r>
          </w:p>
        </w:tc>
        <w:tc>
          <w:tcPr>
            <w:tcW w:type="dxa" w:w="2492"/>
          </w:tcPr>
          <w:p>
            <w:pPr>
              <w:pStyle w:val="null3"/>
            </w:pPr>
            <w:r>
              <w:rPr>
                <w:rFonts w:ascii="仿宋_GB2312" w:hAnsi="仿宋_GB2312" w:cs="仿宋_GB2312" w:eastAsia="仿宋_GB2312"/>
              </w:rPr>
              <w:t>1、服务体系健全、内容详细、资料齐全，具有完善的服务质量监督控制和运行维护管理制度，在全国各省份均设有备品备件库、售后服务网络和对应的24小时服务支持热线，技术力量能满足应急服务及时保障的需求； 【优秀[7-10]】方案切实可行、响应高效，服务承诺明确，服务标准完全满足或优于项目要求； 【良好[4-7）】方案合理可行、响应较为高效，服务标准服务标准完全能够较好满足项目要求； 【一般[0-4）】方案可行性一般、响应欠缺高效，服务标准模糊。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售后服务及培训计划2</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 【优秀[5-7分]】培训方案及培训计划内容设计合理完善，完全满足或优于竞争性磋商文件要求 【良好[3-5分)】培训方案及培训计划较为完善合理，能够较好满足项目要求； 【一般[0-3分）】培训方案及培训计划合理性一般，不能满足项目要求。</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价格分采用低价优先法计算，即满足磋商文件要求且投标价格最低的投标报价为评审基准价，其价格分为满分。其他供应商的价格分统一按照下列公式计算：磋商报价得分=（评审基准价/投标报价）×价格权值×100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详见附件：具有履行合同所必需的设备和专业技术能力的说明及承诺.docx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详见附件：售后服务及培训计划.docx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