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版本号：KY2025-1-21220250409001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主院区1.5T核磁共振系统维修服务采购项目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KY2025-1-212</w:t>
      </w:r>
      <w:r>
        <w:br/>
      </w:r>
      <w:r>
        <w:br/>
      </w:r>
      <w:r>
        <w:br/>
      </w:r>
    </w:p>
    <w:p>
      <w:pPr>
        <w:pStyle w:val="null3"/>
        <w:jc w:val="center"/>
        <w:outlineLvl w:val="5"/>
      </w:pPr>
      <w:r>
        <w:rPr>
          <w:rFonts w:ascii="仿宋_GB2312" w:hAnsi="仿宋_GB2312" w:cs="仿宋_GB2312" w:eastAsia="仿宋_GB2312"/>
          <w:sz w:val="15"/>
          <w:b/>
        </w:rPr>
        <w:t>陕西省人民医院</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主院区1.5T核磁共振系统维修服务采购项目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KY2025-1-212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主院区1.5T核磁共振系统维修服务采购项目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陕西省人民医院主院区1.5T核磁共振系统维修服务采购项目，具体内容详见单一来源采购文件第三部分。</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2024年3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4、社会保障资金缴存证明：提供2024年3月至今已缴存的至少一个月的社会保障资金缴存单据或社保机构开具的社会保险参保缴费情况证明，依法不需要缴纳社会保障资金的单位应提供相关证明材料。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029-85251331-2323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余雅兰、牛佩文、刘金柯、卢韶华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银行账号：86113010750181501004129</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文件规定的招标代理服务收费标准，100万以下按规定收取，101万-500万按下浮20%收取，501万-1000万按下浮25%收取，1000万以上按下浮30%收取。 2、本项目代理服务费按服务计取。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陕西省人民医院主院区1.5T核磁共振系统维修服务采购项目，具体内容详见采购需求。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更换射频放大器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标的名称：更换射频放大器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sz w:val="28"/>
              </w:rPr>
              <w:t>一、</w:t>
            </w:r>
            <w:r>
              <w:rPr>
                <w:rFonts w:ascii="仿宋_GB2312" w:hAnsi="仿宋_GB2312" w:cs="仿宋_GB2312" w:eastAsia="仿宋_GB2312"/>
                <w:sz w:val="28"/>
              </w:rPr>
              <w:t>设备名称：核磁</w:t>
            </w:r>
          </w:p>
          <w:p>
            <w:pPr>
              <w:pStyle w:val="null3"/>
              <w:ind w:firstLine="560"/>
            </w:pPr>
            <w:r>
              <w:rPr>
                <w:rFonts w:ascii="仿宋_GB2312" w:hAnsi="仿宋_GB2312" w:cs="仿宋_GB2312" w:eastAsia="仿宋_GB2312"/>
                <w:sz w:val="28"/>
              </w:rPr>
              <w:t>型号：</w:t>
            </w:r>
            <w:r>
              <w:rPr>
                <w:rFonts w:ascii="仿宋_GB2312" w:hAnsi="仿宋_GB2312" w:cs="仿宋_GB2312" w:eastAsia="仿宋_GB2312"/>
                <w:sz w:val="28"/>
              </w:rPr>
              <w:t>MRT1503/S3</w:t>
            </w:r>
          </w:p>
          <w:p>
            <w:pPr>
              <w:pStyle w:val="null3"/>
              <w:ind w:firstLine="560"/>
            </w:pPr>
            <w:r>
              <w:rPr>
                <w:rFonts w:ascii="仿宋_GB2312" w:hAnsi="仿宋_GB2312" w:cs="仿宋_GB2312" w:eastAsia="仿宋_GB2312"/>
                <w:sz w:val="28"/>
              </w:rPr>
              <w:t>设备序列号：</w:t>
            </w:r>
            <w:r>
              <w:rPr>
                <w:rFonts w:ascii="仿宋_GB2312" w:hAnsi="仿宋_GB2312" w:cs="仿宋_GB2312" w:eastAsia="仿宋_GB2312"/>
                <w:sz w:val="28"/>
              </w:rPr>
              <w:t>D3D1282015</w:t>
            </w:r>
          </w:p>
          <w:p>
            <w:pPr>
              <w:pStyle w:val="null3"/>
              <w:ind w:firstLine="560"/>
            </w:pPr>
            <w:r>
              <w:rPr>
                <w:rFonts w:ascii="仿宋_GB2312" w:hAnsi="仿宋_GB2312" w:cs="仿宋_GB2312" w:eastAsia="仿宋_GB2312"/>
                <w:sz w:val="28"/>
              </w:rPr>
              <w:t>故障说明：射频放大器故障。</w:t>
            </w:r>
          </w:p>
          <w:p>
            <w:pPr>
              <w:pStyle w:val="null3"/>
            </w:pPr>
            <w:r>
              <w:rPr>
                <w:rFonts w:ascii="仿宋_GB2312" w:hAnsi="仿宋_GB2312" w:cs="仿宋_GB2312" w:eastAsia="仿宋_GB2312"/>
                <w:sz w:val="28"/>
              </w:rPr>
              <w:t>二、解决方案：更换射频放大器。</w:t>
            </w:r>
          </w:p>
          <w:p>
            <w:pPr>
              <w:pStyle w:val="null3"/>
            </w:pPr>
            <w:r>
              <w:rPr>
                <w:rFonts w:ascii="仿宋_GB2312" w:hAnsi="仿宋_GB2312" w:cs="仿宋_GB2312" w:eastAsia="仿宋_GB2312"/>
                <w:sz w:val="28"/>
              </w:rPr>
              <w:t>三、需采购配件的名称及型号数量</w:t>
            </w:r>
          </w:p>
          <w:p>
            <w:pPr>
              <w:pStyle w:val="null3"/>
              <w:ind w:firstLine="560"/>
            </w:pPr>
            <w:r>
              <w:rPr>
                <w:rFonts w:ascii="仿宋_GB2312" w:hAnsi="仿宋_GB2312" w:cs="仿宋_GB2312" w:eastAsia="仿宋_GB2312"/>
                <w:sz w:val="28"/>
              </w:rPr>
              <w:t>备件名称：射频放大器</w:t>
            </w:r>
          </w:p>
          <w:p>
            <w:pPr>
              <w:pStyle w:val="null3"/>
              <w:ind w:firstLine="560"/>
            </w:pPr>
            <w:r>
              <w:rPr>
                <w:rFonts w:ascii="仿宋_GB2312" w:hAnsi="仿宋_GB2312" w:cs="仿宋_GB2312" w:eastAsia="仿宋_GB2312"/>
                <w:sz w:val="28"/>
              </w:rPr>
              <w:t>数量：</w:t>
            </w:r>
            <w:r>
              <w:rPr>
                <w:rFonts w:ascii="仿宋_GB2312" w:hAnsi="仿宋_GB2312" w:cs="仿宋_GB2312" w:eastAsia="仿宋_GB2312"/>
                <w:sz w:val="28"/>
              </w:rPr>
              <w:t>1</w:t>
            </w:r>
          </w:p>
          <w:p>
            <w:pPr>
              <w:pStyle w:val="null3"/>
              <w:ind w:firstLine="560"/>
            </w:pPr>
            <w:r>
              <w:rPr>
                <w:rFonts w:ascii="仿宋_GB2312" w:hAnsi="仿宋_GB2312" w:cs="仿宋_GB2312" w:eastAsia="仿宋_GB2312"/>
                <w:sz w:val="28"/>
              </w:rPr>
              <w:t>型号：</w:t>
            </w:r>
            <w:r>
              <w:rPr>
                <w:rFonts w:ascii="仿宋_GB2312" w:hAnsi="仿宋_GB2312" w:cs="仿宋_GB2312" w:eastAsia="仿宋_GB2312"/>
                <w:sz w:val="28"/>
              </w:rPr>
              <w:t>RFAMP.TNA6420C</w:t>
            </w:r>
          </w:p>
          <w:p>
            <w:pPr>
              <w:pStyle w:val="null3"/>
              <w:ind w:firstLine="560"/>
            </w:pPr>
            <w:r>
              <w:rPr>
                <w:rFonts w:ascii="仿宋_GB2312" w:hAnsi="仿宋_GB2312" w:cs="仿宋_GB2312" w:eastAsia="仿宋_GB2312"/>
                <w:sz w:val="28"/>
              </w:rPr>
              <w:t>参数：</w:t>
            </w:r>
          </w:p>
          <w:p>
            <w:pPr>
              <w:pStyle w:val="null3"/>
              <w:ind w:firstLine="560"/>
            </w:pPr>
            <w:r>
              <w:rPr>
                <w:rFonts w:ascii="仿宋_GB2312" w:hAnsi="仿宋_GB2312" w:cs="仿宋_GB2312" w:eastAsia="仿宋_GB2312"/>
                <w:sz w:val="28"/>
              </w:rPr>
              <w:t>1、输入电压电流：电压200V，电流40A;</w:t>
            </w:r>
          </w:p>
          <w:p>
            <w:pPr>
              <w:pStyle w:val="null3"/>
              <w:ind w:firstLine="560"/>
            </w:pPr>
            <w:r>
              <w:rPr>
                <w:rFonts w:ascii="仿宋_GB2312" w:hAnsi="仿宋_GB2312" w:cs="仿宋_GB2312" w:eastAsia="仿宋_GB2312"/>
                <w:sz w:val="28"/>
              </w:rPr>
              <w:t>2、放大增益：73DB（63.86 MHz）</w:t>
            </w:r>
          </w:p>
          <w:p>
            <w:pPr>
              <w:pStyle w:val="null3"/>
              <w:ind w:firstLine="560"/>
            </w:pPr>
            <w:r>
              <w:rPr>
                <w:rFonts w:ascii="仿宋_GB2312" w:hAnsi="仿宋_GB2312" w:cs="仿宋_GB2312" w:eastAsia="仿宋_GB2312"/>
                <w:sz w:val="28"/>
              </w:rPr>
              <w:t>3、最大功率：20KW</w:t>
            </w:r>
          </w:p>
          <w:p>
            <w:pPr>
              <w:pStyle w:val="null3"/>
              <w:ind w:firstLine="560"/>
            </w:pPr>
            <w:r>
              <w:rPr>
                <w:rFonts w:ascii="仿宋_GB2312" w:hAnsi="仿宋_GB2312" w:cs="仿宋_GB2312" w:eastAsia="仿宋_GB2312"/>
                <w:sz w:val="28"/>
              </w:rPr>
              <w:t>4、输出电压：200V</w:t>
            </w:r>
          </w:p>
          <w:p>
            <w:pPr>
              <w:pStyle w:val="null3"/>
              <w:ind w:firstLine="560"/>
            </w:pPr>
            <w:r>
              <w:rPr>
                <w:rFonts w:ascii="仿宋_GB2312" w:hAnsi="仿宋_GB2312" w:cs="仿宋_GB2312" w:eastAsia="仿宋_GB2312"/>
                <w:sz w:val="28"/>
              </w:rPr>
              <w:t>5、功能：射频信号放大</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合同签订后10个日历日内。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验收合格并经甲方盖章确认之日起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1、供应商需要在线提交所有通过电子化交易平台实施的政府采购项目的响应文件。同时，编辑目录和页码，线下提交纸质响应文件正本壹份、副本贰份、电子版壹份（U盘壹份）。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余雅兰、联系电话：029-81206622-822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提供2024年3月至今已缴纳至少一个月的依法缴纳税款的相关凭据（时间以税款所属日期为准），凭据应有税务机关或代收机关的公章或业务专用章。依法免税或无须缴纳税款的供应商，应提供相关证明文件。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提供2024年3月至今已缴存的至少一个月的社会保障资金缴存单据或社保机构开具的社会保险参保缴费情况证明，依法不需要缴纳社会保障资金的单位应提供相关证明材料。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分项报价表 中小企业声明函 保证金交纳凭证 服务内容及服务要求应答表 报价表 响应文件封面 商务条款响应说明 响应方案说明 残疾人福利性单位声明函 标的清单 供应商承诺书 响应函 监狱企业的证明文件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分项报价表 中小企业声明函 保证金交纳凭证 服务内容及服务要求应答表 报价表 响应文件封面 商务条款响应说明 响应方案说明 残疾人福利性单位声明函 标的清单 供应商承诺书 响应函 监狱企业的证明文件 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保证金交纳符合单一来源采购文件要求</w:t>
            </w:r>
          </w:p>
        </w:tc>
        <w:tc>
          <w:tcPr>
            <w:tcW w:type="dxa" w:w="1661"/>
          </w:tcPr>
          <w:p>
            <w:pPr>
              <w:pStyle w:val="null3"/>
            </w:pPr>
            <w:r>
              <w:rPr>
                <w:rFonts w:ascii="仿宋_GB2312" w:hAnsi="仿宋_GB2312" w:cs="仿宋_GB2312" w:eastAsia="仿宋_GB2312"/>
              </w:rPr>
              <w:t>保证金交纳凭证</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分项报价表 中小企业声明函 保证金交纳凭证 服务内容及服务要求应答表 报价表 响应文件封面 商务条款响应说明 响应方案说明 残疾人福利性单位声明函 标的清单 供应商承诺书 响应函 监狱企业的证明文件 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分项报价表 中小企业声明函 保证金交纳凭证 服务内容及服务要求应答表 报价表 响应文件封面 商务条款响应说明 响应方案说明 残疾人福利性单位声明函 标的清单 供应商承诺书 响应函 监狱企业的证明文件 供应商资格证明文件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详见附件：商务条款响应说明</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详见附件：响应方案说明</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详见附件：保证金交纳凭证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