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版本号：N510117202500006720250418002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“古蜀望郫都·绿道悦健行”2025年郫都区绿道健身综合系列活动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N5101172025000067</w:t>
      </w:r>
    </w:p>
    <w:p>
      <w:pPr>
        <w:pStyle w:val="null3"/>
        <w:jc w:val="center"/>
        <w:outlineLvl w:val="2"/>
      </w:pPr>
      <w:r>
        <w:rPr>
          <w:rFonts w:ascii="仿宋_GB2312" w:hAnsi="仿宋_GB2312" w:cs="仿宋_GB2312" w:eastAsia="仿宋_GB2312"/>
          <w:sz w:val="28"/>
          <w:b/>
        </w:rPr>
        <w:t>成都市郫都区体育中心</w:t>
      </w:r>
    </w:p>
    <w:p>
      <w:pPr>
        <w:pStyle w:val="null3"/>
        <w:jc w:val="center"/>
        <w:outlineLvl w:val="2"/>
      </w:pPr>
      <w:r>
        <w:rPr>
          <w:rFonts w:ascii="仿宋_GB2312" w:hAnsi="仿宋_GB2312" w:cs="仿宋_GB2312" w:eastAsia="仿宋_GB2312"/>
          <w:sz w:val="28"/>
          <w:b/>
        </w:rPr>
        <w:t>四川恺拓企业管理有限公司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四川恺拓企业管理有限公司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成都市郫都区体育中心</w:t>
      </w:r>
      <w:r>
        <w:rPr>
          <w:rFonts w:ascii="仿宋_GB2312" w:hAnsi="仿宋_GB2312" w:cs="仿宋_GB2312" w:eastAsia="仿宋_GB2312"/>
        </w:rPr>
        <w:t xml:space="preserve"> 委托，拟对 </w:t>
      </w:r>
      <w:r>
        <w:rPr>
          <w:rFonts w:ascii="仿宋_GB2312" w:hAnsi="仿宋_GB2312" w:cs="仿宋_GB2312" w:eastAsia="仿宋_GB2312"/>
        </w:rPr>
        <w:t>“古蜀望郫都·绿道悦健行”2025年郫都区绿道健身综合系列活动</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成都市郫都区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N5101172025000067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“古蜀望郫都·绿道悦健行”2025年郫都区绿道健身综合系列活动</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本项目为郫都区绿道健身综合系列活动，主要实施内容：健步跑：10场（100人制：9场,300人制：1场）； 健步走：2场（100人制）； 骑行：2场（100人制）； 荧光夜跑：3场（100人制：2场，300人制：1场）； 太极拳活动：1场（100人制）； 象棋活动：1场（100人制）； 围棋活动：1场（100人制）。</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成都市郫都区体育中心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成都市郫都区郫筒蜀信路三段182号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028-64140073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四川恺拓企业管理有限公司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四川省成都市温江区四川省成都市温江区南熏大道二段102号3-4号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611130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028-82720521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代理服务费收费标准：成本+合理利润 ，合同包干价12000元。</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成都市郫都区体育中心</w:t>
      </w:r>
      <w:r>
        <w:rPr>
          <w:rFonts w:ascii="仿宋_GB2312" w:hAnsi="仿宋_GB2312" w:cs="仿宋_GB2312" w:eastAsia="仿宋_GB2312"/>
        </w:rPr>
        <w:t xml:space="preserve"> 和 </w:t>
      </w:r>
      <w:r>
        <w:rPr>
          <w:rFonts w:ascii="仿宋_GB2312" w:hAnsi="仿宋_GB2312" w:cs="仿宋_GB2312" w:eastAsia="仿宋_GB2312"/>
        </w:rPr>
        <w:t>四川恺拓企业管理有限公司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成都市郫都区体育中心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四川恺拓企业管理有限公司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项目执行完10场活动</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50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项目执行完全部活动后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50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由采购人组织，严格按照《财政部关于进一步加强政府采购需求和履约验收管理的指导意见》（财库〔2016〕205号）等政府采购相关法律法规的要求进行验收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成都市郫都区体育中心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四川恺拓企业管理有限公司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四川恺拓企业管理有限公司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联系电话：028-82720521</w:t>
      </w:r>
    </w:p>
    <w:p>
      <w:pPr>
        <w:pStyle w:val="null3"/>
        <w:jc w:val="left"/>
      </w:pPr>
      <w:r>
        <w:rPr>
          <w:rFonts w:ascii="仿宋_GB2312" w:hAnsi="仿宋_GB2312" w:cs="仿宋_GB2312" w:eastAsia="仿宋_GB2312"/>
        </w:rPr>
        <w:t>地址：四川省成都市温江区四川省成都市温江区南熏大道二段102号3-4号</w:t>
      </w:r>
    </w:p>
    <w:p>
      <w:pPr>
        <w:pStyle w:val="null3"/>
        <w:jc w:val="left"/>
      </w:pPr>
      <w:r>
        <w:rPr>
          <w:rFonts w:ascii="仿宋_GB2312" w:hAnsi="仿宋_GB2312" w:cs="仿宋_GB2312" w:eastAsia="仿宋_GB2312"/>
        </w:rPr>
        <w:t>邮编：611130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C06040100 体育组织服务</w:t>
            </w:r>
          </w:p>
        </w:tc>
        <w:tc>
          <w:tcPr>
            <w:tcW w:type="dxa" w:w="821"/>
          </w:tcPr>
          <w:p>
            <w:pPr>
              <w:pStyle w:val="null3"/>
              <w:jc w:val="left"/>
            </w:pPr>
            <w:r>
              <w:rPr>
                <w:rFonts w:ascii="仿宋_GB2312" w:hAnsi="仿宋_GB2312" w:cs="仿宋_GB2312" w:eastAsia="仿宋_GB2312"/>
              </w:rPr>
              <w:t>“古蜀望郫都·绿道悦健行”2025年郫都区绿道健身综合系列活动</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1,000,000.00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“古蜀望郫都·绿道悦健行”2025年郫都区绿道健身综合系列活动</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标的名称：“古蜀望郫都·绿道悦健行”2025年郫都区绿道健身综合系列活动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活动计划</w:t>
            </w:r>
          </w:p>
        </w:tc>
        <w:tc>
          <w:tcPr>
            <w:tcW w:type="dxa" w:w="5814"/>
          </w:tcPr>
          <w:p>
            <w:pPr>
              <w:pStyle w:val="null3"/>
              <w:jc w:val="both"/>
            </w:pPr>
            <w:r>
              <w:rPr>
                <w:rFonts w:ascii="仿宋_GB2312" w:hAnsi="仿宋_GB2312" w:cs="仿宋_GB2312" w:eastAsia="仿宋_GB2312"/>
              </w:rPr>
              <w:t>1、活动计划表</w:t>
            </w:r>
          </w:p>
          <w:tbl>
            <w:tblPr>
              <w:tblBorders>
                <w:top w:val="none" w:color="000000" w:sz="4"/>
                <w:left w:val="none" w:color="000000" w:sz="4"/>
                <w:bottom w:val="none" w:color="000000" w:sz="4"/>
                <w:right w:val="none" w:color="000000" w:sz="4"/>
                <w:insideH w:val="none"/>
                <w:insideV w:val="none"/>
              </w:tblBorders>
            </w:tblPr>
            <w:tblGrid>
              <w:gridCol w:w="452"/>
              <w:gridCol w:w="1914"/>
              <w:gridCol w:w="811"/>
              <w:gridCol w:w="884"/>
              <w:gridCol w:w="757"/>
              <w:gridCol w:w="764"/>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活动名称</w:t>
                  </w:r>
                </w:p>
              </w:tc>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拟定活动时间</w:t>
                  </w:r>
                </w:p>
              </w:tc>
              <w:tc>
                <w:tcPr>
                  <w:tcW w:type="dxa" w:w="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活动地点</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活动规模</w:t>
                  </w:r>
                </w:p>
              </w:tc>
              <w:tc>
                <w:tcPr>
                  <w:tcW w:type="dxa" w:w="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“古蜀望郫都·绿道悦健行”2025年郫都区绿道健身综合系列活动（第2站）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“古蜀望郫都·绿道悦健行”2025年郫都区绿道健身综合系列活动（第3站）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““古蜀望郫都·绿道悦健行”2025年郫都区绿道健身综合系列活动（第4站）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健步走</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“古蜀望郫都·绿道悦健行”2025年郫都区绿道健身综合系列活动（第5站）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骑行</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““古蜀望郫都·绿道悦健行”2025年郫都区绿道健身综合系列活动（第6站）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太极拳</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““古蜀望郫都·绿道悦健行”2025年郫都区绿道健身综合系列活动（第7站）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““古蜀望郫都·绿道悦健行”2025年郫都区绿道健身综合系列活动（第8站）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荧光夜跑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“古蜀望郫都·绿道悦健行”2025年郫都区绿道健身综合系列活动（第9站）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健步走</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“古蜀望郫都·绿道悦健行”2025年郫都区绿道健身综合系列活动（第10站）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骑行</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“古蜀望郫都·绿道悦健行”2025年郫都区绿道健身综合系列活动（第11站）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荧光夜跑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“古蜀望郫都·绿道悦健行”2025年郫都区绿道健身综合系列活动（第12站）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“古蜀望郫都·绿道悦健行”2025年郫都区绿道健身综合系列活动（第13站）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“古蜀望郫都·绿道悦健行”2025年郫都区绿道健身综合系列活动（第14站）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象棋</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“古蜀望郫都·绿道悦健行”2025年郫都区绿道健身综合系列活动（第15站）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荧光夜跑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“古蜀望郫都·绿道悦健行”2025年郫都区绿道健身综合系列活动（第16站）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“古蜀望郫都·绿道悦健行”2025年郫都区绿道健身综合系列活动（第17站）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围棋</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“古蜀望郫都·绿道悦健行”2025年郫都区绿道健身综合系列活动（第18站）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“古蜀望郫都·绿道悦健行”2025年郫都区绿道健身综合系列活动（第19站）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“古蜀望郫都·绿道悦健行”2025年郫都区绿道健身综合系列活动（第20站）</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活动执行前拟定</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健步跑</w:t>
                  </w:r>
                </w:p>
              </w:tc>
            </w:tr>
            <w:tr>
              <w:tc>
                <w:tcPr>
                  <w:tcW w:type="dxa" w:w="558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注：此表为预计活动内容安排，具体活动内容以活动实施为准。</w:t>
                  </w:r>
                </w:p>
              </w:tc>
            </w:tr>
          </w:tbl>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4"/>
              </w:rPr>
              <w:t>1、参加人员要求</w:t>
            </w:r>
          </w:p>
          <w:p>
            <w:pPr>
              <w:pStyle w:val="null3"/>
              <w:jc w:val="both"/>
            </w:pPr>
            <w:r>
              <w:rPr>
                <w:rFonts w:ascii="仿宋_GB2312" w:hAnsi="仿宋_GB2312" w:cs="仿宋_GB2312" w:eastAsia="仿宋_GB2312"/>
                <w:sz w:val="24"/>
              </w:rPr>
              <w:t>（一）3公里绿道健步跑、走、骑行、荧光夜跑及</w:t>
            </w:r>
            <w:r>
              <w:rPr>
                <w:rFonts w:ascii="仿宋_GB2312" w:hAnsi="仿宋_GB2312" w:cs="仿宋_GB2312" w:eastAsia="仿宋_GB2312"/>
                <w:sz w:val="24"/>
              </w:rPr>
              <w:t>太极拳、围棋、象棋</w:t>
            </w:r>
            <w:r>
              <w:rPr>
                <w:rFonts w:ascii="仿宋_GB2312" w:hAnsi="仿宋_GB2312" w:cs="仿宋_GB2312" w:eastAsia="仿宋_GB2312"/>
                <w:sz w:val="24"/>
              </w:rPr>
              <w:t>参加要求</w:t>
            </w:r>
          </w:p>
          <w:p>
            <w:pPr>
              <w:pStyle w:val="null3"/>
              <w:jc w:val="left"/>
            </w:pPr>
            <w:r>
              <w:rPr>
                <w:rFonts w:ascii="仿宋_GB2312" w:hAnsi="仿宋_GB2312" w:cs="仿宋_GB2312" w:eastAsia="仿宋_GB2312"/>
                <w:sz w:val="24"/>
              </w:rPr>
              <w:t>（1）、热爱体育健身活动，经常参加体育锻炼，无心脏病、高血压、糖尿病、心脑血管疾病及其它不适合运动的疾病，身体健康。</w:t>
            </w:r>
          </w:p>
          <w:p>
            <w:pPr>
              <w:pStyle w:val="null3"/>
              <w:jc w:val="left"/>
            </w:pPr>
            <w:r>
              <w:rPr>
                <w:rFonts w:ascii="仿宋_GB2312" w:hAnsi="仿宋_GB2312" w:cs="仿宋_GB2312" w:eastAsia="仿宋_GB2312"/>
                <w:sz w:val="24"/>
              </w:rPr>
              <w:t>（2）、凡参与活动人员男年龄在10周岁以上60周岁以下，女年龄在10周岁以上55周岁以下。报名参赛人员本人或家长须进行安全承诺签字，</w:t>
            </w:r>
            <w:r>
              <w:rPr>
                <w:rFonts w:ascii="仿宋_GB2312" w:hAnsi="仿宋_GB2312" w:cs="仿宋_GB2312" w:eastAsia="仿宋_GB2312"/>
                <w:sz w:val="24"/>
              </w:rPr>
              <w:t>太极拳、围棋、象棋，不分年龄、性别</w:t>
            </w:r>
            <w:r>
              <w:rPr>
                <w:rFonts w:ascii="仿宋_GB2312" w:hAnsi="仿宋_GB2312" w:cs="仿宋_GB2312" w:eastAsia="仿宋_GB2312"/>
                <w:sz w:val="24"/>
              </w:rPr>
              <w:t>身体健康者均可参加</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（3）、参加活动人员要严格按照活动要求一律着运动装、运动鞋。</w:t>
            </w:r>
          </w:p>
          <w:p>
            <w:pPr>
              <w:pStyle w:val="null3"/>
              <w:jc w:val="left"/>
            </w:pPr>
            <w:r>
              <w:rPr>
                <w:rFonts w:ascii="仿宋_GB2312" w:hAnsi="仿宋_GB2312" w:cs="仿宋_GB2312" w:eastAsia="仿宋_GB2312"/>
                <w:sz w:val="24"/>
              </w:rPr>
              <w:t>（4）、参加活动人员出行安全由个人自行负责，主承办方不提供交通。</w:t>
            </w:r>
          </w:p>
          <w:p>
            <w:pPr>
              <w:pStyle w:val="null3"/>
              <w:jc w:val="left"/>
            </w:pPr>
            <w:r>
              <w:rPr>
                <w:rFonts w:ascii="仿宋_GB2312" w:hAnsi="仿宋_GB2312" w:cs="仿宋_GB2312" w:eastAsia="仿宋_GB2312"/>
                <w:sz w:val="24"/>
              </w:rPr>
              <w:t>（5）、参加活动人员须服从工作人员安排，沿规定路线行进，不得嬉戏打闹中途变道，因自身造成的人身意外由本人负责，主承办方不承担责任。</w:t>
            </w:r>
          </w:p>
          <w:p>
            <w:pPr>
              <w:pStyle w:val="null3"/>
              <w:jc w:val="both"/>
            </w:pPr>
            <w:r>
              <w:rPr>
                <w:rFonts w:ascii="仿宋_GB2312" w:hAnsi="仿宋_GB2312" w:cs="仿宋_GB2312" w:eastAsia="仿宋_GB2312"/>
                <w:sz w:val="24"/>
              </w:rPr>
              <w:t>2、活动宣传：做好赛事相关宣传工作。</w:t>
            </w:r>
          </w:p>
          <w:p>
            <w:pPr>
              <w:pStyle w:val="null3"/>
              <w:jc w:val="left"/>
            </w:pPr>
            <w:r>
              <w:rPr>
                <w:rFonts w:ascii="仿宋_GB2312" w:hAnsi="仿宋_GB2312" w:cs="仿宋_GB2312" w:eastAsia="仿宋_GB2312"/>
                <w:sz w:val="24"/>
              </w:rPr>
              <w:t>3、医疗保障：（1）供应商具有组织协调拥有医疗资质相关运动类医生对活动现场进行医疗保障能力，开展活动时在活动场地为活动提供医疗服务。</w:t>
            </w:r>
          </w:p>
          <w:p>
            <w:pPr>
              <w:pStyle w:val="null3"/>
              <w:ind w:firstLine="480"/>
              <w:jc w:val="both"/>
            </w:pPr>
            <w:r>
              <w:rPr>
                <w:rFonts w:ascii="仿宋_GB2312" w:hAnsi="仿宋_GB2312" w:cs="仿宋_GB2312" w:eastAsia="仿宋_GB2312"/>
                <w:sz w:val="24"/>
                <w:shd w:fill="FFFFFF" w:val="clear"/>
              </w:rPr>
              <w:t>（2）负责落实创伤药（碘伏、双氧水、胶布、酒精、棉签、云南白药）等常规应急医疗药品配备。</w:t>
            </w:r>
          </w:p>
          <w:p>
            <w:pPr>
              <w:pStyle w:val="null3"/>
              <w:jc w:val="both"/>
            </w:pPr>
            <w:r>
              <w:rPr>
                <w:rFonts w:ascii="仿宋_GB2312" w:hAnsi="仿宋_GB2312" w:cs="仿宋_GB2312" w:eastAsia="仿宋_GB2312"/>
                <w:sz w:val="24"/>
              </w:rPr>
              <w:t>4、其它要求：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1）、奖项设</w:t>
            </w:r>
            <w:r>
              <w:rPr>
                <w:rFonts w:ascii="仿宋_GB2312" w:hAnsi="仿宋_GB2312" w:cs="仿宋_GB2312" w:eastAsia="仿宋_GB2312"/>
                <w:sz w:val="24"/>
              </w:rPr>
              <w:t>置：绿道健身综合系列活动为</w:t>
            </w:r>
            <w:r>
              <w:rPr>
                <w:rFonts w:ascii="仿宋_GB2312" w:hAnsi="仿宋_GB2312" w:cs="仿宋_GB2312" w:eastAsia="仿宋_GB2312"/>
                <w:sz w:val="24"/>
              </w:rPr>
              <w:t>全民健身项目，在规定时段内完成全程赛事的参赛人员可获得纪念品一份；太极拳、围棋、象棋项目获得前八名发放相应奖品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2）、针对本项目成立项目管理团队，管理人员不少于5人，并提供有经验的相关专业的工作人员服务本项目；提供一名项目经理负责组织项目开展工作、与采购人对接、沟通工作（提供承诺函）。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3）、实施单位负责本次系列活动包括不限于以下全部费用：起终点拱门（6米*3米）、舞台（8米*4米）、舞台地毯（45平方米）、舞台背景（8米*4米，桁架+喷绘布）、音响（舞台配套音响+音控师+话筒+话筒架+音控台）、帐篷（3米*3米，纪念品领取1、饮水点1个、医疗点1个）、桌椅（1.2米*0.6米*1米）、拍照氛围布置（手持KT板、镂空拍照背景2个）、指示牌、地贴（线路标识）、荧光夜跑及其他项目相关物料、警戒带（用于赛道路口隔离）、注水道旗、纯净水、纪念品、参赛不干胶贴、气鸣喇叭、起跑带（6米*0.3米）、摄影师、主持人、志愿者招募、医护人员（一医一护、药品一套）、健身教练、运动员保险、工作证、活动执行费、媒体宣传费等。</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b/>
              </w:rPr>
              <w:t>★</w:t>
            </w:r>
            <w:r>
              <w:rPr>
                <w:rFonts w:ascii="仿宋_GB2312" w:hAnsi="仿宋_GB2312" w:cs="仿宋_GB2312" w:eastAsia="仿宋_GB2312"/>
                <w:sz w:val="24"/>
              </w:rPr>
              <w:t>(4)、本项目实施过程中的安全责任均由供应商负责。</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自合同签订之日起210日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郫都区范围内绿道（活动执行前拟定）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满足采购文件要求</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1、签订合同后，达到付款条件起14日内，据实情况说明为合同签订后支付合同金额的50%</w:t>
            </w:r>
          </w:p>
          <w:p>
            <w:pPr>
              <w:pStyle w:val="null3"/>
              <w:jc w:val="left"/>
            </w:pPr>
            <w:r>
              <w:rPr>
                <w:rFonts w:ascii="仿宋_GB2312" w:hAnsi="仿宋_GB2312" w:cs="仿宋_GB2312" w:eastAsia="仿宋_GB2312"/>
              </w:rPr>
              <w:t>2、活动执行完10场后，达到付款条件起14日内，据实情况说明为活动执行完10场后支付合同金额的30%</w:t>
            </w:r>
          </w:p>
          <w:p>
            <w:pPr>
              <w:pStyle w:val="null3"/>
              <w:jc w:val="left"/>
            </w:pPr>
            <w:r>
              <w:rPr>
                <w:rFonts w:ascii="仿宋_GB2312" w:hAnsi="仿宋_GB2312" w:cs="仿宋_GB2312" w:eastAsia="仿宋_GB2312"/>
              </w:rPr>
              <w:t>3、活动执行完毕后，并验收合格，达到付款条件起14日内，据实情况说明为活动执行完毕后，并验收合格后据实支付剩余合同价款</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均可变动</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采购文件中的实质性要求</w:t>
            </w:r>
          </w:p>
        </w:tc>
        <w:tc>
          <w:tcPr>
            <w:tcW w:type="dxa" w:w="3322"/>
          </w:tcPr>
          <w:p>
            <w:pPr>
              <w:pStyle w:val="null3"/>
              <w:jc w:val="left"/>
            </w:pPr>
            <w:r>
              <w:rPr>
                <w:rFonts w:ascii="仿宋_GB2312" w:hAnsi="仿宋_GB2312" w:cs="仿宋_GB2312" w:eastAsia="仿宋_GB2312"/>
              </w:rPr>
              <w:t>根据磋商文件要求进行评审</w:t>
            </w:r>
          </w:p>
        </w:tc>
        <w:tc>
          <w:tcPr>
            <w:tcW w:type="dxa" w:w="1910"/>
          </w:tcPr>
          <w:p>
            <w:pPr>
              <w:pStyle w:val="null3"/>
              <w:jc w:val="left"/>
            </w:pPr>
            <w:r>
              <w:rPr>
                <w:rFonts w:ascii="仿宋_GB2312" w:hAnsi="仿宋_GB2312" w:cs="仿宋_GB2312" w:eastAsia="仿宋_GB2312"/>
              </w:rPr>
              <w:t>技术、服务要求应答表.docx,供应商认为可以提供的其它资料.docx,报价明细表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活动总体策划方案、组织方案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需求分析</w:t>
            </w:r>
          </w:p>
        </w:tc>
        <w:tc>
          <w:tcPr>
            <w:tcW w:type="dxa" w:w="2575"/>
          </w:tcPr>
          <w:p>
            <w:pPr>
              <w:pStyle w:val="null3"/>
              <w:jc w:val="left"/>
            </w:pPr>
            <w:r>
              <w:rPr>
                <w:rFonts w:ascii="仿宋_GB2312" w:hAnsi="仿宋_GB2312" w:cs="仿宋_GB2312" w:eastAsia="仿宋_GB2312"/>
              </w:rPr>
              <w:t>根据供应商结合本项目的特点提供的需求分析（包含：①活动举办的背景理解和认识、②服务过程中的重难点分析）进行评定，以上方案内容齐全的得10分，每有一项内容缺失扣5分，每有一处内容有缺陷的扣2.5分，直至本项分值扣完为止。 注：缺陷是指存在项目名称错误、地点区域错误、内容与本项目需求无关、方案内容矛盾或表述前后不一致、仅有框架或标题、适用的标准（方法）错误、明显复制其他项目内容任意一种情形。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供应商认为可以提供的其它资料.docx</w:t>
            </w:r>
          </w:p>
        </w:tc>
      </w:tr>
      <w:tr>
        <w:tc>
          <w:tcPr>
            <w:tcW w:type="dxa" w:w="831"/>
            <w:vMerge/>
          </w:tcPr>
          <w:p/>
        </w:tc>
        <w:tc>
          <w:tcPr>
            <w:tcW w:type="dxa" w:w="1661"/>
          </w:tcPr>
          <w:p>
            <w:pPr>
              <w:pStyle w:val="null3"/>
              <w:jc w:val="left"/>
            </w:pPr>
            <w:r>
              <w:rPr>
                <w:rFonts w:ascii="仿宋_GB2312" w:hAnsi="仿宋_GB2312" w:cs="仿宋_GB2312" w:eastAsia="仿宋_GB2312"/>
              </w:rPr>
              <w:t>活动总体策划方案、组织方案</w:t>
            </w:r>
          </w:p>
        </w:tc>
        <w:tc>
          <w:tcPr>
            <w:tcW w:type="dxa" w:w="2575"/>
          </w:tcPr>
          <w:p>
            <w:pPr>
              <w:pStyle w:val="null3"/>
              <w:jc w:val="left"/>
            </w:pPr>
            <w:r>
              <w:rPr>
                <w:rFonts w:ascii="仿宋_GB2312" w:hAnsi="仿宋_GB2312" w:cs="仿宋_GB2312" w:eastAsia="仿宋_GB2312"/>
              </w:rPr>
              <w:t>根据供应商结合本项目的特点提供的赛事总体策划方案、组织方案（包含：①活动策划方案、②活动总体执行方案、③交通组织方案、④医疗保障执行方案、⑤活动规程、⑥日程安排、⑦活动路线图）进行评定，以上方案内容齐全的得28分，每有一项内容缺失扣4分，每有一处内容有缺陷的扣2分，直至本项分值扣完为止。 注：缺陷是指存在项目名称错误、地点区域错误、内容与本项目需求无关、方案内容矛盾或表述前后不一致、仅有框架或标题、适用的标准（方法）错误、明显复制其他项目内容任意一种情形。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供应商认为可以提供的其它资料.docx</w:t>
            </w:r>
          </w:p>
        </w:tc>
      </w:tr>
      <w:tr>
        <w:tc>
          <w:tcPr>
            <w:tcW w:type="dxa" w:w="831"/>
            <w:vMerge/>
          </w:tcPr>
          <w:p/>
        </w:tc>
        <w:tc>
          <w:tcPr>
            <w:tcW w:type="dxa" w:w="1661"/>
          </w:tcPr>
          <w:p>
            <w:pPr>
              <w:pStyle w:val="null3"/>
              <w:jc w:val="left"/>
            </w:pPr>
            <w:r>
              <w:rPr>
                <w:rFonts w:ascii="仿宋_GB2312" w:hAnsi="仿宋_GB2312" w:cs="仿宋_GB2312" w:eastAsia="仿宋_GB2312"/>
              </w:rPr>
              <w:t>活动宣传保障措施</w:t>
            </w:r>
          </w:p>
        </w:tc>
        <w:tc>
          <w:tcPr>
            <w:tcW w:type="dxa" w:w="2575"/>
          </w:tcPr>
          <w:p>
            <w:pPr>
              <w:pStyle w:val="null3"/>
              <w:jc w:val="left"/>
            </w:pPr>
            <w:r>
              <w:rPr>
                <w:rFonts w:ascii="仿宋_GB2312" w:hAnsi="仿宋_GB2312" w:cs="仿宋_GB2312" w:eastAsia="仿宋_GB2312"/>
              </w:rPr>
              <w:t>根据供应商结合本项目的特点提供的赛事活动媒体宣传保障措施（包含：①活动前宣传阶段、②活动中宣传阶段、③活动后宣传阶段、④宣传效果预计）进行评定，以上方案内容齐全的得16分，每有一项内容缺失扣4分，每有一处内容有缺陷的扣2分，直至本项分值扣完为止。 注：缺陷是指存在项目名称错误、地点区域错误、内容与本项目需求无关、方案内容矛盾或表述前后不一致、仅有框架或标题、适用的标准（方法）错误、明显复制其他项目内容任意一种情形。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供应商认为可以提供的其它资料.docx</w:t>
            </w:r>
          </w:p>
        </w:tc>
      </w:tr>
      <w:tr>
        <w:tc>
          <w:tcPr>
            <w:tcW w:type="dxa" w:w="831"/>
            <w:vMerge/>
          </w:tcPr>
          <w:p/>
        </w:tc>
        <w:tc>
          <w:tcPr>
            <w:tcW w:type="dxa" w:w="1661"/>
          </w:tcPr>
          <w:p>
            <w:pPr>
              <w:pStyle w:val="null3"/>
              <w:jc w:val="left"/>
            </w:pPr>
            <w:r>
              <w:rPr>
                <w:rFonts w:ascii="仿宋_GB2312" w:hAnsi="仿宋_GB2312" w:cs="仿宋_GB2312" w:eastAsia="仿宋_GB2312"/>
              </w:rPr>
              <w:t>安全应急预案</w:t>
            </w:r>
          </w:p>
        </w:tc>
        <w:tc>
          <w:tcPr>
            <w:tcW w:type="dxa" w:w="2575"/>
          </w:tcPr>
          <w:p>
            <w:pPr>
              <w:pStyle w:val="null3"/>
              <w:jc w:val="left"/>
            </w:pPr>
            <w:r>
              <w:rPr>
                <w:rFonts w:ascii="仿宋_GB2312" w:hAnsi="仿宋_GB2312" w:cs="仿宋_GB2312" w:eastAsia="仿宋_GB2312"/>
              </w:rPr>
              <w:t>根据供应商结合本项目的特点提供的安全应急措施（包含：①突发性公共安全应急预案、②医疗保障应急方案）进行评定，以上方案内容齐全的得8分，每有一项内容缺失扣4分，每有一处内容有缺陷的扣2分，直至本项分值扣完为止。 注：缺陷是指存在项目名称错误、地点区域错误、内容与本项目需求无关、方案内容矛盾或表述前后不一致、仅有框架或标题、适用的标准（方法）错误、明显复制其他项目内容任意一种情形。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供应商认为可以提供的其它资料.docx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评审委员会根据供应商提供类似项目业绩进行评审，每具有一个类似业绩得5分，最多得10分。 注：需提供合同或中标（成交）通知书扫描件并加盖供应商电子章。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业绩表.docx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本次活动满足磋商文件人员要求外每增加一名工作人员得2分，最多得10分，可提供承诺函。</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供应商认为可以提供的其它资料.docx</w:t>
            </w:r>
          </w:p>
        </w:tc>
      </w:tr>
      <w:tr>
        <w:tc>
          <w:tcPr>
            <w:tcW w:type="dxa" w:w="831"/>
            <w:vMerge/>
          </w:tcPr>
          <w:p/>
        </w:tc>
        <w:tc>
          <w:tcPr>
            <w:tcW w:type="dxa" w:w="1661"/>
          </w:tcPr>
          <w:p>
            <w:pPr>
              <w:pStyle w:val="null3"/>
              <w:jc w:val="left"/>
            </w:pPr>
            <w:r>
              <w:rPr>
                <w:rFonts w:ascii="仿宋_GB2312" w:hAnsi="仿宋_GB2312" w:cs="仿宋_GB2312" w:eastAsia="仿宋_GB2312"/>
              </w:rPr>
              <w:t>服务要求</w:t>
            </w:r>
          </w:p>
        </w:tc>
        <w:tc>
          <w:tcPr>
            <w:tcW w:type="dxa" w:w="2575"/>
          </w:tcPr>
          <w:p>
            <w:pPr>
              <w:pStyle w:val="null3"/>
              <w:jc w:val="left"/>
            </w:pPr>
            <w:r>
              <w:rPr>
                <w:rFonts w:ascii="仿宋_GB2312" w:hAnsi="仿宋_GB2312" w:cs="仿宋_GB2312" w:eastAsia="仿宋_GB2312"/>
              </w:rPr>
              <w:t>完全符合磋商文件第三章3.3.1服务要求中人员要求没有负偏离得8分；低于磋商文件要求的（负偏离），一项扣1.6（共5项）。 注：以序号1，2，3......标注为一项。</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技术、服务要求应答表.docx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详见附件：技术、服务要求应答表.docx</w:t>
      </w:r>
    </w:p>
    <w:p>
      <w:pPr>
        <w:pStyle w:val="null3"/>
        <w:ind w:firstLine="960"/>
        <w:jc w:val="left"/>
      </w:pPr>
      <w:r>
        <w:rPr>
          <w:rFonts w:ascii="仿宋_GB2312" w:hAnsi="仿宋_GB2312" w:cs="仿宋_GB2312" w:eastAsia="仿宋_GB2312"/>
        </w:rPr>
        <w:t>详见附件：业绩表.docx</w:t>
      </w:r>
    </w:p>
    <w:p>
      <w:pPr>
        <w:pStyle w:val="null3"/>
        <w:ind w:firstLine="960"/>
        <w:jc w:val="left"/>
      </w:pPr>
      <w:r>
        <w:rPr>
          <w:rFonts w:ascii="仿宋_GB2312" w:hAnsi="仿宋_GB2312" w:cs="仿宋_GB2312" w:eastAsia="仿宋_GB2312"/>
        </w:rPr>
        <w:t>详见附件：供应商认为可以提供的其它资料.docx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