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海南省海洋生态现状调查和预警监测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HNZC2025-052-001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海南省海洋监测预报中心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海南省海洋监测预报中心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海南省海洋生态现状调查和预警监测</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HNZC2025-052-001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海南省海洋生态现状调查和预警监测</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3,433,500.00元</w:t>
      </w:r>
      <w:r>
        <w:rPr>
          <w:rFonts w:ascii="仿宋_GB2312" w:hAnsi="仿宋_GB2312" w:cs="仿宋_GB2312" w:eastAsia="仿宋_GB2312"/>
        </w:rPr>
        <w:t>叁佰肆拾叁万叁仟伍佰元整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合同签订生效之日起1年。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合同签订生效之日起1年。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1、资质条件：具有中国国家认证认可监督管理委员会或省级质量技术监督局颁发的检验检测机构资质认定证书（CMA）（证明材料：提供相关资质证书加盖公章）</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海南省海洋监测预报中心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海南省海口市龙华区友谊路21号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13698929069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采购包2：1,070,000.00元</w:t>
            </w:r>
          </w:p>
          <w:p>
            <w:pPr>
              <w:pStyle w:val="null3"/>
              <w:jc w:val="left"/>
            </w:pPr>
            <w:r>
              <w:rPr>
                <w:rFonts w:ascii="仿宋_GB2312" w:hAnsi="仿宋_GB2312" w:cs="仿宋_GB2312" w:eastAsia="仿宋_GB2312"/>
              </w:rPr>
              <w:t>采购包3：400,000.00元</w:t>
            </w:r>
          </w:p>
          <w:p>
            <w:pPr>
              <w:pStyle w:val="null3"/>
              <w:jc w:val="left"/>
            </w:pPr>
            <w:r>
              <w:rPr>
                <w:rFonts w:ascii="仿宋_GB2312" w:hAnsi="仿宋_GB2312" w:cs="仿宋_GB2312" w:eastAsia="仿宋_GB2312"/>
              </w:rPr>
              <w:t>采购包4：1,100,050.00元</w:t>
            </w:r>
          </w:p>
          <w:p>
            <w:pPr>
              <w:pStyle w:val="null3"/>
              <w:jc w:val="left"/>
            </w:pPr>
            <w:r>
              <w:rPr>
                <w:rFonts w:ascii="仿宋_GB2312" w:hAnsi="仿宋_GB2312" w:cs="仿宋_GB2312" w:eastAsia="仿宋_GB2312"/>
              </w:rPr>
              <w:t>采购包5：363,450.00元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采购包2：分包比例8%，分包履行的内容：分包具体要求如下: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采购包3：分包比例8%，分包履行的内容：分包具体要求如下: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采购包4：分包比例8%，分包履行的内容：分包具体要求如下: 1、投标人根据招标文件的规定和采购项目的实际情况，拟在中标后将中标项目的非主体、非关键性工作分包的,应当在投标文件中载明分包承担主体分包承担主体应当具备相应资质条件(提供有效的合法机构颁发的检验检测机构资质认定证书(CMA))且不得再次分包。分包供应商履行的分包项目的品牌、规格型号及技术要求等，必须与中标的一致。 2、分包履行合同的部分应当为采购项目的非主体、非关键性工作，不属于中标人的主要合同义务。本项目可以分包履行的具体内容金额或者比例：允许中标人分包非主体、非关键性工作为《调查内容》的“环境要素”，分包金额不超过合同金额的 8%。</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A包:珊瑚礁生态系统预警监测。</w:t>
      </w:r>
      <w:r>
        <w:br/>
      </w:r>
      <w:r>
        <w:rPr>
          <w:rFonts w:ascii="仿宋_GB2312" w:hAnsi="仿宋_GB2312" w:cs="仿宋_GB2312" w:eastAsia="仿宋_GB2312"/>
        </w:rPr>
        <w:t xml:space="preserve">   开展三亚珊瑚礁生态系统预警监测，同步开展珊瑚群落、礁栖生物和环境要素监测及压力因素调查，并选关键物种、关键生境指标、关键压力因素，设立风险阈值，开展分级预警，制作预警产品。重点关注珊瑚白化、敌害生物暴发等生态问题对珊瑚礁生态系统的影响。</w:t>
      </w:r>
      <w:r>
        <w:br/>
      </w:r>
      <w:r>
        <w:rPr>
          <w:rFonts w:ascii="仿宋_GB2312" w:hAnsi="仿宋_GB2312" w:cs="仿宋_GB2312" w:eastAsia="仿宋_GB2312"/>
        </w:rPr>
        <w:t xml:space="preserve"> B包:海草床、海藻场生态系统预警监测。</w:t>
      </w:r>
      <w:r>
        <w:br/>
      </w:r>
      <w:r>
        <w:rPr>
          <w:rFonts w:ascii="仿宋_GB2312" w:hAnsi="仿宋_GB2312" w:cs="仿宋_GB2312" w:eastAsia="仿宋_GB2312"/>
        </w:rPr>
        <w:t xml:space="preserve">   ①开展文昌高隆湾-长圮港和琼海青葛-龙湾海草床生态系统预警监测，同步开展海草床资源、海草群落生物、底质环境（表层）和水环境监测及威胁因素调查，跟踪掌握各生态系统中存在的海草床分布面积减小和退化、底栖生物群落结构改变、水体环境恶化等生态问题。遴选关键物种、关键生境指标、关键压力要素，设立风险阈值，开展分级预警，制作预警产品。重点关注海草植被受损、大型藻类竞争干扰、互花米草竞争干扰等生态问题。</w:t>
      </w:r>
      <w:r>
        <w:br/>
      </w:r>
      <w:r>
        <w:rPr>
          <w:rFonts w:ascii="仿宋_GB2312" w:hAnsi="仿宋_GB2312" w:cs="仿宋_GB2312" w:eastAsia="仿宋_GB2312"/>
        </w:rPr>
        <w:t xml:space="preserve">   ②开展海南麒麟菜省级自然保护区海藻场生态预警监测，同步开展大型海藻群落、生物群落和环境要素监测及威胁因素调查，跟踪掌握海藻场生态系统中存在的大型藻类沿海分布格局演变、海藻场面积减小或消失、支撑藻种资源衰退、藻场群落结构改变等生态问题，以及陆源污染、海水养殖、工程建设、气候变化等压力因素对生态系统的影响，发现当地面临的主要生态问题后及时开展分级预警。</w:t>
      </w:r>
      <w:r>
        <w:br/>
      </w:r>
      <w:r>
        <w:rPr>
          <w:rFonts w:ascii="仿宋_GB2312" w:hAnsi="仿宋_GB2312" w:cs="仿宋_GB2312" w:eastAsia="仿宋_GB2312"/>
        </w:rPr>
        <w:t xml:space="preserve"> C包：红树林生态系统预警监测。</w:t>
      </w:r>
      <w:r>
        <w:br/>
      </w:r>
      <w:r>
        <w:rPr>
          <w:rFonts w:ascii="仿宋_GB2312" w:hAnsi="仿宋_GB2312" w:cs="仿宋_GB2312" w:eastAsia="仿宋_GB2312"/>
        </w:rPr>
        <w:t xml:space="preserve">   开展海南东寨港国家级自然保护区红树林生态系统预警监测，对红树林生态系统开展定点监测，跟踪掌握各生态系统中存在的红树林面积减少，生态功能退化、群落结构简单化以及生物多样性降低等生态问题，以及人类活动、生物入侵、病害敌害生物增加等压力因素对生态系统的影响。对红树林生态系统开展生态预警，遴选关键物种、关键生境指标、关键压力因素，设立风险阈值，开展分级预警，制作预警产品。</w:t>
      </w:r>
      <w:r>
        <w:br/>
      </w:r>
      <w:r>
        <w:rPr>
          <w:rFonts w:ascii="仿宋_GB2312" w:hAnsi="仿宋_GB2312" w:cs="仿宋_GB2312" w:eastAsia="仿宋_GB2312"/>
        </w:rPr>
        <w:t xml:space="preserve"> D包：河口、海湾、砂质海岸生态系统预警监测。</w:t>
      </w:r>
      <w:r>
        <w:br/>
      </w:r>
      <w:r>
        <w:rPr>
          <w:rFonts w:ascii="仿宋_GB2312" w:hAnsi="仿宋_GB2312" w:cs="仿宋_GB2312" w:eastAsia="仿宋_GB2312"/>
        </w:rPr>
        <w:t xml:space="preserve">   ①开展南渡江河口预警监测，动态掌握河口生态系统滨海湿地、生物群落、河口生境和生态压力等情况，及压力因素对生态系统的影响。遴选关键物种、关键生境指标、关键压力因素，设立风险阈值，开展分级预警，制作预警产品。</w:t>
      </w:r>
      <w:r>
        <w:br/>
      </w:r>
      <w:r>
        <w:rPr>
          <w:rFonts w:ascii="仿宋_GB2312" w:hAnsi="仿宋_GB2312" w:cs="仿宋_GB2312" w:eastAsia="仿宋_GB2312"/>
        </w:rPr>
        <w:t xml:space="preserve">   ②开展三亚湾海湾生态预警监测，同步开展海湾生境和海湾生物监测及威胁因素调查，跟踪掌握海湾生态系统中存在的鸟类栖息地丧失、水体环境恶化、渔业资源锐减以及生物多样性降低等生态问题，以及工程建设、陆源排污、捕捞养殖、互花米草入侵、海平面上升等压力因素对生态系统的影响，发现当地面临的主要生态问题后及时开展分级预警。</w:t>
      </w:r>
      <w:r>
        <w:br/>
      </w:r>
      <w:r>
        <w:rPr>
          <w:rFonts w:ascii="仿宋_GB2312" w:hAnsi="仿宋_GB2312" w:cs="仿宋_GB2312" w:eastAsia="仿宋_GB2312"/>
        </w:rPr>
        <w:t xml:space="preserve">   ③开展三亚亚龙湾砂质海岸生态预警监测，同步开展海滩特征、生物群落和环境要素监测及威胁因素调查，跟踪掌握砂质海岸生态系统中存在的岸线侵蚀、垃圾污染、景观破碎化等生态问题，以及工程建设、围海养殖、海平面上升等压力因素对生态系统的影响，发现当地面临的主要生态问题后及时开展分级预警。</w:t>
      </w:r>
      <w:r>
        <w:br/>
      </w:r>
      <w:r>
        <w:rPr>
          <w:rFonts w:ascii="仿宋_GB2312" w:hAnsi="仿宋_GB2312" w:cs="仿宋_GB2312" w:eastAsia="仿宋_GB2312"/>
        </w:rPr>
        <w:t xml:space="preserve"> E包：海南省海洋生态预警监测成果编制。                                            </w:t>
      </w:r>
      <w:r>
        <w:br/>
      </w:r>
      <w:r>
        <w:rPr>
          <w:rFonts w:ascii="仿宋_GB2312" w:hAnsi="仿宋_GB2312" w:cs="仿宋_GB2312" w:eastAsia="仿宋_GB2312"/>
        </w:rPr>
        <w:t xml:space="preserve">   根据A包-D包的成果产品，完成相关数据的矢量化，编制2025年海南省海洋生态预警监测状况报告及海南省（十四五）海洋生态预警监测状况报告、海南省近岸海域生态四级分区技术报告、海南省海洋生态类型清单和海南省海洋生态图技术报告、海南省海洋生态问题清单，更新完善2025年海南省海洋生态图集及海南省（“十四五”）海洋生态图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A包珊瑚礁生态系统预警监测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1,070,000.00</w:t>
      </w:r>
    </w:p>
    <w:p>
      <w:pPr>
        <w:pStyle w:val="null3"/>
        <w:jc w:val="left"/>
      </w:pPr>
      <w:r>
        <w:rPr>
          <w:rFonts w:ascii="仿宋_GB2312" w:hAnsi="仿宋_GB2312" w:cs="仿宋_GB2312" w:eastAsia="仿宋_GB2312"/>
        </w:rPr>
        <w:t>采购包最高限价（元）: 1,070,000.00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B包海草床、海藻场生态系统预警监测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C包红树林生态系统预警监测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1,100,050.00</w:t>
      </w:r>
    </w:p>
    <w:p>
      <w:pPr>
        <w:pStyle w:val="null3"/>
        <w:jc w:val="left"/>
      </w:pPr>
      <w:r>
        <w:rPr>
          <w:rFonts w:ascii="仿宋_GB2312" w:hAnsi="仿宋_GB2312" w:cs="仿宋_GB2312" w:eastAsia="仿宋_GB2312"/>
        </w:rPr>
        <w:t>采购包最高限价（元）: 1,100,050.00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D包河口、海湾、砂质海岸生态系统预警监测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363,450.00</w:t>
      </w:r>
    </w:p>
    <w:p>
      <w:pPr>
        <w:pStyle w:val="null3"/>
        <w:jc w:val="left"/>
      </w:pPr>
      <w:r>
        <w:rPr>
          <w:rFonts w:ascii="仿宋_GB2312" w:hAnsi="仿宋_GB2312" w:cs="仿宋_GB2312" w:eastAsia="仿宋_GB2312"/>
        </w:rPr>
        <w:t>采购包最高限价（元）: 363,450.00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E包海南省海洋生态预警监测成果编制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363,450.00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A包珊瑚礁生态系统预警监测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B包海草床、海藻场生态系统预警监测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C包红树林生态系统预警监测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D包河口、海湾、砂质海岸生态系统预警监测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E包海南省海洋生态预警监测成果编制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363,450.00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标的名称：A包珊瑚礁生态系统预警监测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三亚市珊瑚礁保护区。</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监测内容包括珊瑚群落、礁栖生物和环境要素监测及压力因素（调查内容见表1），预警内容包括珊瑚白化预警、敌害生物暴发预警、近岸多重环境压力下的生态系统预警。</w:t>
            </w:r>
            <w:r>
              <w:br/>
            </w:r>
            <w:r>
              <w:rPr>
                <w:rFonts w:ascii="仿宋_GB2312" w:hAnsi="仿宋_GB2312" w:cs="仿宋_GB2312" w:eastAsia="仿宋_GB2312"/>
              </w:rPr>
              <w:t xml:space="preserve">                                          </w:t>
            </w:r>
            <w:r>
              <w:rPr>
                <w:rFonts w:ascii="仿宋_GB2312" w:hAnsi="仿宋_GB2312" w:cs="仿宋_GB2312" w:eastAsia="仿宋_GB2312"/>
                <w:b/>
              </w:rPr>
              <w:t>表1 三亚海域珊瑚礁生态预警监测内容和监测要素（*为选测指标）</w:t>
            </w:r>
          </w:p>
          <w:tbl>
            <w:tblPr>
              <w:tblBorders>
                <w:top w:val="none" w:color="000000" w:sz="4"/>
                <w:left w:val="none" w:color="000000" w:sz="4"/>
                <w:bottom w:val="none" w:color="000000" w:sz="4"/>
                <w:right w:val="none" w:color="000000" w:sz="4"/>
                <w:insideH w:val="none"/>
                <w:insideV w:val="none"/>
              </w:tblBorders>
            </w:tblPr>
            <w:tblGrid>
              <w:gridCol w:w="388"/>
              <w:gridCol w:w="1814"/>
              <w:gridCol w:w="345"/>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监测内容</w:t>
                  </w:r>
                </w:p>
              </w:tc>
              <w:tc>
                <w:tcPr>
                  <w:tcW w:type="dxa" w:w="1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监测要素</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珊瑚群落</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造礁石珊瑚：种类、活珊瑚覆盖度、珊瑚死亡率、硬珊瑚补充量、珊瑚白化率、珊瑚形态组成</w:t>
                  </w:r>
                  <w:r>
                    <w:rPr>
                      <w:rFonts w:ascii="仿宋_GB2312" w:hAnsi="仿宋_GB2312" w:cs="仿宋_GB2312" w:eastAsia="仿宋_GB2312"/>
                      <w:sz w:val="21"/>
                    </w:rPr>
                    <w:t>*</w:t>
                  </w:r>
                  <w:r>
                    <w:rPr>
                      <w:rFonts w:ascii="仿宋_GB2312" w:hAnsi="仿宋_GB2312" w:cs="仿宋_GB2312" w:eastAsia="仿宋_GB2312"/>
                      <w:sz w:val="21"/>
                    </w:rPr>
                    <w:t>（团块状、叶状、板状、皮壳状、分枝状、柱状等）</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礁栖生物</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珊瑚礁鱼类：种类、丰度与体长范围</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大型底栖无脊椎动物：种类、密度</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珊瑚敌害生物：长棘海星、核果螺的种类、密度</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大型底栖藻类：种类、覆盖度、高度</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环境要素</w:t>
                  </w: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海水：盐度、</w:t>
                  </w:r>
                  <w:r>
                    <w:rPr>
                      <w:rFonts w:ascii="仿宋_GB2312" w:hAnsi="仿宋_GB2312" w:cs="仿宋_GB2312" w:eastAsia="仿宋_GB2312"/>
                      <w:sz w:val="21"/>
                    </w:rPr>
                    <w:t>pH</w:t>
                  </w:r>
                  <w:r>
                    <w:rPr>
                      <w:rFonts w:ascii="仿宋_GB2312" w:hAnsi="仿宋_GB2312" w:cs="仿宋_GB2312" w:eastAsia="仿宋_GB2312"/>
                      <w:sz w:val="21"/>
                    </w:rPr>
                    <w:t>、溶解氧</w:t>
                  </w:r>
                  <w:r>
                    <w:rPr>
                      <w:rFonts w:ascii="仿宋_GB2312" w:hAnsi="仿宋_GB2312" w:cs="仿宋_GB2312" w:eastAsia="仿宋_GB2312"/>
                      <w:sz w:val="21"/>
                    </w:rPr>
                    <w:t>*</w:t>
                  </w:r>
                  <w:r>
                    <w:rPr>
                      <w:rFonts w:ascii="仿宋_GB2312" w:hAnsi="仿宋_GB2312" w:cs="仿宋_GB2312" w:eastAsia="仿宋_GB2312"/>
                      <w:sz w:val="21"/>
                    </w:rPr>
                    <w:t>、浊度、硝酸盐、亚硝酸盐、氨氮、活性磷酸盐、总氮</w:t>
                  </w:r>
                  <w:r>
                    <w:rPr>
                      <w:rFonts w:ascii="仿宋_GB2312" w:hAnsi="仿宋_GB2312" w:cs="仿宋_GB2312" w:eastAsia="仿宋_GB2312"/>
                      <w:sz w:val="21"/>
                    </w:rPr>
                    <w:t>*</w:t>
                  </w:r>
                  <w:r>
                    <w:rPr>
                      <w:rFonts w:ascii="仿宋_GB2312" w:hAnsi="仿宋_GB2312" w:cs="仿宋_GB2312" w:eastAsia="仿宋_GB2312"/>
                      <w:sz w:val="21"/>
                    </w:rPr>
                    <w:t>、总磷</w:t>
                  </w:r>
                  <w:r>
                    <w:rPr>
                      <w:rFonts w:ascii="仿宋_GB2312" w:hAnsi="仿宋_GB2312" w:cs="仿宋_GB2312" w:eastAsia="仿宋_GB2312"/>
                      <w:sz w:val="21"/>
                    </w:rPr>
                    <w:t>*</w:t>
                  </w:r>
                  <w:r>
                    <w:rPr>
                      <w:rFonts w:ascii="仿宋_GB2312" w:hAnsi="仿宋_GB2312" w:cs="仿宋_GB2312" w:eastAsia="仿宋_GB2312"/>
                      <w:sz w:val="21"/>
                    </w:rPr>
                    <w:t>、叶绿素</w:t>
                  </w:r>
                  <w:r>
                    <w:rPr>
                      <w:rFonts w:ascii="仿宋_GB2312" w:hAnsi="仿宋_GB2312" w:cs="仿宋_GB2312" w:eastAsia="仿宋_GB2312"/>
                      <w:sz w:val="21"/>
                    </w:rPr>
                    <w:t>a</w:t>
                  </w:r>
                  <w:r>
                    <w:rPr>
                      <w:rFonts w:ascii="仿宋_GB2312" w:hAnsi="仿宋_GB2312" w:cs="仿宋_GB2312" w:eastAsia="仿宋_GB2312"/>
                      <w:sz w:val="21"/>
                    </w:rPr>
                    <w:t>、悬浮物、化学需氧量、油类</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水文气象：水温、透明度、水深、海况</w:t>
                  </w:r>
                  <w:r>
                    <w:rPr>
                      <w:rFonts w:ascii="仿宋_GB2312" w:hAnsi="仿宋_GB2312" w:cs="仿宋_GB2312" w:eastAsia="仿宋_GB2312"/>
                      <w:sz w:val="21"/>
                    </w:rPr>
                    <w:t>*</w:t>
                  </w:r>
                  <w:r>
                    <w:rPr>
                      <w:rFonts w:ascii="仿宋_GB2312" w:hAnsi="仿宋_GB2312" w:cs="仿宋_GB2312" w:eastAsia="仿宋_GB2312"/>
                      <w:sz w:val="21"/>
                    </w:rPr>
                    <w:t>、简易天气状况</w:t>
                  </w:r>
                  <w:r>
                    <w:rPr>
                      <w:rFonts w:ascii="仿宋_GB2312" w:hAnsi="仿宋_GB2312" w:cs="仿宋_GB2312" w:eastAsia="仿宋_GB2312"/>
                      <w:sz w:val="21"/>
                    </w:rPr>
                    <w:t>*</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88"/>
                  <w:vMerge/>
                  <w:tcBorders>
                    <w:top w:val="none" w:color="000000" w:sz="4"/>
                    <w:left w:val="single" w:color="000000" w:sz="4"/>
                    <w:bottom w:val="single" w:color="000000" w:sz="4"/>
                    <w:right w:val="single" w:color="000000" w:sz="4"/>
                  </w:tcBorders>
                </w:tcPr>
                <w:p/>
              </w:tc>
              <w:tc>
                <w:tcPr>
                  <w:tcW w:type="dxa" w:w="1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沉积物：粒度</w:t>
                  </w:r>
                  <w:r>
                    <w:rPr>
                      <w:rFonts w:ascii="仿宋_GB2312" w:hAnsi="仿宋_GB2312" w:cs="仿宋_GB2312" w:eastAsia="仿宋_GB2312"/>
                      <w:sz w:val="21"/>
                    </w:rPr>
                    <w:t>*</w:t>
                  </w:r>
                  <w:r>
                    <w:rPr>
                      <w:rFonts w:ascii="仿宋_GB2312" w:hAnsi="仿宋_GB2312" w:cs="仿宋_GB2312" w:eastAsia="仿宋_GB2312"/>
                      <w:sz w:val="21"/>
                    </w:rPr>
                    <w:t>、礁石区泥沙覆盖情况、底质类型覆盖率</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三亚珊瑚礁生态状况监测布设站位10个，其中珊瑚礁保护区核心区布设6个站位（见表2）。</w:t>
            </w:r>
          </w:p>
          <w:p>
            <w:pPr>
              <w:pStyle w:val="null3"/>
              <w:jc w:val="center"/>
            </w:pPr>
            <w:r>
              <w:rPr>
                <w:rFonts w:ascii="仿宋_GB2312" w:hAnsi="仿宋_GB2312" w:cs="仿宋_GB2312" w:eastAsia="仿宋_GB2312"/>
                <w:b/>
              </w:rPr>
              <w:t>表2 三亚海域珊瑚礁生态状况监测站位表</w:t>
            </w:r>
          </w:p>
          <w:tbl>
            <w:tblPr>
              <w:tblBorders>
                <w:top w:val="none" w:color="000000" w:sz="4"/>
                <w:left w:val="none" w:color="000000" w:sz="4"/>
                <w:bottom w:val="none" w:color="000000" w:sz="4"/>
                <w:right w:val="none" w:color="000000" w:sz="4"/>
                <w:insideH w:val="none"/>
                <w:insideV w:val="none"/>
              </w:tblBorders>
            </w:tblPr>
            <w:tblGrid>
              <w:gridCol w:w="680"/>
              <w:gridCol w:w="959"/>
              <w:gridCol w:w="899"/>
            </w:tblGrid>
            <w:tr>
              <w:tc>
                <w:tcPr>
                  <w:tcW w:type="dxa" w:w="6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站号</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经度（°E）</w:t>
                  </w:r>
                </w:p>
              </w:tc>
              <w:tc>
                <w:tcPr>
                  <w:tcW w:type="dxa" w:w="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纬度（°N）</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109.2798</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18.3006</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109.3726</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18.2257</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109.4861</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18.2189</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109.4848</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18.1899</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109.5057</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18.2087</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109.5287</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18.2140</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109.5802</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18.1734</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109.6161</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18.1730</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109.6125</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18.2058</w:t>
                  </w:r>
                </w:p>
              </w:tc>
            </w:tr>
            <w:tr>
              <w:tc>
                <w:tcPr>
                  <w:tcW w:type="dxa" w:w="6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109.6410</w:t>
                  </w:r>
                </w:p>
              </w:tc>
              <w:tc>
                <w:tcPr>
                  <w:tcW w:type="dxa" w:w="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18.2137</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备注：经业主同意确认，调查站位可视实际情况适当调整。</w:t>
                  </w:r>
                </w:p>
              </w:tc>
            </w:tr>
          </w:tbl>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珊瑚礁生态状况监测按照《海岸带生态系统现状调查与评估技术导则 第5部分 珊瑚礁》(HY/T 0460.5-2024)及《珊瑚礁生态系统监测、评价与预警技术规程》（试行 2024）中的有关技术要求进行；环境要素监测要求执行《海洋监测规范》（GB17378-2007）、《海洋调查规范》（GB12763-2007）和《海洋监测技术规程》（HY/T 147.1-2013）等。项目实施过程中如有最新的技术规范则参照执行。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4月-10月期间开展1次现场定点监测。遥感监测获取水温参数，频次与NOAA官方网站同步。出现预警情况时，按照《珊瑚礁生态系统监测、评价与预警技术规程》（试行 2024）要求增加监测频次。</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⑤因不可抗力因素影响，导致实际监测开展情况与方案要求不符，包括监测站位调整、时间变更等，应详细说明理由并及时向采购人报批确认。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2025年11月30日前提交《2025年三亚珊瑚礁生态系统预警监测评估报告》《2025年三亚珊瑚礁生态系统预警报告》（预警产品），生态图集，预警监测数据集、现场照片、短视频、调查数量矢量化等。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标的名称：B包海草床、海藻场生态系统预警监测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（一）文昌高隆湾-长圮港和琼海青葛-龙湾的海草床生态预警监测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文昌高隆湾-长圮港、琼海青葛-龙湾。</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监测内容包括：海草床资源、海草群落生物、底质环境（表层）、水环境和威胁因素等，详见表1。</w:t>
            </w:r>
          </w:p>
          <w:p>
            <w:pPr>
              <w:pStyle w:val="null3"/>
              <w:jc w:val="center"/>
            </w:pPr>
            <w:r>
              <w:rPr>
                <w:rFonts w:ascii="仿宋_GB2312" w:hAnsi="仿宋_GB2312" w:cs="仿宋_GB2312" w:eastAsia="仿宋_GB2312"/>
                <w:b/>
              </w:rPr>
              <w:t>表1 海草床生态预警监测项目表（*为选测指标）</w:t>
            </w:r>
          </w:p>
          <w:tbl>
            <w:tblPr>
              <w:tblBorders>
                <w:top w:val="none" w:color="000000" w:sz="4"/>
                <w:left w:val="none" w:color="000000" w:sz="4"/>
                <w:bottom w:val="none" w:color="000000" w:sz="4"/>
                <w:right w:val="none" w:color="000000" w:sz="4"/>
                <w:insideH w:val="none"/>
                <w:insideV w:val="none"/>
              </w:tblBorders>
            </w:tblPr>
            <w:tblGrid>
              <w:gridCol w:w="469"/>
              <w:gridCol w:w="465"/>
              <w:gridCol w:w="1613"/>
            </w:tblGrid>
            <w:tr>
              <w:tc>
                <w:tcPr>
                  <w:tcW w:type="dxa" w:w="25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w:t>
                  </w:r>
                  <w:r>
                    <w:rPr>
                      <w:rFonts w:ascii="仿宋_GB2312" w:hAnsi="仿宋_GB2312" w:cs="仿宋_GB2312" w:eastAsia="仿宋_GB2312"/>
                      <w:sz w:val="21"/>
                    </w:rPr>
                    <w:t>指标/要素</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海草床</w:t>
                  </w:r>
                </w:p>
              </w:tc>
              <w:tc>
                <w:tcPr>
                  <w:tcW w:type="dxa" w:w="207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总面积、分布范围、种类、盖度、茎枝高度</w:t>
                  </w:r>
                  <w:r>
                    <w:rPr>
                      <w:rFonts w:ascii="仿宋_GB2312" w:hAnsi="仿宋_GB2312" w:cs="仿宋_GB2312" w:eastAsia="仿宋_GB2312"/>
                      <w:sz w:val="21"/>
                    </w:rPr>
                    <w:t>*</w:t>
                  </w:r>
                  <w:r>
                    <w:rPr>
                      <w:rFonts w:ascii="仿宋_GB2312" w:hAnsi="仿宋_GB2312" w:cs="仿宋_GB2312" w:eastAsia="仿宋_GB2312"/>
                      <w:sz w:val="21"/>
                    </w:rPr>
                    <w:t>、茎枝密度、生物量</w:t>
                  </w:r>
                  <w:r>
                    <w:rPr>
                      <w:rFonts w:ascii="仿宋_GB2312" w:hAnsi="仿宋_GB2312" w:cs="仿宋_GB2312" w:eastAsia="仿宋_GB2312"/>
                      <w:sz w:val="21"/>
                    </w:rPr>
                    <w:t>*</w:t>
                  </w:r>
                  <w:r>
                    <w:rPr>
                      <w:rFonts w:ascii="仿宋_GB2312" w:hAnsi="仿宋_GB2312" w:cs="仿宋_GB2312" w:eastAsia="仿宋_GB2312"/>
                      <w:sz w:val="21"/>
                    </w:rPr>
                    <w:t>、有性繁殖</w:t>
                  </w:r>
                  <w:r>
                    <w:rPr>
                      <w:rFonts w:ascii="仿宋_GB2312" w:hAnsi="仿宋_GB2312" w:cs="仿宋_GB2312" w:eastAsia="仿宋_GB2312"/>
                      <w:sz w:val="21"/>
                    </w:rPr>
                    <w:t>*</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群落生物</w:t>
                  </w:r>
                </w:p>
              </w:tc>
              <w:tc>
                <w:tcPr>
                  <w:tcW w:type="dxa" w:w="20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大型藻类：盖度、种类</w:t>
                  </w:r>
                </w:p>
              </w:tc>
            </w:tr>
            <w:tr>
              <w:tc>
                <w:tcPr>
                  <w:tcW w:type="dxa" w:w="469"/>
                  <w:vMerge/>
                  <w:tcBorders>
                    <w:top w:val="none" w:color="000000" w:sz="4"/>
                    <w:left w:val="single" w:color="000000" w:sz="4"/>
                    <w:bottom w:val="single" w:color="000000" w:sz="4"/>
                    <w:right w:val="single" w:color="000000" w:sz="4"/>
                  </w:tcBorders>
                </w:tcPr>
                <w:p/>
              </w:tc>
              <w:tc>
                <w:tcPr>
                  <w:tcW w:type="dxa" w:w="20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w:t>
                  </w:r>
                  <w:r>
                    <w:rPr>
                      <w:rFonts w:ascii="仿宋_GB2312" w:hAnsi="仿宋_GB2312" w:cs="仿宋_GB2312" w:eastAsia="仿宋_GB2312"/>
                      <w:sz w:val="21"/>
                    </w:rPr>
                    <w:t>底栖生物或潮间带生物：种类、密度、生物量</w:t>
                  </w:r>
                  <w:r>
                    <w:rPr>
                      <w:rFonts w:ascii="仿宋_GB2312" w:hAnsi="仿宋_GB2312" w:cs="仿宋_GB2312" w:eastAsia="仿宋_GB2312"/>
                      <w:sz w:val="21"/>
                    </w:rPr>
                    <w:t>*</w:t>
                  </w:r>
                </w:p>
              </w:tc>
            </w:tr>
            <w:tr>
              <w:tc>
                <w:tcPr>
                  <w:tcW w:type="dxa" w:w="469"/>
                  <w:vMerge/>
                  <w:tcBorders>
                    <w:top w:val="none" w:color="000000" w:sz="4"/>
                    <w:left w:val="single" w:color="000000" w:sz="4"/>
                    <w:bottom w:val="single" w:color="000000" w:sz="4"/>
                    <w:right w:val="single" w:color="000000" w:sz="4"/>
                  </w:tcBorders>
                </w:tcPr>
                <w:p/>
              </w:tc>
              <w:tc>
                <w:tcPr>
                  <w:tcW w:type="dxa" w:w="20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鱼卵仔鱼：种类、密度</w:t>
                  </w:r>
                </w:p>
              </w:tc>
            </w:tr>
            <w:tr>
              <w:tc>
                <w:tcPr>
                  <w:tcW w:type="dxa" w:w="469"/>
                  <w:vMerge/>
                  <w:tcBorders>
                    <w:top w:val="none" w:color="000000" w:sz="4"/>
                    <w:left w:val="single" w:color="000000" w:sz="4"/>
                    <w:bottom w:val="single" w:color="000000" w:sz="4"/>
                    <w:right w:val="single" w:color="000000" w:sz="4"/>
                  </w:tcBorders>
                </w:tcPr>
                <w:p/>
              </w:tc>
              <w:tc>
                <w:tcPr>
                  <w:tcW w:type="dxa" w:w="20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互花米草入侵面积</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环境要素</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水环境</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水文（透明度、水温）、</w:t>
                  </w:r>
                  <w:r>
                    <w:rPr>
                      <w:rFonts w:ascii="仿宋_GB2312" w:hAnsi="仿宋_GB2312" w:cs="仿宋_GB2312" w:eastAsia="仿宋_GB2312"/>
                      <w:sz w:val="21"/>
                    </w:rPr>
                    <w:t>透光率、</w:t>
                  </w:r>
                  <w:r>
                    <w:rPr>
                      <w:rFonts w:ascii="仿宋_GB2312" w:hAnsi="仿宋_GB2312" w:cs="仿宋_GB2312" w:eastAsia="仿宋_GB2312"/>
                      <w:sz w:val="21"/>
                    </w:rPr>
                    <w:t>海水（盐度*、叶绿素a*、溶解氧、悬浮物、无机氮（亚硝酸盐-氮，硝酸盐-氮；氨-氮）、活性磷酸盐、活性硅酸盐*</w:t>
                  </w:r>
                  <w:r>
                    <w:rPr>
                      <w:rFonts w:ascii="仿宋_GB2312" w:hAnsi="仿宋_GB2312" w:cs="仿宋_GB2312" w:eastAsia="仿宋_GB2312"/>
                      <w:sz w:val="21"/>
                    </w:rPr>
                    <w:t>、</w:t>
                  </w:r>
                  <w:r>
                    <w:rPr>
                      <w:rFonts w:ascii="仿宋_GB2312" w:hAnsi="仿宋_GB2312" w:cs="仿宋_GB2312" w:eastAsia="仿宋_GB2312"/>
                      <w:sz w:val="21"/>
                    </w:rPr>
                    <w:t>海流*、石油类*</w:t>
                  </w:r>
                </w:p>
              </w:tc>
            </w:tr>
            <w:tr>
              <w:tc>
                <w:tcPr>
                  <w:tcW w:type="dxa" w:w="469"/>
                  <w:vMerge/>
                  <w:tcBorders>
                    <w:top w:val="none" w:color="000000" w:sz="4"/>
                    <w:left w:val="singl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沉积物</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粒度、有机碳、硫化物，总磷*、总氮*</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威胁因素</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自然因素</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调查区台风次数、风暴潮次数、生物入侵（物种、面积等），海岸侵蚀等</w:t>
                  </w:r>
                </w:p>
              </w:tc>
            </w:tr>
            <w:tr>
              <w:tc>
                <w:tcPr>
                  <w:tcW w:type="dxa" w:w="469"/>
                  <w:vMerge/>
                  <w:tcBorders>
                    <w:top w:val="none" w:color="000000" w:sz="4"/>
                    <w:left w:val="single" w:color="000000" w:sz="4"/>
                    <w:bottom w:val="single" w:color="000000" w:sz="4"/>
                    <w:right w:val="single" w:color="000000" w:sz="4"/>
                  </w:tcBorders>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人为因素</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渔业捕捞（捕捞量、渔港分布）、底栖生物采捕（从业人数、采捕方式）、海水养殖（养殖类型、养殖种类、养殖面积、养殖时间）、海洋工程（类型、规模）、旅游开发、交通运输及污染排放等</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备注：1.指标设计上可以按照一区一策原则，导致生态问题的原因，其他关键指标可以增加到调查中</w:t>
                  </w:r>
                  <w:r>
                    <w:rPr>
                      <w:rFonts w:ascii="仿宋_GB2312" w:hAnsi="仿宋_GB2312" w:cs="仿宋_GB2312" w:eastAsia="仿宋_GB2312"/>
                      <w:sz w:val="21"/>
                      <w:b/>
                    </w:rPr>
                    <w:t>。</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①文昌高隆湾-长圮港沿岸海域海草床</w:t>
            </w:r>
            <w:r>
              <w:br/>
            </w:r>
            <w:r>
              <w:rPr>
                <w:rFonts w:ascii="仿宋_GB2312" w:hAnsi="仿宋_GB2312" w:cs="仿宋_GB2312" w:eastAsia="仿宋_GB2312"/>
              </w:rPr>
              <w:t xml:space="preserve"> 在高隆湾、长圮港海草床分布区布设5个监测断面，每断面3个站位，水质及沉积物等环境站位与海草监测断面保持一致。见表2。</w:t>
            </w:r>
          </w:p>
          <w:p>
            <w:pPr>
              <w:pStyle w:val="null3"/>
              <w:jc w:val="center"/>
            </w:pPr>
            <w:r>
              <w:rPr>
                <w:rFonts w:ascii="仿宋_GB2312" w:hAnsi="仿宋_GB2312" w:cs="仿宋_GB2312" w:eastAsia="仿宋_GB2312"/>
                <w:b/>
              </w:rPr>
              <w:t>表2 文昌高隆湾-长圮港海草床监测站位表及监测要素</w:t>
            </w:r>
          </w:p>
          <w:tbl>
            <w:tblPr>
              <w:tblInd w:type="dxa" w:w="135"/>
              <w:tblBorders>
                <w:top w:val="none" w:color="000000" w:sz="4"/>
                <w:left w:val="none" w:color="000000" w:sz="4"/>
                <w:bottom w:val="none" w:color="000000" w:sz="4"/>
                <w:right w:val="none" w:color="000000" w:sz="4"/>
                <w:insideH w:val="none"/>
                <w:insideV w:val="none"/>
              </w:tblBorders>
            </w:tblPr>
            <w:tblGrid>
              <w:gridCol w:w="305"/>
              <w:gridCol w:w="261"/>
              <w:gridCol w:w="235"/>
              <w:gridCol w:w="497"/>
              <w:gridCol w:w="514"/>
              <w:gridCol w:w="724"/>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w:t>
                  </w:r>
                  <w:r>
                    <w:rPr>
                      <w:rFonts w:ascii="仿宋_GB2312" w:hAnsi="仿宋_GB2312" w:cs="仿宋_GB2312" w:eastAsia="仿宋_GB2312"/>
                      <w:sz w:val="21"/>
                    </w:rPr>
                    <w:t>海域</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位置</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站位</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w:t>
                  </w:r>
                  <w:r>
                    <w:rPr>
                      <w:rFonts w:ascii="仿宋_GB2312" w:hAnsi="仿宋_GB2312" w:cs="仿宋_GB2312" w:eastAsia="仿宋_GB2312"/>
                      <w:sz w:val="21"/>
                    </w:rPr>
                    <w:t>ﾟ</w:t>
                  </w:r>
                  <w:r>
                    <w:rPr>
                      <w:rFonts w:ascii="仿宋_GB2312" w:hAnsi="仿宋_GB2312" w:cs="仿宋_GB2312" w:eastAsia="仿宋_GB2312"/>
                      <w:sz w:val="21"/>
                    </w:rPr>
                    <w:t>E</w:t>
                  </w:r>
                  <w:r>
                    <w:rPr>
                      <w:rFonts w:ascii="仿宋_GB2312" w:hAnsi="仿宋_GB2312" w:cs="仿宋_GB2312" w:eastAsia="仿宋_GB2312"/>
                      <w:sz w:val="21"/>
                    </w:rPr>
                    <w:t>）</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w:t>
                  </w:r>
                  <w:r>
                    <w:rPr>
                      <w:rFonts w:ascii="仿宋_GB2312" w:hAnsi="仿宋_GB2312" w:cs="仿宋_GB2312" w:eastAsia="仿宋_GB2312"/>
                      <w:sz w:val="21"/>
                    </w:rPr>
                    <w:t>ﾟ</w:t>
                  </w:r>
                  <w:r>
                    <w:rPr>
                      <w:rFonts w:ascii="仿宋_GB2312" w:hAnsi="仿宋_GB2312" w:cs="仿宋_GB2312" w:eastAsia="仿宋_GB2312"/>
                      <w:sz w:val="21"/>
                    </w:rPr>
                    <w:t>N</w:t>
                  </w:r>
                  <w:r>
                    <w:rPr>
                      <w:rFonts w:ascii="仿宋_GB2312" w:hAnsi="仿宋_GB2312" w:cs="仿宋_GB2312" w:eastAsia="仿宋_GB2312"/>
                      <w:sz w:val="21"/>
                    </w:rPr>
                    <w:t>）</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r>
                    <w:rPr>
                      <w:rFonts w:ascii="仿宋_GB2312" w:hAnsi="仿宋_GB2312" w:cs="仿宋_GB2312" w:eastAsia="仿宋_GB2312"/>
                      <w:sz w:val="21"/>
                      <w:color w:val="333333"/>
                    </w:rPr>
                    <w:t>监测</w:t>
                  </w:r>
                  <w:r>
                    <w:rPr>
                      <w:rFonts w:ascii="仿宋_GB2312" w:hAnsi="仿宋_GB2312" w:cs="仿宋_GB2312" w:eastAsia="仿宋_GB2312"/>
                      <w:sz w:val="21"/>
                      <w:color w:val="333333"/>
                    </w:rPr>
                    <w:t>要素</w:t>
                  </w:r>
                </w:p>
              </w:tc>
            </w:tr>
            <w:tr>
              <w:tc>
                <w:tcPr>
                  <w:tcW w:type="dxa" w:w="3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文昌</w:t>
                  </w:r>
                </w:p>
                <w:p>
                  <w:pPr>
                    <w:pStyle w:val="null3"/>
                    <w:jc w:val="center"/>
                  </w:pPr>
                  <w:r>
                    <w:rPr>
                      <w:rFonts w:ascii="仿宋_GB2312" w:hAnsi="仿宋_GB2312" w:cs="仿宋_GB2312" w:eastAsia="仿宋_GB2312"/>
                      <w:sz w:val="21"/>
                    </w:rPr>
                    <w:t>海域</w:t>
                  </w: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高隆湾</w:t>
                  </w:r>
                </w:p>
                <w:p>
                  <w:pPr>
                    <w:pStyle w:val="null3"/>
                    <w:jc w:val="center"/>
                  </w:p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W1-1</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110.8102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19.4882</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W1-2</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110.815</w:t>
                  </w:r>
                  <w:r>
                    <w:rPr>
                      <w:rFonts w:ascii="仿宋_GB2312" w:hAnsi="仿宋_GB2312" w:cs="仿宋_GB2312" w:eastAsia="仿宋_GB2312"/>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19.486</w:t>
                  </w:r>
                  <w:r>
                    <w:rPr>
                      <w:rFonts w:ascii="仿宋_GB2312" w:hAnsi="仿宋_GB2312" w:cs="仿宋_GB2312" w:eastAsia="仿宋_GB2312"/>
                      <w:sz w:val="21"/>
                    </w:rPr>
                    <w:t>2</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海草床资源、群落生物、环境要素（</w:t>
                  </w:r>
                  <w:r>
                    <w:rPr>
                      <w:rFonts w:ascii="仿宋_GB2312" w:hAnsi="仿宋_GB2312" w:cs="仿宋_GB2312" w:eastAsia="仿宋_GB2312"/>
                      <w:sz w:val="21"/>
                      <w:color w:val="333333"/>
                    </w:rPr>
                    <w:t>1</w:t>
                  </w:r>
                  <w:r>
                    <w:rPr>
                      <w:rFonts w:ascii="仿宋_GB2312" w:hAnsi="仿宋_GB2312" w:cs="仿宋_GB2312" w:eastAsia="仿宋_GB2312"/>
                      <w:sz w:val="21"/>
                      <w:color w:val="333333"/>
                    </w:rPr>
                    <w:t>个平行）</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W1-3</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110.821</w:t>
                  </w:r>
                  <w:r>
                    <w:rPr>
                      <w:rFonts w:ascii="仿宋_GB2312" w:hAnsi="仿宋_GB2312" w:cs="仿宋_GB2312" w:eastAsia="仿宋_GB2312"/>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19.4832</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W2-1</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110.805</w:t>
                  </w:r>
                  <w:r>
                    <w:rPr>
                      <w:rFonts w:ascii="仿宋_GB2312" w:hAnsi="仿宋_GB2312" w:cs="仿宋_GB2312" w:eastAsia="仿宋_GB2312"/>
                      <w:sz w:val="21"/>
                    </w:rPr>
                    <w:t>6</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19.4791</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W2-2</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110.8109</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19.4760</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海草床资源、群落生物、环境要素（</w:t>
                  </w:r>
                  <w:r>
                    <w:rPr>
                      <w:rFonts w:ascii="仿宋_GB2312" w:hAnsi="仿宋_GB2312" w:cs="仿宋_GB2312" w:eastAsia="仿宋_GB2312"/>
                      <w:sz w:val="21"/>
                      <w:color w:val="333333"/>
                    </w:rPr>
                    <w:t>1</w:t>
                  </w:r>
                  <w:r>
                    <w:rPr>
                      <w:rFonts w:ascii="仿宋_GB2312" w:hAnsi="仿宋_GB2312" w:cs="仿宋_GB2312" w:eastAsia="仿宋_GB2312"/>
                      <w:sz w:val="21"/>
                      <w:color w:val="333333"/>
                    </w:rPr>
                    <w:t>个平行）</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W2-3</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110.816</w:t>
                  </w:r>
                  <w:r>
                    <w:rPr>
                      <w:rFonts w:ascii="仿宋_GB2312" w:hAnsi="仿宋_GB2312" w:cs="仿宋_GB2312" w:eastAsia="仿宋_GB2312"/>
                      <w:sz w:val="21"/>
                    </w:rPr>
                    <w:t>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19.472</w:t>
                  </w:r>
                  <w:r>
                    <w:rPr>
                      <w:rFonts w:ascii="仿宋_GB2312" w:hAnsi="仿宋_GB2312" w:cs="仿宋_GB2312" w:eastAsia="仿宋_GB2312"/>
                      <w:sz w:val="21"/>
                    </w:rPr>
                    <w:t>3</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长圮港</w:t>
                  </w:r>
                </w:p>
                <w:p>
                  <w:pPr>
                    <w:pStyle w:val="null3"/>
                    <w:jc w:val="both"/>
                  </w:p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W3-1</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110.7963</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19.4657</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W3-2</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110.8021</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19.461</w:t>
                  </w:r>
                  <w:r>
                    <w:rPr>
                      <w:rFonts w:ascii="仿宋_GB2312" w:hAnsi="仿宋_GB2312" w:cs="仿宋_GB2312" w:eastAsia="仿宋_GB2312"/>
                      <w:sz w:val="21"/>
                    </w:rPr>
                    <w:t>8</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海草床资源、群落生物、环境要素（</w:t>
                  </w:r>
                  <w:r>
                    <w:rPr>
                      <w:rFonts w:ascii="仿宋_GB2312" w:hAnsi="仿宋_GB2312" w:cs="仿宋_GB2312" w:eastAsia="仿宋_GB2312"/>
                      <w:sz w:val="21"/>
                      <w:color w:val="333333"/>
                    </w:rPr>
                    <w:t>1</w:t>
                  </w:r>
                  <w:r>
                    <w:rPr>
                      <w:rFonts w:ascii="仿宋_GB2312" w:hAnsi="仿宋_GB2312" w:cs="仿宋_GB2312" w:eastAsia="仿宋_GB2312"/>
                      <w:sz w:val="21"/>
                      <w:color w:val="333333"/>
                    </w:rPr>
                    <w:t>个平行）</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W3-3</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110.80</w:t>
                  </w:r>
                  <w:r>
                    <w:rPr>
                      <w:rFonts w:ascii="仿宋_GB2312" w:hAnsi="仿宋_GB2312" w:cs="仿宋_GB2312" w:eastAsia="仿宋_GB2312"/>
                      <w:sz w:val="21"/>
                    </w:rPr>
                    <w:t>80</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19.4573</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W4-1</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110.7879</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19.4566</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W4-2</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110.792</w:t>
                  </w:r>
                  <w:r>
                    <w:rPr>
                      <w:rFonts w:ascii="仿宋_GB2312" w:hAnsi="仿宋_GB2312" w:cs="仿宋_GB2312" w:eastAsia="仿宋_GB2312"/>
                      <w:sz w:val="21"/>
                    </w:rPr>
                    <w:t>9</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19.452</w:t>
                  </w:r>
                  <w:r>
                    <w:rPr>
                      <w:rFonts w:ascii="仿宋_GB2312" w:hAnsi="仿宋_GB2312" w:cs="仿宋_GB2312" w:eastAsia="仿宋_GB2312"/>
                      <w:sz w:val="21"/>
                    </w:rPr>
                    <w:t>4</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海草床资源、群落生物、环境要素（</w:t>
                  </w:r>
                  <w:r>
                    <w:rPr>
                      <w:rFonts w:ascii="仿宋_GB2312" w:hAnsi="仿宋_GB2312" w:cs="仿宋_GB2312" w:eastAsia="仿宋_GB2312"/>
                      <w:sz w:val="21"/>
                      <w:color w:val="333333"/>
                    </w:rPr>
                    <w:t>1</w:t>
                  </w:r>
                  <w:r>
                    <w:rPr>
                      <w:rFonts w:ascii="仿宋_GB2312" w:hAnsi="仿宋_GB2312" w:cs="仿宋_GB2312" w:eastAsia="仿宋_GB2312"/>
                      <w:sz w:val="21"/>
                      <w:color w:val="333333"/>
                    </w:rPr>
                    <w:t>个平行）</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W4-3</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110.7994</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19.446</w:t>
                  </w:r>
                  <w:r>
                    <w:rPr>
                      <w:rFonts w:ascii="仿宋_GB2312" w:hAnsi="仿宋_GB2312" w:cs="仿宋_GB2312" w:eastAsia="仿宋_GB2312"/>
                      <w:sz w:val="21"/>
                    </w:rPr>
                    <w:t>2</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W5-1</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110.776</w:t>
                  </w:r>
                  <w:r>
                    <w:rPr>
                      <w:rFonts w:ascii="仿宋_GB2312" w:hAnsi="仿宋_GB2312" w:cs="仿宋_GB2312" w:eastAsia="仿宋_GB2312"/>
                      <w:sz w:val="21"/>
                    </w:rPr>
                    <w:t>1</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19.4446</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W5-2</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110.7817</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19.4398</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海草床资源、群落生物、环境要素（</w:t>
                  </w:r>
                  <w:r>
                    <w:rPr>
                      <w:rFonts w:ascii="仿宋_GB2312" w:hAnsi="仿宋_GB2312" w:cs="仿宋_GB2312" w:eastAsia="仿宋_GB2312"/>
                      <w:sz w:val="21"/>
                      <w:color w:val="333333"/>
                    </w:rPr>
                    <w:t>1</w:t>
                  </w:r>
                  <w:r>
                    <w:rPr>
                      <w:rFonts w:ascii="仿宋_GB2312" w:hAnsi="仿宋_GB2312" w:cs="仿宋_GB2312" w:eastAsia="仿宋_GB2312"/>
                      <w:sz w:val="21"/>
                      <w:color w:val="333333"/>
                    </w:rPr>
                    <w:t>个平行）</w:t>
                  </w:r>
                </w:p>
              </w:tc>
            </w:tr>
            <w:tr>
              <w:tc>
                <w:tcPr>
                  <w:tcW w:type="dxa" w:w="305"/>
                  <w:vMerge/>
                  <w:tcBorders>
                    <w:top w:val="single" w:color="000000" w:sz="4"/>
                    <w:left w:val="single" w:color="000000" w:sz="4"/>
                    <w:bottom w:val="single" w:color="000000" w:sz="4"/>
                    <w:right w:val="single" w:color="000000" w:sz="4"/>
                  </w:tcBorders>
                </w:tcPr>
                <w:p/>
              </w:tc>
              <w:tc>
                <w:tcPr>
                  <w:tcW w:type="dxa" w:w="261"/>
                  <w:vMerge/>
                  <w:tcBorders>
                    <w:top w:val="single" w:color="000000" w:sz="4"/>
                    <w:left w:val="none" w:color="000000" w:sz="4"/>
                    <w:bottom w:val="single" w:color="000000" w:sz="4"/>
                    <w:right w:val="single" w:color="000000" w:sz="4"/>
                  </w:tcBorders>
                </w:tcP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W5-3</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110.786</w:t>
                  </w:r>
                  <w:r>
                    <w:rPr>
                      <w:rFonts w:ascii="仿宋_GB2312" w:hAnsi="仿宋_GB2312" w:cs="仿宋_GB2312" w:eastAsia="仿宋_GB2312"/>
                      <w:sz w:val="21"/>
                    </w:rPr>
                    <w:t>2</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19.4362</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海草床资源、群落生物</w:t>
                  </w:r>
                </w:p>
              </w:tc>
            </w:tr>
            <w:tr>
              <w:tc>
                <w:tcPr>
                  <w:tcW w:type="dxa" w:w="2536"/>
                  <w:gridSpan w:val="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备注：经业主同意确认，调查站位可视实际情况适当调整。</w:t>
                  </w:r>
                </w:p>
              </w:tc>
            </w:tr>
          </w:tbl>
          <w:p>
            <w:pPr>
              <w:pStyle w:val="null3"/>
              <w:jc w:val="left"/>
            </w:pPr>
            <w:r>
              <w:rPr>
                <w:rFonts w:ascii="仿宋_GB2312" w:hAnsi="仿宋_GB2312" w:cs="仿宋_GB2312" w:eastAsia="仿宋_GB2312"/>
              </w:rPr>
              <w:t>②琼海青葛-龙湾沿岸海域海草床</w:t>
            </w:r>
            <w:r>
              <w:br/>
            </w:r>
            <w:r>
              <w:rPr>
                <w:rFonts w:ascii="仿宋_GB2312" w:hAnsi="仿宋_GB2312" w:cs="仿宋_GB2312" w:eastAsia="仿宋_GB2312"/>
              </w:rPr>
              <w:t xml:space="preserve"> 在青葛、龙湾港海草床分布区布设5个调查断面，每断面3个站位，水质及沉积物等环境站位与海草调查断面保持一致。见表3。</w:t>
            </w:r>
          </w:p>
          <w:p>
            <w:pPr>
              <w:pStyle w:val="null3"/>
              <w:jc w:val="center"/>
            </w:pPr>
            <w:r>
              <w:rPr>
                <w:rFonts w:ascii="仿宋_GB2312" w:hAnsi="仿宋_GB2312" w:cs="仿宋_GB2312" w:eastAsia="仿宋_GB2312"/>
                <w:b/>
              </w:rPr>
              <w:t>表3 琼海青葛-龙湾海草床调查站位表及调查要素</w:t>
            </w:r>
          </w:p>
          <w:tbl>
            <w:tblPr>
              <w:tblBorders>
                <w:top w:val="none" w:color="000000" w:sz="4"/>
                <w:left w:val="none" w:color="000000" w:sz="4"/>
                <w:bottom w:val="none" w:color="000000" w:sz="4"/>
                <w:right w:val="none" w:color="000000" w:sz="4"/>
                <w:insideH w:val="none"/>
                <w:insideV w:val="none"/>
              </w:tblBorders>
            </w:tblPr>
            <w:tblGrid>
              <w:gridCol w:w="331"/>
              <w:gridCol w:w="192"/>
              <w:gridCol w:w="231"/>
              <w:gridCol w:w="549"/>
              <w:gridCol w:w="558"/>
              <w:gridCol w:w="685"/>
            </w:tblGrid>
            <w:tr>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w:t>
                  </w:r>
                  <w:r>
                    <w:rPr>
                      <w:rFonts w:ascii="仿宋_GB2312" w:hAnsi="仿宋_GB2312" w:cs="仿宋_GB2312" w:eastAsia="仿宋_GB2312"/>
                      <w:sz w:val="21"/>
                      <w:color w:val="000000"/>
                    </w:rPr>
                    <w:t>海域</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位置</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站位</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经度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E</w:t>
                  </w:r>
                  <w:r>
                    <w:rPr>
                      <w:rFonts w:ascii="仿宋_GB2312" w:hAnsi="仿宋_GB2312" w:cs="仿宋_GB2312" w:eastAsia="仿宋_GB2312"/>
                      <w:sz w:val="21"/>
                    </w:rPr>
                    <w:t>）</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纬度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监测</w:t>
                  </w:r>
                  <w:r>
                    <w:rPr>
                      <w:rFonts w:ascii="仿宋_GB2312" w:hAnsi="仿宋_GB2312" w:cs="仿宋_GB2312" w:eastAsia="仿宋_GB2312"/>
                      <w:sz w:val="21"/>
                      <w:color w:val="333333"/>
                    </w:rPr>
                    <w:t>要素</w:t>
                  </w:r>
                </w:p>
              </w:tc>
            </w:tr>
            <w:tr>
              <w:tc>
                <w:tcPr>
                  <w:tcW w:type="dxa" w:w="3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琼海海域</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青葛</w:t>
                  </w:r>
                </w:p>
                <w:p>
                  <w:pPr>
                    <w:pStyle w:val="null3"/>
                    <w:jc w:val="center"/>
                  </w:p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Q1-1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110.682</w:t>
                  </w:r>
                  <w:r>
                    <w:rPr>
                      <w:rFonts w:ascii="仿宋_GB2312" w:hAnsi="仿宋_GB2312" w:cs="仿宋_GB2312" w:eastAsia="仿宋_GB2312"/>
                      <w:sz w:val="21"/>
                      <w:color w:val="333333"/>
                    </w:rPr>
                    <w:t>7</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19.3240</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Q1-2</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110.685</w:t>
                  </w:r>
                  <w:r>
                    <w:rPr>
                      <w:rFonts w:ascii="仿宋_GB2312" w:hAnsi="仿宋_GB2312" w:cs="仿宋_GB2312" w:eastAsia="仿宋_GB2312"/>
                      <w:sz w:val="21"/>
                    </w:rPr>
                    <w:t>8</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19.32</w:t>
                  </w:r>
                  <w:r>
                    <w:rPr>
                      <w:rFonts w:ascii="仿宋_GB2312" w:hAnsi="仿宋_GB2312" w:cs="仿宋_GB2312" w:eastAsia="仿宋_GB2312"/>
                      <w:sz w:val="21"/>
                    </w:rPr>
                    <w:t>30</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海草床资源、群落生物、环境要素（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个平行）</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Q1-3</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110.688</w:t>
                  </w:r>
                  <w:r>
                    <w:rPr>
                      <w:rFonts w:ascii="仿宋_GB2312" w:hAnsi="仿宋_GB2312" w:cs="仿宋_GB2312" w:eastAsia="仿宋_GB2312"/>
                      <w:sz w:val="21"/>
                    </w:rPr>
                    <w:t>7</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19.3220</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Q2-1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110.662</w:t>
                  </w:r>
                  <w:r>
                    <w:rPr>
                      <w:rFonts w:ascii="仿宋_GB2312" w:hAnsi="仿宋_GB2312" w:cs="仿宋_GB2312" w:eastAsia="仿宋_GB2312"/>
                      <w:sz w:val="21"/>
                      <w:color w:val="333333"/>
                    </w:rPr>
                    <w:t>3</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19.3078</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Q2-2</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110.6633</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19.3067</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海草床资源、群落生物、环境要素（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个平行）</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Q2-3</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110.6647</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19.304</w:t>
                  </w:r>
                  <w:r>
                    <w:rPr>
                      <w:rFonts w:ascii="仿宋_GB2312" w:hAnsi="仿宋_GB2312" w:cs="仿宋_GB2312" w:eastAsia="仿宋_GB2312"/>
                      <w:sz w:val="21"/>
                      <w:color w:val="333333"/>
                    </w:rPr>
                    <w:t>9</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龙湾</w:t>
                  </w:r>
                </w:p>
                <w:p>
                  <w:pPr>
                    <w:pStyle w:val="null3"/>
                    <w:jc w:val="center"/>
                  </w:p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Q3-1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110.641</w:t>
                  </w:r>
                  <w:r>
                    <w:rPr>
                      <w:rFonts w:ascii="仿宋_GB2312" w:hAnsi="仿宋_GB2312" w:cs="仿宋_GB2312" w:eastAsia="仿宋_GB2312"/>
                      <w:sz w:val="21"/>
                    </w:rPr>
                    <w:t>3</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19.27</w:t>
                  </w:r>
                  <w:r>
                    <w:rPr>
                      <w:rFonts w:ascii="仿宋_GB2312" w:hAnsi="仿宋_GB2312" w:cs="仿宋_GB2312" w:eastAsia="仿宋_GB2312"/>
                      <w:sz w:val="21"/>
                    </w:rPr>
                    <w:t>80</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Q3-2</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110.645</w:t>
                  </w:r>
                  <w:r>
                    <w:rPr>
                      <w:rFonts w:ascii="仿宋_GB2312" w:hAnsi="仿宋_GB2312" w:cs="仿宋_GB2312" w:eastAsia="仿宋_GB2312"/>
                      <w:sz w:val="21"/>
                    </w:rPr>
                    <w:t>9</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19.278</w:t>
                  </w:r>
                  <w:r>
                    <w:rPr>
                      <w:rFonts w:ascii="仿宋_GB2312" w:hAnsi="仿宋_GB2312" w:cs="仿宋_GB2312" w:eastAsia="仿宋_GB2312"/>
                      <w:sz w:val="21"/>
                    </w:rPr>
                    <w:t>2</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海草床资源、群落生物、环境要素（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个平行）</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Q3-3</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110.65</w:t>
                  </w:r>
                  <w:r>
                    <w:rPr>
                      <w:rFonts w:ascii="仿宋_GB2312" w:hAnsi="仿宋_GB2312" w:cs="仿宋_GB2312" w:eastAsia="仿宋_GB2312"/>
                      <w:sz w:val="21"/>
                    </w:rPr>
                    <w:t>20</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19.2778</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Q4-1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110.6398</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19.2669</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Q4-2</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110.645</w:t>
                  </w:r>
                  <w:r>
                    <w:rPr>
                      <w:rFonts w:ascii="仿宋_GB2312" w:hAnsi="仿宋_GB2312" w:cs="仿宋_GB2312" w:eastAsia="仿宋_GB2312"/>
                      <w:sz w:val="21"/>
                    </w:rPr>
                    <w:t>4</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19.2660</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海草床资源、群落生物、环境要素（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个平行）</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Q4-3</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110.6506</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19.2651</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Q5-1</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110.634</w:t>
                  </w:r>
                  <w:r>
                    <w:rPr>
                      <w:rFonts w:ascii="仿宋_GB2312" w:hAnsi="仿宋_GB2312" w:cs="仿宋_GB2312" w:eastAsia="仿宋_GB2312"/>
                      <w:sz w:val="21"/>
                    </w:rPr>
                    <w:t>6</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19.2515</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Q5-2</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110.6408</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19.2504</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海草床资源、群落生物、环境要素（</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个平行）</w:t>
                  </w:r>
                </w:p>
              </w:tc>
            </w:tr>
            <w:tr>
              <w:tc>
                <w:tcPr>
                  <w:tcW w:type="dxa" w:w="3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Q5-3</w:t>
                  </w:r>
                </w:p>
              </w:tc>
              <w:tc>
                <w:tcPr>
                  <w:tcW w:type="dxa" w:w="5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110.6457</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19.2497</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海草床资源、群落生物</w:t>
                  </w:r>
                </w:p>
              </w:tc>
            </w:tr>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备注：经业主同意确认，调查站位可视实际情况适当调整。</w:t>
                  </w:r>
                </w:p>
              </w:tc>
            </w:tr>
          </w:tbl>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按照《海岸带生态系统现状调查与评估技术导则 第6部分：海草床》(HY/T 0460.6-2024)和《海草床生态系统监测、评价与预警技术规程》（试行 2024）等规范执行，项目实施过程中如有最新的技术规范则参照执行。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1次/年，5～8月实施。</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评价等质量保证措施。</w:t>
            </w:r>
            <w:r>
              <w:br/>
            </w:r>
            <w:r>
              <w:rPr>
                <w:rFonts w:ascii="仿宋_GB2312" w:hAnsi="仿宋_GB2312" w:cs="仿宋_GB2312" w:eastAsia="仿宋_GB2312"/>
              </w:rPr>
              <w:t xml:space="preserve"> ②水体环境、沉积物、生物生态样品的采集（预处理）、储存、运输应严格按《海洋监测规范》（GB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⑤因不可抗力因素影响，导致实际监测开展情况与方案要求不符，包括监测站位调整、时间变更等，应详细说明理由并及时向采购人报批确认。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琼海青葛-龙湾海草床生态系统预警监测评估报告》《2025年文昌高隆湾-长圮港海草床生态系统预警监测评估报告》《2025年琼海青葛-龙湾海草床生态系统预警报告》《2025年文昌高隆湾-长圮港海草床生态系统预警报告》、生态图集、现场照片、短视频、原始数据及预警监测数据集、检测报表和数据矢量化等。</w:t>
            </w:r>
            <w:r>
              <w:br/>
            </w:r>
            <w:r>
              <w:rPr>
                <w:rFonts w:ascii="仿宋_GB2312" w:hAnsi="仿宋_GB2312" w:cs="仿宋_GB2312" w:eastAsia="仿宋_GB2312"/>
              </w:rPr>
              <w:t xml:space="preserve"> （二）海南麒麟菜省级自然保护区海藻场生态预警监测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海南麒麟菜省级自然保护区。</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大型海藻、生物群落、环境要素和威胁因素等四大类。潮间带调查依次开展海藻群落、潮间带生物等调查项目；潮下带调查依次开展海藻场分布、海藻群落、浮游植物、浮游动物、大型底栖动物、游泳动物、鱼卵仔鱼调查等；环境要素站位开展水环境、底质环境等调查项目，详见表1。</w:t>
            </w:r>
          </w:p>
          <w:p>
            <w:pPr>
              <w:pStyle w:val="null3"/>
              <w:jc w:val="center"/>
            </w:pPr>
            <w:r>
              <w:rPr>
                <w:rFonts w:ascii="仿宋_GB2312" w:hAnsi="仿宋_GB2312" w:cs="仿宋_GB2312" w:eastAsia="仿宋_GB2312"/>
                <w:b/>
              </w:rPr>
              <w:t>表1 海藻场生态预警监测项目表</w:t>
            </w:r>
          </w:p>
          <w:tbl>
            <w:tblPr>
              <w:tblBorders>
                <w:top w:val="none" w:color="000000" w:sz="4"/>
                <w:left w:val="none" w:color="000000" w:sz="4"/>
                <w:bottom w:val="none" w:color="000000" w:sz="4"/>
                <w:right w:val="none" w:color="000000" w:sz="4"/>
                <w:insideH w:val="none"/>
                <w:insideV w:val="none"/>
              </w:tblBorders>
            </w:tblPr>
            <w:tblGrid>
              <w:gridCol w:w="341"/>
              <w:gridCol w:w="422"/>
              <w:gridCol w:w="1191"/>
              <w:gridCol w:w="588"/>
            </w:tblGrid>
            <w:tr>
              <w:tc>
                <w:tcPr>
                  <w:tcW w:type="dxa" w:w="19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指标/要素</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方式</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大型</w:t>
                  </w:r>
                  <w:r>
                    <w:rPr>
                      <w:rFonts w:ascii="仿宋_GB2312" w:hAnsi="仿宋_GB2312" w:cs="仿宋_GB2312" w:eastAsia="仿宋_GB2312"/>
                      <w:sz w:val="21"/>
                    </w:rPr>
                    <w:t>海藻</w:t>
                  </w:r>
                </w:p>
              </w:tc>
              <w:tc>
                <w:tcPr>
                  <w:tcW w:type="dxa" w:w="1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海藻场分布：分布</w:t>
                  </w:r>
                  <w:r>
                    <w:rPr>
                      <w:rFonts w:ascii="仿宋_GB2312" w:hAnsi="仿宋_GB2312" w:cs="仿宋_GB2312" w:eastAsia="仿宋_GB2312"/>
                      <w:sz w:val="21"/>
                    </w:rPr>
                    <w:t>面积</w:t>
                  </w:r>
                  <w:r>
                    <w:rPr>
                      <w:rFonts w:ascii="仿宋_GB2312" w:hAnsi="仿宋_GB2312" w:cs="仿宋_GB2312" w:eastAsia="仿宋_GB2312"/>
                      <w:sz w:val="21"/>
                    </w:rPr>
                    <w:t>、覆盖度</w:t>
                  </w:r>
                </w:p>
                <w:p>
                  <w:pPr>
                    <w:pStyle w:val="null3"/>
                    <w:jc w:val="left"/>
                  </w:pPr>
                  <w:r>
                    <w:rPr>
                      <w:rFonts w:ascii="仿宋_GB2312" w:hAnsi="仿宋_GB2312" w:cs="仿宋_GB2312" w:eastAsia="仿宋_GB2312"/>
                      <w:sz w:val="21"/>
                    </w:rPr>
                    <w:t>海藻</w:t>
                  </w:r>
                  <w:r>
                    <w:rPr>
                      <w:rFonts w:ascii="仿宋_GB2312" w:hAnsi="仿宋_GB2312" w:cs="仿宋_GB2312" w:eastAsia="仿宋_GB2312"/>
                      <w:sz w:val="21"/>
                    </w:rPr>
                    <w:t>群落：</w:t>
                  </w:r>
                  <w:r>
                    <w:rPr>
                      <w:rFonts w:ascii="仿宋_GB2312" w:hAnsi="仿宋_GB2312" w:cs="仿宋_GB2312" w:eastAsia="仿宋_GB2312"/>
                      <w:sz w:val="21"/>
                    </w:rPr>
                    <w:t>种类、生物量</w:t>
                  </w:r>
                  <w:r>
                    <w:rPr>
                      <w:rFonts w:ascii="仿宋_GB2312" w:hAnsi="仿宋_GB2312" w:cs="仿宋_GB2312" w:eastAsia="仿宋_GB2312"/>
                      <w:sz w:val="21"/>
                    </w:rPr>
                    <w:t>、株高、优势种</w:t>
                  </w:r>
                  <w:r>
                    <w:rPr>
                      <w:rFonts w:ascii="仿宋_GB2312" w:hAnsi="仿宋_GB2312" w:cs="仿宋_GB2312" w:eastAsia="仿宋_GB2312"/>
                      <w:sz w:val="21"/>
                      <w:vertAlign w:val="superscript"/>
                    </w:rPr>
                    <w:t>a</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现场调查：布设断面、站位</w:t>
                  </w:r>
                </w:p>
              </w:tc>
            </w:tr>
            <w:tr>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生物群落</w:t>
                  </w:r>
                </w:p>
              </w:tc>
              <w:tc>
                <w:tcPr>
                  <w:tcW w:type="dxa" w:w="1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浮游植物</w:t>
                  </w:r>
                  <w:r>
                    <w:rPr>
                      <w:rFonts w:ascii="仿宋_GB2312" w:hAnsi="仿宋_GB2312" w:cs="仿宋_GB2312" w:eastAsia="仿宋_GB2312"/>
                      <w:sz w:val="21"/>
                    </w:rPr>
                    <w:t>：种类、密度</w:t>
                  </w:r>
                </w:p>
                <w:p>
                  <w:pPr>
                    <w:pStyle w:val="null3"/>
                    <w:jc w:val="left"/>
                  </w:pPr>
                  <w:r>
                    <w:rPr>
                      <w:rFonts w:ascii="仿宋_GB2312" w:hAnsi="仿宋_GB2312" w:cs="仿宋_GB2312" w:eastAsia="仿宋_GB2312"/>
                      <w:sz w:val="21"/>
                    </w:rPr>
                    <w:t>浮游动物</w:t>
                  </w:r>
                  <w:r>
                    <w:rPr>
                      <w:rFonts w:ascii="仿宋_GB2312" w:hAnsi="仿宋_GB2312" w:cs="仿宋_GB2312" w:eastAsia="仿宋_GB2312"/>
                      <w:sz w:val="21"/>
                    </w:rPr>
                    <w:t>：种类、密度</w:t>
                  </w:r>
                </w:p>
                <w:p>
                  <w:pPr>
                    <w:pStyle w:val="null3"/>
                    <w:jc w:val="left"/>
                  </w:pPr>
                  <w:r>
                    <w:rPr>
                      <w:rFonts w:ascii="仿宋_GB2312" w:hAnsi="仿宋_GB2312" w:cs="仿宋_GB2312" w:eastAsia="仿宋_GB2312"/>
                      <w:sz w:val="21"/>
                    </w:rPr>
                    <w:t>大型底栖动物</w:t>
                  </w:r>
                  <w:r>
                    <w:rPr>
                      <w:rFonts w:ascii="仿宋_GB2312" w:hAnsi="仿宋_GB2312" w:cs="仿宋_GB2312" w:eastAsia="仿宋_GB2312"/>
                      <w:sz w:val="21"/>
                      <w:vertAlign w:val="superscript"/>
                    </w:rPr>
                    <w:t>b</w:t>
                  </w:r>
                  <w:r>
                    <w:rPr>
                      <w:rFonts w:ascii="仿宋_GB2312" w:hAnsi="仿宋_GB2312" w:cs="仿宋_GB2312" w:eastAsia="仿宋_GB2312"/>
                      <w:sz w:val="21"/>
                    </w:rPr>
                    <w:t>：种类、密度</w:t>
                  </w:r>
                </w:p>
                <w:p>
                  <w:pPr>
                    <w:pStyle w:val="null3"/>
                    <w:jc w:val="left"/>
                  </w:pPr>
                  <w:r>
                    <w:rPr>
                      <w:rFonts w:ascii="仿宋_GB2312" w:hAnsi="仿宋_GB2312" w:cs="仿宋_GB2312" w:eastAsia="仿宋_GB2312"/>
                      <w:sz w:val="21"/>
                    </w:rPr>
                    <w:t>游泳动物</w:t>
                  </w:r>
                  <w:r>
                    <w:rPr>
                      <w:rFonts w:ascii="仿宋_GB2312" w:hAnsi="仿宋_GB2312" w:cs="仿宋_GB2312" w:eastAsia="仿宋_GB2312"/>
                      <w:sz w:val="21"/>
                      <w:vertAlign w:val="superscript"/>
                    </w:rPr>
                    <w:t>c</w:t>
                  </w:r>
                  <w:r>
                    <w:rPr>
                      <w:rFonts w:ascii="仿宋_GB2312" w:hAnsi="仿宋_GB2312" w:cs="仿宋_GB2312" w:eastAsia="仿宋_GB2312"/>
                      <w:sz w:val="21"/>
                    </w:rPr>
                    <w:t>：种类、密度</w:t>
                  </w:r>
                </w:p>
                <w:p>
                  <w:pPr>
                    <w:pStyle w:val="null3"/>
                    <w:jc w:val="left"/>
                  </w:pPr>
                  <w:r>
                    <w:rPr>
                      <w:rFonts w:ascii="仿宋_GB2312" w:hAnsi="仿宋_GB2312" w:cs="仿宋_GB2312" w:eastAsia="仿宋_GB2312"/>
                      <w:sz w:val="21"/>
                    </w:rPr>
                    <w:t>潮间带生物：种类、生物量、密度</w:t>
                  </w:r>
                </w:p>
                <w:p>
                  <w:pPr>
                    <w:pStyle w:val="null3"/>
                    <w:jc w:val="left"/>
                  </w:pPr>
                  <w:r>
                    <w:rPr>
                      <w:rFonts w:ascii="仿宋_GB2312" w:hAnsi="仿宋_GB2312" w:cs="仿宋_GB2312" w:eastAsia="仿宋_GB2312"/>
                      <w:sz w:val="21"/>
                    </w:rPr>
                    <w:t>鱼卵仔鱼</w:t>
                  </w:r>
                  <w:r>
                    <w:rPr>
                      <w:rFonts w:ascii="仿宋_GB2312" w:hAnsi="仿宋_GB2312" w:cs="仿宋_GB2312" w:eastAsia="仿宋_GB2312"/>
                      <w:sz w:val="21"/>
                    </w:rPr>
                    <w:t>：种类、密度</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现场调查：布设断面、站位</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环境要素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水环境</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深度、海流、海浪、透明度、水温、盐度、浊度、pH、溶解氧、化学需氧量、悬浮物、无机氮、无机磷、叶绿素-a</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现场调查：布设断面、站位；资料搜集</w:t>
                  </w:r>
                </w:p>
              </w:tc>
            </w:tr>
            <w:tr>
              <w:tc>
                <w:tcPr>
                  <w:tcW w:type="dxa" w:w="341"/>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底质环境</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底质类型、粒度</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现场调查</w:t>
                  </w:r>
                </w:p>
              </w:tc>
            </w:tr>
            <w:tr>
              <w:tc>
                <w:tcPr>
                  <w:tcW w:type="dxa" w:w="3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威胁因素</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自然因素</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台风、风暴潮、</w:t>
                  </w:r>
                  <w:r>
                    <w:rPr>
                      <w:rFonts w:ascii="仿宋_GB2312" w:hAnsi="仿宋_GB2312" w:cs="仿宋_GB2312" w:eastAsia="仿宋_GB2312"/>
                      <w:sz w:val="21"/>
                    </w:rPr>
                    <w:t>赤潮、绿潮、敌害生物</w:t>
                  </w:r>
                </w:p>
              </w:tc>
              <w:tc>
                <w:tcPr>
                  <w:tcW w:type="dxa" w:w="5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收集资料、现场调查、走访群众</w:t>
                  </w:r>
                </w:p>
              </w:tc>
            </w:tr>
            <w:tr>
              <w:tc>
                <w:tcPr>
                  <w:tcW w:type="dxa" w:w="341"/>
                  <w:vMerge/>
                  <w:tcBorders>
                    <w:top w:val="none" w:color="000000" w:sz="4"/>
                    <w:left w:val="single" w:color="000000" w:sz="4"/>
                    <w:bottom w:val="single" w:color="000000" w:sz="4"/>
                    <w:right w:val="single" w:color="000000" w:sz="4"/>
                  </w:tcBorders>
                </w:tcP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人为因素</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渔业捕捞：捕捞量、渔港分布、船只数量</w:t>
                  </w:r>
                </w:p>
                <w:p>
                  <w:pPr>
                    <w:pStyle w:val="null3"/>
                    <w:jc w:val="both"/>
                  </w:pPr>
                  <w:r>
                    <w:rPr>
                      <w:rFonts w:ascii="仿宋_GB2312" w:hAnsi="仿宋_GB2312" w:cs="仿宋_GB2312" w:eastAsia="仿宋_GB2312"/>
                      <w:sz w:val="21"/>
                    </w:rPr>
                    <w:t>底栖生物采捕：从业人数、方式</w:t>
                  </w:r>
                </w:p>
                <w:p>
                  <w:pPr>
                    <w:pStyle w:val="null3"/>
                    <w:jc w:val="both"/>
                  </w:pPr>
                  <w:r>
                    <w:rPr>
                      <w:rFonts w:ascii="仿宋_GB2312" w:hAnsi="仿宋_GB2312" w:cs="仿宋_GB2312" w:eastAsia="仿宋_GB2312"/>
                      <w:sz w:val="21"/>
                    </w:rPr>
                    <w:t>海水养殖：养殖类型、养殖面积、养殖时间</w:t>
                  </w:r>
                </w:p>
                <w:p>
                  <w:pPr>
                    <w:pStyle w:val="null3"/>
                    <w:jc w:val="both"/>
                  </w:pPr>
                  <w:r>
                    <w:rPr>
                      <w:rFonts w:ascii="仿宋_GB2312" w:hAnsi="仿宋_GB2312" w:cs="仿宋_GB2312" w:eastAsia="仿宋_GB2312"/>
                      <w:sz w:val="21"/>
                    </w:rPr>
                    <w:t>海洋工程：类型、规模</w:t>
                  </w:r>
                </w:p>
                <w:p>
                  <w:pPr>
                    <w:pStyle w:val="null3"/>
                    <w:jc w:val="both"/>
                  </w:pPr>
                  <w:r>
                    <w:rPr>
                      <w:rFonts w:ascii="仿宋_GB2312" w:hAnsi="仿宋_GB2312" w:cs="仿宋_GB2312" w:eastAsia="仿宋_GB2312"/>
                      <w:sz w:val="21"/>
                    </w:rPr>
                    <w:t>污染排放：排污口数量</w:t>
                  </w:r>
                </w:p>
              </w:tc>
              <w:tc>
                <w:tcPr>
                  <w:tcW w:type="dxa" w:w="588"/>
                  <w:vMerge/>
                  <w:tcBorders>
                    <w:top w:val="none" w:color="000000" w:sz="4"/>
                    <w:left w:val="none" w:color="000000" w:sz="4"/>
                    <w:bottom w:val="single" w:color="000000" w:sz="4"/>
                    <w:right w:val="single" w:color="000000" w:sz="4"/>
                  </w:tcBorders>
                </w:tcP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w:t>
                  </w:r>
                  <w:r>
                    <w:rPr>
                      <w:rFonts w:ascii="仿宋_GB2312" w:hAnsi="仿宋_GB2312" w:cs="仿宋_GB2312" w:eastAsia="仿宋_GB2312"/>
                      <w:sz w:val="21"/>
                      <w:vertAlign w:val="superscript"/>
                    </w:rPr>
                    <w:t>a</w:t>
                  </w:r>
                  <w:r>
                    <w:rPr>
                      <w:rFonts w:ascii="仿宋_GB2312" w:hAnsi="仿宋_GB2312" w:cs="仿宋_GB2312" w:eastAsia="仿宋_GB2312"/>
                      <w:sz w:val="21"/>
                    </w:rPr>
                    <w:t>：优势种调查还需关注优势种生物量和优势种株高。</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21"/>
                      <w:vertAlign w:val="superscript"/>
                    </w:rPr>
                    <w:t>b</w:t>
                  </w:r>
                  <w:r>
                    <w:rPr>
                      <w:rFonts w:ascii="仿宋_GB2312" w:hAnsi="仿宋_GB2312" w:cs="仿宋_GB2312" w:eastAsia="仿宋_GB2312"/>
                      <w:sz w:val="21"/>
                    </w:rPr>
                    <w:t>：大型底栖动物还需关注海胆密度。</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21"/>
                      <w:vertAlign w:val="superscript"/>
                    </w:rPr>
                    <w:t>c</w:t>
                  </w:r>
                  <w:r>
                    <w:rPr>
                      <w:rFonts w:ascii="仿宋_GB2312" w:hAnsi="仿宋_GB2312" w:cs="仿宋_GB2312" w:eastAsia="仿宋_GB2312"/>
                      <w:sz w:val="21"/>
                    </w:rPr>
                    <w:t>：大型底栖动物还需关注篮子鱼密度。</w:t>
                  </w:r>
                </w:p>
              </w:tc>
            </w:tr>
          </w:tbl>
          <w:p>
            <w:pPr>
              <w:pStyle w:val="null3"/>
              <w:jc w:val="left"/>
            </w:pPr>
            <w:r>
              <w:rPr>
                <w:rFonts w:ascii="仿宋_GB2312" w:hAnsi="仿宋_GB2312" w:cs="仿宋_GB2312" w:eastAsia="仿宋_GB2312"/>
              </w:rPr>
              <w:t>（3）调查站位</w:t>
            </w:r>
            <w:r>
              <w:br/>
            </w:r>
            <w:r>
              <w:rPr>
                <w:rFonts w:ascii="仿宋_GB2312" w:hAnsi="仿宋_GB2312" w:cs="仿宋_GB2312" w:eastAsia="仿宋_GB2312"/>
              </w:rPr>
              <w:t xml:space="preserve"> 调查站位设置满足但不限于以下要求：</w:t>
            </w:r>
            <w:r>
              <w:br/>
            </w:r>
            <w:r>
              <w:rPr>
                <w:rFonts w:ascii="仿宋_GB2312" w:hAnsi="仿宋_GB2312" w:cs="仿宋_GB2312" w:eastAsia="仿宋_GB2312"/>
              </w:rPr>
              <w:t xml:space="preserve"> 海藻场生态状况调查站位在参照历史站位的基础上根据现场踏勘情况布设，在文昌清澜湾和琼海麒麟菜保护区范围内共布设9个海藻场调查站位。见表2。</w:t>
            </w:r>
          </w:p>
          <w:p>
            <w:pPr>
              <w:pStyle w:val="null3"/>
              <w:jc w:val="center"/>
            </w:pPr>
            <w:r>
              <w:rPr>
                <w:rFonts w:ascii="仿宋_GB2312" w:hAnsi="仿宋_GB2312" w:cs="仿宋_GB2312" w:eastAsia="仿宋_GB2312"/>
                <w:b/>
              </w:rPr>
              <w:t>表2 海藻场预警监测站点经纬度信息表</w:t>
            </w:r>
          </w:p>
          <w:tbl>
            <w:tblPr>
              <w:tblBorders>
                <w:top w:val="none" w:color="000000" w:sz="4"/>
                <w:left w:val="none" w:color="000000" w:sz="4"/>
                <w:bottom w:val="none" w:color="000000" w:sz="4"/>
                <w:right w:val="none" w:color="000000" w:sz="4"/>
                <w:insideH w:val="none"/>
                <w:insideV w:val="none"/>
              </w:tblBorders>
            </w:tblPr>
            <w:tblGrid>
              <w:gridCol w:w="494"/>
              <w:gridCol w:w="444"/>
              <w:gridCol w:w="453"/>
              <w:gridCol w:w="575"/>
              <w:gridCol w:w="575"/>
            </w:tblGrid>
            <w:tr>
              <w:tc>
                <w:tcPr>
                  <w:tcW w:type="dxa" w:w="9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区</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站</w:t>
                  </w:r>
                  <w:r>
                    <w:rPr>
                      <w:rFonts w:ascii="仿宋_GB2312" w:hAnsi="仿宋_GB2312" w:cs="仿宋_GB2312" w:eastAsia="仿宋_GB2312"/>
                      <w:sz w:val="21"/>
                      <w:b/>
                    </w:rPr>
                    <w:t>位</w:t>
                  </w:r>
                  <w:r>
                    <w:rPr>
                      <w:rFonts w:ascii="仿宋_GB2312" w:hAnsi="仿宋_GB2312" w:cs="仿宋_GB2312" w:eastAsia="仿宋_GB2312"/>
                      <w:sz w:val="21"/>
                      <w:b/>
                    </w:rPr>
                    <w:t>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r>
                    <w:rPr>
                      <w:rFonts w:ascii="仿宋_GB2312" w:hAnsi="仿宋_GB2312" w:cs="仿宋_GB2312" w:eastAsia="仿宋_GB2312"/>
                      <w:sz w:val="21"/>
                      <w:b/>
                    </w:rPr>
                    <w:t>°</w:t>
                  </w:r>
                  <w:r>
                    <w:rPr>
                      <w:rFonts w:ascii="仿宋_GB2312" w:hAnsi="仿宋_GB2312" w:cs="仿宋_GB2312" w:eastAsia="仿宋_GB2312"/>
                      <w:sz w:val="21"/>
                      <w:b/>
                    </w:rPr>
                    <w:t>E</w:t>
                  </w:r>
                  <w:r>
                    <w:rPr>
                      <w:rFonts w:ascii="仿宋_GB2312" w:hAnsi="仿宋_GB2312" w:cs="仿宋_GB2312" w:eastAsia="仿宋_GB2312"/>
                      <w:sz w:val="21"/>
                      <w:b/>
                    </w:rPr>
                    <w:t>）</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r>
                    <w:rPr>
                      <w:rFonts w:ascii="仿宋_GB2312" w:hAnsi="仿宋_GB2312" w:cs="仿宋_GB2312" w:eastAsia="仿宋_GB2312"/>
                      <w:sz w:val="21"/>
                      <w:b/>
                    </w:rPr>
                    <w:t>°</w:t>
                  </w:r>
                  <w:r>
                    <w:rPr>
                      <w:rFonts w:ascii="仿宋_GB2312" w:hAnsi="仿宋_GB2312" w:cs="仿宋_GB2312" w:eastAsia="仿宋_GB2312"/>
                      <w:sz w:val="21"/>
                      <w:b/>
                    </w:rPr>
                    <w:t>N）</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抱虎角</w:t>
                  </w:r>
                  <w:r>
                    <w:rPr>
                      <w:rFonts w:ascii="仿宋_GB2312" w:hAnsi="仿宋_GB2312" w:cs="仿宋_GB2312" w:eastAsia="仿宋_GB2312"/>
                      <w:sz w:val="21"/>
                      <w:color w:val="000000"/>
                    </w:rPr>
                    <w:t>片区</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抱虎角</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BH1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110.895</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20.008</w:t>
                  </w:r>
                </w:p>
              </w:tc>
            </w:tr>
            <w:tr>
              <w:tc>
                <w:tcPr>
                  <w:tcW w:type="dxa" w:w="494"/>
                  <w:vMerge/>
                  <w:tcBorders>
                    <w:top w:val="none" w:color="000000" w:sz="4"/>
                    <w:left w:val="singl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抱虎角</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BH2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110.930</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20.026</w:t>
                  </w:r>
                </w:p>
              </w:tc>
            </w:tr>
            <w:tr>
              <w:tc>
                <w:tcPr>
                  <w:tcW w:type="dxa" w:w="494"/>
                  <w:vMerge/>
                  <w:tcBorders>
                    <w:top w:val="none" w:color="000000" w:sz="4"/>
                    <w:left w:val="singl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抱虎角</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BH3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110.953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19.995</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春桃村至冯家村片区</w:t>
                  </w:r>
                </w:p>
              </w:tc>
              <w:tc>
                <w:tcPr>
                  <w:tcW w:type="dxa" w:w="4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DJ1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110.926</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19.581</w:t>
                  </w:r>
                </w:p>
              </w:tc>
            </w:tr>
            <w:tr>
              <w:tc>
                <w:tcPr>
                  <w:tcW w:type="dxa" w:w="494"/>
                  <w:vMerge/>
                  <w:tcBorders>
                    <w:top w:val="none" w:color="000000" w:sz="4"/>
                    <w:left w:val="single" w:color="000000" w:sz="4"/>
                    <w:bottom w:val="single" w:color="000000" w:sz="4"/>
                    <w:right w:val="single" w:color="000000" w:sz="4"/>
                  </w:tcBorders>
                </w:tcPr>
                <w:p/>
              </w:tc>
              <w:tc>
                <w:tcPr>
                  <w:tcW w:type="dxa" w:w="444"/>
                  <w:vMerge/>
                  <w:tcBorders>
                    <w:top w:val="none" w:color="000000" w:sz="4"/>
                    <w:left w:val="non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DJ2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110.879</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19.532</w:t>
                  </w:r>
                </w:p>
              </w:tc>
            </w:tr>
            <w:tr>
              <w:tc>
                <w:tcPr>
                  <w:tcW w:type="dxa" w:w="494"/>
                  <w:vMerge/>
                  <w:tcBorders>
                    <w:top w:val="none" w:color="000000" w:sz="4"/>
                    <w:left w:val="singl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清澜</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QL1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110.814</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19.458</w:t>
                  </w:r>
                </w:p>
              </w:tc>
            </w:tr>
            <w:tr>
              <w:tc>
                <w:tcPr>
                  <w:tcW w:type="dxa" w:w="494"/>
                  <w:vMerge/>
                  <w:tcBorders>
                    <w:top w:val="none" w:color="000000" w:sz="4"/>
                    <w:left w:val="singl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会文</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HW1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110.758</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19.394</w:t>
                  </w:r>
                </w:p>
              </w:tc>
            </w:tr>
            <w:tr>
              <w:tc>
                <w:tcPr>
                  <w:tcW w:type="dxa" w:w="4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三更峙至草塘村片区</w:t>
                  </w: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青葛</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QG1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110.699</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19.345</w:t>
                  </w:r>
                </w:p>
              </w:tc>
            </w:tr>
            <w:tr>
              <w:tc>
                <w:tcPr>
                  <w:tcW w:type="dxa" w:w="494"/>
                  <w:vMerge/>
                  <w:tcBorders>
                    <w:top w:val="none" w:color="000000" w:sz="4"/>
                    <w:left w:val="single" w:color="000000" w:sz="4"/>
                    <w:bottom w:val="single" w:color="000000" w:sz="4"/>
                    <w:right w:val="single" w:color="000000" w:sz="4"/>
                  </w:tcBorders>
                </w:tc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1"/>
                      <w:color w:val="000000"/>
                    </w:rPr>
                    <w:t>龙湾</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LW1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110.655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19.266</w:t>
                  </w:r>
                </w:p>
              </w:tc>
            </w:tr>
          </w:tbl>
          <w:p>
            <w:pPr>
              <w:pStyle w:val="null3"/>
              <w:jc w:val="left"/>
            </w:pPr>
            <w:r>
              <w:rPr>
                <w:rFonts w:ascii="仿宋_GB2312" w:hAnsi="仿宋_GB2312" w:cs="仿宋_GB2312" w:eastAsia="仿宋_GB2312"/>
              </w:rPr>
              <w:t>①在每个站点设置3条垂直岸线的调查样带，样带间距200m~1000m（可根据现场地形地貌情况适当调整断面间距），各断面需覆盖潮间带和潮下带（见图1），开展大型海藻群落调查和生物群落调查；</w:t>
            </w:r>
            <w:r>
              <w:br/>
            </w:r>
            <w:r>
              <w:rPr>
                <w:rFonts w:ascii="仿宋_GB2312" w:hAnsi="仿宋_GB2312" w:cs="仿宋_GB2312" w:eastAsia="仿宋_GB2312"/>
              </w:rPr>
              <w:t xml:space="preserve"> ②每条调查样带设置3个潮间带采样点（见图1），开展大型海藻群落、大型底栖动物调查，3个采样点应按高中低潮带来划分位置；</w:t>
            </w:r>
            <w:r>
              <w:br/>
            </w:r>
            <w:r>
              <w:rPr>
                <w:rFonts w:ascii="仿宋_GB2312" w:hAnsi="仿宋_GB2312" w:cs="仿宋_GB2312" w:eastAsia="仿宋_GB2312"/>
              </w:rPr>
              <w:t xml:space="preserve"> ③每条调查样带潮下带区域布设一条水下视频拍摄样线（见图1），开展游泳动物、潮下带大型底栖动物水下视频拍摄调查；</w:t>
            </w:r>
            <w:r>
              <w:br/>
            </w:r>
            <w:r>
              <w:rPr>
                <w:rFonts w:ascii="仿宋_GB2312" w:hAnsi="仿宋_GB2312" w:cs="仿宋_GB2312" w:eastAsia="仿宋_GB2312"/>
              </w:rPr>
              <w:t xml:space="preserve"> ④每条调查样带设置3个潮下带采样点（见图1），开展大型海藻群落、大型底栖动物、游泳动物调查，并同步测量水深、光照强度，3个采样点应按水深变化梯度来设置；</w:t>
            </w:r>
            <w:r>
              <w:br/>
            </w:r>
            <w:r>
              <w:rPr>
                <w:rFonts w:ascii="仿宋_GB2312" w:hAnsi="仿宋_GB2312" w:cs="仿宋_GB2312" w:eastAsia="仿宋_GB2312"/>
              </w:rPr>
              <w:t xml:space="preserve"> ⑤每个站点布设至少1个鱼卵仔稚鱼采样点（见图1），鱼卵仔稚鱼采样点布设于潮下带区域；</w:t>
            </w:r>
            <w:r>
              <w:br/>
            </w:r>
            <w:r>
              <w:rPr>
                <w:rFonts w:ascii="仿宋_GB2312" w:hAnsi="仿宋_GB2312" w:cs="仿宋_GB2312" w:eastAsia="仿宋_GB2312"/>
              </w:rPr>
              <w:t xml:space="preserve"> ⑥环境要素采样点布设同鱼卵仔稚鱼采样点（见图1）。</w:t>
            </w:r>
            <w:r>
              <w:drawing>
                <wp:inline distT="0" distR="0" distB="0" distL="0">
                  <wp:extent cx="1621155" cy="162115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621155"/>
                          </a:xfrm>
                          <a:prstGeom prst="rect">
                            <a:avLst/>
                          </a:prstGeom>
                        </pic:spPr>
                      </pic:pic>
                    </a:graphicData>
                  </a:graphic>
                </wp:inline>
              </w:drawing>
            </w:r>
          </w:p>
          <w:p>
            <w:pPr>
              <w:pStyle w:val="null3"/>
              <w:jc w:val="center"/>
            </w:pPr>
            <w:r>
              <w:rPr>
                <w:rFonts w:ascii="仿宋_GB2312" w:hAnsi="仿宋_GB2312" w:cs="仿宋_GB2312" w:eastAsia="仿宋_GB2312"/>
                <w:b/>
              </w:rPr>
              <w:t>图1 大型海藻群落、生物群落和环境要素调查样带和采样点示意图</w:t>
            </w:r>
          </w:p>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参照《海岸带生态系统现状调查与评估技术导则 第12部分 海藻场》（报批稿）《海洋监测规范》（ GB 17378-2007）、《海洋调查规范》（ GB/T 12763-2007）和《近岸海域环境监测技术规范》（ HJ 422-2020）等规范执行，项目实施过程中如有最新的技术规范则参照执行。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在海藻生长旺盛的月份（4月-8月）开展1次监测。</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评价等质量保证措施。</w:t>
            </w:r>
            <w:r>
              <w:br/>
            </w:r>
            <w:r>
              <w:rPr>
                <w:rFonts w:ascii="仿宋_GB2312" w:hAnsi="仿宋_GB2312" w:cs="仿宋_GB2312" w:eastAsia="仿宋_GB2312"/>
              </w:rPr>
              <w:t xml:space="preserve"> ②水体环境、沉积物、生物生态样品的采集（预处理）、储存、运输应严格按《海洋监测规范》（GB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⑤因不可抗力因素影响，导致实际监测开展情况与方案要求不符，包括监测站位调整、时间变更等，应详细说明理由并及时向采购人报批确认。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2025年11月30日前提交：《2025年海南麒麟菜省级自然保护区海藻场生态系统预警监测评估报告》、预警产品、生态图集、现场照片、短视频、原始数据及预警监测数据集、检测报表和数据矢量化等。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标的名称：C包红树林生态系统预警监测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调查范围主要为海南东寨港国家级自然保护区红树林分布区。</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监测内容包括植被群落、动物群落和环境要素。具体如下：</w:t>
            </w:r>
            <w:r>
              <w:br/>
            </w:r>
            <w:r>
              <w:rPr>
                <w:rFonts w:ascii="仿宋_GB2312" w:hAnsi="仿宋_GB2312" w:cs="仿宋_GB2312" w:eastAsia="仿宋_GB2312"/>
              </w:rPr>
              <w:t xml:space="preserve"> ——植物群落：红树植物（种类、面积、覆盖度）、互花米草面积、有害藤本植物（种类、面积）、外来红树植物（种类、面积）；</w:t>
            </w:r>
            <w:r>
              <w:br/>
            </w:r>
            <w:r>
              <w:rPr>
                <w:rFonts w:ascii="仿宋_GB2312" w:hAnsi="仿宋_GB2312" w:cs="仿宋_GB2312" w:eastAsia="仿宋_GB2312"/>
              </w:rPr>
              <w:t xml:space="preserve"> ——动物群落：大型底栖动物（种类、密度、生物量）、鸟类（种类、数量）、病虫害（类型、影响程度、面积）；</w:t>
            </w:r>
            <w:r>
              <w:br/>
            </w:r>
            <w:r>
              <w:rPr>
                <w:rFonts w:ascii="仿宋_GB2312" w:hAnsi="仿宋_GB2312" w:cs="仿宋_GB2312" w:eastAsia="仿宋_GB2312"/>
              </w:rPr>
              <w:t xml:space="preserve"> ——环境要素：水环境（盐度、总磷*、总氮*）、底质环境（沉积物粒度）、岸滩侵蚀区域、侵蚀长度。</w:t>
            </w:r>
            <w:r>
              <w:br/>
            </w:r>
            <w:r>
              <w:rPr>
                <w:rFonts w:ascii="仿宋_GB2312" w:hAnsi="仿宋_GB2312" w:cs="仿宋_GB2312" w:eastAsia="仿宋_GB2312"/>
              </w:rPr>
              <w:t xml:space="preserve"> （注：文中“*”项为选测内容）</w:t>
            </w:r>
            <w:r>
              <w:br/>
            </w:r>
            <w:r>
              <w:rPr>
                <w:rFonts w:ascii="仿宋_GB2312" w:hAnsi="仿宋_GB2312" w:cs="仿宋_GB2312" w:eastAsia="仿宋_GB2312"/>
              </w:rPr>
              <w:t xml:space="preserve"> （3）监测站位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①红树林植被</w:t>
            </w:r>
            <w:r>
              <w:br/>
            </w:r>
            <w:r>
              <w:rPr>
                <w:rFonts w:ascii="仿宋_GB2312" w:hAnsi="仿宋_GB2312" w:cs="仿宋_GB2312" w:eastAsia="仿宋_GB2312"/>
              </w:rPr>
              <w:t xml:space="preserve"> 设置5个红树林断面，15个站位。设置不少于3个红树林植被样方。</w:t>
            </w:r>
          </w:p>
          <w:p>
            <w:pPr>
              <w:pStyle w:val="null3"/>
              <w:jc w:val="center"/>
            </w:pPr>
            <w:r>
              <w:rPr>
                <w:rFonts w:ascii="仿宋_GB2312" w:hAnsi="仿宋_GB2312" w:cs="仿宋_GB2312" w:eastAsia="仿宋_GB2312"/>
                <w:b/>
              </w:rPr>
              <w:t>表1 红树林植被断面分布位置坐标</w:t>
            </w:r>
          </w:p>
          <w:tbl>
            <w:tblPr>
              <w:tblInd w:type="dxa" w:w="435"/>
              <w:tblBorders>
                <w:top w:val="none" w:color="000000" w:sz="4"/>
                <w:left w:val="none" w:color="000000" w:sz="4"/>
                <w:bottom w:val="none" w:color="000000" w:sz="4"/>
                <w:right w:val="none" w:color="000000" w:sz="4"/>
                <w:insideH w:val="none"/>
                <w:insideV w:val="none"/>
              </w:tblBorders>
            </w:tblPr>
            <w:tblGrid>
              <w:gridCol w:w="203"/>
              <w:gridCol w:w="203"/>
              <w:gridCol w:w="682"/>
              <w:gridCol w:w="682"/>
              <w:gridCol w:w="776"/>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站点</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110°32′38.619″</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20°00′18.063″</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A1-低、A2-中、A3-高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110°32′51.287″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19°59′02.978″</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B1-低、B2-中、B3-高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110°35′31.373″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19°56′00.940″</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C1-低、C2-中、C3-高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110°37′04.225″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19°55′33.981″</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D1-低、D2-中、D3-高</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110°37′38.668″</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19°56′03.184″</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E1-低、E2-中、E3-高</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②动物群落</w:t>
            </w:r>
            <w:r>
              <w:br/>
            </w:r>
            <w:r>
              <w:rPr>
                <w:rFonts w:ascii="仿宋_GB2312" w:hAnsi="仿宋_GB2312" w:cs="仿宋_GB2312" w:eastAsia="仿宋_GB2312"/>
              </w:rPr>
              <w:t xml:space="preserve"> 大型底栖动物调查站位与红树林植被保持一致，共设5个断面15个站位；</w:t>
            </w:r>
            <w:r>
              <w:br/>
            </w:r>
            <w:r>
              <w:rPr>
                <w:rFonts w:ascii="仿宋_GB2312" w:hAnsi="仿宋_GB2312" w:cs="仿宋_GB2312" w:eastAsia="仿宋_GB2312"/>
              </w:rPr>
              <w:t xml:space="preserve"> 采用样线法开展鸟类群落调查，在红树林植被调查断面附近设置鸟类调查样线。</w:t>
            </w:r>
            <w:r>
              <w:br/>
            </w:r>
            <w:r>
              <w:rPr>
                <w:rFonts w:ascii="仿宋_GB2312" w:hAnsi="仿宋_GB2312" w:cs="仿宋_GB2312" w:eastAsia="仿宋_GB2312"/>
              </w:rPr>
              <w:t xml:space="preserve"> ③环境要素</w:t>
            </w:r>
            <w:r>
              <w:br/>
            </w:r>
            <w:r>
              <w:rPr>
                <w:rFonts w:ascii="仿宋_GB2312" w:hAnsi="仿宋_GB2312" w:cs="仿宋_GB2312" w:eastAsia="仿宋_GB2312"/>
              </w:rPr>
              <w:t xml:space="preserve"> 水环境监测断面与红树林植被保持一致，在每个断面的低潮带或潮沟处采集水样；底质环境监测站位与红树林植被保持一致，在每个站位采集表层沉积物样品。</w:t>
            </w:r>
            <w:r>
              <w:br/>
            </w:r>
            <w:r>
              <w:rPr>
                <w:rFonts w:ascii="仿宋_GB2312" w:hAnsi="仿宋_GB2312" w:cs="仿宋_GB2312" w:eastAsia="仿宋_GB2312"/>
              </w:rPr>
              <w:t xml:space="preserve"> ④互花米草面积</w:t>
            </w:r>
            <w:r>
              <w:br/>
            </w:r>
            <w:r>
              <w:rPr>
                <w:rFonts w:ascii="仿宋_GB2312" w:hAnsi="仿宋_GB2312" w:cs="仿宋_GB2312" w:eastAsia="仿宋_GB2312"/>
              </w:rPr>
              <w:t xml:space="preserve"> 互花米草监测站位，共设置4处监测站位。</w:t>
            </w:r>
          </w:p>
          <w:p>
            <w:pPr>
              <w:pStyle w:val="null3"/>
              <w:jc w:val="center"/>
            </w:pPr>
            <w:r>
              <w:rPr>
                <w:rFonts w:ascii="仿宋_GB2312" w:hAnsi="仿宋_GB2312" w:cs="仿宋_GB2312" w:eastAsia="仿宋_GB2312"/>
                <w:b/>
              </w:rPr>
              <w:t>表2自然因素互花米草监测站位位置坐标</w:t>
            </w:r>
          </w:p>
          <w:tbl>
            <w:tblPr>
              <w:tblBorders>
                <w:top w:val="none" w:color="000000" w:sz="4"/>
                <w:left w:val="none" w:color="000000" w:sz="4"/>
                <w:bottom w:val="none" w:color="000000" w:sz="4"/>
                <w:right w:val="none" w:color="000000" w:sz="4"/>
                <w:insideH w:val="none"/>
                <w:insideV w:val="none"/>
              </w:tblBorders>
            </w:tblPr>
            <w:tblGrid>
              <w:gridCol w:w="481"/>
              <w:gridCol w:w="982"/>
              <w:gridCol w:w="1078"/>
            </w:tblGrid>
            <w:tr>
              <w:tc>
                <w:tcPr>
                  <w:tcW w:type="dxa" w:w="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110°32′16.728″</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20°00′31.073″</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110°35′25.160″</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19°57′07.226″</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110°37′05.074″</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19°58′01.425″</w:t>
                  </w:r>
                </w:p>
              </w:tc>
            </w:tr>
            <w:tr>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110°34′00.627″</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19°59′02.547″</w:t>
                  </w:r>
                </w:p>
              </w:tc>
            </w:tr>
            <w:tr>
              <w:tc>
                <w:tcPr>
                  <w:tcW w:type="dxa" w:w="254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⑤外来红树植物</w:t>
            </w:r>
            <w:r>
              <w:br/>
            </w:r>
            <w:r>
              <w:rPr>
                <w:rFonts w:ascii="仿宋_GB2312" w:hAnsi="仿宋_GB2312" w:cs="仿宋_GB2312" w:eastAsia="仿宋_GB2312"/>
              </w:rPr>
              <w:t xml:space="preserve"> 外来红树植物监测站位，共设置6处监测站位。</w:t>
            </w:r>
          </w:p>
          <w:p>
            <w:pPr>
              <w:pStyle w:val="null3"/>
              <w:jc w:val="center"/>
            </w:pPr>
            <w:r>
              <w:rPr>
                <w:rFonts w:ascii="仿宋_GB2312" w:hAnsi="仿宋_GB2312" w:cs="仿宋_GB2312" w:eastAsia="仿宋_GB2312"/>
                <w:b/>
              </w:rPr>
              <w:t>表3 自然因素外来红树植物监测站位位置坐标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967"/>
              <w:gridCol w:w="108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110°32′21.294″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19°59′24.483″</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110°32′41.349″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19°58′38.728″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110°37′09.495″</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19°58′05.218″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110°37′05.719″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19°57′40.898″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110°35′22.159″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19°57′09.531″</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110°34′57.672″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19°58′06.192″</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⑥有害藤本与病虫害</w:t>
            </w:r>
            <w:r>
              <w:br/>
            </w:r>
            <w:r>
              <w:rPr>
                <w:rFonts w:ascii="仿宋_GB2312" w:hAnsi="仿宋_GB2312" w:cs="仿宋_GB2312" w:eastAsia="仿宋_GB2312"/>
              </w:rPr>
              <w:t xml:space="preserve"> 自然因素有害藤本与病虫害，共设置7个监测站。</w:t>
            </w:r>
          </w:p>
          <w:p>
            <w:pPr>
              <w:pStyle w:val="null3"/>
              <w:jc w:val="center"/>
            </w:pPr>
            <w:r>
              <w:rPr>
                <w:rFonts w:ascii="仿宋_GB2312" w:hAnsi="仿宋_GB2312" w:cs="仿宋_GB2312" w:eastAsia="仿宋_GB2312"/>
                <w:b/>
              </w:rPr>
              <w:t>表4 自然因素有害藤本与病虫害监测站位位置坐标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1082"/>
              <w:gridCol w:w="97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110°32′36.556″</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19°59′52.855″</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110°33′37.861″</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19°58′35.921″</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110°34′36.497″</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19°57′01.549″</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110°35′24.622″</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19°56′23.050″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110°37′51.156″</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19°55′49.452″</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110°37′13.850″</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19°55′26.133″</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110°36′17.387″</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19°53′58.853″</w:t>
                  </w:r>
                </w:p>
              </w:tc>
            </w:tr>
            <w:tr>
              <w:tc>
                <w:tcPr>
                  <w:tcW w:type="dxa" w:w="25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⑦岸滩侵蚀</w:t>
            </w:r>
            <w:r>
              <w:br/>
            </w:r>
            <w:r>
              <w:rPr>
                <w:rFonts w:ascii="仿宋_GB2312" w:hAnsi="仿宋_GB2312" w:cs="仿宋_GB2312" w:eastAsia="仿宋_GB2312"/>
              </w:rPr>
              <w:t xml:space="preserve"> 岸滩侵蚀区域及侵蚀长度共设置6个站位。同时，记录监测区域其他人为活动干扰情况。</w:t>
            </w:r>
          </w:p>
          <w:p>
            <w:pPr>
              <w:pStyle w:val="null3"/>
              <w:jc w:val="center"/>
            </w:pPr>
            <w:r>
              <w:rPr>
                <w:rFonts w:ascii="仿宋_GB2312" w:hAnsi="仿宋_GB2312" w:cs="仿宋_GB2312" w:eastAsia="仿宋_GB2312"/>
                <w:b/>
              </w:rPr>
              <w:t>表5 岸滩侵蚀监测站位位置坐标</w:t>
            </w:r>
          </w:p>
          <w:tbl>
            <w:tblPr>
              <w:tblInd w:type="dxa" w:w="435"/>
              <w:tblBorders>
                <w:top w:val="none" w:color="000000" w:sz="4"/>
                <w:left w:val="none" w:color="000000" w:sz="4"/>
                <w:bottom w:val="none" w:color="000000" w:sz="4"/>
                <w:right w:val="none" w:color="000000" w:sz="4"/>
                <w:insideH w:val="none"/>
                <w:insideV w:val="none"/>
              </w:tblBorders>
            </w:tblPr>
            <w:tblGrid>
              <w:gridCol w:w="493"/>
              <w:gridCol w:w="967"/>
              <w:gridCol w:w="1082"/>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经度E（°  ′  ″）</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纬度N（°  ′  ″）</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110°32′14.763″</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20°00′25.050″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110°32′56.149″</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19°57′52.906″</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110°33′58.710″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19°59′47.334″</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110°34′53.197″</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19°57′23.598″</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110°35′55.304″</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19°55′55.700″</w:t>
                  </w:r>
                </w:p>
              </w:tc>
            </w:tr>
            <w:tr>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110°36′50.570″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19°55′23.299″</w:t>
                  </w:r>
                </w:p>
              </w:tc>
            </w:tr>
            <w:tr>
              <w:tc>
                <w:tcPr>
                  <w:tcW w:type="dxa" w:w="25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备注：经业主同意确认，调查站位可视实际情况适当调整。</w:t>
                  </w:r>
                </w:p>
              </w:tc>
            </w:tr>
          </w:tbl>
          <w:p>
            <w:pPr>
              <w:pStyle w:val="null3"/>
              <w:jc w:val="left"/>
            </w:pPr>
            <w:r>
              <w:rPr>
                <w:rFonts w:ascii="仿宋_GB2312" w:hAnsi="仿宋_GB2312" w:cs="仿宋_GB2312" w:eastAsia="仿宋_GB2312"/>
              </w:rPr>
              <w:t>（4）监测与评估方法</w:t>
            </w:r>
            <w:r>
              <w:br/>
            </w:r>
            <w:r>
              <w:rPr>
                <w:rFonts w:ascii="仿宋_GB2312" w:hAnsi="仿宋_GB2312" w:cs="仿宋_GB2312" w:eastAsia="仿宋_GB2312"/>
              </w:rPr>
              <w:t xml:space="preserve"> 按照《海岸带生态系统现状调查与评估技术导则 第3部分：红树林》(HY/T 0460.3-2024)和《红树林生态系统监测、评价与预警技术规程》（试行 2024）等有关规定执行，项目实施过程中如有最新的技术规范则参照执行。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植被群落、病虫害、沉积物粒度及岸滩侵蚀等每年至少开展1次监测；</w:t>
            </w:r>
            <w:r>
              <w:br/>
            </w:r>
            <w:r>
              <w:rPr>
                <w:rFonts w:ascii="仿宋_GB2312" w:hAnsi="仿宋_GB2312" w:cs="仿宋_GB2312" w:eastAsia="仿宋_GB2312"/>
              </w:rPr>
              <w:t xml:space="preserve"> 大型底栖动物每年在春季和秋季各开展1次监测；</w:t>
            </w:r>
            <w:r>
              <w:br/>
            </w:r>
            <w:r>
              <w:rPr>
                <w:rFonts w:ascii="仿宋_GB2312" w:hAnsi="仿宋_GB2312" w:cs="仿宋_GB2312" w:eastAsia="仿宋_GB2312"/>
              </w:rPr>
              <w:t xml:space="preserve"> 鸟类每年开展候鸟季和非候鸟季的监测；</w:t>
            </w:r>
            <w:r>
              <w:br/>
            </w:r>
            <w:r>
              <w:rPr>
                <w:rFonts w:ascii="仿宋_GB2312" w:hAnsi="仿宋_GB2312" w:cs="仿宋_GB2312" w:eastAsia="仿宋_GB2312"/>
              </w:rPr>
              <w:t xml:space="preserve"> 水体盐度宜采用浅水型温盐深仪（CTD）开展长期监测，或用盐度计法测定冬季大潮高潮时的水体盐度；</w:t>
            </w:r>
            <w:r>
              <w:br/>
            </w:r>
            <w:r>
              <w:rPr>
                <w:rFonts w:ascii="仿宋_GB2312" w:hAnsi="仿宋_GB2312" w:cs="仿宋_GB2312" w:eastAsia="仿宋_GB2312"/>
              </w:rPr>
              <w:t xml:space="preserve"> 当监测过程发现警情时，应加密相关指标监测。</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海南东寨港国家级自然保护区红树林生态系统预警监测评估报告》《2025年海南东寨港国家级自然保护区红树林生态系统预警报告》、红树林生态图集、预警监测数据集、现场照片、短视频、调查数量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标的名称：D包河口、海湾、砂质海岸生态系统预警监测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b/>
              </w:rPr>
              <w:t>（一）南渡江口生态系统预警监测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南渡江口15m水深周边海域至主河道上游麻余村周边水域，包含海甸溪和横沟河水域。</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对南渡江口开展生态系统预警监测，具体监测内容及要素见表1。</w:t>
            </w:r>
          </w:p>
          <w:p>
            <w:pPr>
              <w:pStyle w:val="null3"/>
              <w:jc w:val="center"/>
            </w:pPr>
            <w:r>
              <w:rPr>
                <w:rFonts w:ascii="仿宋_GB2312" w:hAnsi="仿宋_GB2312" w:cs="仿宋_GB2312" w:eastAsia="仿宋_GB2312"/>
                <w:b/>
              </w:rPr>
              <w:t>表1南渡江口生态系统预警监测内容及要素</w:t>
            </w:r>
          </w:p>
          <w:tbl>
            <w:tblPr>
              <w:tblBorders>
                <w:top w:val="none" w:color="000000" w:sz="4"/>
                <w:left w:val="none" w:color="000000" w:sz="4"/>
                <w:bottom w:val="none" w:color="000000" w:sz="4"/>
                <w:right w:val="none" w:color="000000" w:sz="4"/>
                <w:insideH w:val="none"/>
                <w:insideV w:val="none"/>
              </w:tblBorders>
            </w:tblPr>
            <w:tblGrid>
              <w:gridCol w:w="525"/>
              <w:gridCol w:w="2022"/>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c>
                <w:tcPr>
                  <w:tcW w:type="dxa" w:w="2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要素</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物理组分</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岸滩蚀淤、湿地的类型与面积、潮沟形态及分布、水深、水温、盐度、透明度</w:t>
                  </w:r>
                  <w:r>
                    <w:rPr>
                      <w:rFonts w:ascii="仿宋_GB2312" w:hAnsi="仿宋_GB2312" w:cs="仿宋_GB2312" w:eastAsia="仿宋_GB2312"/>
                      <w:sz w:val="21"/>
                    </w:rPr>
                    <w:t>、</w:t>
                  </w:r>
                  <w:r>
                    <w:rPr>
                      <w:rFonts w:ascii="仿宋_GB2312" w:hAnsi="仿宋_GB2312" w:cs="仿宋_GB2312" w:eastAsia="仿宋_GB2312"/>
                      <w:sz w:val="21"/>
                    </w:rPr>
                    <w:t>悬浮物</w:t>
                  </w:r>
                  <w:r>
                    <w:rPr>
                      <w:rFonts w:ascii="仿宋_GB2312" w:hAnsi="仿宋_GB2312" w:cs="仿宋_GB2312" w:eastAsia="仿宋_GB2312"/>
                      <w:sz w:val="21"/>
                    </w:rPr>
                    <w:t>、</w:t>
                  </w:r>
                  <w:r>
                    <w:rPr>
                      <w:rFonts w:ascii="仿宋_GB2312" w:hAnsi="仿宋_GB2312" w:cs="仿宋_GB2312" w:eastAsia="仿宋_GB2312"/>
                      <w:sz w:val="21"/>
                    </w:rPr>
                    <w:t>沉积物粒度</w:t>
                  </w:r>
                  <w:r>
                    <w:rPr>
                      <w:rFonts w:ascii="仿宋_GB2312" w:hAnsi="仿宋_GB2312" w:cs="仿宋_GB2312" w:eastAsia="仿宋_GB2312"/>
                      <w:sz w:val="21"/>
                    </w:rPr>
                    <w:t>、</w:t>
                  </w:r>
                  <w:r>
                    <w:rPr>
                      <w:rFonts w:ascii="仿宋_GB2312" w:hAnsi="仿宋_GB2312" w:cs="仿宋_GB2312" w:eastAsia="仿宋_GB2312"/>
                      <w:sz w:val="21"/>
                    </w:rPr>
                    <w:t>沉积物</w:t>
                  </w:r>
                  <w:r>
                    <w:rPr>
                      <w:rFonts w:ascii="仿宋_GB2312" w:hAnsi="仿宋_GB2312" w:cs="仿宋_GB2312" w:eastAsia="仿宋_GB2312"/>
                      <w:sz w:val="21"/>
                    </w:rPr>
                    <w:t>氧化还原电位</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化学组分</w:t>
                  </w:r>
                </w:p>
                <w:p>
                  <w:pPr>
                    <w:pStyle w:val="null3"/>
                    <w:jc w:val="center"/>
                  </w:pPr>
                  <w:r>
                    <w:rPr>
                      <w:rFonts w:ascii="仿宋_GB2312" w:hAnsi="仿宋_GB2312" w:cs="仿宋_GB2312" w:eastAsia="仿宋_GB2312"/>
                      <w:sz w:val="21"/>
                    </w:rPr>
                    <w:t>（海水）</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w:t>
                  </w:r>
                  <w:r>
                    <w:rPr>
                      <w:rFonts w:ascii="仿宋_GB2312" w:hAnsi="仿宋_GB2312" w:cs="仿宋_GB2312" w:eastAsia="仿宋_GB2312"/>
                      <w:sz w:val="21"/>
                    </w:rPr>
                    <w:t>、无机氮、活性磷酸盐、化学需氧量、溶解氧、活性硅酸盐、</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化学组分</w:t>
                  </w:r>
                </w:p>
                <w:p>
                  <w:pPr>
                    <w:pStyle w:val="null3"/>
                    <w:jc w:val="center"/>
                  </w:pPr>
                  <w:r>
                    <w:rPr>
                      <w:rFonts w:ascii="仿宋_GB2312" w:hAnsi="仿宋_GB2312" w:cs="仿宋_GB2312" w:eastAsia="仿宋_GB2312"/>
                      <w:sz w:val="21"/>
                    </w:rPr>
                    <w:t>（沉积物）</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油类</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生物组分</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湿地鸟类与动物、湿地植被与外来生物、叶绿素</w:t>
                  </w:r>
                  <w:r>
                    <w:rPr>
                      <w:rFonts w:ascii="仿宋_GB2312" w:hAnsi="仿宋_GB2312" w:cs="仿宋_GB2312" w:eastAsia="仿宋_GB2312"/>
                      <w:sz w:val="21"/>
                    </w:rPr>
                    <w:t>a</w:t>
                  </w:r>
                  <w:r>
                    <w:rPr>
                      <w:rFonts w:ascii="仿宋_GB2312" w:hAnsi="仿宋_GB2312" w:cs="仿宋_GB2312" w:eastAsia="仿宋_GB2312"/>
                      <w:sz w:val="21"/>
                    </w:rPr>
                    <w:t>、浮游动植物、大型底栖生物、潮间带生物、鱼卵与仔稚鱼、游泳生物</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人类活动因素</w:t>
                  </w:r>
                </w:p>
              </w:tc>
              <w:tc>
                <w:tcPr>
                  <w:tcW w:type="dxa" w:w="2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涉水构筑物建设情况、入海径流淡水入海量与含沙量等</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在南渡江口布设监测站位9个，开展物理、化学、生物和人类活动因素监测，其中水文气象测定站位和层次与水体环境一致，其他监测要素根据资料收集情况和现场监测实际布设监测站位，见表2。</w:t>
            </w:r>
          </w:p>
          <w:p>
            <w:pPr>
              <w:pStyle w:val="null3"/>
              <w:jc w:val="center"/>
            </w:pPr>
            <w:r>
              <w:rPr>
                <w:rFonts w:ascii="仿宋_GB2312" w:hAnsi="仿宋_GB2312" w:cs="仿宋_GB2312" w:eastAsia="仿宋_GB2312"/>
                <w:b/>
              </w:rPr>
              <w:t>表2南渡江口生态预警监测站位表</w:t>
            </w:r>
          </w:p>
          <w:tbl>
            <w:tblPr>
              <w:tblBorders>
                <w:top w:val="none" w:color="000000" w:sz="4"/>
                <w:left w:val="none" w:color="000000" w:sz="4"/>
                <w:bottom w:val="none" w:color="000000" w:sz="4"/>
                <w:right w:val="none" w:color="000000" w:sz="4"/>
                <w:insideH w:val="none"/>
                <w:insideV w:val="none"/>
              </w:tblBorders>
            </w:tblPr>
            <w:tblGrid>
              <w:gridCol w:w="188"/>
              <w:gridCol w:w="494"/>
              <w:gridCol w:w="449"/>
              <w:gridCol w:w="1002"/>
              <w:gridCol w:w="409"/>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站号</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经度（°E）</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纬度（°N）</w:t>
                  </w:r>
                </w:p>
              </w:tc>
              <w:tc>
                <w:tcPr>
                  <w:tcW w:type="dxa" w:w="1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监测</w:t>
                  </w:r>
                  <w:r>
                    <w:rPr>
                      <w:rFonts w:ascii="仿宋_GB2312" w:hAnsi="仿宋_GB2312" w:cs="仿宋_GB2312" w:eastAsia="仿宋_GB2312"/>
                      <w:sz w:val="24"/>
                      <w:b/>
                    </w:rPr>
                    <w:t>内容</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110.371056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20.050691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南渡江干流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110.344056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20.048660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海甸溪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110.351261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20.067858</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横沟河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110.284796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20.064921</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110.335886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20.086385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110.381699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20.088420</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110.374854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20.109417</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水体环境、沉积环境、海洋生物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10-15m等深线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110.328290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20.078515</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before="105" w:after="105"/>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110.377384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20.048943</w:t>
                  </w:r>
                </w:p>
              </w:tc>
              <w:tc>
                <w:tcPr>
                  <w:tcW w:type="dxa" w:w="1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潮间带（红树林）</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备注：经业主同意确认，调查站位可视实际情况适当调整。</w:t>
                  </w: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参照《海岸带生态系统现状调查与评估技术导则 第9部分：河口》（报批稿）海洋监测规范》（GB 17378-2007）《海洋调查规范》（GB/T 12763-2007）《海洋监测技术规程》（HY/T147-2013）等执行，项目实施过程中如有最新的技术规范则参照执行。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1次/年，于4～10月实施。</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按照《全国入海河口生态现状调查质量控制工作方案》编制任务质量控制方案，或任务实施方案中应包含明确的质量控制内容，方案应包括仪器设备、人员、标准物质、样品采集、储存、运输、检测方法、实验室分析、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2025年11月30日前提交《2025年南渡江口生态系统预警监测评估报告》、预警产品、生态图集、生态系统预警监测数据集（包括实验室分析测试数据、遥感数据、现场照片、视频、调查数据矢量化等）。</w:t>
            </w:r>
            <w:r>
              <w:br/>
            </w:r>
            <w:r>
              <w:rPr>
                <w:rFonts w:ascii="仿宋_GB2312" w:hAnsi="仿宋_GB2312" w:cs="仿宋_GB2312" w:eastAsia="仿宋_GB2312"/>
                <w:b/>
              </w:rPr>
              <w:t>（二）三亚湾海湾生态系统预警监测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调查范围为三亚市鹿回头半岛南端至天涯海角岸段，向海至西岛-东瑁洲周边海域。</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监测内容包括海湾生境、海湾生物和威胁因素等，详见表1。</w:t>
            </w:r>
          </w:p>
          <w:p>
            <w:pPr>
              <w:pStyle w:val="null3"/>
              <w:jc w:val="center"/>
            </w:pPr>
            <w:r>
              <w:rPr>
                <w:rFonts w:ascii="仿宋_GB2312" w:hAnsi="仿宋_GB2312" w:cs="仿宋_GB2312" w:eastAsia="仿宋_GB2312"/>
                <w:b/>
              </w:rPr>
              <w:t>表1海湾生态系统预警监测要素</w:t>
            </w:r>
          </w:p>
          <w:tbl>
            <w:tblPr>
              <w:tblBorders>
                <w:top w:val="none" w:color="000000" w:sz="4"/>
                <w:left w:val="none" w:color="000000" w:sz="4"/>
                <w:bottom w:val="none" w:color="000000" w:sz="4"/>
                <w:right w:val="none" w:color="000000" w:sz="4"/>
                <w:insideH w:val="none"/>
                <w:insideV w:val="none"/>
              </w:tblBorders>
            </w:tblPr>
            <w:tblGrid>
              <w:gridCol w:w="474"/>
              <w:gridCol w:w="545"/>
              <w:gridCol w:w="1529"/>
            </w:tblGrid>
            <w:tr>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c>
                <w:tcPr>
                  <w:tcW w:type="dxa" w:w="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监测项目</w:t>
                  </w:r>
                </w:p>
              </w:tc>
              <w:tc>
                <w:tcPr>
                  <w:tcW w:type="dxa" w:w="1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要素</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海湾生境</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风向、风速、简易天气现象、水温、水色、水深、透明度、海况</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地形地貌</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自然岸线类型与长度</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沉积物</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氧化还原电位、粒度、有机碳、硫化物</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水体</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盐度、pH、溶解氧、无机氮（氨氮、亚硝酸盐、硝酸盐）、活性磷酸盐</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海湾生物</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生物多样性</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叶绿素a、浮游植物、浮游动物、大型底栖生物、鱼卵仔鱼</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游泳生物</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游泳生物</w:t>
                  </w:r>
                </w:p>
              </w:tc>
            </w:tr>
            <w:tr>
              <w:tc>
                <w:tcPr>
                  <w:tcW w:type="dxa" w:w="4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威胁因素</w:t>
                  </w: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海域开发活动</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围填海面积、人工岸线长度、养殖面积</w:t>
                  </w:r>
                </w:p>
              </w:tc>
            </w:tr>
            <w:tr>
              <w:tc>
                <w:tcPr>
                  <w:tcW w:type="dxa" w:w="474"/>
                  <w:vMerge/>
                  <w:tcBorders>
                    <w:top w:val="none" w:color="000000" w:sz="4"/>
                    <w:left w:val="single" w:color="000000" w:sz="4"/>
                    <w:bottom w:val="single" w:color="000000" w:sz="4"/>
                    <w:right w:val="single" w:color="000000" w:sz="4"/>
                  </w:tcBorders>
                </w:tcPr>
                <w:p/>
              </w:tc>
              <w:tc>
                <w:tcPr>
                  <w:tcW w:type="dxa" w:w="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自然灾害状况</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赤潮累计发生面积</w:t>
                  </w: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w:t>
            </w:r>
            <w:r>
              <w:br/>
            </w:r>
            <w:r>
              <w:rPr>
                <w:rFonts w:ascii="仿宋_GB2312" w:hAnsi="仿宋_GB2312" w:cs="仿宋_GB2312" w:eastAsia="仿宋_GB2312"/>
              </w:rPr>
              <w:t xml:space="preserve"> 根据三亚湾附近海域环境及特点，布设12个站点，其中水文气象和水体要素监测站位12个，沉积物监测站位7个，生物多样性监测站位7个，游泳生物监测站位1个，详见表2。</w:t>
            </w:r>
          </w:p>
          <w:p>
            <w:pPr>
              <w:pStyle w:val="null3"/>
              <w:jc w:val="center"/>
            </w:pPr>
            <w:r>
              <w:rPr>
                <w:rFonts w:ascii="仿宋_GB2312" w:hAnsi="仿宋_GB2312" w:cs="仿宋_GB2312" w:eastAsia="仿宋_GB2312"/>
                <w:b/>
              </w:rPr>
              <w:t>表2三亚湾海湾生态预警监测站位及监测内容</w:t>
            </w:r>
          </w:p>
          <w:tbl>
            <w:tblPr>
              <w:tblBorders>
                <w:top w:val="none" w:color="000000" w:sz="4"/>
                <w:left w:val="none" w:color="000000" w:sz="4"/>
                <w:bottom w:val="none" w:color="000000" w:sz="4"/>
                <w:right w:val="none" w:color="000000" w:sz="4"/>
                <w:insideH w:val="none"/>
                <w:insideV w:val="none"/>
              </w:tblBorders>
            </w:tblPr>
            <w:tblGrid>
              <w:gridCol w:w="289"/>
              <w:gridCol w:w="425"/>
              <w:gridCol w:w="375"/>
              <w:gridCol w:w="1453"/>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站号</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经度（</w:t>
                  </w:r>
                  <w:r>
                    <w:rPr>
                      <w:rFonts w:ascii="仿宋_GB2312" w:hAnsi="仿宋_GB2312" w:cs="仿宋_GB2312" w:eastAsia="仿宋_GB2312"/>
                      <w:sz w:val="32"/>
                      <w:b/>
                    </w:rPr>
                    <w:t xml:space="preserve"> </w:t>
                  </w:r>
                  <w:r>
                    <w:rPr>
                      <w:rFonts w:ascii="仿宋_GB2312" w:hAnsi="仿宋_GB2312" w:cs="仿宋_GB2312" w:eastAsia="仿宋_GB2312"/>
                      <w:sz w:val="21"/>
                      <w:b/>
                    </w:rPr>
                    <w:t>°）</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纬度（</w:t>
                  </w:r>
                  <w:r>
                    <w:rPr>
                      <w:rFonts w:ascii="仿宋_GB2312" w:hAnsi="仿宋_GB2312" w:cs="仿宋_GB2312" w:eastAsia="仿宋_GB2312"/>
                      <w:sz w:val="32"/>
                      <w:b/>
                    </w:rPr>
                    <w:t xml:space="preserve"> </w:t>
                  </w:r>
                  <w:r>
                    <w:rPr>
                      <w:rFonts w:ascii="仿宋_GB2312" w:hAnsi="仿宋_GB2312" w:cs="仿宋_GB2312" w:eastAsia="仿宋_GB2312"/>
                      <w:sz w:val="21"/>
                      <w:b/>
                    </w:rPr>
                    <w:t>°）</w:t>
                  </w:r>
                </w:p>
              </w:tc>
              <w:tc>
                <w:tcPr>
                  <w:tcW w:type="dxa" w:w="1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监测</w:t>
                  </w:r>
                  <w:r>
                    <w:rPr>
                      <w:rFonts w:ascii="仿宋_GB2312" w:hAnsi="仿宋_GB2312" w:cs="仿宋_GB2312" w:eastAsia="仿宋_GB2312"/>
                      <w:sz w:val="21"/>
                      <w:b/>
                    </w:rPr>
                    <w:t>内容</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109.3388</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18.2824</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109.3821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18.2809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109.4443</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18.2756</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109.4891</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w:t>
                  </w:r>
                  <w:r>
                    <w:rPr>
                      <w:rFonts w:ascii="仿宋_GB2312" w:hAnsi="仿宋_GB2312" w:cs="仿宋_GB2312" w:eastAsia="仿宋_GB2312"/>
                      <w:sz w:val="21"/>
                    </w:rPr>
                    <w:t>00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109.336</w:t>
                  </w:r>
                  <w:r>
                    <w:rPr>
                      <w:rFonts w:ascii="仿宋_GB2312" w:hAnsi="仿宋_GB2312" w:cs="仿宋_GB2312" w:eastAsia="仿宋_GB2312"/>
                      <w:sz w:val="21"/>
                    </w:rPr>
                    <w:t>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18.255</w:t>
                  </w:r>
                  <w:r>
                    <w:rPr>
                      <w:rFonts w:ascii="仿宋_GB2312" w:hAnsi="仿宋_GB2312" w:cs="仿宋_GB2312" w:eastAsia="仿宋_GB2312"/>
                      <w:sz w:val="21"/>
                    </w:rPr>
                    <w:t>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109.3622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18.2617</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水文气象、水体、沉积物、生物多样性、游泳生物</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109.4094</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18.2579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109.4585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18.2521</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109.4955</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18.235</w:t>
                  </w:r>
                  <w:r>
                    <w:rPr>
                      <w:rFonts w:ascii="仿宋_GB2312" w:hAnsi="仿宋_GB2312" w:cs="仿宋_GB2312" w:eastAsia="仿宋_GB2312"/>
                      <w:sz w:val="21"/>
                    </w:rPr>
                    <w:t>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w:t>
                  </w:r>
                  <w:r>
                    <w:rPr>
                      <w:rFonts w:ascii="仿宋_GB2312" w:hAnsi="仿宋_GB2312" w:cs="仿宋_GB2312" w:eastAsia="仿宋_GB2312"/>
                      <w:sz w:val="21"/>
                    </w:rPr>
                    <w:t>000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18.2289</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109.4358</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18.2183</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水文气象、水体、沉积物、生物多样性</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109.463</w:t>
                  </w:r>
                  <w:r>
                    <w:rPr>
                      <w:rFonts w:ascii="仿宋_GB2312" w:hAnsi="仿宋_GB2312" w:cs="仿宋_GB2312" w:eastAsia="仿宋_GB2312"/>
                      <w:sz w:val="21"/>
                    </w:rPr>
                    <w:t>0</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18.21</w:t>
                  </w:r>
                  <w:r>
                    <w:rPr>
                      <w:rFonts w:ascii="仿宋_GB2312" w:hAnsi="仿宋_GB2312" w:cs="仿宋_GB2312" w:eastAsia="仿宋_GB2312"/>
                      <w:sz w:val="21"/>
                    </w:rPr>
                    <w:t>00</w:t>
                  </w:r>
                </w:p>
              </w:tc>
              <w:tc>
                <w:tcPr>
                  <w:tcW w:type="dxa" w:w="1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水文气象、水体</w:t>
                  </w: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按照《海岸带生态系统现状调查与评估技术导则 第10部分 海湾》（HY/T 0460.10-2024）、《海洋监测规范》（ GB 17378-2007）、《海洋调查规范》（ GB/T 12763-2007）和《近岸海域环境监测技术规范》（ HJ 422-2020）等规范执行，项目实施过程中如有最新的技术规范则参照执行。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2次/年，分别在夏季（6～8月）和秋季（9～11月）各开展1次监测。</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2025年11月30日前提交《2025年三亚湾海湾生态系统预警监测评估报告》、预警产品、生态图集、生态预警监测数据集（包括实验室分析测试数据、遥感数据、现场照片、视频、调查数据矢量化等）。</w:t>
            </w:r>
            <w:r>
              <w:br/>
            </w:r>
            <w:r>
              <w:rPr>
                <w:rFonts w:ascii="仿宋_GB2312" w:hAnsi="仿宋_GB2312" w:cs="仿宋_GB2312" w:eastAsia="仿宋_GB2312"/>
                <w:b/>
              </w:rPr>
              <w:t>（三）三亚亚龙湾砂质海岸生态预警监测</w:t>
            </w:r>
            <w:r>
              <w:br/>
            </w:r>
            <w:r>
              <w:rPr>
                <w:rFonts w:ascii="仿宋_GB2312" w:hAnsi="仿宋_GB2312" w:cs="仿宋_GB2312" w:eastAsia="仿宋_GB2312"/>
              </w:rPr>
              <w:t xml:space="preserve"> （1）监测范围</w:t>
            </w:r>
            <w:r>
              <w:br/>
            </w:r>
            <w:r>
              <w:rPr>
                <w:rFonts w:ascii="仿宋_GB2312" w:hAnsi="仿宋_GB2312" w:cs="仿宋_GB2312" w:eastAsia="仿宋_GB2312"/>
              </w:rPr>
              <w:t xml:space="preserve"> 三亚亚龙湾砂质海岸。</w:t>
            </w:r>
            <w:r>
              <w:br/>
            </w:r>
            <w:r>
              <w:rPr>
                <w:rFonts w:ascii="仿宋_GB2312" w:hAnsi="仿宋_GB2312" w:cs="仿宋_GB2312" w:eastAsia="仿宋_GB2312"/>
              </w:rPr>
              <w:t xml:space="preserve"> （2）监测内容</w:t>
            </w:r>
            <w:r>
              <w:br/>
            </w:r>
            <w:r>
              <w:rPr>
                <w:rFonts w:ascii="仿宋_GB2312" w:hAnsi="仿宋_GB2312" w:cs="仿宋_GB2312" w:eastAsia="仿宋_GB2312"/>
              </w:rPr>
              <w:t xml:space="preserve"> 监测内容主要包括海滩特征、生物群落、环境要素、威胁因素等，具体内容见表1。</w:t>
            </w:r>
          </w:p>
          <w:p>
            <w:pPr>
              <w:pStyle w:val="null3"/>
              <w:jc w:val="center"/>
            </w:pPr>
            <w:r>
              <w:rPr>
                <w:rFonts w:ascii="仿宋_GB2312" w:hAnsi="仿宋_GB2312" w:cs="仿宋_GB2312" w:eastAsia="仿宋_GB2312"/>
                <w:b/>
              </w:rPr>
              <w:t>表1 砂质海岸生态系统预警监测内容及要素</w:t>
            </w:r>
          </w:p>
          <w:tbl>
            <w:tblPr>
              <w:tblBorders>
                <w:top w:val="none" w:color="000000" w:sz="4"/>
                <w:left w:val="none" w:color="000000" w:sz="4"/>
                <w:bottom w:val="none" w:color="000000" w:sz="4"/>
                <w:right w:val="none" w:color="000000" w:sz="4"/>
                <w:insideH w:val="none"/>
                <w:insideV w:val="none"/>
              </w:tblBorders>
            </w:tblPr>
            <w:tblGrid>
              <w:gridCol w:w="316"/>
              <w:gridCol w:w="453"/>
              <w:gridCol w:w="1085"/>
              <w:gridCol w:w="686"/>
            </w:tblGrid>
            <w:tr>
              <w:tc>
                <w:tcPr>
                  <w:tcW w:type="dxa" w:w="316"/>
                  <w:tcBorders>
                    <w:top w:val="singl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监测内容</w:t>
                  </w:r>
                </w:p>
              </w:tc>
              <w:tc>
                <w:tcPr>
                  <w:tcW w:type="dxa" w:w="1538"/>
                  <w:gridSpan w:val="2"/>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监测要素</w:t>
                  </w:r>
                </w:p>
              </w:tc>
              <w:tc>
                <w:tcPr>
                  <w:tcW w:type="dxa" w:w="686"/>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b/>
                      <w:color w:val="0D0D0D"/>
                    </w:rPr>
                    <w:t>监测方式</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海滩特征</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岸线</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海岸线：位置、长度</w:t>
                  </w:r>
                </w:p>
              </w:tc>
              <w:tc>
                <w:tcPr>
                  <w:tcW w:type="dxa" w:w="686"/>
                  <w:tcBorders>
                    <w:top w:val="singl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现场调查、遥感调查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地形</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后滨、前滨、内滨剖面地形</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海滩地貌</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滩肩、侵蚀陡坎、沙波纹、水下沙坝等分布</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沉积物</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砂质沉积物粒度参数、砾石形态参数</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近岸动力环境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波浪、海流、悬沙、潮位、风、区域海平面</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资料收集</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生物群落</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潮间带生物</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类型、数量及分布特征</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后滨植被</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植被类型、植物种类、面积、株数、株高、胸径、冠幅、盖度及生活力等</w:t>
                  </w:r>
                </w:p>
              </w:tc>
              <w:tc>
                <w:tcPr>
                  <w:tcW w:type="dxa" w:w="686"/>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现场调查、遥感调查</w:t>
                  </w: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环境要素</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水环境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近岸海水水质：水色、水温、盐度、透明度、pH值、溶解氧、硝酸盐、亚硝酸盐、活性磷酸盐、氨盐、悬浮物</w:t>
                  </w:r>
                </w:p>
              </w:tc>
              <w:tc>
                <w:tcPr>
                  <w:tcW w:type="dxa" w:w="686"/>
                  <w:vMerge w:val="restart"/>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现场调查、资料收集</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底质环境</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潮间带沉积物质量：粪大肠菌群、油类、有机碳、硫化物</w:t>
                  </w:r>
                </w:p>
              </w:tc>
              <w:tc>
                <w:tcPr>
                  <w:tcW w:type="dxa" w:w="686"/>
                  <w:vMerge/>
                  <w:tcBorders>
                    <w:top w:val="none" w:color="000000" w:sz="4"/>
                    <w:left w:val="none" w:color="000000" w:sz="4"/>
                    <w:bottom w:val="single" w:color="000000" w:sz="4"/>
                    <w:right w:val="single" w:color="000000" w:sz="4"/>
                  </w:tcBorders>
                </w:tcPr>
                <w:p/>
              </w:tc>
            </w:tr>
            <w:tr>
              <w:tc>
                <w:tcPr>
                  <w:tcW w:type="dxa" w:w="316"/>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威胁因素</w:t>
                  </w: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自然因素</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台风、风暴潮</w:t>
                  </w:r>
                </w:p>
              </w:tc>
              <w:tc>
                <w:tcPr>
                  <w:tcW w:type="dxa" w:w="686"/>
                  <w:vMerge w:val="restart"/>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资料收集、现场调查、社会调查</w:t>
                  </w:r>
                </w:p>
              </w:tc>
            </w:tr>
            <w:tr>
              <w:tc>
                <w:tcPr>
                  <w:tcW w:type="dxa" w:w="316"/>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人为因素</w:t>
                  </w:r>
                </w:p>
              </w:tc>
              <w:tc>
                <w:tcPr>
                  <w:tcW w:type="dxa" w:w="1085"/>
                  <w:tcBorders>
                    <w:top w:val="none" w:color="000000" w:sz="4"/>
                    <w:left w:val="none" w:color="000000" w:sz="4"/>
                    <w:bottom w:val="single" w:color="000000" w:sz="4"/>
                    <w:right w:val="single" w:color="000000" w:sz="4"/>
                  </w:tcBorders>
                  <w:tcMar>
                    <w:top w:type="dxa" w:w="30"/>
                    <w:left w:type="dxa" w:w="105"/>
                    <w:bottom w:type="dxa" w:w="30"/>
                    <w:right w:type="dxa" w:w="105"/>
                  </w:tcMar>
                  <w:vAlign w:val="top"/>
                </w:tcPr>
                <w:p>
                  <w:pPr>
                    <w:pStyle w:val="null3"/>
                    <w:jc w:val="both"/>
                  </w:pPr>
                  <w:r>
                    <w:rPr>
                      <w:rFonts w:ascii="仿宋_GB2312" w:hAnsi="仿宋_GB2312" w:cs="仿宋_GB2312" w:eastAsia="仿宋_GB2312"/>
                      <w:sz w:val="21"/>
                      <w:color w:val="0D0D0D"/>
                    </w:rPr>
                    <w:t>海岸构筑物、海水污染、采捕养殖、人工采砂、滥砍乱伐、森林灾害、海滩垃圾等</w:t>
                  </w:r>
                </w:p>
              </w:tc>
              <w:tc>
                <w:tcPr>
                  <w:tcW w:type="dxa" w:w="686"/>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rPr>
              <w:t>（3）监测站位</w:t>
            </w:r>
            <w:r>
              <w:br/>
            </w:r>
            <w:r>
              <w:rPr>
                <w:rFonts w:ascii="仿宋_GB2312" w:hAnsi="仿宋_GB2312" w:cs="仿宋_GB2312" w:eastAsia="仿宋_GB2312"/>
              </w:rPr>
              <w:t xml:space="preserve"> 监测站位设置满足但不限于以下要求：在三亚亚龙湾砂质海岸布设一条测量岸线，8条地形剖面，每条地形剖面分别在沙丘、滩肩、高潮带、中潮带、低潮带、近岸水下等代表性位置各设置1个表层沉积物取样点，每条剖面布设6个沉积物采样点。布设2条环境要素调查断面，每条断面3个站位，共6个站位，开展水质和沉积物质量调查，布设3条大型底栖生物调查断面。后滨植被调查站位根据现场踏勘的结果进行现场布设。（具体调查站位可根据实际勘测的结果调整）。</w:t>
            </w:r>
          </w:p>
          <w:p>
            <w:pPr>
              <w:pStyle w:val="null3"/>
              <w:jc w:val="center"/>
            </w:pPr>
            <w:r>
              <w:rPr>
                <w:rFonts w:ascii="仿宋_GB2312" w:hAnsi="仿宋_GB2312" w:cs="仿宋_GB2312" w:eastAsia="仿宋_GB2312"/>
                <w:b/>
              </w:rPr>
              <w:t>表2 三亚亚龙湾砂质海岸生态预警监测站位</w:t>
            </w:r>
          </w:p>
          <w:tbl>
            <w:tblPr>
              <w:tblBorders>
                <w:top w:val="none" w:color="000000" w:sz="4"/>
                <w:left w:val="none" w:color="000000" w:sz="4"/>
                <w:bottom w:val="none" w:color="000000" w:sz="4"/>
                <w:right w:val="none" w:color="000000" w:sz="4"/>
                <w:insideH w:val="none"/>
                <w:insideV w:val="none"/>
              </w:tblBorders>
            </w:tblPr>
            <w:tblGrid>
              <w:gridCol w:w="309"/>
              <w:gridCol w:w="329"/>
              <w:gridCol w:w="443"/>
              <w:gridCol w:w="435"/>
              <w:gridCol w:w="431"/>
              <w:gridCol w:w="415"/>
              <w:gridCol w:w="172"/>
            </w:tblGrid>
            <w:tr>
              <w:tc>
                <w:tcPr>
                  <w:tcW w:type="dxa" w:w="30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调查区域</w:t>
                  </w:r>
                </w:p>
              </w:tc>
              <w:tc>
                <w:tcPr>
                  <w:tcW w:type="dxa" w:w="32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调查内容</w:t>
                  </w:r>
                </w:p>
              </w:tc>
              <w:tc>
                <w:tcPr>
                  <w:tcW w:type="dxa" w:w="878"/>
                  <w:gridSpan w:val="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2"/>
                    <w:jc w:val="both"/>
                  </w:pPr>
                  <w:r>
                    <w:rPr>
                      <w:rFonts w:ascii="仿宋_GB2312" w:hAnsi="仿宋_GB2312" w:cs="仿宋_GB2312" w:eastAsia="仿宋_GB2312"/>
                      <w:sz w:val="21"/>
                      <w:b/>
                    </w:rPr>
                    <w:t>经度（</w:t>
                  </w:r>
                  <w:r>
                    <w:rPr>
                      <w:rFonts w:ascii="仿宋_GB2312" w:hAnsi="仿宋_GB2312" w:cs="仿宋_GB2312" w:eastAsia="仿宋_GB2312"/>
                      <w:sz w:val="21"/>
                      <w:b/>
                    </w:rPr>
                    <w:t>E</w:t>
                  </w:r>
                  <w:r>
                    <w:rPr>
                      <w:rFonts w:ascii="仿宋_GB2312" w:hAnsi="仿宋_GB2312" w:cs="仿宋_GB2312" w:eastAsia="仿宋_GB2312"/>
                      <w:sz w:val="21"/>
                      <w:b/>
                    </w:rPr>
                    <w:t>）</w:t>
                  </w:r>
                </w:p>
              </w:tc>
              <w:tc>
                <w:tcPr>
                  <w:tcW w:type="dxa" w:w="846"/>
                  <w:gridSpan w:val="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2"/>
                    <w:jc w:val="both"/>
                  </w:pPr>
                  <w:r>
                    <w:rPr>
                      <w:rFonts w:ascii="仿宋_GB2312" w:hAnsi="仿宋_GB2312" w:cs="仿宋_GB2312" w:eastAsia="仿宋_GB2312"/>
                      <w:sz w:val="21"/>
                      <w:b/>
                    </w:rPr>
                    <w:t>纬度（</w:t>
                  </w:r>
                  <w:r>
                    <w:rPr>
                      <w:rFonts w:ascii="仿宋_GB2312" w:hAnsi="仿宋_GB2312" w:cs="仿宋_GB2312" w:eastAsia="仿宋_GB2312"/>
                      <w:sz w:val="21"/>
                      <w:b/>
                    </w:rPr>
                    <w:t>N</w:t>
                  </w:r>
                  <w:r>
                    <w:rPr>
                      <w:rFonts w:ascii="仿宋_GB2312" w:hAnsi="仿宋_GB2312" w:cs="仿宋_GB2312" w:eastAsia="仿宋_GB2312"/>
                      <w:sz w:val="21"/>
                      <w:b/>
                    </w:rPr>
                    <w:t>）</w:t>
                  </w:r>
                </w:p>
              </w:tc>
              <w:tc>
                <w:tcPr>
                  <w:tcW w:type="dxa" w:w="17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b/>
                    </w:rPr>
                    <w:t>备注</w:t>
                  </w:r>
                </w:p>
              </w:tc>
            </w:tr>
            <w:tr>
              <w:tc>
                <w:tcPr>
                  <w:tcW w:type="dxa" w:w="30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spacing w:before="105" w:after="105"/>
                    <w:ind w:left="180"/>
                    <w:jc w:val="both"/>
                  </w:pPr>
                  <w:r>
                    <w:rPr>
                      <w:rFonts w:ascii="仿宋_GB2312" w:hAnsi="仿宋_GB2312" w:cs="仿宋_GB2312" w:eastAsia="仿宋_GB2312"/>
                      <w:sz w:val="21"/>
                    </w:rPr>
                    <w:t>三亚亚龙湾砂质海岸</w:t>
                  </w: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74"/>
                    <w:jc w:val="both"/>
                  </w:pPr>
                  <w:r>
                    <w:rPr>
                      <w:rFonts w:ascii="仿宋_GB2312" w:hAnsi="仿宋_GB2312" w:cs="仿宋_GB2312" w:eastAsia="仿宋_GB2312"/>
                      <w:sz w:val="21"/>
                    </w:rPr>
                    <w:t>岸线</w:t>
                  </w:r>
                </w:p>
              </w:tc>
              <w:tc>
                <w:tcPr>
                  <w:tcW w:type="dxa" w:w="4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起点经度</w:t>
                  </w:r>
                </w:p>
              </w:tc>
              <w:tc>
                <w:tcPr>
                  <w:tcW w:type="dxa" w:w="43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终点经度</w:t>
                  </w:r>
                </w:p>
              </w:tc>
              <w:tc>
                <w:tcPr>
                  <w:tcW w:type="dxa" w:w="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起点纬度</w:t>
                  </w:r>
                </w:p>
              </w:tc>
              <w:tc>
                <w:tcPr>
                  <w:tcW w:type="dxa" w:w="41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终点纬度</w:t>
                  </w:r>
                </w:p>
              </w:tc>
              <w:tc>
                <w:tcPr>
                  <w:tcW w:type="dxa" w:w="172"/>
                  <w:vMerge w:val="restart"/>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海滩特征调查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4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w:t>
                  </w:r>
                  <w:r>
                    <w:rPr>
                      <w:rFonts w:ascii="仿宋_GB2312" w:hAnsi="仿宋_GB2312" w:cs="仿宋_GB2312" w:eastAsia="仿宋_GB2312"/>
                      <w:sz w:val="21"/>
                      <w:color w:val="000000"/>
                    </w:rPr>
                    <w:t>°</w:t>
                  </w:r>
                  <w:r>
                    <w:rPr>
                      <w:rFonts w:ascii="仿宋_GB2312" w:hAnsi="仿宋_GB2312" w:cs="仿宋_GB2312" w:eastAsia="仿宋_GB2312"/>
                      <w:sz w:val="21"/>
                      <w:color w:val="000000"/>
                    </w:rPr>
                    <w:t>36</w:t>
                  </w:r>
                  <w:r>
                    <w:rPr>
                      <w:rFonts w:ascii="仿宋_GB2312" w:hAnsi="仿宋_GB2312" w:cs="仿宋_GB2312" w:eastAsia="仿宋_GB2312"/>
                      <w:sz w:val="21"/>
                      <w:color w:val="000000"/>
                    </w:rPr>
                    <w:t>′</w:t>
                  </w:r>
                  <w:r>
                    <w:rPr>
                      <w:rFonts w:ascii="仿宋_GB2312" w:hAnsi="仿宋_GB2312" w:cs="仿宋_GB2312" w:eastAsia="仿宋_GB2312"/>
                      <w:sz w:val="21"/>
                      <w:color w:val="000000"/>
                    </w:rPr>
                    <w:t>44.175</w:t>
                  </w:r>
                  <w:r>
                    <w:rPr>
                      <w:rFonts w:ascii="仿宋_GB2312" w:hAnsi="仿宋_GB2312" w:cs="仿宋_GB2312" w:eastAsia="仿宋_GB2312"/>
                      <w:sz w:val="21"/>
                      <w:color w:val="000000"/>
                    </w:rPr>
                    <w:t>″</w:t>
                  </w:r>
                </w:p>
              </w:tc>
              <w:tc>
                <w:tcPr>
                  <w:tcW w:type="dxa" w:w="435"/>
                  <w:tcBorders>
                    <w:top w:val="none" w:color="000000" w:sz="4"/>
                    <w:left w:val="none" w:color="000000" w:sz="4"/>
                    <w:bottom w:val="non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w:t>
                  </w:r>
                  <w:r>
                    <w:rPr>
                      <w:rFonts w:ascii="仿宋_GB2312" w:hAnsi="仿宋_GB2312" w:cs="仿宋_GB2312" w:eastAsia="仿宋_GB2312"/>
                      <w:sz w:val="21"/>
                      <w:color w:val="000000"/>
                    </w:rPr>
                    <w:t>°</w:t>
                  </w:r>
                  <w:r>
                    <w:rPr>
                      <w:rFonts w:ascii="仿宋_GB2312" w:hAnsi="仿宋_GB2312" w:cs="仿宋_GB2312" w:eastAsia="仿宋_GB2312"/>
                      <w:sz w:val="21"/>
                      <w:color w:val="000000"/>
                    </w:rPr>
                    <w:t>39</w:t>
                  </w:r>
                  <w:r>
                    <w:rPr>
                      <w:rFonts w:ascii="仿宋_GB2312" w:hAnsi="仿宋_GB2312" w:cs="仿宋_GB2312" w:eastAsia="仿宋_GB2312"/>
                      <w:sz w:val="21"/>
                      <w:color w:val="000000"/>
                    </w:rPr>
                    <w:t>′</w:t>
                  </w:r>
                  <w:r>
                    <w:rPr>
                      <w:rFonts w:ascii="仿宋_GB2312" w:hAnsi="仿宋_GB2312" w:cs="仿宋_GB2312" w:eastAsia="仿宋_GB2312"/>
                      <w:sz w:val="21"/>
                      <w:color w:val="000000"/>
                    </w:rPr>
                    <w:t>10.329</w:t>
                  </w:r>
                  <w:r>
                    <w:rPr>
                      <w:rFonts w:ascii="仿宋_GB2312" w:hAnsi="仿宋_GB2312" w:cs="仿宋_GB2312" w:eastAsia="仿宋_GB2312"/>
                      <w:sz w:val="21"/>
                      <w:color w:val="000000"/>
                    </w:rPr>
                    <w:t>″</w:t>
                  </w:r>
                </w:p>
              </w:tc>
              <w:tc>
                <w:tcPr>
                  <w:tcW w:type="dxa" w:w="43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55.274</w:t>
                  </w:r>
                  <w:r>
                    <w:rPr>
                      <w:rFonts w:ascii="仿宋_GB2312" w:hAnsi="仿宋_GB2312" w:cs="仿宋_GB2312" w:eastAsia="仿宋_GB2312"/>
                      <w:sz w:val="21"/>
                      <w:color w:val="000000"/>
                    </w:rPr>
                    <w:t>″</w:t>
                  </w:r>
                </w:p>
              </w:tc>
              <w:tc>
                <w:tcPr>
                  <w:tcW w:type="dxa" w:w="41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w:t>
                  </w:r>
                  <w:r>
                    <w:rPr>
                      <w:rFonts w:ascii="仿宋_GB2312" w:hAnsi="仿宋_GB2312" w:cs="仿宋_GB2312" w:eastAsia="仿宋_GB2312"/>
                      <w:sz w:val="21"/>
                      <w:color w:val="000000"/>
                    </w:rPr>
                    <w:t>°</w:t>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59.631</w:t>
                  </w:r>
                  <w:r>
                    <w:rPr>
                      <w:rFonts w:ascii="仿宋_GB2312" w:hAnsi="仿宋_GB2312" w:cs="仿宋_GB2312" w:eastAsia="仿宋_GB2312"/>
                      <w:sz w:val="21"/>
                      <w:color w:val="000000"/>
                    </w:rPr>
                    <w:t>″</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根据现场判断识别岸线，利用</w:t>
                  </w:r>
                  <w:r>
                    <w:rPr>
                      <w:rFonts w:ascii="仿宋_GB2312" w:hAnsi="仿宋_GB2312" w:cs="仿宋_GB2312" w:eastAsia="仿宋_GB2312"/>
                      <w:sz w:val="21"/>
                    </w:rPr>
                    <w:t>RTK</w:t>
                  </w:r>
                  <w:r>
                    <w:rPr>
                      <w:rFonts w:ascii="仿宋_GB2312" w:hAnsi="仿宋_GB2312" w:cs="仿宋_GB2312" w:eastAsia="仿宋_GB2312"/>
                      <w:sz w:val="21"/>
                    </w:rPr>
                    <w:t>、无人机调查，历史岸线采用遥感识别</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地形剖面起点坐标</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109.612144°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18.215834°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109.616018°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18.219244°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109.620968°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18.222827°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109.626583°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18.226095°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109.633745°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18.229056°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109.640175°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18.230891°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109.646057°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18.232663°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109.651726°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18.233267°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地形剖面终点坐标</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109.618130°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18.209706°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109.621942°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18.212573°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109.626311°</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18.215667°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109.631553°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18.218911°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109.637748°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18.221476°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109.644102°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18.223890°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109.649264°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18.225323°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109.653664°</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 xml:space="preserve"> 18.225916°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海滩地貌</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420"/>
                    <w:jc w:val="both"/>
                  </w:pPr>
                  <w:r>
                    <w:rPr>
                      <w:rFonts w:ascii="仿宋_GB2312" w:hAnsi="仿宋_GB2312" w:cs="仿宋_GB2312" w:eastAsia="仿宋_GB2312"/>
                      <w:sz w:val="21"/>
                    </w:rPr>
                    <w:t>根据现场调查识别海滩地貌</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沙滩沉积物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109.612200°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18.215778°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109.612296°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18.215679°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109.612357°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18.215617°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109.612414°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18.215558°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109.612486°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18.215485°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109.613674°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18.214272°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109.616018°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18.219244°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109.616147°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18.219096°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109.616244°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18.218984°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109.616344°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18.218870°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109.616460°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18.218736°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109.617363°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18.217700°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109.620968°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18.222827°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109.621068°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18.222692°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109.621117°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18.222626°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109.621172°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18.222552°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109.621237°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18.222463°</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109.622129°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18.221255°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109.626607°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18.226060°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109.626664°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18.225977°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109.626727°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18.225884°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109.626792°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18.225790°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109.626842°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18.225716°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109.627775°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18.224350°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109.633745°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18.229056°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109.633810°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18.228934°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109.633869°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18.228822°</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109.633922°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18.228721°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109.633986°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18.228600°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109.634749°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18.227149°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109.640204°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18.230838°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109.640246°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18.230764°</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109.640311°</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18.230649°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109.640374°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18.230537°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109.640430°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18.230437°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沙滩沉积物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109.641229°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18.229018°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109.646084°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18.232600°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109.646142°</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18.232466°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109.646210°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18.232308°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109.646260°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18.232191°</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109.646308°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18.232080°</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109.646889°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18.230728°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109.651726°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18.233267°</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109.651755°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18.233149°</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109.651844°</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18.232786°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109.652098°</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18.231755°</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109.651799°</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18.232968°</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109.651817°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18.232896°</w:t>
                  </w:r>
                </w:p>
              </w:tc>
              <w:tc>
                <w:tcPr>
                  <w:tcW w:type="dxa" w:w="172"/>
                  <w:vMerge/>
                  <w:tcBorders>
                    <w:top w:val="single" w:color="000000" w:sz="4"/>
                    <w:left w:val="non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底栖生物</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109.649200°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18.233037°</w:t>
                  </w:r>
                </w:p>
              </w:tc>
              <w:tc>
                <w:tcPr>
                  <w:tcW w:type="dxa" w:w="172"/>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生物群落调查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109.616703°</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18.219554°</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109.632225°</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18.228472°</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后滨植被</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按照技术要求现场布设站位并记录坐标</w:t>
                  </w:r>
                </w:p>
              </w:tc>
              <w:tc>
                <w:tcPr>
                  <w:tcW w:type="dxa" w:w="172"/>
                  <w:vMerge/>
                  <w:tcBorders>
                    <w:top w:val="non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val="restart"/>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海水水质</w:t>
                  </w: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109.619516°</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18.218992°</w:t>
                  </w:r>
                </w:p>
              </w:tc>
              <w:tc>
                <w:tcPr>
                  <w:tcW w:type="dxa" w:w="172"/>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环境要素调查</w:t>
                  </w: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109.622225°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18.215741°</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109.625077°</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18.211812°</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109.642975°</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18.229557°</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109.644900°</w:t>
                  </w:r>
                </w:p>
              </w:tc>
              <w:tc>
                <w:tcPr>
                  <w:tcW w:type="dxa" w:w="846"/>
                  <w:gridSpan w:val="2"/>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18.226374°</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vMerge/>
                  <w:tcBorders>
                    <w:top w:val="none" w:color="000000" w:sz="4"/>
                    <w:left w:val="none" w:color="000000" w:sz="4"/>
                    <w:bottom w:val="single" w:color="000000" w:sz="4"/>
                    <w:right w:val="single" w:color="000000" w:sz="4"/>
                  </w:tcBorders>
                </w:tcPr>
                <w:p/>
              </w:tc>
              <w:tc>
                <w:tcPr>
                  <w:tcW w:type="dxa" w:w="878"/>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109.647253°</w:t>
                  </w:r>
                </w:p>
              </w:tc>
              <w:tc>
                <w:tcPr>
                  <w:tcW w:type="dxa" w:w="846"/>
                  <w:gridSpan w:val="2"/>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color w:val="000000"/>
                    </w:rPr>
                    <w:t>18.222040°</w:t>
                  </w:r>
                </w:p>
              </w:tc>
              <w:tc>
                <w:tcPr>
                  <w:tcW w:type="dxa" w:w="172"/>
                  <w:vMerge/>
                  <w:tcBorders>
                    <w:top w:val="single" w:color="000000" w:sz="4"/>
                    <w:left w:val="single" w:color="000000" w:sz="4"/>
                    <w:bottom w:val="single" w:color="000000" w:sz="4"/>
                    <w:right w:val="single" w:color="000000" w:sz="4"/>
                  </w:tcBorders>
                </w:tcPr>
                <w:p/>
              </w:tc>
            </w:tr>
            <w:tr>
              <w:tc>
                <w:tcPr>
                  <w:tcW w:type="dxa" w:w="309"/>
                  <w:vMerge/>
                  <w:tcBorders>
                    <w:top w:val="none" w:color="000000" w:sz="4"/>
                    <w:left w:val="single" w:color="000000" w:sz="4"/>
                    <w:bottom w:val="single" w:color="000000" w:sz="4"/>
                    <w:right w:val="single" w:color="000000" w:sz="4"/>
                  </w:tcBorders>
                </w:tcPr>
                <w:p/>
              </w:tc>
              <w:tc>
                <w:tcPr>
                  <w:tcW w:type="dxa" w:w="32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沉积物质量</w:t>
                  </w:r>
                </w:p>
              </w:tc>
              <w:tc>
                <w:tcPr>
                  <w:tcW w:type="dxa" w:w="1724"/>
                  <w:gridSpan w:val="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ind w:firstLine="189"/>
                    <w:jc w:val="both"/>
                  </w:pPr>
                  <w:r>
                    <w:rPr>
                      <w:rFonts w:ascii="仿宋_GB2312" w:hAnsi="仿宋_GB2312" w:cs="仿宋_GB2312" w:eastAsia="仿宋_GB2312"/>
                      <w:sz w:val="21"/>
                    </w:rPr>
                    <w:t>同水质站位</w:t>
                  </w:r>
                </w:p>
              </w:tc>
              <w:tc>
                <w:tcPr>
                  <w:tcW w:type="dxa" w:w="172"/>
                  <w:vMerge/>
                  <w:tcBorders>
                    <w:top w:val="singl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（4）监测和评估方法</w:t>
            </w:r>
            <w:r>
              <w:br/>
            </w:r>
            <w:r>
              <w:rPr>
                <w:rFonts w:ascii="仿宋_GB2312" w:hAnsi="仿宋_GB2312" w:cs="仿宋_GB2312" w:eastAsia="仿宋_GB2312"/>
              </w:rPr>
              <w:t xml:space="preserve"> 按照《海岸带生态系统现状调查与评估技术导则 第8部分 砂质海岸》（HY/T 0460.8-2024）、《海洋监测规范》（ GB 17378-2007）、《海洋调查规范》（ GB/T 12763-2007）和《近岸海域环境监测技术规范》（ HJ 422-2020）等规范执行，项目实施过程中如有最新的技术规范则参照执行。</w:t>
            </w:r>
            <w:r>
              <w:br/>
            </w:r>
            <w:r>
              <w:rPr>
                <w:rFonts w:ascii="仿宋_GB2312" w:hAnsi="仿宋_GB2312" w:cs="仿宋_GB2312" w:eastAsia="仿宋_GB2312"/>
              </w:rPr>
              <w:t xml:space="preserve"> （5）监测时间和频率</w:t>
            </w:r>
            <w:r>
              <w:br/>
            </w:r>
            <w:r>
              <w:rPr>
                <w:rFonts w:ascii="仿宋_GB2312" w:hAnsi="仿宋_GB2312" w:cs="仿宋_GB2312" w:eastAsia="仿宋_GB2312"/>
              </w:rPr>
              <w:t xml:space="preserve"> 海滩特征及环境要素至少在夏季开展1次调查，冬季视情况开展调查，以资料收集为主。潮间带底栖生物群落至少在秋季大潮期间开展1次调查，春季视情况开展调查，以资料收集为主。后滨植被安排在5月～9月实施。。</w:t>
            </w:r>
            <w:r>
              <w:br/>
            </w:r>
            <w:r>
              <w:rPr>
                <w:rFonts w:ascii="仿宋_GB2312" w:hAnsi="仿宋_GB2312" w:cs="仿宋_GB2312" w:eastAsia="仿宋_GB2312"/>
              </w:rPr>
              <w:t xml:space="preserve"> （6）质量控制</w:t>
            </w:r>
            <w:r>
              <w:br/>
            </w:r>
            <w:r>
              <w:rPr>
                <w:rFonts w:ascii="仿宋_GB2312" w:hAnsi="仿宋_GB2312" w:cs="仿宋_GB2312" w:eastAsia="仿宋_GB2312"/>
              </w:rPr>
              <w:t xml:space="preserve"> ①在开展调查前，编制任务质量控制方案，或任务实施方案中应包含明确的质量控制内容，方案应包括仪器设备、人员、标准物质、样品采集、储存、运输、检测方法、实验室分析、遥感解译质控、数据审核、评价等质量保证措施。</w:t>
            </w:r>
            <w:r>
              <w:br/>
            </w:r>
            <w:r>
              <w:rPr>
                <w:rFonts w:ascii="仿宋_GB2312" w:hAnsi="仿宋_GB2312" w:cs="仿宋_GB2312" w:eastAsia="仿宋_GB2312"/>
              </w:rPr>
              <w:t xml:space="preserve"> ②水体环境、沉积物、生态、生物样品的采集（预处理）、储存、运输应严格按《海洋监测规范》（GB 17378-2007）和《海洋调查规范》（GB/T 12763-2007）等相关要求执行，制定可实施的实验室分析质量控制计划。</w:t>
            </w:r>
            <w:r>
              <w:br/>
            </w:r>
            <w:r>
              <w:rPr>
                <w:rFonts w:ascii="仿宋_GB2312" w:hAnsi="仿宋_GB2312" w:cs="仿宋_GB2312" w:eastAsia="仿宋_GB2312"/>
              </w:rPr>
              <w:t xml:space="preserve"> ③根据采购人工作安排，参加相关质量监督检查和外控样考核。</w:t>
            </w:r>
            <w:r>
              <w:br/>
            </w:r>
            <w:r>
              <w:rPr>
                <w:rFonts w:ascii="仿宋_GB2312" w:hAnsi="仿宋_GB2312" w:cs="仿宋_GB2312" w:eastAsia="仿宋_GB2312"/>
              </w:rPr>
              <w:t xml:space="preserve"> ④所有出具的检测报告必须加盖CMA章。</w:t>
            </w:r>
            <w:r>
              <w:br/>
            </w:r>
            <w:r>
              <w:rPr>
                <w:rFonts w:ascii="仿宋_GB2312" w:hAnsi="仿宋_GB2312" w:cs="仿宋_GB2312" w:eastAsia="仿宋_GB2312"/>
              </w:rPr>
              <w:t xml:space="preserve"> ⑤因不可抗力因素影响，导致实际监测开展情况与方案要求不符，包括监测站位调整、时间变更等，应详细说明理由并经采购人报批确认。</w:t>
            </w:r>
            <w:r>
              <w:br/>
            </w:r>
            <w:r>
              <w:rPr>
                <w:rFonts w:ascii="仿宋_GB2312" w:hAnsi="仿宋_GB2312" w:cs="仿宋_GB2312" w:eastAsia="仿宋_GB2312"/>
              </w:rPr>
              <w:t xml:space="preserve"> （7）成果提交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2025年12月30日前提交《2025年三亚亚龙湾砂质海岸生态系统预警监测评估报告》、预警产品、生态图集、生态预警监测数据集（包括实验室分析测试数据、遥感数据、现场照片、视频、调查数据矢量化等）。</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15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标的名称：E包海南省海洋生态预警监测成果编制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1、服务内容和标准：</w:t>
            </w:r>
            <w:r>
              <w:br/>
            </w:r>
            <w:r>
              <w:rPr>
                <w:rFonts w:ascii="仿宋_GB2312" w:hAnsi="仿宋_GB2312" w:cs="仿宋_GB2312" w:eastAsia="仿宋_GB2312"/>
              </w:rPr>
              <w:t xml:space="preserve">   （一）技术服务内容</w:t>
            </w:r>
            <w:r>
              <w:br/>
            </w:r>
            <w:r>
              <w:rPr>
                <w:rFonts w:ascii="仿宋_GB2312" w:hAnsi="仿宋_GB2312" w:cs="仿宋_GB2312" w:eastAsia="仿宋_GB2312"/>
              </w:rPr>
              <w:t xml:space="preserve">   1.编制海洋生态预警监测状况报告</w:t>
            </w:r>
            <w:r>
              <w:br/>
            </w:r>
            <w:r>
              <w:rPr>
                <w:rFonts w:ascii="仿宋_GB2312" w:hAnsi="仿宋_GB2312" w:cs="仿宋_GB2312" w:eastAsia="仿宋_GB2312"/>
              </w:rPr>
              <w:t xml:space="preserve"> 对本年度以及2021年-2025年（“十四五”期间）的海洋生态基础状况、典型生态系统和海洋生态灾害等进行全面系统的评价，分析现状、趋势和问题。分析评估海南省近岸海域生态状况，反映海洋生态保护和修复工作成效，编制《2025年海南省海洋生态状况报告》及《海南省（十四五）海洋生态预警监测状况报告》。。</w:t>
            </w:r>
            <w:r>
              <w:br/>
            </w:r>
            <w:r>
              <w:rPr>
                <w:rFonts w:ascii="仿宋_GB2312" w:hAnsi="仿宋_GB2312" w:cs="仿宋_GB2312" w:eastAsia="仿宋_GB2312"/>
              </w:rPr>
              <w:t xml:space="preserve">   2.编制生态类型清单和生态图产品</w:t>
            </w:r>
            <w:r>
              <w:br/>
            </w:r>
            <w:r>
              <w:rPr>
                <w:rFonts w:ascii="仿宋_GB2312" w:hAnsi="仿宋_GB2312" w:cs="仿宋_GB2312" w:eastAsia="仿宋_GB2312"/>
              </w:rPr>
              <w:t xml:space="preserve"> 按照《近岸海域生态类型清单和生态图构建指导方案》及生态类型清单和生态图制作技术要求，针对2021年-2025年已完成典型生态系统现状调查和预警监测的区域开展其所在四级分区的生态类型清单和生态图制作，编制《海南省海洋生态类型清单》和《海南省海洋生态图技术报告》。</w:t>
            </w:r>
            <w:r>
              <w:br/>
            </w:r>
            <w:r>
              <w:rPr>
                <w:rFonts w:ascii="仿宋_GB2312" w:hAnsi="仿宋_GB2312" w:cs="仿宋_GB2312" w:eastAsia="仿宋_GB2312"/>
              </w:rPr>
              <w:t xml:space="preserve">   3.完善海南省海洋生态分类分区</w:t>
            </w:r>
            <w:r>
              <w:br/>
            </w:r>
            <w:r>
              <w:rPr>
                <w:rFonts w:ascii="仿宋_GB2312" w:hAnsi="仿宋_GB2312" w:cs="仿宋_GB2312" w:eastAsia="仿宋_GB2312"/>
              </w:rPr>
              <w:t xml:space="preserve"> 在现有海洋生态分类分区图件的基础上，根据2025年海南省海洋生态预警监测成果，对区域内各来源数据资料和研究成果进行整合处理，进一步完善海南省海洋生态分类分区，编制《海南省近岸海域生态四级分区技术报告》。</w:t>
            </w:r>
            <w:r>
              <w:br/>
            </w:r>
            <w:r>
              <w:rPr>
                <w:rFonts w:ascii="仿宋_GB2312" w:hAnsi="仿宋_GB2312" w:cs="仿宋_GB2312" w:eastAsia="仿宋_GB2312"/>
              </w:rPr>
              <w:t xml:space="preserve">   4.编制海南省海洋生态问题清单</w:t>
            </w:r>
            <w:r>
              <w:br/>
            </w:r>
            <w:r>
              <w:rPr>
                <w:rFonts w:ascii="仿宋_GB2312" w:hAnsi="仿宋_GB2312" w:cs="仿宋_GB2312" w:eastAsia="仿宋_GB2312"/>
              </w:rPr>
              <w:t xml:space="preserve"> 基于2021年-2025年度典型生态系统现状调查结果，结合历史变化趋势，提出开展调查的生态系统问题清单，评估我省典型生态系统主要生态问题并动态更新。</w:t>
            </w:r>
            <w:r>
              <w:br/>
            </w:r>
            <w:r>
              <w:rPr>
                <w:rFonts w:ascii="仿宋_GB2312" w:hAnsi="仿宋_GB2312" w:cs="仿宋_GB2312" w:eastAsia="仿宋_GB2312"/>
              </w:rPr>
              <w:t xml:space="preserve"> （二）成果提交</w:t>
            </w:r>
            <w:r>
              <w:br/>
            </w:r>
            <w:r>
              <w:rPr>
                <w:rFonts w:ascii="仿宋_GB2312" w:hAnsi="仿宋_GB2312" w:cs="仿宋_GB2312" w:eastAsia="仿宋_GB2312"/>
              </w:rPr>
              <w:t xml:space="preserve">   合同签订后10个工作日内，中标方向采购人提交项目实施方案。</w:t>
            </w:r>
            <w:r>
              <w:br/>
            </w:r>
            <w:r>
              <w:rPr>
                <w:rFonts w:ascii="仿宋_GB2312" w:hAnsi="仿宋_GB2312" w:cs="仿宋_GB2312" w:eastAsia="仿宋_GB2312"/>
              </w:rPr>
              <w:t xml:space="preserve">   2025年12月10日前提交成果包括：《2025年海南省海洋生态预警监测状况报告》《海南省（十四五）海洋生态预警监测状况报告》《海南省近岸海域生态四级分区技术报告》《海南省海洋生态类型清单》和《海南省海洋生态图技术报告》、海南省海洋生态问题清单、2025年海南省海洋生态预警监测数据集、2025年海南省海洋生态图集、海南省（“十四五”）海洋生态图集。</w:t>
            </w:r>
            <w:r>
              <w:br/>
            </w:r>
            <w:r>
              <w:rPr>
                <w:rFonts w:ascii="仿宋_GB2312" w:hAnsi="仿宋_GB2312" w:cs="仿宋_GB2312" w:eastAsia="仿宋_GB2312"/>
              </w:rPr>
              <w:t xml:space="preserve"> （三）技术服务实施依据</w:t>
            </w:r>
            <w:r>
              <w:br/>
            </w:r>
            <w:r>
              <w:rPr>
                <w:rFonts w:ascii="仿宋_GB2312" w:hAnsi="仿宋_GB2312" w:cs="仿宋_GB2312" w:eastAsia="仿宋_GB2312"/>
              </w:rPr>
              <w:t xml:space="preserve"> 1.《自然资源部办公厅关于建立健全海洋生态预警监测体系的通知》(自然资办发〔2021〕52号)；</w:t>
            </w:r>
            <w:r>
              <w:br/>
            </w:r>
            <w:r>
              <w:rPr>
                <w:rFonts w:ascii="仿宋_GB2312" w:hAnsi="仿宋_GB2312" w:cs="仿宋_GB2312" w:eastAsia="仿宋_GB2312"/>
              </w:rPr>
              <w:t xml:space="preserve"> 2.《全国海洋生态预警监测总体方案（2021-2025年）》（自然资办发〔2021〕64号）；</w:t>
            </w:r>
            <w:r>
              <w:br/>
            </w:r>
            <w:r>
              <w:rPr>
                <w:rFonts w:ascii="仿宋_GB2312" w:hAnsi="仿宋_GB2312" w:cs="仿宋_GB2312" w:eastAsia="仿宋_GB2312"/>
              </w:rPr>
              <w:t xml:space="preserve"> 3.《2025年全国海洋预警监测工作方案》；</w:t>
            </w:r>
            <w:r>
              <w:br/>
            </w:r>
            <w:r>
              <w:rPr>
                <w:rFonts w:ascii="仿宋_GB2312" w:hAnsi="仿宋_GB2312" w:cs="仿宋_GB2312" w:eastAsia="仿宋_GB2312"/>
              </w:rPr>
              <w:t xml:space="preserve"> 4.《2025年海南省海洋生态预警监测工作方案》。</w:t>
            </w:r>
            <w:r>
              <w:br/>
            </w:r>
            <w:r>
              <w:rPr>
                <w:rFonts w:ascii="仿宋_GB2312" w:hAnsi="仿宋_GB2312" w:cs="仿宋_GB2312" w:eastAsia="仿宋_GB2312"/>
              </w:rPr>
              <w:t xml:space="preserve"> 2、技术、服务人员要求：</w:t>
            </w:r>
            <w:r>
              <w:br/>
            </w:r>
            <w:r>
              <w:rPr>
                <w:rFonts w:ascii="仿宋_GB2312" w:hAnsi="仿宋_GB2312" w:cs="仿宋_GB2312" w:eastAsia="仿宋_GB2312"/>
              </w:rPr>
              <w:t xml:space="preserve">   （1）本项目的项目负责人需具有海洋相关专业副高级（含）以上职称，项目组成员为承担单位固定成员，项目组成员不低于10人，且专业必须涵盖海洋生物生态、海洋化学等、测绘等相关领域。项目负责人须是该项目实施全过程的真正组织者和指导者，担负实质性工作，挂名或不担负实质性工作的人员不得作为项目负责人参与本项工作。</w:t>
            </w:r>
            <w:r>
              <w:br/>
            </w:r>
            <w:r>
              <w:rPr>
                <w:rFonts w:ascii="仿宋_GB2312" w:hAnsi="仿宋_GB2312" w:cs="仿宋_GB2312" w:eastAsia="仿宋_GB2312"/>
              </w:rPr>
              <w:t xml:space="preserve">   （2）为使项目按质、按量、按时及有序实施，中标人应建立完善、稳定的项目团队、内部组织管理方式及协调机制，支撑保障要求及其他相关要求。中标人应承诺做好项目研究的过程管理，做到全面、科学、合理的规划，保证投入项目的人员组织科学、充足，项目的进度计划合理、可行，项目各阶段的跟踪管理和质量保障措施完善。</w:t>
            </w:r>
            <w:r>
              <w:br/>
            </w:r>
            <w:r>
              <w:rPr>
                <w:rFonts w:ascii="仿宋_GB2312" w:hAnsi="仿宋_GB2312" w:cs="仿宋_GB2312" w:eastAsia="仿宋_GB2312"/>
              </w:rPr>
              <w:t xml:space="preserve"> 3、其他要求：</w:t>
            </w:r>
            <w:r>
              <w:br/>
            </w:r>
            <w:r>
              <w:rPr>
                <w:rFonts w:ascii="仿宋_GB2312" w:hAnsi="仿宋_GB2312" w:cs="仿宋_GB2312" w:eastAsia="仿宋_GB2312"/>
              </w:rPr>
              <w:t xml:space="preserve">   在调查方法中，投标方需明确充分利用特别国债海南省海洋灾害综合防治能力建设项目设备和数据的途径。</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w:t>
            </w:r>
            <w:r>
              <w:br/>
            </w:r>
            <w:r>
              <w:rPr>
                <w:rFonts w:ascii="仿宋_GB2312" w:hAnsi="仿宋_GB2312" w:cs="仿宋_GB2312" w:eastAsia="仿宋_GB2312"/>
              </w:rPr>
              <w:t xml:space="preserve"> 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w:t>
            </w:r>
            <w:r>
              <w:br/>
            </w:r>
            <w:r>
              <w:rPr>
                <w:rFonts w:ascii="仿宋_GB2312" w:hAnsi="仿宋_GB2312" w:cs="仿宋_GB2312" w:eastAsia="仿宋_GB2312"/>
              </w:rPr>
              <w:t xml:space="preserve"> 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w:t>
            </w:r>
            <w:r>
              <w:br/>
            </w:r>
            <w:r>
              <w:rPr>
                <w:rFonts w:ascii="仿宋_GB2312" w:hAnsi="仿宋_GB2312" w:cs="仿宋_GB2312" w:eastAsia="仿宋_GB2312"/>
              </w:rPr>
              <w:t xml:space="preserve"> 除了招标文件的技术（服务）要求、中标人的投标文件及承诺以及采购合同约定外，可溯源到国家、行</w:t>
            </w:r>
            <w:r>
              <w:br/>
            </w:r>
            <w:r>
              <w:rPr>
                <w:rFonts w:ascii="仿宋_GB2312" w:hAnsi="仿宋_GB2312" w:cs="仿宋_GB2312" w:eastAsia="仿宋_GB2312"/>
              </w:rPr>
              <w:t xml:space="preserve"> 业及地方现行相关规定、规范及技术标准。中标方根据专家评审意见，进一步修改完善项目成果，并最</w:t>
            </w:r>
            <w:r>
              <w:br/>
            </w:r>
            <w:r>
              <w:rPr>
                <w:rFonts w:ascii="仿宋_GB2312" w:hAnsi="仿宋_GB2312" w:cs="仿宋_GB2312" w:eastAsia="仿宋_GB2312"/>
              </w:rPr>
              <w:t xml:space="preserve"> 终征得招标方同意。</w:t>
            </w:r>
            <w:r>
              <w:br/>
            </w:r>
            <w:r>
              <w:rPr>
                <w:rFonts w:ascii="仿宋_GB2312" w:hAnsi="仿宋_GB2312" w:cs="仿宋_GB2312" w:eastAsia="仿宋_GB2312"/>
              </w:rPr>
              <w:t xml:space="preserve"> 6、保险：（1）中标人应当遵守国家有关消防、安全、生产操作、劳动保护等方面的规定，并结合本项</w:t>
            </w:r>
            <w:r>
              <w:br/>
            </w:r>
            <w:r>
              <w:rPr>
                <w:rFonts w:ascii="仿宋_GB2312" w:hAnsi="仿宋_GB2312" w:cs="仿宋_GB2312" w:eastAsia="仿宋_GB2312"/>
              </w:rPr>
              <w:t xml:space="preserve"> 目采购合同履行情况，购买涉及上述履约风险的对应保险，保险金额以抵消可能发生的事故因其发生所</w:t>
            </w:r>
            <w:r>
              <w:br/>
            </w:r>
            <w:r>
              <w:rPr>
                <w:rFonts w:ascii="仿宋_GB2312" w:hAnsi="仿宋_GB2312" w:cs="仿宋_GB2312" w:eastAsia="仿宋_GB2312"/>
              </w:rPr>
              <w:t xml:space="preserve"> 造成的财产、人身损失承担赔偿保险金责任，维护保险标的的安全。（2）中标人为本项目提供履约的所</w:t>
            </w:r>
            <w:r>
              <w:br/>
            </w:r>
            <w:r>
              <w:rPr>
                <w:rFonts w:ascii="仿宋_GB2312" w:hAnsi="仿宋_GB2312" w:cs="仿宋_GB2312" w:eastAsia="仿宋_GB2312"/>
              </w:rPr>
              <w:t xml:space="preserve"> 有人员按照《中华人民共和国劳动合同法》订立劳动合同，如有退休人员或其他依法不能签订劳动合同</w:t>
            </w:r>
            <w:r>
              <w:br/>
            </w:r>
            <w:r>
              <w:rPr>
                <w:rFonts w:ascii="仿宋_GB2312" w:hAnsi="仿宋_GB2312" w:cs="仿宋_GB2312" w:eastAsia="仿宋_GB2312"/>
              </w:rPr>
              <w:t xml:space="preserve"> 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1、合同履行期限：合同签订生效之日起1年。</w:t>
            </w:r>
            <w:r>
              <w:br/>
            </w:r>
            <w:r>
              <w:rPr>
                <w:rFonts w:ascii="仿宋_GB2312" w:hAnsi="仿宋_GB2312" w:cs="仿宋_GB2312" w:eastAsia="仿宋_GB2312"/>
              </w:rPr>
              <w:t xml:space="preserve"> 2、服务地点：采购人指定地点。</w:t>
            </w:r>
            <w:r>
              <w:br/>
            </w:r>
            <w:r>
              <w:rPr>
                <w:rFonts w:ascii="仿宋_GB2312" w:hAnsi="仿宋_GB2312" w:cs="仿宋_GB2312" w:eastAsia="仿宋_GB2312"/>
              </w:rPr>
              <w:t xml:space="preserve"> 3、付款条件（进度和方式）：</w:t>
            </w:r>
            <w:r>
              <w:br/>
            </w:r>
            <w:r>
              <w:rPr>
                <w:rFonts w:ascii="仿宋_GB2312" w:hAnsi="仿宋_GB2312" w:cs="仿宋_GB2312" w:eastAsia="仿宋_GB2312"/>
              </w:rPr>
              <w:t xml:space="preserve"> 按照合同约定进行付款，合同签订后付款中标金额的70%款项；项目验收合格后，付清剩余的30%款项。</w:t>
            </w:r>
            <w:r>
              <w:br/>
            </w:r>
            <w:r>
              <w:rPr>
                <w:rFonts w:ascii="仿宋_GB2312" w:hAnsi="仿宋_GB2312" w:cs="仿宋_GB2312" w:eastAsia="仿宋_GB2312"/>
              </w:rPr>
              <w:t xml:space="preserve"> 4、售后服务：中标方在项目验收完成后，提供一年的技术咨询服务；中标方在收到技术咨询请求后，应于24个小时内反馈。</w:t>
            </w:r>
            <w:r>
              <w:br/>
            </w:r>
            <w:r>
              <w:rPr>
                <w:rFonts w:ascii="仿宋_GB2312" w:hAnsi="仿宋_GB2312" w:cs="仿宋_GB2312" w:eastAsia="仿宋_GB2312"/>
              </w:rPr>
              <w:t xml:space="preserve"> 5、验收方式及标准：由采购人在指定地点对所购服务进行验收。招标方组织专家评审验收会，验收标准除了招标文件的技术（服务）要求、中标人的投标文件及承诺以及采购合同约定外，可溯源到国家、行业及地方现行相关规定、规范及技术标准。中标方根据专家评审意见，进一步修改完善项目成果，并最终征得招标方同意。</w:t>
            </w:r>
            <w:r>
              <w:br/>
            </w:r>
            <w:r>
              <w:rPr>
                <w:rFonts w:ascii="仿宋_GB2312" w:hAnsi="仿宋_GB2312" w:cs="仿宋_GB2312" w:eastAsia="仿宋_GB2312"/>
              </w:rPr>
              <w:t xml:space="preserve"> 6、保险：（1）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2）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具有中国国家认证认可监督管理委员会或省级质量技术监督局颁发的检验检测机构资质认定证书（CMA）（证明材料：提供相关资质证书加盖公章）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投标人无不良信用记录 投标函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珊瑚礁领域的国家级项目得5分，具有主持珊瑚礁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（4）项目技术支持团队成员具备国内外潜水行业或专业组织会颁发的潜水员证人员每人得1分，此项最多得3分。 证明材料： 1、在本单位任职的证明材料（提供投标人为其缴纳的近3个月连续社保证明材料复印件）复印件，并加盖公章。 2、投标人须在投标文件中附有相关能力证书（潜水员证）等证明材料复印件，并加盖公章。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自2021年1月1日起至今，投标人具有珊瑚礁现状调查或监测预警项目经验（不限行政区域和行业），每一个得2分，此项最多得12分。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海草床或海藻场领域的国家级项目得5分，具有主持海草床或海藻场领域的省级项目得2分，未主持项目不得分，此项最多得10分。 证明材料：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（4）项目技术支持团队成员具备国内外潜水行业或专业组织会颁发的潜水员证人员每人得1分，此项最多得3分。 1、在本单位任职的证明材料（提供投标人为其缴纳的近3个月连续社保证明材料复印件）复印件，并加盖公章。 2、投标人须在投标文件中附有相关能力证书（潜水员证）等证明材料复印件，并加盖公章。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自2021年1月1日起至今，投标人具有海草床或海藻场现状调查或监测预警项目经验（不限行政区域和行业），每一个得2分，本项满分12分。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红树林领域的国家级项目得5分，具有主持红树林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自2021年1月1日起至今，投标人具有红树林现状调查或监测预警项目经验（不限行政区域和行业），每一个得3分，本项满分15分。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和要求等；②重难点分析及应对措施等。投标人提交项目理解的得10分，如每缺少一项内容扣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①政策依据和标准规范；②工作内容（包括但不限于监测要素、监测站位、监测时间等）；③技术路线；④预计成果报告。投标人提交项目实施方案的得20分，如每缺少一项内容扣5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管理控制体系；②质量管理标准依据；③质量管理流程等；④监测人员质量控制；⑤质量控制措施（内业、外业环节质量计划等）。投标人提交质量管理方案的得10分，如每缺少一项内容扣2分，最低得0分；质量管理方案内容存在一处缺陷（缺陷是指方案内容不符合采购项目的具体特点、与采购项目实际需要不相适应、与合同履行无关、凭空编造、方案中内容前后不一致、前后逻辑错误等情形）扣0.5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5分，具有海洋类或生态环境类副高级（高级工程师或副研究员）职称得3分，其他职称不得分；具有主持河口或海湾或砂质海岸领域的国家级项目得5分，具有主持河口或海湾或砂质海岸领域的省级项目得2分，未主持项目不得分，此项最多得10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2.投标人须在投标文件中附有主持国家级或省级项目任务书等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（2）拟安排的技术负责人情况：具有海洋类或生态环境类正高级（正高级工程师或研究员）职称得5分，具有海洋类或生态环境类副高级（高级工程师或副研究员）职称得3分，其他职称不得分，此项最多得5分。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自2021年1月1日起至今，投标人具有河口或海湾或砂质海岸现状调查或监测预警项目经验（不限行政区域和行业），每一个得3分，本项满分15分。 证明材料: 投标人须在投标文件中附合同协议书或项目任务书复印件，时间按合同签订的时间为准，并加盖公章。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针对本项目理解和熟悉程度进行综合评分，内容包括但不限于：①工作目标；②工作要求等。投标人提交项目理解的得5分，如每缺少一项内容扣2.5分，最低得0分；项目理解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项目工作思路及技术路线</w:t>
            </w:r>
          </w:p>
        </w:tc>
        <w:tc>
          <w:tcPr>
            <w:tcW w:type="dxa" w:w="2492"/>
          </w:tcPr>
          <w:p>
            <w:pPr>
              <w:pStyle w:val="null3"/>
              <w:jc w:val="both"/>
            </w:pPr>
            <w:r>
              <w:rPr>
                <w:rFonts w:ascii="仿宋_GB2312" w:hAnsi="仿宋_GB2312" w:cs="仿宋_GB2312" w:eastAsia="仿宋_GB2312"/>
              </w:rPr>
              <w:t>根据投标人提交的项目工作思路及技术路线进行综合评分，内容包括但不限于：①工作思路、方法；②技术路线。投标人提交项目工作思路及技术路线得10分，如每缺少一项内容扣5分，最低得0分；项目工作思路及技术路线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重点难点分析</w:t>
            </w:r>
          </w:p>
        </w:tc>
        <w:tc>
          <w:tcPr>
            <w:tcW w:type="dxa" w:w="2492"/>
          </w:tcPr>
          <w:p>
            <w:pPr>
              <w:pStyle w:val="null3"/>
              <w:jc w:val="both"/>
            </w:pPr>
            <w:r>
              <w:rPr>
                <w:rFonts w:ascii="仿宋_GB2312" w:hAnsi="仿宋_GB2312" w:cs="仿宋_GB2312" w:eastAsia="仿宋_GB2312"/>
              </w:rPr>
              <w:t>根据投标人提交的项目重点难点分析进行综合评分，内容包括但不限于：①重点难点和关键点分析；②解决应对措施。投标人提交项目重点难点分析得10分，如每缺少一项内容扣5分，最低得0分；项目重点难点分析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工作计划安排与保证措施</w:t>
            </w:r>
          </w:p>
        </w:tc>
        <w:tc>
          <w:tcPr>
            <w:tcW w:type="dxa" w:w="2492"/>
          </w:tcPr>
          <w:p>
            <w:pPr>
              <w:pStyle w:val="null3"/>
              <w:jc w:val="both"/>
            </w:pPr>
            <w:r>
              <w:rPr>
                <w:rFonts w:ascii="仿宋_GB2312" w:hAnsi="仿宋_GB2312" w:cs="仿宋_GB2312" w:eastAsia="仿宋_GB2312"/>
              </w:rPr>
              <w:t>根据投标人提交的工作计划安排与保证措施进行综合评分，内容包括但不限于：①工作进度安排与保证措施；②人员架构及主要职责与分工等。投标人提交工作计划安排与保证措施的得10分，如每缺少一项内容扣5分，最低得0分；工作计划安排与保证措施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投标人提交的质量管理方案进行综合评分，内容包括但不限于：①质量保障措施；②服务响应计划。投标人提交质量管理方案的得10分，如每缺少一项内容扣5分，最低得0分；质量管理方案内容存在一处缺陷（缺陷是指方案内容不符合采购项目的具体特点、与采购项目实际需要不相适应、与合同履行无关、凭空编造、方案中内容前后不一致、前后逻辑错误等情形）扣2分，最低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1）投标人拟安排的项目负责人：具有海洋或生态环境相关专业正高级（正高级工程师或研究员）职称得7分，具有海洋类或生态环境类副高级（高级工程师或副研究员）职称得5分，其他职称不得分，此项最多得7分。 证明材料：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（2）拟安排的技术负责人情况：具有海洋类或生态环境类正高级（正高级工程师或研究员）职称得7分，具有海洋类或生态环境类副高级（高级工程师或副研究员）职称得5分，其他职称不得分，此项最多得7分。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3）拟安排的项目技术支持团队成员情况（项目技术负责人除外）：具有海洋类或生态环境类副高级（副高级工程师或副研究员）以上职称的，每提供1个得1分；具有海洋类或生态环境类中级（工程师或助理研究员）职称的，每提供1个得0.5分，此项最多得10分。（注：同一人不重复计算。） 1.投标人须在投标文件中附有主管部门颁发的职称证书等相关有效的证明材料（如职称证明中未注明专业方向，结合学位或学历证书证明）及在本单位任职的证明材料（提供投标人为其缴纳的近3个月连续社保证明材料复印件）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项目服务人员配备</w:t>
            </w:r>
          </w:p>
        </w:tc>
        <w:tc>
          <w:tcPr>
            <w:tcW w:type="dxa" w:w="2492"/>
          </w:tcPr>
          <w:p>
            <w:pPr>
              <w:pStyle w:val="null3"/>
              <w:jc w:val="both"/>
            </w:pPr>
            <w:r>
              <w:rPr>
                <w:rFonts w:ascii="仿宋_GB2312" w:hAnsi="仿宋_GB2312" w:cs="仿宋_GB2312" w:eastAsia="仿宋_GB2312"/>
              </w:rPr>
              <w:t>（4）项目技术支持团队成员主持编制过海洋行业标准的得3分，此项最多得3分。 1.投标人须在投标文件中附有在本单位任职的证明材料（提供投标人为其缴纳的近3个月连续社保证明材料复印件）复印件，并加盖公章。 2.投标人须在投标文件中附有编制海洋行业标准等相关证明材料复印件，并加盖公章。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自2021年1月1日起至今，投标人提供海洋生态预警监测公报、海洋生态预警监测报告等项目业绩的（不限行政区域和行业），每一个得3分，此项最多得18分。 证明材料：1.投标人须在投标文件中附成果封面和编制人员签章页或合同关键页面或项目任务书关键页面并加盖投标人单位公章，时间按合同签订的时间为准。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详见附件：合同模板-法核后定稿.docx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A包珊瑚礁生态系统预警监测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A包珊瑚礁生态系统预警监测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B包海草床、海藻场生态系统预警监测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B包海草床、海藻场生态系统预警监测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C包红树林生态系统预警监测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C包红树林生态系统预警监测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D包河口、海湾、砂质海岸生态系统预警监测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D包河口、海湾、砂质海岸生态系统预警监测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1100050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HNZC2025-052-001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海南省海洋生态现状调查和预警监测</w:t>
      </w:r>
    </w:p>
    <w:p>
      <w:pPr>
        <w:pStyle w:val="null3"/>
        <w:jc w:val="left"/>
      </w:pPr>
      <w:r>
        <w:rPr>
          <w:rFonts w:ascii="仿宋_GB2312" w:hAnsi="仿宋_GB2312" w:cs="仿宋_GB2312" w:eastAsia="仿宋_GB2312"/>
        </w:rPr>
        <w:t>采购包：</w:t>
      </w:r>
      <w:r>
        <w:rPr>
          <w:rFonts w:ascii="仿宋_GB2312" w:hAnsi="仿宋_GB2312" w:cs="仿宋_GB2312" w:eastAsia="仿宋_GB2312"/>
        </w:rPr>
        <w:t>E包海南省海洋生态预警监测成果编制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E包海南省海洋生态预警监测成果编制</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363450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