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3FA4FC">
      <w:pPr>
        <w:pStyle w:val="11"/>
        <w:numPr>
          <w:ilvl w:val="0"/>
          <w:numId w:val="0"/>
        </w:numPr>
        <w:adjustRightInd/>
        <w:snapToGrid/>
        <w:spacing w:beforeLines="0" w:afterLines="0" w:line="360" w:lineRule="auto"/>
        <w:outlineLvl w:val="9"/>
        <w:rPr>
          <w:rFonts w:hint="eastAsia" w:ascii="宋体" w:hAnsi="宋体" w:eastAsia="宋体" w:cs="宋体"/>
          <w:color w:val="auto"/>
          <w:sz w:val="21"/>
          <w:highlight w:val="none"/>
        </w:rPr>
      </w:pPr>
      <w:r>
        <w:rPr>
          <w:rFonts w:hint="eastAsia" w:ascii="宋体" w:hAnsi="宋体" w:eastAsia="宋体" w:cs="宋体"/>
          <w:color w:val="auto"/>
          <w:highlight w:val="none"/>
        </w:rPr>
        <w:t>政府采购合同</w:t>
      </w:r>
    </w:p>
    <w:p w14:paraId="0D3CAA7C">
      <w:pPr>
        <w:pStyle w:val="13"/>
        <w:keepNext/>
        <w:keepLines/>
        <w:spacing w:before="120" w:after="120" w:line="360" w:lineRule="auto"/>
        <w:ind w:firstLine="0" w:firstLineChars="0"/>
        <w:jc w:val="center"/>
        <w:outlineLvl w:val="3"/>
        <w:rPr>
          <w:rFonts w:hint="eastAsia" w:ascii="宋体" w:hAnsi="宋体" w:eastAsia="宋体" w:cs="宋体"/>
          <w:color w:val="auto"/>
          <w:highlight w:val="none"/>
        </w:rPr>
      </w:pPr>
      <w:r>
        <w:rPr>
          <w:rFonts w:hint="eastAsia" w:ascii="宋体" w:hAnsi="宋体" w:eastAsia="宋体" w:cs="宋体"/>
          <w:b/>
          <w:color w:val="auto"/>
          <w:highlight w:val="none"/>
        </w:rPr>
        <w:t>（说明：</w:t>
      </w:r>
      <w:r>
        <w:rPr>
          <w:rFonts w:hint="eastAsia" w:ascii="宋体" w:hAnsi="宋体" w:eastAsia="宋体" w:cs="宋体"/>
          <w:b/>
          <w:color w:val="auto"/>
          <w:highlight w:val="none"/>
          <w:lang w:eastAsia="zh-CN"/>
        </w:rPr>
        <w:t>本合同仅作参考，最终签订合同时由甲方依据项目具体需求，并按照《中华人民共和国民法典》及《政府采购需求管理办法》（财库〔2021〕22号）等相关规定制定。可以采用行业标准合同范本</w:t>
      </w:r>
      <w:r>
        <w:rPr>
          <w:rFonts w:hint="eastAsia" w:ascii="宋体" w:hAnsi="宋体" w:eastAsia="宋体" w:cs="宋体"/>
          <w:b/>
          <w:color w:val="auto"/>
          <w:highlight w:val="none"/>
        </w:rPr>
        <w:t>。）</w:t>
      </w:r>
    </w:p>
    <w:p w14:paraId="5C391DFB">
      <w:pPr>
        <w:pStyle w:val="4"/>
        <w:spacing w:line="360" w:lineRule="auto"/>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合同编号：</w:t>
      </w:r>
      <w:r>
        <w:rPr>
          <w:rFonts w:hint="eastAsia" w:ascii="宋体" w:hAnsi="宋体" w:eastAsia="宋体" w:cs="宋体"/>
          <w:b/>
          <w:strike/>
          <w:color w:val="auto"/>
          <w:highlight w:val="none"/>
          <w:lang w:val="zh-CN"/>
        </w:rPr>
        <w:t xml:space="preserve">                </w:t>
      </w:r>
      <w:r>
        <w:rPr>
          <w:rFonts w:hint="eastAsia" w:ascii="宋体" w:hAnsi="宋体" w:eastAsia="宋体" w:cs="宋体"/>
          <w:b/>
          <w:color w:val="auto"/>
          <w:highlight w:val="none"/>
          <w:lang w:val="zh-CN"/>
        </w:rPr>
        <w:t xml:space="preserve">              </w:t>
      </w:r>
    </w:p>
    <w:p w14:paraId="667D6483">
      <w:pPr>
        <w:pStyle w:val="4"/>
        <w:spacing w:line="360" w:lineRule="auto"/>
        <w:rPr>
          <w:rFonts w:hint="eastAsia" w:ascii="宋体" w:hAnsi="宋体" w:eastAsia="宋体" w:cs="宋体"/>
          <w:b/>
          <w:color w:val="auto"/>
          <w:highlight w:val="none"/>
        </w:rPr>
      </w:pPr>
      <w:r>
        <w:rPr>
          <w:rFonts w:hint="eastAsia" w:ascii="宋体" w:hAnsi="宋体" w:eastAsia="宋体" w:cs="宋体"/>
          <w:b/>
          <w:color w:val="auto"/>
          <w:highlight w:val="none"/>
          <w:lang w:val="zh-CN"/>
        </w:rPr>
        <w:t>签订地点：</w:t>
      </w:r>
      <w:r>
        <w:rPr>
          <w:rFonts w:hint="eastAsia" w:ascii="宋体" w:hAnsi="宋体" w:eastAsia="宋体" w:cs="宋体"/>
          <w:b/>
          <w:color w:val="auto"/>
          <w:highlight w:val="none"/>
          <w:u w:val="single"/>
          <w:lang w:val="zh-CN"/>
        </w:rPr>
        <w:t>雅安市应急管理局</w:t>
      </w:r>
      <w:r>
        <w:rPr>
          <w:rFonts w:hint="eastAsia" w:ascii="宋体" w:hAnsi="宋体" w:eastAsia="宋体" w:cs="宋体"/>
          <w:b/>
          <w:color w:val="auto"/>
          <w:highlight w:val="none"/>
          <w:lang w:val="zh-CN"/>
        </w:rPr>
        <w:t xml:space="preserve"> </w:t>
      </w:r>
      <w:r>
        <w:rPr>
          <w:rStyle w:val="14"/>
          <w:rFonts w:hint="eastAsia" w:ascii="宋体" w:hAnsi="宋体" w:eastAsia="宋体" w:cs="宋体"/>
          <w:b/>
          <w:bCs/>
          <w:color w:val="auto"/>
          <w:highlight w:val="none"/>
        </w:rPr>
        <w:t xml:space="preserve">        </w:t>
      </w:r>
    </w:p>
    <w:p w14:paraId="78F53429">
      <w:pPr>
        <w:spacing w:line="360" w:lineRule="auto"/>
        <w:rPr>
          <w:rFonts w:hint="eastAsia" w:ascii="宋体" w:hAnsi="宋体" w:eastAsia="宋体" w:cs="宋体"/>
          <w:color w:val="auto"/>
          <w:highlight w:val="none"/>
        </w:rPr>
      </w:pPr>
      <w:r>
        <w:rPr>
          <w:rFonts w:hint="eastAsia" w:ascii="宋体" w:hAnsi="宋体" w:eastAsia="宋体" w:cs="宋体"/>
          <w:b/>
          <w:color w:val="auto"/>
          <w:highlight w:val="none"/>
        </w:rPr>
        <w:t>甲  方：</w:t>
      </w:r>
      <w:r>
        <w:rPr>
          <w:rFonts w:hint="eastAsia" w:ascii="宋体" w:hAnsi="宋体" w:eastAsia="宋体" w:cs="宋体"/>
          <w:b/>
          <w:color w:val="auto"/>
          <w:highlight w:val="none"/>
          <w:u w:val="single"/>
          <w:lang w:val="zh-CN"/>
        </w:rPr>
        <w:t>雅安市应急管理局</w:t>
      </w:r>
      <w:r>
        <w:rPr>
          <w:rFonts w:hint="eastAsia" w:ascii="宋体" w:hAnsi="宋体" w:eastAsia="宋体" w:cs="宋体"/>
          <w:color w:val="auto"/>
          <w:highlight w:val="none"/>
        </w:rPr>
        <w:t>（甲方）</w:t>
      </w:r>
    </w:p>
    <w:p w14:paraId="6E7812E8">
      <w:pPr>
        <w:spacing w:line="360" w:lineRule="auto"/>
        <w:rPr>
          <w:rFonts w:hint="eastAsia" w:ascii="宋体" w:hAnsi="宋体" w:eastAsia="宋体" w:cs="宋体"/>
          <w:color w:val="auto"/>
          <w:highlight w:val="none"/>
        </w:rPr>
      </w:pPr>
      <w:r>
        <w:rPr>
          <w:rFonts w:hint="eastAsia" w:ascii="宋体" w:hAnsi="宋体" w:eastAsia="宋体" w:cs="宋体"/>
          <w:b/>
          <w:color w:val="auto"/>
          <w:highlight w:val="none"/>
        </w:rPr>
        <w:t>乙  方：</w:t>
      </w:r>
      <w:r>
        <w:rPr>
          <w:rFonts w:hint="eastAsia" w:ascii="宋体" w:hAnsi="宋体" w:eastAsia="宋体" w:cs="宋体"/>
          <w:b/>
          <w:color w:val="auto"/>
          <w:highlight w:val="none"/>
          <w:u w:val="single"/>
        </w:rPr>
        <w:t xml:space="preserve">                 </w:t>
      </w:r>
      <w:r>
        <w:rPr>
          <w:rFonts w:hint="eastAsia" w:ascii="宋体" w:hAnsi="宋体" w:eastAsia="宋体" w:cs="宋体"/>
          <w:color w:val="auto"/>
          <w:highlight w:val="none"/>
        </w:rPr>
        <w:t>（中标/成交人）</w:t>
      </w:r>
    </w:p>
    <w:p w14:paraId="23F772D4">
      <w:pPr>
        <w:pStyle w:val="5"/>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合同类型：</w:t>
      </w:r>
      <w:r>
        <w:rPr>
          <w:rFonts w:hint="eastAsia" w:ascii="宋体" w:hAnsi="宋体" w:eastAsia="宋体" w:cs="宋体"/>
          <w:color w:val="auto"/>
          <w:sz w:val="24"/>
          <w:szCs w:val="24"/>
          <w:highlight w:val="none"/>
          <w:u w:val="single"/>
        </w:rPr>
        <w:t>买卖合同</w:t>
      </w:r>
      <w:r>
        <w:rPr>
          <w:rFonts w:hint="eastAsia" w:ascii="宋体" w:hAnsi="宋体" w:eastAsia="宋体" w:cs="宋体"/>
          <w:color w:val="auto"/>
          <w:sz w:val="24"/>
          <w:szCs w:val="24"/>
          <w:highlight w:val="none"/>
        </w:rPr>
        <w:t>(本合同为非中小企业预留合同）</w:t>
      </w:r>
    </w:p>
    <w:p w14:paraId="5F4B371B">
      <w:pPr>
        <w:spacing w:line="360" w:lineRule="auto"/>
        <w:rPr>
          <w:rFonts w:hint="eastAsia" w:ascii="宋体" w:hAnsi="宋体" w:eastAsia="宋体" w:cs="宋体"/>
          <w:color w:val="auto"/>
          <w:highlight w:val="none"/>
          <w:lang w:val="en-US" w:eastAsia="zh-CN"/>
        </w:rPr>
      </w:pPr>
      <w:r>
        <w:rPr>
          <w:rFonts w:hint="eastAsia" w:ascii="宋体" w:hAnsi="宋体" w:eastAsia="宋体" w:cs="宋体"/>
          <w:color w:val="auto"/>
          <w:sz w:val="24"/>
          <w:szCs w:val="24"/>
          <w:highlight w:val="none"/>
          <w:lang w:val="en-US" w:eastAsia="zh-CN"/>
        </w:rPr>
        <w:t>定价方式：</w:t>
      </w:r>
      <w:r>
        <w:rPr>
          <w:rFonts w:hint="eastAsia" w:ascii="宋体" w:hAnsi="宋体" w:eastAsia="宋体" w:cs="宋体"/>
          <w:color w:val="auto"/>
          <w:sz w:val="24"/>
          <w:szCs w:val="24"/>
          <w:highlight w:val="none"/>
          <w:u w:val="single"/>
          <w:lang w:val="en-US" w:eastAsia="zh-CN"/>
        </w:rPr>
        <w:t>固定总价合同</w:t>
      </w:r>
    </w:p>
    <w:p w14:paraId="39BC8FDB">
      <w:pPr>
        <w:pStyle w:val="5"/>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甲方委托</w:t>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 xml:space="preserve">XXXXXXX   </w:t>
      </w:r>
      <w:r>
        <w:rPr>
          <w:rFonts w:hint="eastAsia" w:ascii="宋体" w:hAnsi="宋体" w:eastAsia="宋体" w:cs="宋体"/>
          <w:color w:val="auto"/>
          <w:sz w:val="24"/>
          <w:szCs w:val="24"/>
          <w:highlight w:val="none"/>
        </w:rPr>
        <w:t>，对</w:t>
      </w:r>
      <w:r>
        <w:rPr>
          <w:rFonts w:hint="eastAsia" w:ascii="宋体" w:hAnsi="宋体" w:eastAsia="宋体" w:cs="宋体"/>
          <w:color w:val="auto"/>
          <w:sz w:val="24"/>
          <w:szCs w:val="24"/>
          <w:highlight w:val="none"/>
          <w:u w:val="single"/>
          <w:lang w:val="zh-CN"/>
        </w:rPr>
        <w:t>四川省雅安市自然灾害应急能力提升工程基层防灾项目</w:t>
      </w:r>
      <w:r>
        <w:rPr>
          <w:rFonts w:hint="eastAsia" w:hAnsi="宋体" w:cs="宋体"/>
          <w:color w:val="auto"/>
          <w:sz w:val="24"/>
          <w:szCs w:val="24"/>
          <w:highlight w:val="none"/>
          <w:u w:val="single"/>
          <w:lang w:val="zh-CN"/>
        </w:rPr>
        <w:t>（</w:t>
      </w:r>
      <w:r>
        <w:rPr>
          <w:rFonts w:hint="eastAsia" w:hAnsi="宋体" w:cs="宋体"/>
          <w:color w:val="auto"/>
          <w:sz w:val="24"/>
          <w:szCs w:val="24"/>
          <w:highlight w:val="none"/>
          <w:u w:val="single"/>
          <w:lang w:val="en-US" w:eastAsia="zh-CN"/>
        </w:rPr>
        <w:t>第二次</w:t>
      </w:r>
      <w:r>
        <w:rPr>
          <w:rFonts w:hint="eastAsia" w:hAnsi="宋体" w:cs="宋体"/>
          <w:color w:val="auto"/>
          <w:sz w:val="24"/>
          <w:szCs w:val="24"/>
          <w:highlight w:val="none"/>
          <w:u w:val="single"/>
          <w:lang w:val="zh-CN"/>
        </w:rPr>
        <w:t>）</w:t>
      </w:r>
      <w:r>
        <w:rPr>
          <w:rFonts w:hint="eastAsia" w:ascii="宋体" w:hAnsi="宋体" w:eastAsia="宋体" w:cs="宋体"/>
          <w:color w:val="auto"/>
          <w:sz w:val="24"/>
          <w:szCs w:val="24"/>
          <w:highlight w:val="none"/>
        </w:rPr>
        <w:t>进行招标采购，于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日通过</w:t>
      </w:r>
      <w:r>
        <w:rPr>
          <w:rFonts w:hint="eastAsia" w:ascii="宋体" w:hAnsi="宋体" w:eastAsia="宋体" w:cs="宋体"/>
          <w:color w:val="auto"/>
          <w:sz w:val="24"/>
          <w:szCs w:val="24"/>
          <w:highlight w:val="none"/>
          <w:u w:val="single"/>
          <w:lang w:val="en-US" w:eastAsia="zh-CN"/>
        </w:rPr>
        <w:t>公开招标</w:t>
      </w:r>
      <w:r>
        <w:rPr>
          <w:rFonts w:hint="eastAsia" w:ascii="宋体" w:hAnsi="宋体" w:eastAsia="宋体" w:cs="宋体"/>
          <w:color w:val="auto"/>
          <w:sz w:val="24"/>
          <w:szCs w:val="24"/>
          <w:highlight w:val="none"/>
        </w:rPr>
        <w:t>，确定乙方为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zh-CN"/>
        </w:rPr>
        <w:t>四川省雅安市自然灾害应急能力提升工程基层防灾项目（</w:t>
      </w:r>
      <w:r>
        <w:rPr>
          <w:rFonts w:hint="eastAsia" w:ascii="宋体" w:hAnsi="宋体" w:eastAsia="宋体" w:cs="宋体"/>
          <w:color w:val="auto"/>
          <w:sz w:val="24"/>
          <w:szCs w:val="24"/>
          <w:highlight w:val="none"/>
          <w:u w:val="single"/>
          <w:lang w:val="en-US" w:eastAsia="zh-CN"/>
        </w:rPr>
        <w:t>包</w:t>
      </w:r>
      <w:r>
        <w:rPr>
          <w:rFonts w:hint="eastAsia"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w:t>
      </w:r>
      <w:r>
        <w:rPr>
          <w:rFonts w:hint="eastAsia" w:ascii="宋体" w:hAnsi="宋体" w:eastAsia="宋体" w:cs="宋体"/>
          <w:color w:val="auto"/>
          <w:sz w:val="24"/>
          <w:szCs w:val="24"/>
          <w:highlight w:val="none"/>
          <w:lang w:eastAsia="zh-CN"/>
        </w:rPr>
        <w:t>中标供应商</w:t>
      </w:r>
      <w:r>
        <w:rPr>
          <w:rFonts w:hint="eastAsia" w:ascii="宋体" w:hAnsi="宋体" w:eastAsia="宋体" w:cs="宋体"/>
          <w:color w:val="auto"/>
          <w:sz w:val="24"/>
          <w:szCs w:val="24"/>
          <w:highlight w:val="none"/>
        </w:rPr>
        <w:t>。为了保护甲乙双方的合法权益,根据《中华人民共和国政府采购法》、《中华人民共和国民法典》等相关法律、法规的规定，并严格遵循政府采购项目采购文件的相关规定,经甲乙双方协商一致，订立本合同。</w:t>
      </w:r>
    </w:p>
    <w:p w14:paraId="69C38A19">
      <w:pPr>
        <w:pStyle w:val="5"/>
        <w:spacing w:line="360" w:lineRule="auto"/>
        <w:rPr>
          <w:rStyle w:val="14"/>
          <w:rFonts w:hint="eastAsia" w:ascii="宋体" w:hAnsi="宋体" w:eastAsia="宋体" w:cs="宋体"/>
          <w:color w:val="auto"/>
          <w:szCs w:val="24"/>
          <w:highlight w:val="none"/>
        </w:rPr>
      </w:pPr>
      <w:r>
        <w:rPr>
          <w:rFonts w:hint="eastAsia" w:ascii="宋体" w:hAnsi="宋体" w:eastAsia="宋体" w:cs="宋体"/>
          <w:b/>
          <w:color w:val="auto"/>
          <w:sz w:val="24"/>
          <w:szCs w:val="24"/>
          <w:highlight w:val="none"/>
        </w:rPr>
        <w:t>一、项目清单及合同金额</w:t>
      </w:r>
      <w:r>
        <w:rPr>
          <w:rStyle w:val="14"/>
          <w:rFonts w:hint="eastAsia" w:ascii="宋体" w:hAnsi="宋体" w:eastAsia="宋体" w:cs="宋体"/>
          <w:color w:val="auto"/>
          <w:szCs w:val="24"/>
          <w:highlight w:val="none"/>
        </w:rPr>
        <w:t xml:space="preserve"> </w:t>
      </w:r>
    </w:p>
    <w:p w14:paraId="38513339">
      <w:pPr>
        <w:spacing w:line="360" w:lineRule="auto"/>
        <w:ind w:firstLine="480" w:firstLineChars="200"/>
        <w:rPr>
          <w:rStyle w:val="14"/>
          <w:rFonts w:hint="eastAsia" w:ascii="宋体" w:hAnsi="宋体" w:eastAsia="宋体" w:cs="宋体"/>
          <w:b/>
          <w:color w:val="auto"/>
          <w:highlight w:val="none"/>
        </w:rPr>
      </w:pPr>
      <w:r>
        <w:rPr>
          <w:rStyle w:val="14"/>
          <w:rFonts w:hint="eastAsia" w:ascii="宋体" w:hAnsi="宋体" w:eastAsia="宋体" w:cs="宋体"/>
          <w:color w:val="auto"/>
          <w:highlight w:val="none"/>
        </w:rPr>
        <w:t>1. 项目名称：</w:t>
      </w:r>
      <w:r>
        <w:rPr>
          <w:rStyle w:val="14"/>
          <w:rFonts w:hint="eastAsia" w:ascii="宋体" w:hAnsi="宋体" w:eastAsia="宋体" w:cs="宋体"/>
          <w:color w:val="auto"/>
          <w:highlight w:val="none"/>
          <w:u w:val="single"/>
          <w:lang w:val="zh-CN"/>
        </w:rPr>
        <w:t>四川省雅安市自然灾害应急能力提升工程基层防灾项目（</w:t>
      </w:r>
      <w:r>
        <w:rPr>
          <w:rStyle w:val="14"/>
          <w:rFonts w:hint="eastAsia" w:ascii="宋体" w:hAnsi="宋体" w:eastAsia="宋体" w:cs="宋体"/>
          <w:color w:val="auto"/>
          <w:highlight w:val="none"/>
          <w:u w:val="single"/>
          <w:lang w:val="en-US" w:eastAsia="zh-CN"/>
        </w:rPr>
        <w:t>包</w:t>
      </w:r>
      <w:r>
        <w:rPr>
          <w:rStyle w:val="14"/>
          <w:rFonts w:hint="eastAsia" w:cs="宋体"/>
          <w:color w:val="auto"/>
          <w:highlight w:val="none"/>
          <w:u w:val="single"/>
          <w:lang w:val="en-US" w:eastAsia="zh-CN"/>
        </w:rPr>
        <w:t xml:space="preserve">   </w:t>
      </w:r>
      <w:r>
        <w:rPr>
          <w:rStyle w:val="14"/>
          <w:rFonts w:hint="eastAsia" w:ascii="宋体" w:hAnsi="宋体" w:eastAsia="宋体" w:cs="宋体"/>
          <w:color w:val="auto"/>
          <w:highlight w:val="none"/>
          <w:u w:val="single"/>
          <w:lang w:val="zh-CN"/>
        </w:rPr>
        <w:t>）</w:t>
      </w:r>
      <w:r>
        <w:rPr>
          <w:rFonts w:hint="eastAsia" w:ascii="宋体" w:hAnsi="宋体" w:eastAsia="宋体" w:cs="宋体"/>
          <w:b/>
          <w:bCs/>
          <w:color w:val="auto"/>
          <w:spacing w:val="20"/>
          <w:highlight w:val="none"/>
        </w:rPr>
        <w:t>。</w:t>
      </w:r>
    </w:p>
    <w:p w14:paraId="1DAAADBD">
      <w:pPr>
        <w:pStyle w:val="5"/>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 具体内容：</w:t>
      </w:r>
    </w:p>
    <w:tbl>
      <w:tblPr>
        <w:tblStyle w:val="9"/>
        <w:tblW w:w="99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5"/>
        <w:gridCol w:w="1711"/>
        <w:gridCol w:w="1063"/>
        <w:gridCol w:w="1081"/>
        <w:gridCol w:w="1275"/>
        <w:gridCol w:w="1347"/>
        <w:gridCol w:w="1231"/>
        <w:gridCol w:w="1231"/>
      </w:tblGrid>
      <w:tr w14:paraId="714BF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95" w:type="dxa"/>
            <w:vAlign w:val="center"/>
          </w:tcPr>
          <w:p w14:paraId="5693FF32">
            <w:pPr>
              <w:pStyle w:val="5"/>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711" w:type="dxa"/>
            <w:vAlign w:val="center"/>
          </w:tcPr>
          <w:p w14:paraId="64C6FDD9">
            <w:pPr>
              <w:pStyle w:val="5"/>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内容</w:t>
            </w:r>
          </w:p>
        </w:tc>
        <w:tc>
          <w:tcPr>
            <w:tcW w:w="1063" w:type="dxa"/>
            <w:vAlign w:val="center"/>
          </w:tcPr>
          <w:p w14:paraId="29C5BF91">
            <w:pPr>
              <w:pStyle w:val="5"/>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p>
        </w:tc>
        <w:tc>
          <w:tcPr>
            <w:tcW w:w="1081" w:type="dxa"/>
            <w:vAlign w:val="center"/>
          </w:tcPr>
          <w:p w14:paraId="58FBE9AC">
            <w:pPr>
              <w:pStyle w:val="5"/>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275" w:type="dxa"/>
            <w:vAlign w:val="center"/>
          </w:tcPr>
          <w:p w14:paraId="175DCEA7">
            <w:pPr>
              <w:pStyle w:val="5"/>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合计金额（元）</w:t>
            </w:r>
          </w:p>
        </w:tc>
        <w:tc>
          <w:tcPr>
            <w:tcW w:w="1347" w:type="dxa"/>
            <w:vAlign w:val="center"/>
          </w:tcPr>
          <w:p w14:paraId="10EB46EF">
            <w:pPr>
              <w:pStyle w:val="5"/>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保修时间</w:t>
            </w:r>
          </w:p>
        </w:tc>
        <w:tc>
          <w:tcPr>
            <w:tcW w:w="1231" w:type="dxa"/>
            <w:vAlign w:val="center"/>
          </w:tcPr>
          <w:p w14:paraId="2FDBB9E0">
            <w:pPr>
              <w:pStyle w:val="5"/>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品牌型号</w:t>
            </w:r>
          </w:p>
        </w:tc>
        <w:tc>
          <w:tcPr>
            <w:tcW w:w="1231" w:type="dxa"/>
            <w:vAlign w:val="center"/>
          </w:tcPr>
          <w:p w14:paraId="41B823BB">
            <w:pPr>
              <w:pStyle w:val="5"/>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r>
      <w:tr w14:paraId="0C772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5" w:type="dxa"/>
            <w:vAlign w:val="center"/>
          </w:tcPr>
          <w:p w14:paraId="0BB4A8AB">
            <w:pPr>
              <w:keepNext w:val="0"/>
              <w:keepLines w:val="0"/>
              <w:widowControl/>
              <w:suppressLineNumbers w:val="0"/>
              <w:jc w:val="center"/>
              <w:textAlignment w:val="center"/>
              <w:rPr>
                <w:rFonts w:hint="eastAsia" w:ascii="宋体" w:hAnsi="宋体" w:eastAsia="宋体" w:cs="宋体"/>
                <w:color w:val="auto"/>
                <w:highlight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711" w:type="dxa"/>
            <w:vAlign w:val="center"/>
          </w:tcPr>
          <w:p w14:paraId="1E8169E0">
            <w:pPr>
              <w:keepNext w:val="0"/>
              <w:keepLines w:val="0"/>
              <w:widowControl/>
              <w:suppressLineNumbers w:val="0"/>
              <w:jc w:val="left"/>
              <w:textAlignment w:val="center"/>
              <w:rPr>
                <w:rFonts w:hint="eastAsia" w:ascii="宋体" w:hAnsi="宋体" w:eastAsia="宋体" w:cs="宋体"/>
                <w:color w:val="auto"/>
                <w:highlight w:val="none"/>
              </w:rPr>
            </w:pPr>
            <w:r>
              <w:rPr>
                <w:rFonts w:hint="eastAsia" w:ascii="宋体" w:hAnsi="宋体" w:eastAsia="宋体" w:cs="宋体"/>
                <w:i w:val="0"/>
                <w:iCs w:val="0"/>
                <w:color w:val="auto"/>
                <w:kern w:val="0"/>
                <w:sz w:val="24"/>
                <w:szCs w:val="24"/>
                <w:highlight w:val="none"/>
                <w:u w:val="none"/>
                <w:lang w:val="en-US" w:eastAsia="zh-CN" w:bidi="ar"/>
              </w:rPr>
              <w:t>救援无人机（巡堤查险无人机）</w:t>
            </w:r>
          </w:p>
        </w:tc>
        <w:tc>
          <w:tcPr>
            <w:tcW w:w="1063" w:type="dxa"/>
            <w:vAlign w:val="center"/>
          </w:tcPr>
          <w:p w14:paraId="094CD679">
            <w:pPr>
              <w:keepNext w:val="0"/>
              <w:keepLines w:val="0"/>
              <w:widowControl/>
              <w:suppressLineNumbers w:val="0"/>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台</w:t>
            </w:r>
          </w:p>
        </w:tc>
        <w:tc>
          <w:tcPr>
            <w:tcW w:w="1081" w:type="dxa"/>
            <w:vAlign w:val="center"/>
          </w:tcPr>
          <w:p w14:paraId="08852A6A">
            <w:pPr>
              <w:keepNext w:val="0"/>
              <w:keepLines w:val="0"/>
              <w:widowControl/>
              <w:suppressLineNumbers w:val="0"/>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2</w:t>
            </w:r>
          </w:p>
        </w:tc>
        <w:tc>
          <w:tcPr>
            <w:tcW w:w="1275" w:type="dxa"/>
          </w:tcPr>
          <w:p w14:paraId="1115842B">
            <w:pPr>
              <w:pStyle w:val="5"/>
              <w:spacing w:line="360" w:lineRule="auto"/>
              <w:jc w:val="center"/>
              <w:rPr>
                <w:rFonts w:hint="eastAsia" w:ascii="宋体" w:hAnsi="宋体" w:eastAsia="宋体" w:cs="宋体"/>
                <w:color w:val="auto"/>
                <w:sz w:val="24"/>
                <w:szCs w:val="24"/>
                <w:highlight w:val="none"/>
              </w:rPr>
            </w:pPr>
          </w:p>
        </w:tc>
        <w:tc>
          <w:tcPr>
            <w:tcW w:w="1347" w:type="dxa"/>
          </w:tcPr>
          <w:p w14:paraId="24E38F0A">
            <w:pPr>
              <w:pStyle w:val="5"/>
              <w:spacing w:line="360" w:lineRule="auto"/>
              <w:jc w:val="center"/>
              <w:rPr>
                <w:rFonts w:hint="eastAsia" w:ascii="宋体" w:hAnsi="宋体" w:eastAsia="宋体" w:cs="宋体"/>
                <w:color w:val="auto"/>
                <w:sz w:val="24"/>
                <w:szCs w:val="24"/>
                <w:highlight w:val="none"/>
              </w:rPr>
            </w:pPr>
          </w:p>
        </w:tc>
        <w:tc>
          <w:tcPr>
            <w:tcW w:w="1231" w:type="dxa"/>
          </w:tcPr>
          <w:p w14:paraId="0762AC2A">
            <w:pPr>
              <w:pStyle w:val="5"/>
              <w:spacing w:line="360" w:lineRule="auto"/>
              <w:jc w:val="center"/>
              <w:rPr>
                <w:rFonts w:hint="eastAsia" w:ascii="宋体" w:hAnsi="宋体" w:eastAsia="宋体" w:cs="宋体"/>
                <w:color w:val="auto"/>
                <w:sz w:val="24"/>
                <w:szCs w:val="24"/>
                <w:highlight w:val="none"/>
              </w:rPr>
            </w:pPr>
          </w:p>
        </w:tc>
        <w:tc>
          <w:tcPr>
            <w:tcW w:w="1231" w:type="dxa"/>
          </w:tcPr>
          <w:p w14:paraId="215CC7B9">
            <w:pPr>
              <w:pStyle w:val="5"/>
              <w:spacing w:line="360" w:lineRule="auto"/>
              <w:jc w:val="center"/>
              <w:rPr>
                <w:rFonts w:hint="eastAsia" w:ascii="宋体" w:hAnsi="宋体" w:eastAsia="宋体" w:cs="宋体"/>
                <w:color w:val="auto"/>
                <w:sz w:val="24"/>
                <w:szCs w:val="24"/>
                <w:highlight w:val="none"/>
              </w:rPr>
            </w:pPr>
          </w:p>
        </w:tc>
      </w:tr>
      <w:tr w14:paraId="022C7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5" w:type="dxa"/>
            <w:vAlign w:val="center"/>
          </w:tcPr>
          <w:p w14:paraId="01930342">
            <w:pPr>
              <w:keepNext w:val="0"/>
              <w:keepLines w:val="0"/>
              <w:widowControl/>
              <w:suppressLineNumbers w:val="0"/>
              <w:jc w:val="center"/>
              <w:textAlignment w:val="center"/>
              <w:rPr>
                <w:rFonts w:hint="eastAsia" w:ascii="宋体" w:hAnsi="宋体" w:eastAsia="宋体" w:cs="宋体"/>
                <w:color w:val="auto"/>
                <w:kern w:val="0"/>
                <w:highlight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711" w:type="dxa"/>
            <w:vAlign w:val="center"/>
          </w:tcPr>
          <w:p w14:paraId="4D058696">
            <w:pPr>
              <w:keepNext w:val="0"/>
              <w:keepLines w:val="0"/>
              <w:widowControl/>
              <w:suppressLineNumbers w:val="0"/>
              <w:jc w:val="left"/>
              <w:textAlignment w:val="center"/>
              <w:rPr>
                <w:rFonts w:hint="eastAsia" w:ascii="宋体" w:hAnsi="宋体" w:eastAsia="宋体" w:cs="宋体"/>
                <w:color w:val="auto"/>
                <w:highlight w:val="none"/>
              </w:rPr>
            </w:pPr>
            <w:r>
              <w:rPr>
                <w:rFonts w:hint="eastAsia" w:ascii="宋体" w:hAnsi="宋体" w:eastAsia="宋体" w:cs="宋体"/>
                <w:i w:val="0"/>
                <w:iCs w:val="0"/>
                <w:color w:val="auto"/>
                <w:kern w:val="0"/>
                <w:sz w:val="24"/>
                <w:szCs w:val="24"/>
                <w:highlight w:val="none"/>
                <w:u w:val="none"/>
                <w:lang w:val="en-US" w:eastAsia="zh-CN" w:bidi="ar"/>
              </w:rPr>
              <w:t>救援无人机（侦察无人机）</w:t>
            </w:r>
          </w:p>
        </w:tc>
        <w:tc>
          <w:tcPr>
            <w:tcW w:w="1063" w:type="dxa"/>
            <w:vAlign w:val="center"/>
          </w:tcPr>
          <w:p w14:paraId="797D2F94">
            <w:pPr>
              <w:keepNext w:val="0"/>
              <w:keepLines w:val="0"/>
              <w:widowControl/>
              <w:suppressLineNumbers w:val="0"/>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台</w:t>
            </w:r>
          </w:p>
        </w:tc>
        <w:tc>
          <w:tcPr>
            <w:tcW w:w="1081" w:type="dxa"/>
            <w:vAlign w:val="center"/>
          </w:tcPr>
          <w:p w14:paraId="18E7B221">
            <w:pPr>
              <w:keepNext w:val="0"/>
              <w:keepLines w:val="0"/>
              <w:widowControl/>
              <w:suppressLineNumbers w:val="0"/>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2</w:t>
            </w:r>
          </w:p>
        </w:tc>
        <w:tc>
          <w:tcPr>
            <w:tcW w:w="1275" w:type="dxa"/>
          </w:tcPr>
          <w:p w14:paraId="18D8A302">
            <w:pPr>
              <w:pStyle w:val="5"/>
              <w:spacing w:line="360" w:lineRule="auto"/>
              <w:jc w:val="center"/>
              <w:rPr>
                <w:rFonts w:hint="eastAsia" w:ascii="宋体" w:hAnsi="宋体" w:eastAsia="宋体" w:cs="宋体"/>
                <w:color w:val="auto"/>
                <w:sz w:val="24"/>
                <w:szCs w:val="24"/>
                <w:highlight w:val="none"/>
              </w:rPr>
            </w:pPr>
          </w:p>
        </w:tc>
        <w:tc>
          <w:tcPr>
            <w:tcW w:w="1347" w:type="dxa"/>
          </w:tcPr>
          <w:p w14:paraId="60B2356C">
            <w:pPr>
              <w:pStyle w:val="5"/>
              <w:spacing w:line="360" w:lineRule="auto"/>
              <w:jc w:val="center"/>
              <w:rPr>
                <w:rFonts w:hint="eastAsia" w:ascii="宋体" w:hAnsi="宋体" w:eastAsia="宋体" w:cs="宋体"/>
                <w:color w:val="auto"/>
                <w:sz w:val="24"/>
                <w:szCs w:val="24"/>
                <w:highlight w:val="none"/>
              </w:rPr>
            </w:pPr>
          </w:p>
        </w:tc>
        <w:tc>
          <w:tcPr>
            <w:tcW w:w="1231" w:type="dxa"/>
          </w:tcPr>
          <w:p w14:paraId="78C6E86C">
            <w:pPr>
              <w:pStyle w:val="5"/>
              <w:spacing w:line="360" w:lineRule="auto"/>
              <w:jc w:val="center"/>
              <w:rPr>
                <w:rFonts w:hint="eastAsia" w:ascii="宋体" w:hAnsi="宋体" w:eastAsia="宋体" w:cs="宋体"/>
                <w:color w:val="auto"/>
                <w:sz w:val="24"/>
                <w:szCs w:val="24"/>
                <w:highlight w:val="none"/>
              </w:rPr>
            </w:pPr>
          </w:p>
        </w:tc>
        <w:tc>
          <w:tcPr>
            <w:tcW w:w="1231" w:type="dxa"/>
          </w:tcPr>
          <w:p w14:paraId="73511175">
            <w:pPr>
              <w:pStyle w:val="5"/>
              <w:spacing w:line="360" w:lineRule="auto"/>
              <w:jc w:val="center"/>
              <w:rPr>
                <w:rFonts w:hint="eastAsia" w:ascii="宋体" w:hAnsi="宋体" w:eastAsia="宋体" w:cs="宋体"/>
                <w:color w:val="auto"/>
                <w:sz w:val="24"/>
                <w:szCs w:val="24"/>
                <w:highlight w:val="none"/>
              </w:rPr>
            </w:pPr>
          </w:p>
        </w:tc>
      </w:tr>
      <w:tr w14:paraId="46E7A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5" w:type="dxa"/>
            <w:vAlign w:val="center"/>
          </w:tcPr>
          <w:p w14:paraId="3591B168">
            <w:pPr>
              <w:keepNext w:val="0"/>
              <w:keepLines w:val="0"/>
              <w:widowControl/>
              <w:suppressLineNumbers w:val="0"/>
              <w:jc w:val="center"/>
              <w:textAlignment w:val="center"/>
              <w:rPr>
                <w:rFonts w:hint="eastAsia" w:ascii="宋体" w:hAnsi="宋体" w:eastAsia="宋体" w:cs="宋体"/>
                <w:color w:val="auto"/>
                <w:kern w:val="0"/>
                <w:highlight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1711" w:type="dxa"/>
            <w:vAlign w:val="center"/>
          </w:tcPr>
          <w:p w14:paraId="349EE38E">
            <w:pPr>
              <w:keepNext w:val="0"/>
              <w:keepLines w:val="0"/>
              <w:widowControl/>
              <w:suppressLineNumbers w:val="0"/>
              <w:jc w:val="left"/>
              <w:textAlignment w:val="center"/>
              <w:rPr>
                <w:rFonts w:hint="eastAsia" w:ascii="宋体" w:hAnsi="宋体" w:eastAsia="宋体" w:cs="宋体"/>
                <w:color w:val="auto"/>
                <w:highlight w:val="none"/>
              </w:rPr>
            </w:pPr>
            <w:r>
              <w:rPr>
                <w:rFonts w:hint="eastAsia" w:ascii="宋体" w:hAnsi="宋体" w:eastAsia="宋体" w:cs="宋体"/>
                <w:i w:val="0"/>
                <w:iCs w:val="0"/>
                <w:color w:val="auto"/>
                <w:kern w:val="0"/>
                <w:sz w:val="24"/>
                <w:szCs w:val="24"/>
                <w:highlight w:val="none"/>
                <w:u w:val="none"/>
                <w:lang w:val="en-US" w:eastAsia="zh-CN" w:bidi="ar"/>
              </w:rPr>
              <w:t>通信指挥装备（单兵图传）</w:t>
            </w:r>
          </w:p>
        </w:tc>
        <w:tc>
          <w:tcPr>
            <w:tcW w:w="1063" w:type="dxa"/>
            <w:vAlign w:val="center"/>
          </w:tcPr>
          <w:p w14:paraId="5459A5F8">
            <w:pPr>
              <w:keepNext w:val="0"/>
              <w:keepLines w:val="0"/>
              <w:widowControl/>
              <w:suppressLineNumbers w:val="0"/>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台</w:t>
            </w:r>
          </w:p>
        </w:tc>
        <w:tc>
          <w:tcPr>
            <w:tcW w:w="1081" w:type="dxa"/>
            <w:vAlign w:val="center"/>
          </w:tcPr>
          <w:p w14:paraId="0E6E7D47">
            <w:pPr>
              <w:keepNext w:val="0"/>
              <w:keepLines w:val="0"/>
              <w:widowControl/>
              <w:suppressLineNumbers w:val="0"/>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10</w:t>
            </w:r>
          </w:p>
        </w:tc>
        <w:tc>
          <w:tcPr>
            <w:tcW w:w="1275" w:type="dxa"/>
          </w:tcPr>
          <w:p w14:paraId="468712EA">
            <w:pPr>
              <w:pStyle w:val="5"/>
              <w:spacing w:line="360" w:lineRule="auto"/>
              <w:jc w:val="center"/>
              <w:rPr>
                <w:rFonts w:hint="eastAsia" w:ascii="宋体" w:hAnsi="宋体" w:eastAsia="宋体" w:cs="宋体"/>
                <w:color w:val="auto"/>
                <w:sz w:val="24"/>
                <w:szCs w:val="24"/>
                <w:highlight w:val="none"/>
              </w:rPr>
            </w:pPr>
          </w:p>
        </w:tc>
        <w:tc>
          <w:tcPr>
            <w:tcW w:w="1347" w:type="dxa"/>
          </w:tcPr>
          <w:p w14:paraId="32FFBCEF">
            <w:pPr>
              <w:pStyle w:val="5"/>
              <w:spacing w:line="360" w:lineRule="auto"/>
              <w:jc w:val="center"/>
              <w:rPr>
                <w:rFonts w:hint="eastAsia" w:ascii="宋体" w:hAnsi="宋体" w:eastAsia="宋体" w:cs="宋体"/>
                <w:color w:val="auto"/>
                <w:sz w:val="24"/>
                <w:szCs w:val="24"/>
                <w:highlight w:val="none"/>
              </w:rPr>
            </w:pPr>
          </w:p>
        </w:tc>
        <w:tc>
          <w:tcPr>
            <w:tcW w:w="1231" w:type="dxa"/>
          </w:tcPr>
          <w:p w14:paraId="2BFF1700">
            <w:pPr>
              <w:pStyle w:val="5"/>
              <w:spacing w:line="360" w:lineRule="auto"/>
              <w:jc w:val="center"/>
              <w:rPr>
                <w:rFonts w:hint="eastAsia" w:ascii="宋体" w:hAnsi="宋体" w:eastAsia="宋体" w:cs="宋体"/>
                <w:color w:val="auto"/>
                <w:sz w:val="24"/>
                <w:szCs w:val="24"/>
                <w:highlight w:val="none"/>
              </w:rPr>
            </w:pPr>
          </w:p>
        </w:tc>
        <w:tc>
          <w:tcPr>
            <w:tcW w:w="1231" w:type="dxa"/>
          </w:tcPr>
          <w:p w14:paraId="65B7A7C1">
            <w:pPr>
              <w:pStyle w:val="5"/>
              <w:spacing w:line="360" w:lineRule="auto"/>
              <w:jc w:val="center"/>
              <w:rPr>
                <w:rFonts w:hint="eastAsia" w:ascii="宋体" w:hAnsi="宋体" w:eastAsia="宋体" w:cs="宋体"/>
                <w:color w:val="auto"/>
                <w:sz w:val="24"/>
                <w:szCs w:val="24"/>
                <w:highlight w:val="none"/>
              </w:rPr>
            </w:pPr>
          </w:p>
        </w:tc>
      </w:tr>
      <w:tr w14:paraId="2C3F0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5" w:type="dxa"/>
            <w:vAlign w:val="center"/>
          </w:tcPr>
          <w:p w14:paraId="57E0AECA">
            <w:pPr>
              <w:keepNext w:val="0"/>
              <w:keepLines w:val="0"/>
              <w:widowControl/>
              <w:suppressLineNumbers w:val="0"/>
              <w:jc w:val="center"/>
              <w:textAlignment w:val="center"/>
              <w:rPr>
                <w:rFonts w:hint="eastAsia" w:ascii="宋体" w:hAnsi="宋体" w:eastAsia="宋体" w:cs="宋体"/>
                <w:color w:val="auto"/>
                <w:kern w:val="0"/>
                <w:highlight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1711" w:type="dxa"/>
            <w:vAlign w:val="center"/>
          </w:tcPr>
          <w:p w14:paraId="261B39DD">
            <w:pPr>
              <w:keepNext w:val="0"/>
              <w:keepLines w:val="0"/>
              <w:widowControl/>
              <w:suppressLineNumbers w:val="0"/>
              <w:jc w:val="left"/>
              <w:textAlignment w:val="center"/>
              <w:rPr>
                <w:rFonts w:hint="eastAsia" w:ascii="宋体" w:hAnsi="宋体" w:eastAsia="宋体" w:cs="宋体"/>
                <w:color w:val="auto"/>
                <w:highlight w:val="none"/>
              </w:rPr>
            </w:pPr>
            <w:r>
              <w:rPr>
                <w:rFonts w:hint="eastAsia" w:ascii="宋体" w:hAnsi="宋体" w:eastAsia="宋体" w:cs="宋体"/>
                <w:i w:val="0"/>
                <w:iCs w:val="0"/>
                <w:color w:val="auto"/>
                <w:kern w:val="0"/>
                <w:sz w:val="24"/>
                <w:szCs w:val="24"/>
                <w:highlight w:val="none"/>
                <w:u w:val="none"/>
                <w:lang w:val="en-US" w:eastAsia="zh-CN" w:bidi="ar"/>
              </w:rPr>
              <w:t>通信指挥装备（布控球）</w:t>
            </w:r>
          </w:p>
        </w:tc>
        <w:tc>
          <w:tcPr>
            <w:tcW w:w="1063" w:type="dxa"/>
            <w:vAlign w:val="center"/>
          </w:tcPr>
          <w:p w14:paraId="1DD9281A">
            <w:pPr>
              <w:keepNext w:val="0"/>
              <w:keepLines w:val="0"/>
              <w:widowControl/>
              <w:suppressLineNumbers w:val="0"/>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台</w:t>
            </w:r>
          </w:p>
        </w:tc>
        <w:tc>
          <w:tcPr>
            <w:tcW w:w="1081" w:type="dxa"/>
            <w:vAlign w:val="center"/>
          </w:tcPr>
          <w:p w14:paraId="63809F44">
            <w:pPr>
              <w:keepNext w:val="0"/>
              <w:keepLines w:val="0"/>
              <w:widowControl/>
              <w:suppressLineNumbers w:val="0"/>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4</w:t>
            </w:r>
          </w:p>
        </w:tc>
        <w:tc>
          <w:tcPr>
            <w:tcW w:w="1275" w:type="dxa"/>
          </w:tcPr>
          <w:p w14:paraId="14516698">
            <w:pPr>
              <w:pStyle w:val="5"/>
              <w:spacing w:line="360" w:lineRule="auto"/>
              <w:jc w:val="center"/>
              <w:rPr>
                <w:rFonts w:hint="eastAsia" w:ascii="宋体" w:hAnsi="宋体" w:eastAsia="宋体" w:cs="宋体"/>
                <w:color w:val="auto"/>
                <w:sz w:val="24"/>
                <w:szCs w:val="24"/>
                <w:highlight w:val="none"/>
              </w:rPr>
            </w:pPr>
          </w:p>
        </w:tc>
        <w:tc>
          <w:tcPr>
            <w:tcW w:w="1347" w:type="dxa"/>
          </w:tcPr>
          <w:p w14:paraId="16DE84E2">
            <w:pPr>
              <w:pStyle w:val="5"/>
              <w:spacing w:line="360" w:lineRule="auto"/>
              <w:jc w:val="center"/>
              <w:rPr>
                <w:rFonts w:hint="eastAsia" w:ascii="宋体" w:hAnsi="宋体" w:eastAsia="宋体" w:cs="宋体"/>
                <w:color w:val="auto"/>
                <w:sz w:val="24"/>
                <w:szCs w:val="24"/>
                <w:highlight w:val="none"/>
              </w:rPr>
            </w:pPr>
          </w:p>
        </w:tc>
        <w:tc>
          <w:tcPr>
            <w:tcW w:w="1231" w:type="dxa"/>
          </w:tcPr>
          <w:p w14:paraId="3C606886">
            <w:pPr>
              <w:pStyle w:val="5"/>
              <w:spacing w:line="360" w:lineRule="auto"/>
              <w:jc w:val="center"/>
              <w:rPr>
                <w:rFonts w:hint="eastAsia" w:ascii="宋体" w:hAnsi="宋体" w:eastAsia="宋体" w:cs="宋体"/>
                <w:color w:val="auto"/>
                <w:sz w:val="24"/>
                <w:szCs w:val="24"/>
                <w:highlight w:val="none"/>
              </w:rPr>
            </w:pPr>
          </w:p>
        </w:tc>
        <w:tc>
          <w:tcPr>
            <w:tcW w:w="1231" w:type="dxa"/>
          </w:tcPr>
          <w:p w14:paraId="6A54616D">
            <w:pPr>
              <w:pStyle w:val="5"/>
              <w:spacing w:line="360" w:lineRule="auto"/>
              <w:jc w:val="center"/>
              <w:rPr>
                <w:rFonts w:hint="eastAsia" w:ascii="宋体" w:hAnsi="宋体" w:eastAsia="宋体" w:cs="宋体"/>
                <w:color w:val="auto"/>
                <w:sz w:val="24"/>
                <w:szCs w:val="24"/>
                <w:highlight w:val="none"/>
              </w:rPr>
            </w:pPr>
          </w:p>
        </w:tc>
      </w:tr>
      <w:tr w14:paraId="72569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5" w:type="dxa"/>
            <w:vAlign w:val="center"/>
          </w:tcPr>
          <w:p w14:paraId="3A337AB1">
            <w:pPr>
              <w:keepNext w:val="0"/>
              <w:keepLines w:val="0"/>
              <w:widowControl/>
              <w:suppressLineNumbers w:val="0"/>
              <w:jc w:val="center"/>
              <w:textAlignment w:val="center"/>
              <w:rPr>
                <w:rFonts w:hint="eastAsia" w:ascii="宋体" w:hAnsi="宋体" w:eastAsia="宋体" w:cs="宋体"/>
                <w:color w:val="auto"/>
                <w:kern w:val="0"/>
                <w:highlight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1711" w:type="dxa"/>
            <w:vAlign w:val="center"/>
          </w:tcPr>
          <w:p w14:paraId="2CFD01D3">
            <w:pPr>
              <w:keepNext w:val="0"/>
              <w:keepLines w:val="0"/>
              <w:widowControl/>
              <w:suppressLineNumbers w:val="0"/>
              <w:jc w:val="left"/>
              <w:textAlignment w:val="center"/>
              <w:rPr>
                <w:rFonts w:hint="eastAsia" w:ascii="宋体" w:hAnsi="宋体" w:eastAsia="宋体" w:cs="宋体"/>
                <w:color w:val="auto"/>
                <w:highlight w:val="none"/>
              </w:rPr>
            </w:pPr>
            <w:r>
              <w:rPr>
                <w:rFonts w:hint="eastAsia" w:ascii="宋体" w:hAnsi="宋体" w:eastAsia="宋体" w:cs="宋体"/>
                <w:i w:val="0"/>
                <w:iCs w:val="0"/>
                <w:color w:val="auto"/>
                <w:kern w:val="0"/>
                <w:sz w:val="24"/>
                <w:szCs w:val="24"/>
                <w:highlight w:val="none"/>
                <w:u w:val="none"/>
                <w:lang w:val="en-US" w:eastAsia="zh-CN" w:bidi="ar"/>
              </w:rPr>
              <w:t>便携式担架</w:t>
            </w:r>
          </w:p>
        </w:tc>
        <w:tc>
          <w:tcPr>
            <w:tcW w:w="1063" w:type="dxa"/>
            <w:vAlign w:val="center"/>
          </w:tcPr>
          <w:p w14:paraId="5EBD3A46">
            <w:pPr>
              <w:keepNext w:val="0"/>
              <w:keepLines w:val="0"/>
              <w:widowControl/>
              <w:suppressLineNumbers w:val="0"/>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副</w:t>
            </w:r>
          </w:p>
        </w:tc>
        <w:tc>
          <w:tcPr>
            <w:tcW w:w="1081" w:type="dxa"/>
            <w:vAlign w:val="center"/>
          </w:tcPr>
          <w:p w14:paraId="5C0C73D8">
            <w:pPr>
              <w:keepNext w:val="0"/>
              <w:keepLines w:val="0"/>
              <w:widowControl/>
              <w:suppressLineNumbers w:val="0"/>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52</w:t>
            </w:r>
          </w:p>
        </w:tc>
        <w:tc>
          <w:tcPr>
            <w:tcW w:w="1275" w:type="dxa"/>
          </w:tcPr>
          <w:p w14:paraId="437EB71D">
            <w:pPr>
              <w:pStyle w:val="5"/>
              <w:spacing w:line="360" w:lineRule="auto"/>
              <w:jc w:val="center"/>
              <w:rPr>
                <w:rFonts w:hint="eastAsia" w:ascii="宋体" w:hAnsi="宋体" w:eastAsia="宋体" w:cs="宋体"/>
                <w:color w:val="auto"/>
                <w:sz w:val="24"/>
                <w:szCs w:val="24"/>
                <w:highlight w:val="none"/>
              </w:rPr>
            </w:pPr>
          </w:p>
        </w:tc>
        <w:tc>
          <w:tcPr>
            <w:tcW w:w="1347" w:type="dxa"/>
          </w:tcPr>
          <w:p w14:paraId="69870996">
            <w:pPr>
              <w:pStyle w:val="5"/>
              <w:spacing w:line="360" w:lineRule="auto"/>
              <w:jc w:val="center"/>
              <w:rPr>
                <w:rFonts w:hint="eastAsia" w:ascii="宋体" w:hAnsi="宋体" w:eastAsia="宋体" w:cs="宋体"/>
                <w:color w:val="auto"/>
                <w:sz w:val="24"/>
                <w:szCs w:val="24"/>
                <w:highlight w:val="none"/>
              </w:rPr>
            </w:pPr>
          </w:p>
        </w:tc>
        <w:tc>
          <w:tcPr>
            <w:tcW w:w="1231" w:type="dxa"/>
          </w:tcPr>
          <w:p w14:paraId="38BA42C6">
            <w:pPr>
              <w:pStyle w:val="5"/>
              <w:spacing w:line="360" w:lineRule="auto"/>
              <w:jc w:val="center"/>
              <w:rPr>
                <w:rFonts w:hint="eastAsia" w:ascii="宋体" w:hAnsi="宋体" w:eastAsia="宋体" w:cs="宋体"/>
                <w:color w:val="auto"/>
                <w:sz w:val="24"/>
                <w:szCs w:val="24"/>
                <w:highlight w:val="none"/>
              </w:rPr>
            </w:pPr>
          </w:p>
        </w:tc>
        <w:tc>
          <w:tcPr>
            <w:tcW w:w="1231" w:type="dxa"/>
          </w:tcPr>
          <w:p w14:paraId="0A6ED191">
            <w:pPr>
              <w:pStyle w:val="5"/>
              <w:spacing w:line="360" w:lineRule="auto"/>
              <w:jc w:val="center"/>
              <w:rPr>
                <w:rFonts w:hint="eastAsia" w:ascii="宋体" w:hAnsi="宋体" w:eastAsia="宋体" w:cs="宋体"/>
                <w:color w:val="auto"/>
                <w:sz w:val="24"/>
                <w:szCs w:val="24"/>
                <w:highlight w:val="none"/>
              </w:rPr>
            </w:pPr>
          </w:p>
        </w:tc>
      </w:tr>
      <w:tr w14:paraId="00353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5" w:type="dxa"/>
            <w:vAlign w:val="center"/>
          </w:tcPr>
          <w:p w14:paraId="16F46E48">
            <w:pPr>
              <w:keepNext w:val="0"/>
              <w:keepLines w:val="0"/>
              <w:widowControl/>
              <w:suppressLineNumbers w:val="0"/>
              <w:jc w:val="center"/>
              <w:textAlignment w:val="center"/>
              <w:rPr>
                <w:rFonts w:hint="eastAsia" w:ascii="宋体" w:hAnsi="宋体" w:eastAsia="宋体" w:cs="宋体"/>
                <w:color w:val="auto"/>
                <w:kern w:val="0"/>
                <w:highlight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1711" w:type="dxa"/>
            <w:vAlign w:val="center"/>
          </w:tcPr>
          <w:p w14:paraId="0D48B56F">
            <w:pPr>
              <w:keepNext w:val="0"/>
              <w:keepLines w:val="0"/>
              <w:widowControl/>
              <w:suppressLineNumbers w:val="0"/>
              <w:jc w:val="left"/>
              <w:textAlignment w:val="center"/>
              <w:rPr>
                <w:rFonts w:hint="eastAsia" w:ascii="宋体" w:hAnsi="宋体" w:eastAsia="宋体" w:cs="宋体"/>
                <w:color w:val="auto"/>
                <w:highlight w:val="none"/>
              </w:rPr>
            </w:pPr>
            <w:r>
              <w:rPr>
                <w:rFonts w:hint="eastAsia" w:ascii="宋体" w:hAnsi="宋体" w:eastAsia="宋体" w:cs="宋体"/>
                <w:i w:val="0"/>
                <w:iCs w:val="0"/>
                <w:color w:val="auto"/>
                <w:kern w:val="0"/>
                <w:sz w:val="24"/>
                <w:szCs w:val="24"/>
                <w:highlight w:val="none"/>
                <w:u w:val="none"/>
                <w:lang w:val="en-US" w:eastAsia="zh-CN" w:bidi="ar"/>
              </w:rPr>
              <w:t>应急电源</w:t>
            </w:r>
          </w:p>
        </w:tc>
        <w:tc>
          <w:tcPr>
            <w:tcW w:w="1063" w:type="dxa"/>
            <w:vAlign w:val="center"/>
          </w:tcPr>
          <w:p w14:paraId="5635B5F5">
            <w:pPr>
              <w:keepNext w:val="0"/>
              <w:keepLines w:val="0"/>
              <w:widowControl/>
              <w:suppressLineNumbers w:val="0"/>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台</w:t>
            </w:r>
          </w:p>
        </w:tc>
        <w:tc>
          <w:tcPr>
            <w:tcW w:w="1081" w:type="dxa"/>
            <w:vAlign w:val="center"/>
          </w:tcPr>
          <w:p w14:paraId="4ECBF7BC">
            <w:pPr>
              <w:keepNext w:val="0"/>
              <w:keepLines w:val="0"/>
              <w:widowControl/>
              <w:suppressLineNumbers w:val="0"/>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67</w:t>
            </w:r>
          </w:p>
        </w:tc>
        <w:tc>
          <w:tcPr>
            <w:tcW w:w="1275" w:type="dxa"/>
          </w:tcPr>
          <w:p w14:paraId="239A249F">
            <w:pPr>
              <w:pStyle w:val="5"/>
              <w:spacing w:line="360" w:lineRule="auto"/>
              <w:jc w:val="center"/>
              <w:rPr>
                <w:rFonts w:hint="eastAsia" w:ascii="宋体" w:hAnsi="宋体" w:eastAsia="宋体" w:cs="宋体"/>
                <w:color w:val="auto"/>
                <w:sz w:val="24"/>
                <w:szCs w:val="24"/>
                <w:highlight w:val="none"/>
              </w:rPr>
            </w:pPr>
          </w:p>
        </w:tc>
        <w:tc>
          <w:tcPr>
            <w:tcW w:w="1347" w:type="dxa"/>
          </w:tcPr>
          <w:p w14:paraId="65619EF1">
            <w:pPr>
              <w:pStyle w:val="5"/>
              <w:spacing w:line="360" w:lineRule="auto"/>
              <w:jc w:val="center"/>
              <w:rPr>
                <w:rFonts w:hint="eastAsia" w:ascii="宋体" w:hAnsi="宋体" w:eastAsia="宋体" w:cs="宋体"/>
                <w:color w:val="auto"/>
                <w:sz w:val="24"/>
                <w:szCs w:val="24"/>
                <w:highlight w:val="none"/>
              </w:rPr>
            </w:pPr>
          </w:p>
        </w:tc>
        <w:tc>
          <w:tcPr>
            <w:tcW w:w="1231" w:type="dxa"/>
          </w:tcPr>
          <w:p w14:paraId="1A962822">
            <w:pPr>
              <w:pStyle w:val="5"/>
              <w:spacing w:line="360" w:lineRule="auto"/>
              <w:jc w:val="center"/>
              <w:rPr>
                <w:rFonts w:hint="eastAsia" w:ascii="宋体" w:hAnsi="宋体" w:eastAsia="宋体" w:cs="宋体"/>
                <w:color w:val="auto"/>
                <w:sz w:val="24"/>
                <w:szCs w:val="24"/>
                <w:highlight w:val="none"/>
              </w:rPr>
            </w:pPr>
          </w:p>
        </w:tc>
        <w:tc>
          <w:tcPr>
            <w:tcW w:w="1231" w:type="dxa"/>
          </w:tcPr>
          <w:p w14:paraId="1F85AE06">
            <w:pPr>
              <w:pStyle w:val="5"/>
              <w:spacing w:line="360" w:lineRule="auto"/>
              <w:jc w:val="center"/>
              <w:rPr>
                <w:rFonts w:hint="eastAsia" w:ascii="宋体" w:hAnsi="宋体" w:eastAsia="宋体" w:cs="宋体"/>
                <w:color w:val="auto"/>
                <w:sz w:val="24"/>
                <w:szCs w:val="24"/>
                <w:highlight w:val="none"/>
              </w:rPr>
            </w:pPr>
          </w:p>
        </w:tc>
      </w:tr>
    </w:tbl>
    <w:p w14:paraId="51973E81">
      <w:pPr>
        <w:pStyle w:val="5"/>
        <w:spacing w:line="360" w:lineRule="auto"/>
        <w:ind w:firstLine="480" w:firstLineChars="200"/>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 合同金额（此金额为含税金额）：人民币  XX   元(大写： XX   )，税率  %。该金额包括中标供应商完成本合同的各项费用，包括且不限于：货物设计、材料、制造、包装、运输、安装、调试、培训、采购代理服务费、人工、验收合格交付使用之前及保修期内保修服务与备用物件等各项的含税费用、招标文件规定的其他费用等；除合同约定总价以外，采购人无需支付中标供应商其他任何款项。</w:t>
      </w:r>
    </w:p>
    <w:p w14:paraId="4D74C75C">
      <w:pPr>
        <w:pStyle w:val="5"/>
        <w:spacing w:line="360" w:lineRule="auto"/>
        <w:ind w:firstLine="480" w:firstLineChars="200"/>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4. 合同周期：  XX     。</w:t>
      </w:r>
    </w:p>
    <w:p w14:paraId="427889BF">
      <w:pPr>
        <w:pStyle w:val="5"/>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二、付款方式及期限</w:t>
      </w:r>
    </w:p>
    <w:p w14:paraId="6084ABA6">
      <w:pPr>
        <w:widowControl/>
        <w:spacing w:line="360" w:lineRule="auto"/>
        <w:ind w:firstLine="480" w:firstLineChars="200"/>
        <w:rPr>
          <w:rFonts w:hint="eastAsia" w:ascii="宋体" w:hAnsi="宋体" w:eastAsia="宋体" w:cs="宋体"/>
          <w:bCs/>
          <w:color w:val="auto"/>
          <w:highlight w:val="none"/>
        </w:rPr>
      </w:pPr>
      <w:r>
        <w:rPr>
          <w:rFonts w:hint="eastAsia" w:ascii="宋体" w:hAnsi="宋体" w:eastAsia="宋体" w:cs="宋体"/>
          <w:bCs/>
          <w:color w:val="auto"/>
          <w:highlight w:val="none"/>
        </w:rPr>
        <w:t xml:space="preserve"> 1、</w:t>
      </w:r>
      <w:r>
        <w:rPr>
          <w:rFonts w:hint="eastAsia" w:cs="宋体"/>
          <w:bCs/>
          <w:color w:val="auto"/>
          <w:highlight w:val="none"/>
          <w:lang w:val="en-US" w:eastAsia="zh-CN"/>
        </w:rPr>
        <w:t>甲方</w:t>
      </w:r>
      <w:r>
        <w:rPr>
          <w:rFonts w:hint="eastAsia" w:ascii="宋体" w:hAnsi="宋体" w:eastAsia="宋体" w:cs="宋体"/>
          <w:bCs/>
          <w:color w:val="auto"/>
          <w:highlight w:val="none"/>
        </w:rPr>
        <w:t>于合同签订生效，达到付款条件起5日内，支付合同总金额的</w:t>
      </w:r>
      <w:r>
        <w:rPr>
          <w:rFonts w:hint="eastAsia" w:cs="宋体"/>
          <w:bCs/>
          <w:color w:val="auto"/>
          <w:highlight w:val="none"/>
          <w:lang w:val="en-US" w:eastAsia="zh-CN"/>
        </w:rPr>
        <w:t>4</w:t>
      </w:r>
      <w:r>
        <w:rPr>
          <w:rFonts w:hint="eastAsia" w:ascii="宋体" w:hAnsi="宋体" w:eastAsia="宋体" w:cs="宋体"/>
          <w:bCs/>
          <w:color w:val="auto"/>
          <w:highlight w:val="none"/>
        </w:rPr>
        <w:t>0.00%</w:t>
      </w:r>
      <w:r>
        <w:rPr>
          <w:rFonts w:hint="eastAsia" w:cs="宋体"/>
          <w:bCs/>
          <w:color w:val="auto"/>
          <w:highlight w:val="none"/>
          <w:lang w:eastAsia="zh-CN"/>
        </w:rPr>
        <w:t>；</w:t>
      </w:r>
      <w:r>
        <w:rPr>
          <w:rFonts w:hint="eastAsia" w:cs="宋体"/>
          <w:bCs/>
          <w:color w:val="auto"/>
          <w:highlight w:val="none"/>
          <w:lang w:val="en-US" w:eastAsia="zh-CN"/>
        </w:rPr>
        <w:t>乙方履约完成并且所有货物经甲方最终验收合格</w:t>
      </w:r>
      <w:r>
        <w:rPr>
          <w:rFonts w:hint="eastAsia" w:ascii="宋体" w:hAnsi="宋体" w:eastAsia="宋体" w:cs="宋体"/>
          <w:bCs/>
          <w:color w:val="auto"/>
          <w:highlight w:val="none"/>
        </w:rPr>
        <w:t>，达到付款条件起10日内，支付合同总金额的</w:t>
      </w:r>
      <w:r>
        <w:rPr>
          <w:rFonts w:hint="eastAsia" w:cs="宋体"/>
          <w:bCs/>
          <w:color w:val="auto"/>
          <w:highlight w:val="none"/>
          <w:lang w:val="en-US" w:eastAsia="zh-CN"/>
        </w:rPr>
        <w:t>6</w:t>
      </w:r>
      <w:bookmarkStart w:id="0" w:name="_GoBack"/>
      <w:bookmarkEnd w:id="0"/>
      <w:r>
        <w:rPr>
          <w:rFonts w:hint="eastAsia" w:ascii="宋体" w:hAnsi="宋体" w:eastAsia="宋体" w:cs="宋体"/>
          <w:bCs/>
          <w:color w:val="auto"/>
          <w:highlight w:val="none"/>
        </w:rPr>
        <w:t>0.00%</w:t>
      </w:r>
      <w:r>
        <w:rPr>
          <w:rFonts w:hint="eastAsia" w:ascii="宋体" w:hAnsi="宋体" w:eastAsia="宋体" w:cs="宋体"/>
          <w:bCs/>
          <w:color w:val="auto"/>
          <w:highlight w:val="none"/>
          <w:lang w:val="en-US" w:eastAsia="zh-CN"/>
        </w:rPr>
        <w:t>至</w:t>
      </w:r>
      <w:r>
        <w:rPr>
          <w:rFonts w:hint="eastAsia" w:cs="宋体"/>
          <w:bCs/>
          <w:color w:val="auto"/>
          <w:highlight w:val="none"/>
          <w:lang w:val="en-US" w:eastAsia="zh-CN"/>
        </w:rPr>
        <w:t>乙方指定收款</w:t>
      </w:r>
      <w:r>
        <w:rPr>
          <w:rFonts w:hint="eastAsia" w:ascii="宋体" w:hAnsi="宋体" w:eastAsia="宋体" w:cs="宋体"/>
          <w:bCs/>
          <w:color w:val="auto"/>
          <w:highlight w:val="none"/>
          <w:lang w:val="en-US" w:eastAsia="zh-CN"/>
        </w:rPr>
        <w:t>账户</w:t>
      </w:r>
      <w:r>
        <w:rPr>
          <w:rFonts w:hint="eastAsia" w:ascii="宋体" w:hAnsi="宋体" w:eastAsia="宋体" w:cs="宋体"/>
          <w:bCs/>
          <w:color w:val="auto"/>
          <w:highlight w:val="none"/>
        </w:rPr>
        <w:t>。</w:t>
      </w:r>
      <w:r>
        <w:rPr>
          <w:rFonts w:hint="eastAsia" w:cs="宋体"/>
          <w:bCs/>
          <w:color w:val="auto"/>
          <w:highlight w:val="none"/>
          <w:lang w:val="en-US" w:eastAsia="zh-CN"/>
        </w:rPr>
        <w:t>注：甲方支付费用前乙方需按甲方要求提供相关请款资料（包括请款函、符合甲方要求的合法有效的发票、交货证明、验收合格证明以及其他相关材料），资料不符合甲方财务审批流程要求的，甲方有权不予支付费用且不承担违约责任，并由乙方自行承担后果和损失。</w:t>
      </w:r>
    </w:p>
    <w:p w14:paraId="102650D1">
      <w:pPr>
        <w:pStyle w:val="5"/>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三、交货时间、地点</w:t>
      </w:r>
    </w:p>
    <w:p w14:paraId="3F42969D">
      <w:pPr>
        <w:pStyle w:val="2"/>
        <w:spacing w:line="360" w:lineRule="auto"/>
        <w:ind w:firstLineChars="175"/>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交货时间：按</w:t>
      </w:r>
      <w:r>
        <w:rPr>
          <w:rFonts w:hint="eastAsia" w:ascii="宋体" w:hAnsi="宋体" w:eastAsia="宋体" w:cs="宋体"/>
          <w:color w:val="auto"/>
          <w:highlight w:val="none"/>
          <w:lang w:eastAsia="zh-CN"/>
        </w:rPr>
        <w:t>招标文件</w:t>
      </w:r>
      <w:r>
        <w:rPr>
          <w:rFonts w:hint="eastAsia" w:ascii="宋体" w:hAnsi="宋体" w:eastAsia="宋体" w:cs="宋体"/>
          <w:color w:val="auto"/>
          <w:highlight w:val="none"/>
        </w:rPr>
        <w:t>相关要求及乙方</w:t>
      </w:r>
      <w:r>
        <w:rPr>
          <w:rFonts w:hint="eastAsia" w:ascii="宋体" w:hAnsi="宋体" w:eastAsia="宋体" w:cs="宋体"/>
          <w:color w:val="auto"/>
          <w:highlight w:val="none"/>
          <w:lang w:eastAsia="zh-CN"/>
        </w:rPr>
        <w:t>投标文件</w:t>
      </w:r>
      <w:r>
        <w:rPr>
          <w:rFonts w:hint="eastAsia" w:ascii="宋体" w:hAnsi="宋体" w:eastAsia="宋体" w:cs="宋体"/>
          <w:color w:val="auto"/>
          <w:highlight w:val="none"/>
        </w:rPr>
        <w:t>相关承诺的时间提交货品 。因甲方方面客观原因不能在前述时间收货的，交货时间顺延，乙方按甲方通知交货，甲方不承担违约责任等法律责任；货物在顺延期间的保管费和风险由乙方承担。</w:t>
      </w:r>
    </w:p>
    <w:p w14:paraId="17F36260">
      <w:pPr>
        <w:pStyle w:val="2"/>
        <w:spacing w:line="360" w:lineRule="auto"/>
        <w:ind w:firstLineChars="175"/>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交货地点：</w:t>
      </w:r>
      <w:r>
        <w:rPr>
          <w:rFonts w:hint="eastAsia" w:ascii="宋体" w:hAnsi="宋体" w:eastAsia="宋体" w:cs="宋体"/>
          <w:color w:val="auto"/>
          <w:highlight w:val="none"/>
          <w:u w:val="single"/>
        </w:rPr>
        <w:t>甲方指定地点</w:t>
      </w:r>
      <w:r>
        <w:rPr>
          <w:rFonts w:hint="eastAsia" w:ascii="宋体" w:hAnsi="宋体" w:eastAsia="宋体" w:cs="宋体"/>
          <w:color w:val="auto"/>
          <w:highlight w:val="none"/>
          <w:u w:val="single"/>
          <w:lang w:eastAsia="zh-CN"/>
        </w:rPr>
        <w:t>：</w:t>
      </w:r>
      <w:r>
        <w:rPr>
          <w:rFonts w:hint="eastAsia" w:ascii="宋体" w:hAnsi="宋体" w:eastAsia="宋体" w:cs="宋体"/>
          <w:color w:val="auto"/>
          <w:highlight w:val="none"/>
          <w:u w:val="single"/>
          <w:lang w:val="en-US" w:eastAsia="zh-CN"/>
        </w:rPr>
        <w:t>XXXXX</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p>
    <w:p w14:paraId="0E958BF9">
      <w:pPr>
        <w:pStyle w:val="2"/>
        <w:spacing w:line="360" w:lineRule="auto"/>
        <w:ind w:firstLineChars="175"/>
        <w:rPr>
          <w:rFonts w:hint="eastAsia" w:ascii="宋体" w:hAnsi="宋体" w:eastAsia="宋体" w:cs="宋体"/>
          <w:color w:val="auto"/>
          <w:highlight w:val="none"/>
        </w:rPr>
      </w:pPr>
      <w:r>
        <w:rPr>
          <w:rFonts w:hint="eastAsia" w:ascii="宋体" w:hAnsi="宋体" w:eastAsia="宋体" w:cs="宋体"/>
          <w:color w:val="auto"/>
          <w:highlight w:val="none"/>
        </w:rPr>
        <w:t>3、交货时对货物进行初验，初验只是对交付货物的品类、数量、外观进行初步验收，不代表对货物数量、质量的最终确认。</w:t>
      </w:r>
    </w:p>
    <w:p w14:paraId="413CE5D5">
      <w:pPr>
        <w:pStyle w:val="5"/>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四、质量要求：</w:t>
      </w:r>
    </w:p>
    <w:p w14:paraId="430ED938">
      <w:pPr>
        <w:spacing w:line="360" w:lineRule="auto"/>
        <w:ind w:firstLine="470" w:firstLineChars="196"/>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（1）乙方所提供的货物质量必须符合或优于国家标准；</w:t>
      </w:r>
    </w:p>
    <w:p w14:paraId="32A05CB9">
      <w:pPr>
        <w:spacing w:line="360" w:lineRule="auto"/>
        <w:ind w:firstLine="470" w:firstLineChars="196"/>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（2）乙方所提供货物必须权属清楚、完整；不得损害第三方的所有权以及其他权利，不得损害第三方的专利权、商标权或著作权等知识产权；</w:t>
      </w:r>
    </w:p>
    <w:p w14:paraId="1BE76A3D">
      <w:pPr>
        <w:spacing w:line="360" w:lineRule="auto"/>
        <w:ind w:firstLine="470" w:firstLineChars="196"/>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（3）乙方所提供货物需是经检验合格的全新正品（含零部件、配件、使用说明书等），货物表面无划伤、无碰撞痕迹，符合货物出厂标准，不得以次充好，货物来源渠道必须合法。</w:t>
      </w:r>
    </w:p>
    <w:p w14:paraId="1FCA57F4">
      <w:pPr>
        <w:spacing w:line="360" w:lineRule="auto"/>
        <w:ind w:firstLine="470" w:firstLineChars="196"/>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质保期内产品制造质量出现问题，乙方应负责三包(包修、包换、包退)，费用包含在本次合同价款中，甲方不再额外支付任何费用。</w:t>
      </w:r>
    </w:p>
    <w:p w14:paraId="3A696EBC">
      <w:pPr>
        <w:spacing w:line="360" w:lineRule="auto"/>
        <w:ind w:firstLine="470" w:firstLineChars="196"/>
        <w:rPr>
          <w:rFonts w:hint="eastAsia" w:ascii="宋体" w:hAnsi="宋体" w:eastAsia="宋体" w:cs="宋体"/>
          <w:b/>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乙方所提供的货物的技术参数必须符合招标文件的要求以及投标文件的承诺</w:t>
      </w:r>
      <w:r>
        <w:rPr>
          <w:rFonts w:hint="eastAsia" w:ascii="宋体" w:hAnsi="宋体" w:eastAsia="宋体" w:cs="宋体"/>
          <w:color w:val="auto"/>
          <w:highlight w:val="none"/>
        </w:rPr>
        <w:t>。</w:t>
      </w:r>
    </w:p>
    <w:p w14:paraId="18403540">
      <w:pPr>
        <w:pStyle w:val="5"/>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五、履约验收</w:t>
      </w:r>
    </w:p>
    <w:p w14:paraId="3F57A8AD">
      <w:pPr>
        <w:spacing w:line="360" w:lineRule="auto"/>
        <w:ind w:firstLine="470" w:firstLineChars="196"/>
        <w:rPr>
          <w:rFonts w:hint="eastAsia" w:ascii="宋体" w:hAnsi="宋体" w:eastAsia="宋体" w:cs="宋体"/>
          <w:color w:val="auto"/>
          <w:highlight w:val="none"/>
        </w:rPr>
      </w:pPr>
      <w:r>
        <w:rPr>
          <w:rFonts w:hint="eastAsia" w:ascii="宋体" w:hAnsi="宋体" w:eastAsia="宋体" w:cs="宋体"/>
          <w:color w:val="auto"/>
          <w:highlight w:val="none"/>
        </w:rPr>
        <w:t>1、</w:t>
      </w:r>
      <w:r>
        <w:rPr>
          <w:rFonts w:hint="eastAsia" w:ascii="宋体" w:hAnsi="宋体" w:eastAsia="宋体" w:cs="宋体"/>
          <w:color w:val="auto"/>
          <w:highlight w:val="none"/>
          <w:lang w:eastAsia="zh-CN"/>
        </w:rPr>
        <w:t>乙方交货完成后，甲方在收到乙方验收申请之日起5个工作日内启动项目验收，并书面通知乙方</w:t>
      </w:r>
      <w:r>
        <w:rPr>
          <w:rFonts w:hint="eastAsia" w:ascii="宋体" w:hAnsi="宋体" w:eastAsia="宋体" w:cs="宋体"/>
          <w:color w:val="auto"/>
          <w:highlight w:val="none"/>
        </w:rPr>
        <w:t>。验收时乙方应根据甲方要求（如有）提供产品相关检测报告或合格证等作为验收依据。</w:t>
      </w:r>
    </w:p>
    <w:p w14:paraId="024629F1">
      <w:pPr>
        <w:spacing w:line="360" w:lineRule="auto"/>
        <w:ind w:firstLine="470" w:firstLineChars="196"/>
        <w:rPr>
          <w:rFonts w:hint="eastAsia" w:ascii="宋体" w:hAnsi="宋体" w:eastAsia="宋体" w:cs="宋体"/>
          <w:color w:val="auto"/>
          <w:highlight w:val="none"/>
        </w:rPr>
      </w:pPr>
      <w:r>
        <w:rPr>
          <w:rFonts w:hint="eastAsia" w:ascii="宋体" w:hAnsi="宋体" w:eastAsia="宋体" w:cs="宋体"/>
          <w:color w:val="auto"/>
          <w:highlight w:val="none"/>
        </w:rPr>
        <w:t>2、验收由甲方组织，乙方配合进行：</w:t>
      </w:r>
    </w:p>
    <w:p w14:paraId="207F398B">
      <w:pPr>
        <w:spacing w:line="360" w:lineRule="auto"/>
        <w:ind w:firstLine="480" w:firstLineChars="200"/>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（1）验收办法：验收由甲方组织，乙方配合，该项目中需安装调试的设备、设施由乙方现场安装到位，并承担全部费用。</w:t>
      </w:r>
    </w:p>
    <w:p w14:paraId="6A587127">
      <w:pPr>
        <w:spacing w:line="360" w:lineRule="auto"/>
        <w:ind w:firstLine="480" w:firstLineChars="200"/>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验收标准：根据国家、行业规定标准以及招标文件的要求和技术指标、乙方的投标文件承诺及本合同约定标准，严格按照国家、省市相关验收规定进行。双方如对质量要求和技术指标的约定标准有相互抵触或异议的事项，由甲方在招标文件与投标文件中按质量要求和技术指标比较优胜的原则确定该项的约定标准进行验收；</w:t>
      </w:r>
    </w:p>
    <w:p w14:paraId="394F77F8">
      <w:pPr>
        <w:spacing w:line="360" w:lineRule="auto"/>
        <w:ind w:firstLine="480" w:firstLineChars="200"/>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（3）验收时间：乙方交货完成后，甲方在收到乙方验收申请之日起5个工作日内，由甲方成立验收小组，组织开展项目验收工作。</w:t>
      </w:r>
    </w:p>
    <w:p w14:paraId="64738C71">
      <w:pPr>
        <w:spacing w:line="360" w:lineRule="auto"/>
        <w:ind w:firstLine="470" w:firstLineChars="196"/>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乙方并按第八条第</w:t>
      </w:r>
      <w:r>
        <w:rPr>
          <w:rFonts w:hint="eastAsia" w:ascii="宋体" w:hAnsi="宋体" w:eastAsia="宋体" w:cs="宋体"/>
          <w:color w:val="auto"/>
          <w:highlight w:val="none"/>
          <w:lang w:val="en-US" w:eastAsia="zh-CN"/>
        </w:rPr>
        <w:t>XX</w:t>
      </w:r>
      <w:r>
        <w:rPr>
          <w:rFonts w:hint="eastAsia" w:ascii="宋体" w:hAnsi="宋体" w:eastAsia="宋体" w:cs="宋体"/>
          <w:color w:val="auto"/>
          <w:highlight w:val="none"/>
          <w:lang w:eastAsia="zh-CN"/>
        </w:rPr>
        <w:t>款承担违约责任</w:t>
      </w:r>
      <w:r>
        <w:rPr>
          <w:rFonts w:hint="eastAsia" w:ascii="宋体" w:hAnsi="宋体" w:eastAsia="宋体" w:cs="宋体"/>
          <w:color w:val="auto"/>
          <w:highlight w:val="none"/>
        </w:rPr>
        <w:t>；</w:t>
      </w:r>
    </w:p>
    <w:p w14:paraId="316EA2F8">
      <w:pPr>
        <w:spacing w:line="360" w:lineRule="auto"/>
        <w:ind w:firstLine="470" w:firstLineChars="196"/>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 如质量验收合格，签署质量验收报告。</w:t>
      </w:r>
    </w:p>
    <w:p w14:paraId="5FA90F5F">
      <w:pPr>
        <w:spacing w:line="360" w:lineRule="auto"/>
        <w:ind w:firstLine="470" w:firstLineChars="196"/>
        <w:rPr>
          <w:rFonts w:hint="eastAsia" w:ascii="宋体" w:hAnsi="宋体" w:eastAsia="宋体" w:cs="宋体"/>
          <w:b/>
          <w:color w:val="auto"/>
          <w:highlight w:val="none"/>
        </w:rPr>
      </w:pP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、乙方应将所提供货物的</w:t>
      </w:r>
      <w:r>
        <w:rPr>
          <w:rFonts w:hint="eastAsia" w:ascii="宋体" w:hAnsi="宋体" w:eastAsia="宋体" w:cs="宋体"/>
          <w:color w:val="auto"/>
          <w:highlight w:val="none"/>
          <w:lang w:val="en-US" w:eastAsia="zh-CN"/>
        </w:rPr>
        <w:t>包括且不限于</w:t>
      </w:r>
      <w:r>
        <w:rPr>
          <w:rFonts w:hint="eastAsia" w:ascii="宋体" w:hAnsi="宋体" w:eastAsia="宋体" w:cs="宋体"/>
          <w:color w:val="auto"/>
          <w:highlight w:val="none"/>
        </w:rPr>
        <w:t>装箱清单、配件、随机工具、用户使用手册、</w:t>
      </w:r>
      <w:r>
        <w:rPr>
          <w:rFonts w:hint="eastAsia" w:ascii="宋体" w:hAnsi="宋体" w:eastAsia="宋体" w:cs="宋体"/>
          <w:color w:val="auto"/>
          <w:highlight w:val="none"/>
          <w:lang w:val="en-US" w:eastAsia="zh-CN"/>
        </w:rPr>
        <w:t>合格证书、</w:t>
      </w:r>
      <w:r>
        <w:rPr>
          <w:rFonts w:hint="eastAsia" w:ascii="宋体" w:hAnsi="宋体" w:eastAsia="宋体" w:cs="宋体"/>
          <w:color w:val="auto"/>
          <w:highlight w:val="none"/>
        </w:rPr>
        <w:t>原厂保修卡等资料交付给甲方；乙方不能完整交付货物及本款规定的单证和工具的，必须负责补齐，否则视为未按合同约定交货。 </w:t>
      </w:r>
    </w:p>
    <w:p w14:paraId="0E8E9571">
      <w:pPr>
        <w:spacing w:line="360" w:lineRule="auto"/>
        <w:ind w:firstLine="470" w:firstLineChars="196"/>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、其他未尽事宜应按照《关于印发&lt;政府采购需求管理办法&gt;的通知》（财库〔2021〕22号）、政府采购相关履约验收管理办法及按照国家或相关行业规定、</w:t>
      </w:r>
      <w:r>
        <w:rPr>
          <w:rFonts w:hint="eastAsia" w:ascii="宋体" w:hAnsi="宋体" w:eastAsia="宋体" w:cs="宋体"/>
          <w:color w:val="auto"/>
          <w:highlight w:val="none"/>
          <w:lang w:eastAsia="zh-CN"/>
        </w:rPr>
        <w:t>招标文件</w:t>
      </w:r>
      <w:r>
        <w:rPr>
          <w:rFonts w:hint="eastAsia" w:ascii="宋体" w:hAnsi="宋体" w:eastAsia="宋体" w:cs="宋体"/>
          <w:color w:val="auto"/>
          <w:highlight w:val="none"/>
        </w:rPr>
        <w:t>规定的要求和</w:t>
      </w:r>
      <w:r>
        <w:rPr>
          <w:rFonts w:hint="eastAsia" w:ascii="宋体" w:hAnsi="宋体" w:eastAsia="宋体" w:cs="宋体"/>
          <w:color w:val="auto"/>
          <w:highlight w:val="none"/>
          <w:lang w:eastAsia="zh-CN"/>
        </w:rPr>
        <w:t>投标文件</w:t>
      </w:r>
      <w:r>
        <w:rPr>
          <w:rFonts w:hint="eastAsia" w:ascii="宋体" w:hAnsi="宋体" w:eastAsia="宋体" w:cs="宋体"/>
          <w:color w:val="auto"/>
          <w:highlight w:val="none"/>
        </w:rPr>
        <w:t>承诺以及合同约定的内容进行。</w:t>
      </w:r>
    </w:p>
    <w:p w14:paraId="287D123A">
      <w:pPr>
        <w:pStyle w:val="5"/>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六、保修条款、售后服务</w:t>
      </w:r>
    </w:p>
    <w:p w14:paraId="250F8C1C">
      <w:pPr>
        <w:pStyle w:val="5"/>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乙方应严格遵守售后服务承诺，产品在使用中出现任何问题，甲方与乙方联系，乙方在接到故障电话后</w:t>
      </w:r>
      <w:r>
        <w:rPr>
          <w:rFonts w:hint="eastAsia" w:ascii="宋体" w:hAnsi="宋体" w:eastAsia="宋体" w:cs="宋体"/>
          <w:color w:val="auto"/>
          <w:kern w:val="0"/>
          <w:sz w:val="24"/>
          <w:szCs w:val="24"/>
          <w:highlight w:val="none"/>
          <w:u w:val="single"/>
          <w:lang w:val="en-US" w:eastAsia="zh-CN"/>
        </w:rPr>
        <w:t>XXXX</w:t>
      </w:r>
      <w:r>
        <w:rPr>
          <w:rFonts w:hint="eastAsia" w:ascii="宋体" w:hAnsi="宋体" w:eastAsia="宋体" w:cs="宋体"/>
          <w:color w:val="auto"/>
          <w:kern w:val="0"/>
          <w:sz w:val="24"/>
          <w:szCs w:val="24"/>
          <w:highlight w:val="none"/>
        </w:rPr>
        <w:t>（时间）内到达现场提供现场服务。有关内容如下：</w:t>
      </w:r>
    </w:p>
    <w:p w14:paraId="2E572872">
      <w:pPr>
        <w:pStyle w:val="5"/>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1. </w:t>
      </w:r>
      <w:r>
        <w:rPr>
          <w:rFonts w:hint="eastAsia" w:ascii="宋体" w:hAnsi="宋体" w:eastAsia="宋体" w:cs="宋体"/>
          <w:color w:val="auto"/>
          <w:kern w:val="0"/>
          <w:sz w:val="24"/>
          <w:szCs w:val="24"/>
          <w:highlight w:val="none"/>
          <w:lang w:eastAsia="zh-CN"/>
        </w:rPr>
        <w:t>产品质保期为验收合格之日起不少于</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5</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年。乙方承诺在保修期内，若发生质量问题，将负责更换或维修，此费用包含在合同价中。在保修期外，以最优惠的价格提供更换、维修。</w:t>
      </w:r>
    </w:p>
    <w:p w14:paraId="047ACE0F">
      <w:pPr>
        <w:pStyle w:val="5"/>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 乙方在</w:t>
      </w:r>
      <w:r>
        <w:rPr>
          <w:rFonts w:hint="eastAsia" w:ascii="宋体" w:hAnsi="宋体" w:eastAsia="宋体" w:cs="宋体"/>
          <w:color w:val="auto"/>
          <w:kern w:val="0"/>
          <w:sz w:val="24"/>
          <w:szCs w:val="24"/>
          <w:highlight w:val="none"/>
          <w:lang w:eastAsia="zh-CN"/>
        </w:rPr>
        <w:t>投标文件</w:t>
      </w:r>
      <w:r>
        <w:rPr>
          <w:rFonts w:hint="eastAsia" w:ascii="宋体" w:hAnsi="宋体" w:eastAsia="宋体" w:cs="宋体"/>
          <w:color w:val="auto"/>
          <w:kern w:val="0"/>
          <w:sz w:val="24"/>
          <w:szCs w:val="24"/>
          <w:highlight w:val="none"/>
        </w:rPr>
        <w:t>中的其它服务承诺：</w:t>
      </w:r>
    </w:p>
    <w:p w14:paraId="7010863E">
      <w:pPr>
        <w:pStyle w:val="5"/>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（1）XX</w:t>
      </w:r>
    </w:p>
    <w:p w14:paraId="5BC72357">
      <w:pPr>
        <w:pStyle w:val="5"/>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（2）XX</w:t>
      </w:r>
    </w:p>
    <w:p w14:paraId="1984D837">
      <w:pPr>
        <w:pStyle w:val="5"/>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（3）……（逐条填入）。</w:t>
      </w:r>
    </w:p>
    <w:p w14:paraId="27C76A64">
      <w:pPr>
        <w:pStyle w:val="5"/>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七、相关权利及义务</w:t>
      </w:r>
    </w:p>
    <w:p w14:paraId="6FFB7C1D">
      <w:pPr>
        <w:pStyle w:val="5"/>
        <w:spacing w:line="360" w:lineRule="auto"/>
        <w:ind w:firstLine="456" w:firstLineChars="20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1. 甲方在验收时对不符合</w:t>
      </w:r>
      <w:r>
        <w:rPr>
          <w:rFonts w:hint="eastAsia" w:ascii="宋体" w:hAnsi="宋体" w:eastAsia="宋体" w:cs="宋体"/>
          <w:color w:val="auto"/>
          <w:spacing w:val="-6"/>
          <w:sz w:val="24"/>
          <w:szCs w:val="24"/>
          <w:highlight w:val="none"/>
          <w:lang w:eastAsia="zh-CN"/>
        </w:rPr>
        <w:t>招标文件</w:t>
      </w:r>
      <w:r>
        <w:rPr>
          <w:rFonts w:hint="eastAsia" w:ascii="宋体" w:hAnsi="宋体" w:eastAsia="宋体" w:cs="宋体"/>
          <w:color w:val="auto"/>
          <w:spacing w:val="-6"/>
          <w:sz w:val="24"/>
          <w:szCs w:val="24"/>
          <w:highlight w:val="none"/>
        </w:rPr>
        <w:t>要求的产品有权拒绝接收和追究违约责任</w:t>
      </w:r>
      <w:r>
        <w:rPr>
          <w:rFonts w:hint="eastAsia" w:ascii="宋体" w:hAnsi="宋体" w:eastAsia="宋体" w:cs="宋体"/>
          <w:color w:val="auto"/>
          <w:sz w:val="24"/>
          <w:szCs w:val="24"/>
          <w:highlight w:val="none"/>
        </w:rPr>
        <w:t xml:space="preserve">。 </w:t>
      </w:r>
    </w:p>
    <w:p w14:paraId="03DB2790">
      <w:pPr>
        <w:pStyle w:val="5"/>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有权监督乙方的售后服务，并对乙方的售后服务不符合</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承诺内容时加以指出并督促甲方追究乙方责任。</w:t>
      </w:r>
    </w:p>
    <w:p w14:paraId="472F4429">
      <w:pPr>
        <w:pStyle w:val="5"/>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甲方在合同规定期限内履行付款责任。</w:t>
      </w:r>
    </w:p>
    <w:p w14:paraId="6EB280E9">
      <w:pPr>
        <w:pStyle w:val="5"/>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甲方对乙方的技术及商业机密予以保密。</w:t>
      </w:r>
    </w:p>
    <w:p w14:paraId="4E678B8A">
      <w:pPr>
        <w:pStyle w:val="5"/>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甲方有义务并指派专人积极配合乙方进行交货及安装调试工作。</w:t>
      </w:r>
    </w:p>
    <w:p w14:paraId="74196188">
      <w:pPr>
        <w:pStyle w:val="5"/>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指派人员：XX                 电话：XX</w:t>
      </w:r>
    </w:p>
    <w:p w14:paraId="0D0B6E45">
      <w:pPr>
        <w:pStyle w:val="5"/>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乙方有权按照合同约定要求甲方及时支付相应合同款项。</w:t>
      </w:r>
    </w:p>
    <w:p w14:paraId="1899D493">
      <w:pPr>
        <w:pStyle w:val="5"/>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乙方有义务按</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 xml:space="preserve">中的售后服务承诺提供良好的服务。 </w:t>
      </w:r>
    </w:p>
    <w:p w14:paraId="039B0566">
      <w:pPr>
        <w:pStyle w:val="5"/>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8、乙方须指派专人负责与甲方联系售后服务事宜。</w:t>
      </w:r>
    </w:p>
    <w:p w14:paraId="1E3BFE3B">
      <w:pPr>
        <w:pStyle w:val="5"/>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指派人员：XX                   电话：XX</w:t>
      </w:r>
    </w:p>
    <w:p w14:paraId="68C6478D">
      <w:pPr>
        <w:pStyle w:val="5"/>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八、违约责任</w:t>
      </w:r>
    </w:p>
    <w:p w14:paraId="534F1E9D">
      <w:pPr>
        <w:pStyle w:val="5"/>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1.甲乙双方均应遵守本合同，非因不可抗力而单方面终止执行合同的，将赔偿因违约给对方造成的经济损失，并向对方支付本合同总额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20</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的违约金，如因乙方原因造成的，乙方须向甲方支付违约金外，并由甲方提请项目同级财政部门将其列入不良行为记录。</w:t>
      </w:r>
    </w:p>
    <w:p w14:paraId="7B5FA961">
      <w:pPr>
        <w:pStyle w:val="5"/>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2、若因乙方原因在合同规定期限内无法交货，甲方有权终止合同，并请示项目同级财政部门（采购科/股）取消其中标资格，并由乙方向甲方支付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20</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的违约金；或经甲、乙双方协商同意继续履行合同，甲方视情况在延迟交货期内每天按合同总额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的标准收取违约金。</w:t>
      </w:r>
      <w:r>
        <w:rPr>
          <w:rFonts w:hint="eastAsia" w:ascii="宋体" w:hAnsi="宋体" w:eastAsia="宋体" w:cs="宋体"/>
          <w:color w:val="auto"/>
          <w:sz w:val="24"/>
          <w:szCs w:val="24"/>
          <w:highlight w:val="none"/>
          <w:lang w:eastAsia="zh-CN"/>
        </w:rPr>
        <w:t>因不可抗力所</w:t>
      </w:r>
      <w:r>
        <w:rPr>
          <w:rFonts w:hint="eastAsia" w:ascii="宋体" w:hAnsi="宋体" w:eastAsia="宋体" w:cs="宋体"/>
          <w:color w:val="auto"/>
          <w:sz w:val="24"/>
          <w:szCs w:val="24"/>
          <w:highlight w:val="none"/>
        </w:rPr>
        <w:t>导致的交货及付款延迟等按照《中华人民共和国民法典》有关条文及本合同第八条处理。</w:t>
      </w:r>
    </w:p>
    <w:p w14:paraId="73BF4B6A">
      <w:pPr>
        <w:pStyle w:val="5"/>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3、乙方交付的货物质量检验不合格的，乙方应向甲方支付合同总价的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20</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的违约金，并须在合同规定的交货时间内更换合格的货物给甲方，否则，视作乙方不能交付货物而违约，按第</w:t>
      </w:r>
      <w:r>
        <w:rPr>
          <w:rFonts w:hint="eastAsia" w:ascii="宋体" w:hAnsi="宋体" w:eastAsia="宋体" w:cs="宋体"/>
          <w:color w:val="auto"/>
          <w:sz w:val="24"/>
          <w:szCs w:val="24"/>
          <w:highlight w:val="none"/>
          <w:lang w:val="en-US" w:eastAsia="zh-CN"/>
        </w:rPr>
        <w:t>八</w:t>
      </w:r>
      <w:r>
        <w:rPr>
          <w:rFonts w:hint="eastAsia" w:ascii="宋体" w:hAnsi="宋体" w:eastAsia="宋体" w:cs="宋体"/>
          <w:color w:val="auto"/>
          <w:sz w:val="24"/>
          <w:szCs w:val="24"/>
          <w:highlight w:val="none"/>
        </w:rPr>
        <w:t>条第2款进行处理。甲方可将乙方货物交具有法定资格条件的质量技术监督机构检测，检测费用负担原则参照第</w:t>
      </w:r>
      <w:r>
        <w:rPr>
          <w:rFonts w:hint="eastAsia" w:ascii="宋体" w:hAnsi="宋体" w:eastAsia="宋体" w:cs="宋体"/>
          <w:color w:val="auto"/>
          <w:sz w:val="24"/>
          <w:szCs w:val="24"/>
          <w:highlight w:val="none"/>
          <w:lang w:eastAsia="zh-CN"/>
        </w:rPr>
        <w:t>十</w:t>
      </w:r>
      <w:r>
        <w:rPr>
          <w:rFonts w:hint="eastAsia" w:ascii="宋体" w:hAnsi="宋体" w:eastAsia="宋体" w:cs="宋体"/>
          <w:color w:val="auto"/>
          <w:sz w:val="24"/>
          <w:szCs w:val="24"/>
          <w:highlight w:val="none"/>
        </w:rPr>
        <w:t>条第1款。</w:t>
      </w:r>
    </w:p>
    <w:p w14:paraId="1E0D7A23">
      <w:pPr>
        <w:pStyle w:val="5"/>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4、乙方保证本合同货物的权利无瑕疵，包括</w:t>
      </w:r>
      <w:r>
        <w:rPr>
          <w:rFonts w:hint="eastAsia" w:ascii="宋体" w:hAnsi="宋体" w:eastAsia="宋体" w:cs="宋体"/>
          <w:color w:val="auto"/>
          <w:sz w:val="24"/>
          <w:szCs w:val="24"/>
          <w:highlight w:val="none"/>
          <w:lang w:val="en-US" w:eastAsia="zh-CN"/>
        </w:rPr>
        <w:t>且不限于</w:t>
      </w:r>
      <w:r>
        <w:rPr>
          <w:rFonts w:hint="eastAsia" w:ascii="宋体" w:hAnsi="宋体" w:eastAsia="宋体" w:cs="宋体"/>
          <w:color w:val="auto"/>
          <w:sz w:val="24"/>
          <w:szCs w:val="24"/>
          <w:highlight w:val="none"/>
        </w:rPr>
        <w:t>货物所有权</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知识产权等权利无瑕疵。</w:t>
      </w:r>
      <w:r>
        <w:rPr>
          <w:rFonts w:hint="eastAsia" w:ascii="宋体" w:hAnsi="宋体" w:eastAsia="宋体" w:cs="宋体"/>
          <w:color w:val="auto"/>
          <w:sz w:val="24"/>
          <w:szCs w:val="24"/>
          <w:highlight w:val="none"/>
          <w:lang w:eastAsia="zh-CN"/>
        </w:rPr>
        <w:t>如任何第三方经法院</w:t>
      </w:r>
      <w:r>
        <w:rPr>
          <w:rFonts w:hint="eastAsia" w:ascii="宋体" w:hAnsi="宋体" w:eastAsia="宋体" w:cs="宋体"/>
          <w:color w:val="auto"/>
          <w:sz w:val="24"/>
          <w:szCs w:val="24"/>
          <w:highlight w:val="none"/>
          <w:lang w:val="en-US" w:eastAsia="zh-CN"/>
        </w:rPr>
        <w:t>或仲裁机构</w:t>
      </w:r>
      <w:r>
        <w:rPr>
          <w:rFonts w:hint="eastAsia" w:ascii="宋体" w:hAnsi="宋体" w:eastAsia="宋体" w:cs="宋体"/>
          <w:color w:val="auto"/>
          <w:sz w:val="24"/>
          <w:szCs w:val="24"/>
          <w:highlight w:val="none"/>
          <w:lang w:eastAsia="zh-CN"/>
        </w:rPr>
        <w:t>裁决有权对上述货物</w:t>
      </w:r>
      <w:r>
        <w:rPr>
          <w:rFonts w:hint="eastAsia" w:ascii="宋体" w:hAnsi="宋体" w:eastAsia="宋体" w:cs="宋体"/>
          <w:color w:val="auto"/>
          <w:sz w:val="24"/>
          <w:szCs w:val="24"/>
          <w:highlight w:val="none"/>
        </w:rPr>
        <w:t>主张权利或国家机关依法对货物进行没收查处的，乙方除应向甲方返还已收款项外，还应另按合同总价的</w:t>
      </w:r>
      <w:r>
        <w:rPr>
          <w:rFonts w:hint="eastAsia" w:ascii="宋体" w:hAnsi="宋体" w:eastAsia="宋体" w:cs="宋体"/>
          <w:color w:val="auto"/>
          <w:sz w:val="24"/>
          <w:szCs w:val="24"/>
          <w:highlight w:val="none"/>
          <w:u w:val="single"/>
          <w:lang w:val="en-US" w:eastAsia="zh-CN"/>
        </w:rPr>
        <w:t>20</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向甲方支付违约金并赔偿因此给甲方造成的一切损失</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甲方并且有权解除合同</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因第三方向法院或仲裁机构主张权利，无论法院或仲裁机构裁决结果如何，给甲方造成损失的，乙方应全额赔偿；因第三方向法院或仲裁机构主张权利影响乙方履行合同或影响甲方使用本合同货物的，甲方有权解除合同且不承担任何责任（包括且不限于违约责任、赔偿责任）。</w:t>
      </w:r>
    </w:p>
    <w:p w14:paraId="5B9720A6">
      <w:pPr>
        <w:pStyle w:val="5"/>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乙方应严格遵守服务承诺，如有违约，将赔偿因服务违约给甲方造成的经济损失。若因乙方未按承诺的响应及到场维修时间</w:t>
      </w:r>
      <w:r>
        <w:rPr>
          <w:rFonts w:hint="eastAsia" w:ascii="宋体" w:hAnsi="宋体" w:eastAsia="宋体" w:cs="宋体"/>
          <w:color w:val="auto"/>
          <w:sz w:val="24"/>
          <w:szCs w:val="24"/>
          <w:highlight w:val="none"/>
          <w:lang w:eastAsia="zh-CN"/>
        </w:rPr>
        <w:t>进行故障排除</w:t>
      </w:r>
      <w:r>
        <w:rPr>
          <w:rFonts w:hint="eastAsia" w:ascii="宋体" w:hAnsi="宋体" w:eastAsia="宋体" w:cs="宋体"/>
          <w:color w:val="auto"/>
          <w:sz w:val="24"/>
          <w:szCs w:val="24"/>
          <w:highlight w:val="none"/>
        </w:rPr>
        <w:t>，甲方有权部分要求乙方支付违约金；若甲方电话通知乙方，</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rPr>
        <w:t>未按承诺时限到场维修，</w:t>
      </w:r>
      <w:r>
        <w:rPr>
          <w:rFonts w:hint="eastAsia" w:ascii="宋体" w:hAnsi="宋体" w:eastAsia="宋体" w:cs="宋体"/>
          <w:color w:val="auto"/>
          <w:sz w:val="24"/>
          <w:szCs w:val="24"/>
          <w:highlight w:val="none"/>
          <w:lang w:eastAsia="zh-CN"/>
        </w:rPr>
        <w:t>超过1天未解决问题的（除不可抗力外）</w:t>
      </w:r>
      <w:r>
        <w:rPr>
          <w:rFonts w:hint="eastAsia" w:ascii="宋体" w:hAnsi="宋体" w:eastAsia="宋体" w:cs="宋体"/>
          <w:color w:val="auto"/>
          <w:sz w:val="24"/>
          <w:szCs w:val="24"/>
          <w:highlight w:val="none"/>
        </w:rPr>
        <w:t>，甲方有权要求乙方支付违约金并追究服务违约的相关责任。</w:t>
      </w:r>
    </w:p>
    <w:p w14:paraId="547B478C">
      <w:pPr>
        <w:pStyle w:val="5"/>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验收合格后且达到付款条件，甲方应在合同约定的付款期限内及时支付合同款项，如因甲方原因造成付款延误的，乙方视情况在延迟付款期内每天按</w:t>
      </w:r>
      <w:r>
        <w:rPr>
          <w:rFonts w:hint="eastAsia" w:ascii="宋体" w:hAnsi="宋体" w:eastAsia="宋体" w:cs="宋体"/>
          <w:color w:val="auto"/>
          <w:sz w:val="24"/>
          <w:szCs w:val="24"/>
          <w:highlight w:val="none"/>
          <w:lang w:val="en-US" w:eastAsia="zh-CN"/>
        </w:rPr>
        <w:t>迟延付款</w:t>
      </w:r>
      <w:r>
        <w:rPr>
          <w:rFonts w:hint="eastAsia" w:ascii="宋体" w:hAnsi="宋体" w:eastAsia="宋体" w:cs="宋体"/>
          <w:color w:val="auto"/>
          <w:sz w:val="24"/>
          <w:szCs w:val="24"/>
          <w:highlight w:val="none"/>
        </w:rPr>
        <w:t>总额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0.01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的标准收取违约金。</w:t>
      </w:r>
    </w:p>
    <w:p w14:paraId="118744FF">
      <w:pPr>
        <w:pStyle w:val="5"/>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九、不可抗力</w:t>
      </w:r>
    </w:p>
    <w:p w14:paraId="79F00DD8">
      <w:pPr>
        <w:pStyle w:val="5"/>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由于不可抗力的原因不能履行合同时，应及时向乙方、项目同级财政部门通报不能履行或不能完全履行的理由；乙方由于不可抗力的原因不能履行合同时，应在交货时间到期以前及时向甲方、项目同级财政部门通报不能履行或不能完全履行的理由；在取得有关主管机关证明以后，可以签订延期履行、部分履行补充合同或者不履行合同，并根据情况可部分或全部免予承担违约责任。</w:t>
      </w:r>
    </w:p>
    <w:p w14:paraId="5A5EBD3D">
      <w:pPr>
        <w:pStyle w:val="5"/>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十、争议</w:t>
      </w:r>
    </w:p>
    <w:p w14:paraId="5744D405">
      <w:pPr>
        <w:pStyle w:val="13"/>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1、因货物的质量问题发生争议，由具有法定资格条件的质量技术监督机构或其他具有相关资质的机构进行质量鉴定。货物符合标准的，鉴定费由甲方承担；货物不符合质量标准的，鉴定费由乙方承担。</w:t>
      </w:r>
    </w:p>
    <w:p w14:paraId="7B2F62D6">
      <w:pPr>
        <w:pStyle w:val="5"/>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发生争议的管辖法院为甲方雅安市应急管理局所在地人民法院</w:t>
      </w:r>
      <w:r>
        <w:rPr>
          <w:rFonts w:hint="eastAsia" w:ascii="宋体" w:hAnsi="宋体" w:eastAsia="宋体" w:cs="宋体"/>
          <w:color w:val="auto"/>
          <w:sz w:val="24"/>
          <w:szCs w:val="24"/>
          <w:highlight w:val="none"/>
        </w:rPr>
        <w:t>。</w:t>
      </w:r>
    </w:p>
    <w:p w14:paraId="3FEE1E0C">
      <w:pPr>
        <w:pStyle w:val="5"/>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十一、合同标的追加处理</w:t>
      </w:r>
    </w:p>
    <w:p w14:paraId="6B61E2AE">
      <w:pPr>
        <w:spacing w:line="360" w:lineRule="auto"/>
        <w:ind w:firstLine="480" w:firstLineChars="200"/>
        <w:rPr>
          <w:rFonts w:hint="eastAsia" w:ascii="宋体" w:hAnsi="宋体" w:eastAsia="宋体" w:cs="宋体"/>
          <w:color w:val="auto"/>
          <w:highlight w:val="none"/>
          <w:lang w:eastAsia="zh-CN"/>
        </w:rPr>
      </w:pPr>
      <w:r>
        <w:rPr>
          <w:rFonts w:hint="eastAsia" w:ascii="宋体" w:hAnsi="宋体" w:eastAsia="宋体" w:cs="宋体"/>
          <w:color w:val="auto"/>
          <w:highlight w:val="none"/>
        </w:rPr>
        <w:t>1.如因在合同履行过程中，需追加与本合同标的相同的货物的总价不得超过本合同金额的10%，在不改变合同条款的前提下，经甲乙双方书面确认，报项目同级财政部门（采购科/股）</w:t>
      </w:r>
      <w:r>
        <w:rPr>
          <w:rFonts w:hint="eastAsia" w:ascii="宋体" w:hAnsi="宋体" w:eastAsia="宋体" w:cs="宋体"/>
          <w:color w:val="auto"/>
          <w:highlight w:val="none"/>
          <w:lang w:eastAsia="zh-CN"/>
        </w:rPr>
        <w:t>审核同意后，按有关规定签订补充合同。</w:t>
      </w:r>
    </w:p>
    <w:p w14:paraId="5FF2DEF0">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2．如因在合同履行过程中有变更，甲、乙双方其中一方不同意进行变更的，经双方协商无法达成一致，导致合同无法继续履行的，视为提出变更方违约。</w:t>
      </w:r>
    </w:p>
    <w:p w14:paraId="773928D1">
      <w:pPr>
        <w:pStyle w:val="5"/>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十二、其它事项</w:t>
      </w:r>
    </w:p>
    <w:p w14:paraId="03DD10B3">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1、甲、乙双方约定其他事项：</w:t>
      </w:r>
    </w:p>
    <w:p w14:paraId="3B4D556B">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）XX</w:t>
      </w:r>
    </w:p>
    <w:p w14:paraId="42E917EB">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）XX</w:t>
      </w:r>
    </w:p>
    <w:p w14:paraId="4EF50F9C">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）……（逐项列出）</w:t>
      </w:r>
    </w:p>
    <w:p w14:paraId="21A4ACD3">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2、本合同一式</w:t>
      </w:r>
      <w:r>
        <w:rPr>
          <w:rFonts w:hint="eastAsia" w:ascii="宋体" w:hAnsi="宋体" w:eastAsia="宋体" w:cs="宋体"/>
          <w:color w:val="auto"/>
          <w:highlight w:val="none"/>
          <w:lang w:val="en-US" w:eastAsia="zh-CN"/>
        </w:rPr>
        <w:t>XX</w:t>
      </w:r>
      <w:r>
        <w:rPr>
          <w:rFonts w:hint="eastAsia" w:ascii="宋体" w:hAnsi="宋体" w:eastAsia="宋体" w:cs="宋体"/>
          <w:color w:val="auto"/>
          <w:highlight w:val="none"/>
        </w:rPr>
        <w:t>份，甲方、乙方各执</w:t>
      </w:r>
      <w:r>
        <w:rPr>
          <w:rFonts w:hint="eastAsia" w:ascii="宋体" w:hAnsi="宋体" w:eastAsia="宋体" w:cs="宋体"/>
          <w:color w:val="auto"/>
          <w:highlight w:val="none"/>
          <w:lang w:val="en-US" w:eastAsia="zh-CN"/>
        </w:rPr>
        <w:t>XX</w:t>
      </w:r>
      <w:r>
        <w:rPr>
          <w:rFonts w:hint="eastAsia" w:ascii="宋体" w:hAnsi="宋体" w:eastAsia="宋体" w:cs="宋体"/>
          <w:color w:val="auto"/>
          <w:highlight w:val="none"/>
        </w:rPr>
        <w:t>份。</w:t>
      </w:r>
    </w:p>
    <w:p w14:paraId="2871F099">
      <w:pPr>
        <w:pStyle w:val="5"/>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3、本合同自签订之日起生效。</w:t>
      </w:r>
    </w:p>
    <w:p w14:paraId="08124742">
      <w:pPr>
        <w:pStyle w:val="5"/>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4、本项目的</w:t>
      </w:r>
      <w:r>
        <w:rPr>
          <w:rFonts w:hint="eastAsia" w:ascii="宋体" w:hAnsi="宋体" w:eastAsia="宋体" w:cs="宋体"/>
          <w:color w:val="auto"/>
          <w:sz w:val="24"/>
          <w:szCs w:val="24"/>
          <w:highlight w:val="none"/>
          <w:lang w:eastAsia="zh-CN"/>
        </w:rPr>
        <w:t>招标文件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等是本合同的附件，与合同具有同等的法律效力。</w:t>
      </w:r>
    </w:p>
    <w:p w14:paraId="7E0A953B">
      <w:pPr>
        <w:pStyle w:val="5"/>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5、其它未尽事宜，由双方友好协商解决，并按《中华人民共和国民法典》有关条款执行。</w:t>
      </w:r>
    </w:p>
    <w:p w14:paraId="7B5C478B">
      <w:pPr>
        <w:pStyle w:val="5"/>
        <w:spacing w:line="360" w:lineRule="auto"/>
        <w:ind w:firstLine="482" w:firstLineChars="200"/>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附：合同货物技术参数指标</w:t>
      </w:r>
    </w:p>
    <w:p w14:paraId="42156609">
      <w:pPr>
        <w:rPr>
          <w:rFonts w:hint="eastAsia" w:ascii="宋体" w:hAnsi="宋体" w:eastAsia="宋体" w:cs="宋体"/>
          <w:color w:val="auto"/>
          <w:highlight w:val="none"/>
          <w:lang w:val="en-US" w:eastAsia="zh-CN"/>
        </w:rPr>
      </w:pPr>
    </w:p>
    <w:p w14:paraId="1536C02E">
      <w:pPr>
        <w:pStyle w:val="5"/>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甲方（印章）：                              乙方（印章）：                    </w:t>
      </w:r>
    </w:p>
    <w:p w14:paraId="4FBDEA60">
      <w:pPr>
        <w:pStyle w:val="5"/>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甲方代表签字:                               乙方代表签字：</w:t>
      </w:r>
    </w:p>
    <w:p w14:paraId="63F36BFC">
      <w:pPr>
        <w:pStyle w:val="5"/>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地址：                                      地址：</w:t>
      </w:r>
    </w:p>
    <w:p w14:paraId="3D6B1297">
      <w:pPr>
        <w:pStyle w:val="5"/>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电话：                                      电话：</w:t>
      </w:r>
    </w:p>
    <w:p w14:paraId="33AC67AA">
      <w:pPr>
        <w:pStyle w:val="5"/>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w:t>
      </w:r>
    </w:p>
    <w:p w14:paraId="22DE9FD3">
      <w:pPr>
        <w:pStyle w:val="5"/>
        <w:spacing w:line="360" w:lineRule="auto"/>
        <w:ind w:firstLine="4792" w:firstLineChars="198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开户银行：</w:t>
      </w:r>
    </w:p>
    <w:p w14:paraId="06BCE13B">
      <w:pPr>
        <w:pStyle w:val="5"/>
        <w:spacing w:line="360" w:lineRule="auto"/>
        <w:ind w:firstLine="4792" w:firstLineChars="1989"/>
        <w:rPr>
          <w:rFonts w:hint="eastAsia" w:ascii="宋体" w:hAnsi="宋体" w:eastAsia="宋体" w:cs="宋体"/>
          <w:b/>
          <w:color w:val="auto"/>
          <w:sz w:val="24"/>
          <w:szCs w:val="24"/>
          <w:highlight w:val="none"/>
        </w:rPr>
      </w:pPr>
    </w:p>
    <w:p w14:paraId="4462DEAA">
      <w:pPr>
        <w:pStyle w:val="5"/>
        <w:spacing w:line="360" w:lineRule="auto"/>
        <w:ind w:firstLine="4792" w:firstLineChars="198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开户账号：</w:t>
      </w:r>
    </w:p>
    <w:p w14:paraId="16EDAC70">
      <w:pPr>
        <w:rPr>
          <w:rFonts w:hint="eastAsia" w:ascii="宋体" w:hAnsi="宋体" w:eastAsia="宋体" w:cs="宋体"/>
          <w:color w:val="auto"/>
          <w:highlight w:val="none"/>
        </w:rPr>
      </w:pPr>
      <w:r>
        <w:rPr>
          <w:rFonts w:hint="eastAsia" w:ascii="宋体" w:hAnsi="宋体" w:eastAsia="宋体" w:cs="宋体"/>
          <w:b/>
          <w:color w:val="auto"/>
          <w:sz w:val="24"/>
          <w:szCs w:val="24"/>
          <w:highlight w:val="none"/>
        </w:rPr>
        <w:t>日    期：    年   月   日                      日    期：    年   月   日</w:t>
      </w:r>
      <w:r>
        <w:rPr>
          <w:rFonts w:hint="eastAsia" w:ascii="宋体" w:hAnsi="宋体" w:eastAsia="宋体" w:cs="宋体"/>
          <w:color w:val="auto"/>
          <w:highlight w:val="none"/>
        </w:rPr>
        <w:br w:type="page"/>
      </w:r>
    </w:p>
    <w:tbl>
      <w:tblPr>
        <w:tblStyle w:val="8"/>
        <w:tblpPr w:leftFromText="180" w:rightFromText="180" w:vertAnchor="text" w:horzAnchor="page" w:tblpXSpec="center" w:tblpY="486"/>
        <w:tblOverlap w:val="never"/>
        <w:tblW w:w="9394" w:type="dxa"/>
        <w:jc w:val="center"/>
        <w:tblLayout w:type="fixed"/>
        <w:tblCellMar>
          <w:top w:w="0" w:type="dxa"/>
          <w:left w:w="108" w:type="dxa"/>
          <w:bottom w:w="0" w:type="dxa"/>
          <w:right w:w="108" w:type="dxa"/>
        </w:tblCellMar>
      </w:tblPr>
      <w:tblGrid>
        <w:gridCol w:w="557"/>
        <w:gridCol w:w="1193"/>
        <w:gridCol w:w="3887"/>
        <w:gridCol w:w="965"/>
        <w:gridCol w:w="1000"/>
        <w:gridCol w:w="1792"/>
      </w:tblGrid>
      <w:tr w14:paraId="53249D20">
        <w:tblPrEx>
          <w:tblCellMar>
            <w:top w:w="0" w:type="dxa"/>
            <w:left w:w="108" w:type="dxa"/>
            <w:bottom w:w="0" w:type="dxa"/>
            <w:right w:w="108" w:type="dxa"/>
          </w:tblCellMar>
        </w:tblPrEx>
        <w:trPr>
          <w:trHeight w:val="285" w:hRule="atLeast"/>
          <w:jc w:val="center"/>
        </w:trPr>
        <w:tc>
          <w:tcPr>
            <w:tcW w:w="557" w:type="dxa"/>
            <w:tcBorders>
              <w:top w:val="single" w:color="000000" w:sz="4" w:space="0"/>
              <w:left w:val="single" w:color="auto" w:sz="4" w:space="0"/>
              <w:bottom w:val="single" w:color="000000" w:sz="4" w:space="0"/>
              <w:right w:val="single" w:color="000000" w:sz="4" w:space="0"/>
            </w:tcBorders>
            <w:shd w:val="clear" w:color="auto" w:fill="auto"/>
            <w:vAlign w:val="center"/>
          </w:tcPr>
          <w:p w14:paraId="0AABACE1">
            <w:pPr>
              <w:widowControl/>
              <w:spacing w:line="360" w:lineRule="auto"/>
              <w:jc w:val="center"/>
              <w:textAlignment w:val="bottom"/>
              <w:rPr>
                <w:rFonts w:hint="eastAsia" w:ascii="宋体" w:hAnsi="宋体" w:eastAsia="宋体" w:cs="宋体"/>
                <w:b/>
                <w:bCs/>
                <w:color w:val="auto"/>
                <w:highlight w:val="none"/>
              </w:rPr>
            </w:pPr>
            <w:r>
              <w:rPr>
                <w:rFonts w:hint="eastAsia" w:ascii="宋体" w:hAnsi="宋体" w:eastAsia="宋体" w:cs="宋体"/>
                <w:b/>
                <w:bCs/>
                <w:color w:val="auto"/>
                <w:highlight w:val="none"/>
              </w:rPr>
              <w:t>序号</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B320B">
            <w:pPr>
              <w:widowControl/>
              <w:spacing w:line="360" w:lineRule="auto"/>
              <w:jc w:val="center"/>
              <w:textAlignment w:val="bottom"/>
              <w:rPr>
                <w:rFonts w:hint="eastAsia" w:ascii="宋体" w:hAnsi="宋体" w:eastAsia="宋体" w:cs="宋体"/>
                <w:b/>
                <w:bCs/>
                <w:color w:val="auto"/>
                <w:kern w:val="0"/>
                <w:highlight w:val="none"/>
                <w:lang w:val="en-US" w:eastAsia="zh-CN"/>
              </w:rPr>
            </w:pPr>
            <w:r>
              <w:rPr>
                <w:rFonts w:hint="eastAsia" w:ascii="宋体" w:hAnsi="宋体" w:eastAsia="宋体" w:cs="宋体"/>
                <w:b/>
                <w:bCs/>
                <w:color w:val="auto"/>
                <w:kern w:val="0"/>
                <w:highlight w:val="none"/>
                <w:lang w:val="en-US" w:eastAsia="zh-CN"/>
              </w:rPr>
              <w:t>产品名称</w:t>
            </w:r>
          </w:p>
        </w:tc>
        <w:tc>
          <w:tcPr>
            <w:tcW w:w="3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E62C7">
            <w:pPr>
              <w:widowControl/>
              <w:spacing w:line="360" w:lineRule="auto"/>
              <w:jc w:val="center"/>
              <w:textAlignment w:val="bottom"/>
              <w:rPr>
                <w:rFonts w:hint="eastAsia" w:ascii="宋体" w:hAnsi="宋体" w:eastAsia="宋体" w:cs="宋体"/>
                <w:b/>
                <w:bCs/>
                <w:color w:val="auto"/>
                <w:kern w:val="0"/>
                <w:highlight w:val="none"/>
              </w:rPr>
            </w:pPr>
            <w:r>
              <w:rPr>
                <w:rFonts w:hint="eastAsia" w:ascii="宋体" w:hAnsi="宋体" w:eastAsia="宋体" w:cs="宋体"/>
                <w:b/>
                <w:bCs/>
                <w:color w:val="auto"/>
                <w:kern w:val="0"/>
                <w:highlight w:val="none"/>
              </w:rPr>
              <w:t>技术参数要求</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B5BC2">
            <w:pPr>
              <w:widowControl/>
              <w:spacing w:line="360" w:lineRule="auto"/>
              <w:jc w:val="center"/>
              <w:textAlignment w:val="bottom"/>
              <w:rPr>
                <w:rFonts w:hint="eastAsia" w:ascii="宋体" w:hAnsi="宋体" w:eastAsia="宋体" w:cs="宋体"/>
                <w:b/>
                <w:bCs/>
                <w:color w:val="auto"/>
                <w:kern w:val="0"/>
                <w:highlight w:val="none"/>
              </w:rPr>
            </w:pPr>
            <w:r>
              <w:rPr>
                <w:rFonts w:hint="eastAsia" w:ascii="宋体" w:hAnsi="宋体" w:eastAsia="宋体" w:cs="宋体"/>
                <w:b/>
                <w:bCs/>
                <w:color w:val="auto"/>
                <w:kern w:val="0"/>
                <w:highlight w:val="none"/>
              </w:rPr>
              <w:t>数量</w:t>
            </w:r>
          </w:p>
        </w:tc>
        <w:tc>
          <w:tcPr>
            <w:tcW w:w="1000" w:type="dxa"/>
            <w:tcBorders>
              <w:top w:val="single" w:color="000000" w:sz="4" w:space="0"/>
              <w:left w:val="single" w:color="000000" w:sz="4" w:space="0"/>
              <w:bottom w:val="single" w:color="000000" w:sz="4" w:space="0"/>
              <w:right w:val="single" w:color="auto" w:sz="4" w:space="0"/>
            </w:tcBorders>
            <w:shd w:val="clear" w:color="auto" w:fill="auto"/>
            <w:vAlign w:val="center"/>
          </w:tcPr>
          <w:p w14:paraId="045AD223">
            <w:pPr>
              <w:widowControl/>
              <w:spacing w:line="360" w:lineRule="auto"/>
              <w:jc w:val="center"/>
              <w:textAlignment w:val="bottom"/>
              <w:rPr>
                <w:rFonts w:hint="eastAsia" w:ascii="宋体" w:hAnsi="宋体" w:eastAsia="宋体" w:cs="宋体"/>
                <w:b/>
                <w:bCs/>
                <w:color w:val="auto"/>
                <w:kern w:val="0"/>
                <w:highlight w:val="none"/>
              </w:rPr>
            </w:pPr>
            <w:r>
              <w:rPr>
                <w:rFonts w:hint="eastAsia" w:ascii="宋体" w:hAnsi="宋体" w:eastAsia="宋体" w:cs="宋体"/>
                <w:b/>
                <w:bCs/>
                <w:color w:val="auto"/>
                <w:kern w:val="0"/>
                <w:highlight w:val="none"/>
              </w:rPr>
              <w:t>单位</w:t>
            </w:r>
          </w:p>
        </w:tc>
        <w:tc>
          <w:tcPr>
            <w:tcW w:w="1792" w:type="dxa"/>
            <w:tcBorders>
              <w:top w:val="single" w:color="000000" w:sz="4" w:space="0"/>
              <w:left w:val="single" w:color="000000" w:sz="4" w:space="0"/>
              <w:bottom w:val="single" w:color="000000" w:sz="4" w:space="0"/>
              <w:right w:val="single" w:color="auto" w:sz="4" w:space="0"/>
            </w:tcBorders>
            <w:shd w:val="clear" w:color="auto" w:fill="auto"/>
            <w:vAlign w:val="center"/>
          </w:tcPr>
          <w:p w14:paraId="615F9623">
            <w:pPr>
              <w:widowControl/>
              <w:spacing w:line="360" w:lineRule="auto"/>
              <w:jc w:val="center"/>
              <w:textAlignment w:val="bottom"/>
              <w:rPr>
                <w:rFonts w:hint="eastAsia" w:ascii="宋体" w:hAnsi="宋体" w:eastAsia="宋体" w:cs="宋体"/>
                <w:b/>
                <w:bCs/>
                <w:color w:val="auto"/>
                <w:kern w:val="0"/>
                <w:highlight w:val="none"/>
                <w:lang w:eastAsia="zh-CN"/>
              </w:rPr>
            </w:pPr>
            <w:r>
              <w:rPr>
                <w:rFonts w:hint="eastAsia" w:ascii="宋体" w:hAnsi="宋体" w:eastAsia="宋体" w:cs="宋体"/>
                <w:b/>
                <w:bCs/>
                <w:color w:val="auto"/>
                <w:kern w:val="0"/>
                <w:highlight w:val="none"/>
                <w:lang w:eastAsia="zh-CN"/>
              </w:rPr>
              <w:t>金额（含税）</w:t>
            </w:r>
          </w:p>
        </w:tc>
      </w:tr>
      <w:tr w14:paraId="37C7CB07">
        <w:tblPrEx>
          <w:tblCellMar>
            <w:top w:w="0" w:type="dxa"/>
            <w:left w:w="108" w:type="dxa"/>
            <w:bottom w:w="0" w:type="dxa"/>
            <w:right w:w="108" w:type="dxa"/>
          </w:tblCellMar>
        </w:tblPrEx>
        <w:trPr>
          <w:trHeight w:val="285" w:hRule="atLeast"/>
          <w:jc w:val="center"/>
        </w:trPr>
        <w:tc>
          <w:tcPr>
            <w:tcW w:w="557" w:type="dxa"/>
            <w:tcBorders>
              <w:top w:val="single" w:color="000000" w:sz="4" w:space="0"/>
              <w:left w:val="single" w:color="auto" w:sz="4" w:space="0"/>
              <w:bottom w:val="single" w:color="000000" w:sz="4" w:space="0"/>
              <w:right w:val="single" w:color="000000" w:sz="4" w:space="0"/>
            </w:tcBorders>
            <w:shd w:val="clear" w:color="auto" w:fill="auto"/>
            <w:vAlign w:val="center"/>
          </w:tcPr>
          <w:p w14:paraId="37B072E5">
            <w:pPr>
              <w:keepNext w:val="0"/>
              <w:keepLines w:val="0"/>
              <w:widowControl/>
              <w:suppressLineNumbers w:val="0"/>
              <w:jc w:val="center"/>
              <w:textAlignment w:val="center"/>
              <w:rPr>
                <w:rFonts w:hint="eastAsia" w:ascii="宋体" w:hAnsi="宋体" w:eastAsia="宋体" w:cs="宋体"/>
                <w:b/>
                <w:bCs/>
                <w:color w:val="auto"/>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1</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BE0F0">
            <w:pPr>
              <w:keepNext w:val="0"/>
              <w:keepLines w:val="0"/>
              <w:widowControl/>
              <w:suppressLineNumbers w:val="0"/>
              <w:jc w:val="left"/>
              <w:textAlignment w:val="center"/>
              <w:rPr>
                <w:rFonts w:hint="eastAsia" w:ascii="宋体" w:hAnsi="宋体" w:eastAsia="宋体" w:cs="宋体"/>
                <w:b/>
                <w:bCs/>
                <w:color w:val="auto"/>
                <w:kern w:val="0"/>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救援无人机（巡堤查险无人机）</w:t>
            </w:r>
          </w:p>
        </w:tc>
        <w:tc>
          <w:tcPr>
            <w:tcW w:w="3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77ACE">
            <w:pPr>
              <w:widowControl/>
              <w:spacing w:line="360" w:lineRule="auto"/>
              <w:jc w:val="center"/>
              <w:textAlignment w:val="bottom"/>
              <w:rPr>
                <w:rFonts w:hint="eastAsia" w:ascii="宋体" w:hAnsi="宋体" w:eastAsia="宋体" w:cs="宋体"/>
                <w:b/>
                <w:bCs/>
                <w:color w:val="auto"/>
                <w:kern w:val="0"/>
                <w:highlight w:val="none"/>
              </w:rPr>
            </w:pP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B4EFB">
            <w:pPr>
              <w:widowControl/>
              <w:spacing w:line="360" w:lineRule="auto"/>
              <w:jc w:val="center"/>
              <w:textAlignment w:val="bottom"/>
              <w:rPr>
                <w:rFonts w:hint="eastAsia" w:ascii="宋体" w:hAnsi="宋体" w:eastAsia="宋体" w:cs="宋体"/>
                <w:b/>
                <w:bCs/>
                <w:color w:val="auto"/>
                <w:kern w:val="0"/>
                <w:highlight w:val="none"/>
              </w:rPr>
            </w:pPr>
          </w:p>
        </w:tc>
        <w:tc>
          <w:tcPr>
            <w:tcW w:w="1000" w:type="dxa"/>
            <w:tcBorders>
              <w:top w:val="single" w:color="000000" w:sz="4" w:space="0"/>
              <w:left w:val="single" w:color="000000" w:sz="4" w:space="0"/>
              <w:bottom w:val="single" w:color="000000" w:sz="4" w:space="0"/>
              <w:right w:val="single" w:color="auto" w:sz="4" w:space="0"/>
            </w:tcBorders>
            <w:shd w:val="clear" w:color="auto" w:fill="auto"/>
            <w:vAlign w:val="center"/>
          </w:tcPr>
          <w:p w14:paraId="788B8511">
            <w:pPr>
              <w:widowControl/>
              <w:spacing w:line="360" w:lineRule="auto"/>
              <w:jc w:val="center"/>
              <w:textAlignment w:val="bottom"/>
              <w:rPr>
                <w:rFonts w:hint="eastAsia" w:ascii="宋体" w:hAnsi="宋体" w:eastAsia="宋体" w:cs="宋体"/>
                <w:b/>
                <w:bCs/>
                <w:color w:val="auto"/>
                <w:kern w:val="0"/>
                <w:highlight w:val="none"/>
              </w:rPr>
            </w:pPr>
          </w:p>
        </w:tc>
        <w:tc>
          <w:tcPr>
            <w:tcW w:w="1792" w:type="dxa"/>
            <w:tcBorders>
              <w:top w:val="single" w:color="000000" w:sz="4" w:space="0"/>
              <w:left w:val="single" w:color="000000" w:sz="4" w:space="0"/>
              <w:bottom w:val="single" w:color="000000" w:sz="4" w:space="0"/>
              <w:right w:val="single" w:color="auto" w:sz="4" w:space="0"/>
            </w:tcBorders>
            <w:shd w:val="clear" w:color="auto" w:fill="auto"/>
            <w:vAlign w:val="center"/>
          </w:tcPr>
          <w:p w14:paraId="0BC17805">
            <w:pPr>
              <w:widowControl/>
              <w:spacing w:line="360" w:lineRule="auto"/>
              <w:jc w:val="center"/>
              <w:textAlignment w:val="bottom"/>
              <w:rPr>
                <w:rFonts w:hint="eastAsia" w:ascii="宋体" w:hAnsi="宋体" w:eastAsia="宋体" w:cs="宋体"/>
                <w:b/>
                <w:bCs/>
                <w:color w:val="auto"/>
                <w:kern w:val="0"/>
                <w:highlight w:val="none"/>
              </w:rPr>
            </w:pPr>
          </w:p>
        </w:tc>
      </w:tr>
      <w:tr w14:paraId="53DC7B64">
        <w:tblPrEx>
          <w:tblCellMar>
            <w:top w:w="0" w:type="dxa"/>
            <w:left w:w="108" w:type="dxa"/>
            <w:bottom w:w="0" w:type="dxa"/>
            <w:right w:w="108" w:type="dxa"/>
          </w:tblCellMar>
        </w:tblPrEx>
        <w:trPr>
          <w:trHeight w:val="285" w:hRule="atLeast"/>
          <w:jc w:val="center"/>
        </w:trPr>
        <w:tc>
          <w:tcPr>
            <w:tcW w:w="557" w:type="dxa"/>
            <w:tcBorders>
              <w:top w:val="single" w:color="000000" w:sz="4" w:space="0"/>
              <w:left w:val="single" w:color="auto" w:sz="4" w:space="0"/>
              <w:bottom w:val="single" w:color="000000" w:sz="4" w:space="0"/>
              <w:right w:val="single" w:color="000000" w:sz="4" w:space="0"/>
            </w:tcBorders>
            <w:shd w:val="clear" w:color="auto" w:fill="auto"/>
            <w:vAlign w:val="center"/>
          </w:tcPr>
          <w:p w14:paraId="29623D38">
            <w:pPr>
              <w:keepNext w:val="0"/>
              <w:keepLines w:val="0"/>
              <w:widowControl/>
              <w:suppressLineNumbers w:val="0"/>
              <w:jc w:val="center"/>
              <w:textAlignment w:val="center"/>
              <w:rPr>
                <w:rFonts w:hint="eastAsia" w:ascii="宋体" w:hAnsi="宋体" w:eastAsia="宋体" w:cs="宋体"/>
                <w:b/>
                <w:bCs/>
                <w:color w:val="auto"/>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2</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71728">
            <w:pPr>
              <w:keepNext w:val="0"/>
              <w:keepLines w:val="0"/>
              <w:widowControl/>
              <w:suppressLineNumbers w:val="0"/>
              <w:jc w:val="left"/>
              <w:textAlignment w:val="center"/>
              <w:rPr>
                <w:rFonts w:hint="eastAsia" w:ascii="宋体" w:hAnsi="宋体" w:eastAsia="宋体" w:cs="宋体"/>
                <w:b w:val="0"/>
                <w:bCs w:val="0"/>
                <w:color w:val="auto"/>
                <w:kern w:val="0"/>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救援无人机（侦察无人机）</w:t>
            </w:r>
          </w:p>
        </w:tc>
        <w:tc>
          <w:tcPr>
            <w:tcW w:w="3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1A408">
            <w:pPr>
              <w:widowControl/>
              <w:spacing w:line="360" w:lineRule="auto"/>
              <w:jc w:val="center"/>
              <w:textAlignment w:val="bottom"/>
              <w:rPr>
                <w:rFonts w:hint="eastAsia" w:ascii="宋体" w:hAnsi="宋体" w:eastAsia="宋体" w:cs="宋体"/>
                <w:b/>
                <w:bCs/>
                <w:color w:val="auto"/>
                <w:kern w:val="0"/>
                <w:highlight w:val="none"/>
              </w:rPr>
            </w:pP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66791">
            <w:pPr>
              <w:widowControl/>
              <w:spacing w:line="360" w:lineRule="auto"/>
              <w:jc w:val="center"/>
              <w:textAlignment w:val="bottom"/>
              <w:rPr>
                <w:rFonts w:hint="eastAsia" w:ascii="宋体" w:hAnsi="宋体" w:eastAsia="宋体" w:cs="宋体"/>
                <w:b/>
                <w:bCs/>
                <w:color w:val="auto"/>
                <w:kern w:val="0"/>
                <w:highlight w:val="none"/>
              </w:rPr>
            </w:pPr>
          </w:p>
        </w:tc>
        <w:tc>
          <w:tcPr>
            <w:tcW w:w="1000" w:type="dxa"/>
            <w:tcBorders>
              <w:top w:val="single" w:color="000000" w:sz="4" w:space="0"/>
              <w:left w:val="single" w:color="000000" w:sz="4" w:space="0"/>
              <w:bottom w:val="single" w:color="000000" w:sz="4" w:space="0"/>
              <w:right w:val="single" w:color="auto" w:sz="4" w:space="0"/>
            </w:tcBorders>
            <w:shd w:val="clear" w:color="auto" w:fill="auto"/>
            <w:vAlign w:val="center"/>
          </w:tcPr>
          <w:p w14:paraId="63C13C10">
            <w:pPr>
              <w:widowControl/>
              <w:spacing w:line="360" w:lineRule="auto"/>
              <w:jc w:val="center"/>
              <w:textAlignment w:val="bottom"/>
              <w:rPr>
                <w:rFonts w:hint="eastAsia" w:ascii="宋体" w:hAnsi="宋体" w:eastAsia="宋体" w:cs="宋体"/>
                <w:b/>
                <w:bCs/>
                <w:color w:val="auto"/>
                <w:kern w:val="0"/>
                <w:highlight w:val="none"/>
              </w:rPr>
            </w:pPr>
          </w:p>
        </w:tc>
        <w:tc>
          <w:tcPr>
            <w:tcW w:w="1792" w:type="dxa"/>
            <w:tcBorders>
              <w:top w:val="single" w:color="000000" w:sz="4" w:space="0"/>
              <w:left w:val="single" w:color="000000" w:sz="4" w:space="0"/>
              <w:bottom w:val="single" w:color="000000" w:sz="4" w:space="0"/>
              <w:right w:val="single" w:color="auto" w:sz="4" w:space="0"/>
            </w:tcBorders>
            <w:shd w:val="clear" w:color="auto" w:fill="auto"/>
            <w:vAlign w:val="center"/>
          </w:tcPr>
          <w:p w14:paraId="01D58CAF">
            <w:pPr>
              <w:widowControl/>
              <w:spacing w:line="360" w:lineRule="auto"/>
              <w:jc w:val="center"/>
              <w:textAlignment w:val="bottom"/>
              <w:rPr>
                <w:rFonts w:hint="eastAsia" w:ascii="宋体" w:hAnsi="宋体" w:eastAsia="宋体" w:cs="宋体"/>
                <w:b/>
                <w:bCs/>
                <w:color w:val="auto"/>
                <w:kern w:val="0"/>
                <w:highlight w:val="none"/>
              </w:rPr>
            </w:pPr>
          </w:p>
        </w:tc>
      </w:tr>
      <w:tr w14:paraId="5908150E">
        <w:tblPrEx>
          <w:tblCellMar>
            <w:top w:w="0" w:type="dxa"/>
            <w:left w:w="108" w:type="dxa"/>
            <w:bottom w:w="0" w:type="dxa"/>
            <w:right w:w="108" w:type="dxa"/>
          </w:tblCellMar>
        </w:tblPrEx>
        <w:trPr>
          <w:trHeight w:val="285" w:hRule="atLeast"/>
          <w:jc w:val="center"/>
        </w:trPr>
        <w:tc>
          <w:tcPr>
            <w:tcW w:w="557" w:type="dxa"/>
            <w:tcBorders>
              <w:top w:val="single" w:color="000000" w:sz="4" w:space="0"/>
              <w:left w:val="single" w:color="auto" w:sz="4" w:space="0"/>
              <w:bottom w:val="single" w:color="000000" w:sz="4" w:space="0"/>
              <w:right w:val="single" w:color="000000" w:sz="4" w:space="0"/>
            </w:tcBorders>
            <w:shd w:val="clear" w:color="auto" w:fill="auto"/>
            <w:vAlign w:val="center"/>
          </w:tcPr>
          <w:p w14:paraId="216E600A">
            <w:pPr>
              <w:keepNext w:val="0"/>
              <w:keepLines w:val="0"/>
              <w:widowControl/>
              <w:suppressLineNumbers w:val="0"/>
              <w:jc w:val="center"/>
              <w:textAlignment w:val="center"/>
              <w:rPr>
                <w:rFonts w:hint="eastAsia" w:ascii="宋体" w:hAnsi="宋体" w:eastAsia="宋体" w:cs="宋体"/>
                <w:b/>
                <w:bCs/>
                <w:color w:val="auto"/>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3</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96E50">
            <w:pPr>
              <w:keepNext w:val="0"/>
              <w:keepLines w:val="0"/>
              <w:widowControl/>
              <w:suppressLineNumbers w:val="0"/>
              <w:jc w:val="left"/>
              <w:textAlignment w:val="center"/>
              <w:rPr>
                <w:rFonts w:hint="eastAsia" w:ascii="宋体" w:hAnsi="宋体" w:eastAsia="宋体" w:cs="宋体"/>
                <w:b w:val="0"/>
                <w:bCs w:val="0"/>
                <w:color w:val="auto"/>
                <w:kern w:val="0"/>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通信指挥装备（单兵图传）</w:t>
            </w:r>
          </w:p>
        </w:tc>
        <w:tc>
          <w:tcPr>
            <w:tcW w:w="3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864B9">
            <w:pPr>
              <w:widowControl/>
              <w:spacing w:line="360" w:lineRule="auto"/>
              <w:jc w:val="center"/>
              <w:textAlignment w:val="bottom"/>
              <w:rPr>
                <w:rFonts w:hint="eastAsia" w:ascii="宋体" w:hAnsi="宋体" w:eastAsia="宋体" w:cs="宋体"/>
                <w:b/>
                <w:bCs/>
                <w:color w:val="auto"/>
                <w:kern w:val="0"/>
                <w:highlight w:val="none"/>
              </w:rPr>
            </w:pP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059CA">
            <w:pPr>
              <w:widowControl/>
              <w:spacing w:line="360" w:lineRule="auto"/>
              <w:jc w:val="center"/>
              <w:textAlignment w:val="bottom"/>
              <w:rPr>
                <w:rFonts w:hint="eastAsia" w:ascii="宋体" w:hAnsi="宋体" w:eastAsia="宋体" w:cs="宋体"/>
                <w:b/>
                <w:bCs/>
                <w:color w:val="auto"/>
                <w:kern w:val="0"/>
                <w:highlight w:val="none"/>
              </w:rPr>
            </w:pPr>
          </w:p>
        </w:tc>
        <w:tc>
          <w:tcPr>
            <w:tcW w:w="1000" w:type="dxa"/>
            <w:tcBorders>
              <w:top w:val="single" w:color="000000" w:sz="4" w:space="0"/>
              <w:left w:val="single" w:color="000000" w:sz="4" w:space="0"/>
              <w:bottom w:val="single" w:color="000000" w:sz="4" w:space="0"/>
              <w:right w:val="single" w:color="auto" w:sz="4" w:space="0"/>
            </w:tcBorders>
            <w:shd w:val="clear" w:color="auto" w:fill="auto"/>
            <w:vAlign w:val="center"/>
          </w:tcPr>
          <w:p w14:paraId="63CCC6F9">
            <w:pPr>
              <w:widowControl/>
              <w:spacing w:line="360" w:lineRule="auto"/>
              <w:jc w:val="center"/>
              <w:textAlignment w:val="bottom"/>
              <w:rPr>
                <w:rFonts w:hint="eastAsia" w:ascii="宋体" w:hAnsi="宋体" w:eastAsia="宋体" w:cs="宋体"/>
                <w:b/>
                <w:bCs/>
                <w:color w:val="auto"/>
                <w:kern w:val="0"/>
                <w:highlight w:val="none"/>
              </w:rPr>
            </w:pPr>
          </w:p>
        </w:tc>
        <w:tc>
          <w:tcPr>
            <w:tcW w:w="1792" w:type="dxa"/>
            <w:tcBorders>
              <w:top w:val="single" w:color="000000" w:sz="4" w:space="0"/>
              <w:left w:val="single" w:color="000000" w:sz="4" w:space="0"/>
              <w:bottom w:val="single" w:color="000000" w:sz="4" w:space="0"/>
              <w:right w:val="single" w:color="auto" w:sz="4" w:space="0"/>
            </w:tcBorders>
            <w:shd w:val="clear" w:color="auto" w:fill="auto"/>
            <w:vAlign w:val="center"/>
          </w:tcPr>
          <w:p w14:paraId="012CB1A4">
            <w:pPr>
              <w:widowControl/>
              <w:spacing w:line="360" w:lineRule="auto"/>
              <w:jc w:val="center"/>
              <w:textAlignment w:val="bottom"/>
              <w:rPr>
                <w:rFonts w:hint="eastAsia" w:ascii="宋体" w:hAnsi="宋体" w:eastAsia="宋体" w:cs="宋体"/>
                <w:b/>
                <w:bCs/>
                <w:color w:val="auto"/>
                <w:kern w:val="0"/>
                <w:highlight w:val="none"/>
              </w:rPr>
            </w:pPr>
          </w:p>
        </w:tc>
      </w:tr>
      <w:tr w14:paraId="44A98870">
        <w:tblPrEx>
          <w:tblCellMar>
            <w:top w:w="0" w:type="dxa"/>
            <w:left w:w="108" w:type="dxa"/>
            <w:bottom w:w="0" w:type="dxa"/>
            <w:right w:w="108" w:type="dxa"/>
          </w:tblCellMar>
        </w:tblPrEx>
        <w:trPr>
          <w:trHeight w:val="285" w:hRule="atLeast"/>
          <w:jc w:val="center"/>
        </w:trPr>
        <w:tc>
          <w:tcPr>
            <w:tcW w:w="557" w:type="dxa"/>
            <w:tcBorders>
              <w:top w:val="single" w:color="000000" w:sz="4" w:space="0"/>
              <w:left w:val="single" w:color="auto" w:sz="4" w:space="0"/>
              <w:bottom w:val="single" w:color="000000" w:sz="4" w:space="0"/>
              <w:right w:val="single" w:color="000000" w:sz="4" w:space="0"/>
            </w:tcBorders>
            <w:shd w:val="clear" w:color="auto" w:fill="auto"/>
            <w:vAlign w:val="center"/>
          </w:tcPr>
          <w:p w14:paraId="6F9BFB1D">
            <w:pPr>
              <w:keepNext w:val="0"/>
              <w:keepLines w:val="0"/>
              <w:widowControl/>
              <w:suppressLineNumbers w:val="0"/>
              <w:jc w:val="center"/>
              <w:textAlignment w:val="center"/>
              <w:rPr>
                <w:rFonts w:hint="eastAsia" w:ascii="宋体" w:hAnsi="宋体" w:eastAsia="宋体" w:cs="宋体"/>
                <w:b/>
                <w:bCs/>
                <w:color w:val="auto"/>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4</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72168">
            <w:pPr>
              <w:keepNext w:val="0"/>
              <w:keepLines w:val="0"/>
              <w:widowControl/>
              <w:suppressLineNumbers w:val="0"/>
              <w:jc w:val="left"/>
              <w:textAlignment w:val="center"/>
              <w:rPr>
                <w:rFonts w:hint="eastAsia" w:ascii="宋体" w:hAnsi="宋体" w:eastAsia="宋体" w:cs="宋体"/>
                <w:b w:val="0"/>
                <w:bCs w:val="0"/>
                <w:color w:val="auto"/>
                <w:kern w:val="0"/>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通信指挥装备（布控球）</w:t>
            </w:r>
          </w:p>
        </w:tc>
        <w:tc>
          <w:tcPr>
            <w:tcW w:w="3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D0059">
            <w:pPr>
              <w:widowControl/>
              <w:spacing w:line="360" w:lineRule="auto"/>
              <w:jc w:val="center"/>
              <w:textAlignment w:val="bottom"/>
              <w:rPr>
                <w:rFonts w:hint="eastAsia" w:ascii="宋体" w:hAnsi="宋体" w:eastAsia="宋体" w:cs="宋体"/>
                <w:b/>
                <w:bCs/>
                <w:color w:val="auto"/>
                <w:kern w:val="0"/>
                <w:highlight w:val="none"/>
              </w:rPr>
            </w:pP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1F037">
            <w:pPr>
              <w:widowControl/>
              <w:spacing w:line="360" w:lineRule="auto"/>
              <w:jc w:val="center"/>
              <w:textAlignment w:val="bottom"/>
              <w:rPr>
                <w:rFonts w:hint="eastAsia" w:ascii="宋体" w:hAnsi="宋体" w:eastAsia="宋体" w:cs="宋体"/>
                <w:b/>
                <w:bCs/>
                <w:color w:val="auto"/>
                <w:kern w:val="0"/>
                <w:highlight w:val="none"/>
              </w:rPr>
            </w:pPr>
          </w:p>
        </w:tc>
        <w:tc>
          <w:tcPr>
            <w:tcW w:w="1000" w:type="dxa"/>
            <w:tcBorders>
              <w:top w:val="single" w:color="000000" w:sz="4" w:space="0"/>
              <w:left w:val="single" w:color="000000" w:sz="4" w:space="0"/>
              <w:bottom w:val="single" w:color="000000" w:sz="4" w:space="0"/>
              <w:right w:val="single" w:color="auto" w:sz="4" w:space="0"/>
            </w:tcBorders>
            <w:shd w:val="clear" w:color="auto" w:fill="auto"/>
            <w:vAlign w:val="center"/>
          </w:tcPr>
          <w:p w14:paraId="1CB8AC27">
            <w:pPr>
              <w:widowControl/>
              <w:spacing w:line="360" w:lineRule="auto"/>
              <w:jc w:val="center"/>
              <w:textAlignment w:val="bottom"/>
              <w:rPr>
                <w:rFonts w:hint="eastAsia" w:ascii="宋体" w:hAnsi="宋体" w:eastAsia="宋体" w:cs="宋体"/>
                <w:b/>
                <w:bCs/>
                <w:color w:val="auto"/>
                <w:kern w:val="0"/>
                <w:highlight w:val="none"/>
              </w:rPr>
            </w:pPr>
          </w:p>
        </w:tc>
        <w:tc>
          <w:tcPr>
            <w:tcW w:w="1792" w:type="dxa"/>
            <w:tcBorders>
              <w:top w:val="single" w:color="000000" w:sz="4" w:space="0"/>
              <w:left w:val="single" w:color="000000" w:sz="4" w:space="0"/>
              <w:bottom w:val="single" w:color="000000" w:sz="4" w:space="0"/>
              <w:right w:val="single" w:color="auto" w:sz="4" w:space="0"/>
            </w:tcBorders>
            <w:shd w:val="clear" w:color="auto" w:fill="auto"/>
            <w:vAlign w:val="center"/>
          </w:tcPr>
          <w:p w14:paraId="64CBE617">
            <w:pPr>
              <w:widowControl/>
              <w:spacing w:line="360" w:lineRule="auto"/>
              <w:jc w:val="center"/>
              <w:textAlignment w:val="bottom"/>
              <w:rPr>
                <w:rFonts w:hint="eastAsia" w:ascii="宋体" w:hAnsi="宋体" w:eastAsia="宋体" w:cs="宋体"/>
                <w:b/>
                <w:bCs/>
                <w:color w:val="auto"/>
                <w:kern w:val="0"/>
                <w:highlight w:val="none"/>
              </w:rPr>
            </w:pPr>
          </w:p>
        </w:tc>
      </w:tr>
      <w:tr w14:paraId="7EAB3F93">
        <w:tblPrEx>
          <w:tblCellMar>
            <w:top w:w="0" w:type="dxa"/>
            <w:left w:w="108" w:type="dxa"/>
            <w:bottom w:w="0" w:type="dxa"/>
            <w:right w:w="108" w:type="dxa"/>
          </w:tblCellMar>
        </w:tblPrEx>
        <w:trPr>
          <w:trHeight w:val="285" w:hRule="atLeast"/>
          <w:jc w:val="center"/>
        </w:trPr>
        <w:tc>
          <w:tcPr>
            <w:tcW w:w="557" w:type="dxa"/>
            <w:tcBorders>
              <w:top w:val="single" w:color="000000" w:sz="4" w:space="0"/>
              <w:left w:val="single" w:color="auto" w:sz="4" w:space="0"/>
              <w:bottom w:val="single" w:color="000000" w:sz="4" w:space="0"/>
              <w:right w:val="single" w:color="000000" w:sz="4" w:space="0"/>
            </w:tcBorders>
            <w:shd w:val="clear" w:color="auto" w:fill="auto"/>
            <w:vAlign w:val="center"/>
          </w:tcPr>
          <w:p w14:paraId="32B4BCD4">
            <w:pPr>
              <w:keepNext w:val="0"/>
              <w:keepLines w:val="0"/>
              <w:widowControl/>
              <w:suppressLineNumbers w:val="0"/>
              <w:jc w:val="center"/>
              <w:textAlignment w:val="center"/>
              <w:rPr>
                <w:rFonts w:hint="eastAsia" w:ascii="宋体" w:hAnsi="宋体" w:eastAsia="宋体" w:cs="宋体"/>
                <w:b/>
                <w:bCs/>
                <w:color w:val="auto"/>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5</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8ACC5">
            <w:pPr>
              <w:keepNext w:val="0"/>
              <w:keepLines w:val="0"/>
              <w:widowControl/>
              <w:suppressLineNumbers w:val="0"/>
              <w:jc w:val="left"/>
              <w:textAlignment w:val="center"/>
              <w:rPr>
                <w:rFonts w:hint="eastAsia" w:ascii="宋体" w:hAnsi="宋体" w:eastAsia="宋体" w:cs="宋体"/>
                <w:b w:val="0"/>
                <w:bCs w:val="0"/>
                <w:color w:val="auto"/>
                <w:kern w:val="0"/>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便携式担架</w:t>
            </w:r>
          </w:p>
        </w:tc>
        <w:tc>
          <w:tcPr>
            <w:tcW w:w="3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3E0C0">
            <w:pPr>
              <w:widowControl/>
              <w:spacing w:line="360" w:lineRule="auto"/>
              <w:jc w:val="center"/>
              <w:textAlignment w:val="bottom"/>
              <w:rPr>
                <w:rFonts w:hint="eastAsia" w:ascii="宋体" w:hAnsi="宋体" w:eastAsia="宋体" w:cs="宋体"/>
                <w:b/>
                <w:bCs/>
                <w:color w:val="auto"/>
                <w:kern w:val="0"/>
                <w:highlight w:val="none"/>
              </w:rPr>
            </w:pP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E060C">
            <w:pPr>
              <w:widowControl/>
              <w:spacing w:line="360" w:lineRule="auto"/>
              <w:jc w:val="center"/>
              <w:textAlignment w:val="bottom"/>
              <w:rPr>
                <w:rFonts w:hint="eastAsia" w:ascii="宋体" w:hAnsi="宋体" w:eastAsia="宋体" w:cs="宋体"/>
                <w:b/>
                <w:bCs/>
                <w:color w:val="auto"/>
                <w:kern w:val="0"/>
                <w:highlight w:val="none"/>
              </w:rPr>
            </w:pPr>
          </w:p>
        </w:tc>
        <w:tc>
          <w:tcPr>
            <w:tcW w:w="1000" w:type="dxa"/>
            <w:tcBorders>
              <w:top w:val="single" w:color="000000" w:sz="4" w:space="0"/>
              <w:left w:val="single" w:color="000000" w:sz="4" w:space="0"/>
              <w:bottom w:val="single" w:color="000000" w:sz="4" w:space="0"/>
              <w:right w:val="single" w:color="auto" w:sz="4" w:space="0"/>
            </w:tcBorders>
            <w:shd w:val="clear" w:color="auto" w:fill="auto"/>
            <w:vAlign w:val="center"/>
          </w:tcPr>
          <w:p w14:paraId="18F6CC0D">
            <w:pPr>
              <w:widowControl/>
              <w:spacing w:line="360" w:lineRule="auto"/>
              <w:jc w:val="center"/>
              <w:textAlignment w:val="bottom"/>
              <w:rPr>
                <w:rFonts w:hint="eastAsia" w:ascii="宋体" w:hAnsi="宋体" w:eastAsia="宋体" w:cs="宋体"/>
                <w:b/>
                <w:bCs/>
                <w:color w:val="auto"/>
                <w:kern w:val="0"/>
                <w:highlight w:val="none"/>
              </w:rPr>
            </w:pPr>
          </w:p>
        </w:tc>
        <w:tc>
          <w:tcPr>
            <w:tcW w:w="1792" w:type="dxa"/>
            <w:tcBorders>
              <w:top w:val="single" w:color="000000" w:sz="4" w:space="0"/>
              <w:left w:val="single" w:color="000000" w:sz="4" w:space="0"/>
              <w:bottom w:val="single" w:color="000000" w:sz="4" w:space="0"/>
              <w:right w:val="single" w:color="auto" w:sz="4" w:space="0"/>
            </w:tcBorders>
            <w:shd w:val="clear" w:color="auto" w:fill="auto"/>
            <w:vAlign w:val="center"/>
          </w:tcPr>
          <w:p w14:paraId="68F3DAAD">
            <w:pPr>
              <w:widowControl/>
              <w:spacing w:line="360" w:lineRule="auto"/>
              <w:jc w:val="center"/>
              <w:textAlignment w:val="bottom"/>
              <w:rPr>
                <w:rFonts w:hint="eastAsia" w:ascii="宋体" w:hAnsi="宋体" w:eastAsia="宋体" w:cs="宋体"/>
                <w:b/>
                <w:bCs/>
                <w:color w:val="auto"/>
                <w:kern w:val="0"/>
                <w:highlight w:val="none"/>
              </w:rPr>
            </w:pPr>
          </w:p>
        </w:tc>
      </w:tr>
      <w:tr w14:paraId="69DA338C">
        <w:tblPrEx>
          <w:tblCellMar>
            <w:top w:w="0" w:type="dxa"/>
            <w:left w:w="108" w:type="dxa"/>
            <w:bottom w:w="0" w:type="dxa"/>
            <w:right w:w="108" w:type="dxa"/>
          </w:tblCellMar>
        </w:tblPrEx>
        <w:trPr>
          <w:trHeight w:val="285" w:hRule="atLeast"/>
          <w:jc w:val="center"/>
        </w:trPr>
        <w:tc>
          <w:tcPr>
            <w:tcW w:w="557" w:type="dxa"/>
            <w:tcBorders>
              <w:top w:val="single" w:color="000000" w:sz="4" w:space="0"/>
              <w:left w:val="single" w:color="auto" w:sz="4" w:space="0"/>
              <w:bottom w:val="single" w:color="000000" w:sz="4" w:space="0"/>
              <w:right w:val="single" w:color="000000" w:sz="4" w:space="0"/>
            </w:tcBorders>
            <w:shd w:val="clear" w:color="auto" w:fill="auto"/>
            <w:vAlign w:val="center"/>
          </w:tcPr>
          <w:p w14:paraId="4E1913C3">
            <w:pPr>
              <w:keepNext w:val="0"/>
              <w:keepLines w:val="0"/>
              <w:widowControl/>
              <w:suppressLineNumbers w:val="0"/>
              <w:jc w:val="center"/>
              <w:textAlignment w:val="center"/>
              <w:rPr>
                <w:rFonts w:hint="eastAsia" w:ascii="宋体" w:hAnsi="宋体" w:eastAsia="宋体" w:cs="宋体"/>
                <w:b/>
                <w:bCs/>
                <w:color w:val="auto"/>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6</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5518D">
            <w:pPr>
              <w:keepNext w:val="0"/>
              <w:keepLines w:val="0"/>
              <w:widowControl/>
              <w:suppressLineNumbers w:val="0"/>
              <w:jc w:val="left"/>
              <w:textAlignment w:val="center"/>
              <w:rPr>
                <w:rFonts w:hint="eastAsia" w:ascii="宋体" w:hAnsi="宋体" w:eastAsia="宋体" w:cs="宋体"/>
                <w:b w:val="0"/>
                <w:bCs w:val="0"/>
                <w:color w:val="auto"/>
                <w:kern w:val="0"/>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应急电源</w:t>
            </w:r>
          </w:p>
        </w:tc>
        <w:tc>
          <w:tcPr>
            <w:tcW w:w="3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9031B">
            <w:pPr>
              <w:widowControl/>
              <w:spacing w:line="360" w:lineRule="auto"/>
              <w:jc w:val="center"/>
              <w:textAlignment w:val="bottom"/>
              <w:rPr>
                <w:rFonts w:hint="eastAsia" w:ascii="宋体" w:hAnsi="宋体" w:eastAsia="宋体" w:cs="宋体"/>
                <w:b/>
                <w:bCs/>
                <w:color w:val="auto"/>
                <w:kern w:val="0"/>
                <w:highlight w:val="none"/>
              </w:rPr>
            </w:pP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7B391">
            <w:pPr>
              <w:widowControl/>
              <w:spacing w:line="360" w:lineRule="auto"/>
              <w:jc w:val="center"/>
              <w:textAlignment w:val="bottom"/>
              <w:rPr>
                <w:rFonts w:hint="eastAsia" w:ascii="宋体" w:hAnsi="宋体" w:eastAsia="宋体" w:cs="宋体"/>
                <w:b/>
                <w:bCs/>
                <w:color w:val="auto"/>
                <w:kern w:val="0"/>
                <w:highlight w:val="none"/>
              </w:rPr>
            </w:pPr>
          </w:p>
        </w:tc>
        <w:tc>
          <w:tcPr>
            <w:tcW w:w="1000" w:type="dxa"/>
            <w:tcBorders>
              <w:top w:val="single" w:color="000000" w:sz="4" w:space="0"/>
              <w:left w:val="single" w:color="000000" w:sz="4" w:space="0"/>
              <w:bottom w:val="single" w:color="000000" w:sz="4" w:space="0"/>
              <w:right w:val="single" w:color="auto" w:sz="4" w:space="0"/>
            </w:tcBorders>
            <w:shd w:val="clear" w:color="auto" w:fill="auto"/>
            <w:vAlign w:val="center"/>
          </w:tcPr>
          <w:p w14:paraId="0526E938">
            <w:pPr>
              <w:widowControl/>
              <w:spacing w:line="360" w:lineRule="auto"/>
              <w:jc w:val="center"/>
              <w:textAlignment w:val="bottom"/>
              <w:rPr>
                <w:rFonts w:hint="eastAsia" w:ascii="宋体" w:hAnsi="宋体" w:eastAsia="宋体" w:cs="宋体"/>
                <w:b/>
                <w:bCs/>
                <w:color w:val="auto"/>
                <w:kern w:val="0"/>
                <w:highlight w:val="none"/>
              </w:rPr>
            </w:pPr>
          </w:p>
        </w:tc>
        <w:tc>
          <w:tcPr>
            <w:tcW w:w="1792" w:type="dxa"/>
            <w:tcBorders>
              <w:top w:val="single" w:color="000000" w:sz="4" w:space="0"/>
              <w:left w:val="single" w:color="000000" w:sz="4" w:space="0"/>
              <w:bottom w:val="single" w:color="000000" w:sz="4" w:space="0"/>
              <w:right w:val="single" w:color="auto" w:sz="4" w:space="0"/>
            </w:tcBorders>
            <w:shd w:val="clear" w:color="auto" w:fill="auto"/>
            <w:vAlign w:val="center"/>
          </w:tcPr>
          <w:p w14:paraId="42023CDB">
            <w:pPr>
              <w:widowControl/>
              <w:spacing w:line="360" w:lineRule="auto"/>
              <w:jc w:val="center"/>
              <w:textAlignment w:val="bottom"/>
              <w:rPr>
                <w:rFonts w:hint="eastAsia" w:ascii="宋体" w:hAnsi="宋体" w:eastAsia="宋体" w:cs="宋体"/>
                <w:b/>
                <w:bCs/>
                <w:color w:val="auto"/>
                <w:kern w:val="0"/>
                <w:highlight w:val="none"/>
              </w:rPr>
            </w:pPr>
          </w:p>
        </w:tc>
      </w:tr>
    </w:tbl>
    <w:p w14:paraId="420E0F41">
      <w:pP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附：合同货物参数指标</w:t>
      </w:r>
    </w:p>
    <w:p w14:paraId="47BC9D00">
      <w:pPr>
        <w:rPr>
          <w:rFonts w:hint="eastAsia" w:ascii="宋体" w:hAnsi="宋体" w:eastAsia="宋体" w:cs="宋体"/>
          <w:color w:val="auto"/>
          <w:highlight w:val="none"/>
        </w:rPr>
      </w:pPr>
    </w:p>
    <w:p w14:paraId="34D6E0A6">
      <w:pPr>
        <w:rPr>
          <w:rFonts w:hint="eastAsia" w:ascii="宋体" w:hAnsi="宋体" w:eastAsia="宋体" w:cs="宋体"/>
          <w:color w:val="auto"/>
          <w:highlight w:val="none"/>
          <w:lang w:val="en-US" w:eastAsia="zh-CN"/>
        </w:rPr>
      </w:pPr>
    </w:p>
    <w:p w14:paraId="61A9E68F">
      <w:pPr>
        <w:rPr>
          <w:rFonts w:hint="eastAsia" w:ascii="宋体" w:hAnsi="宋体" w:eastAsia="宋体" w:cs="宋体"/>
          <w:color w:val="auto"/>
          <w:highlight w:val="none"/>
        </w:rPr>
      </w:pPr>
    </w:p>
    <w:sectPr>
      <w:headerReference r:id="rId6" w:type="first"/>
      <w:footerReference r:id="rId8" w:type="first"/>
      <w:headerReference r:id="rId5" w:type="default"/>
      <w:footerReference r:id="rId7" w:type="default"/>
      <w:pgSz w:w="11906" w:h="16838"/>
      <w:pgMar w:top="1440" w:right="1080" w:bottom="1440" w:left="1080" w:header="851" w:footer="992" w:gutter="0"/>
      <w:cols w:space="720" w:num="1"/>
      <w:titlePg/>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ms Rmn">
    <w:altName w:val="Segoe Print"/>
    <w:panose1 w:val="02020603040505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E03A3C">
    <w:pPr>
      <w:pStyle w:val="6"/>
      <w:tabs>
        <w:tab w:val="center" w:pos="4153"/>
        <w:tab w:val="right" w:pos="8306"/>
        <w:tab w:val="clear" w:pos="0"/>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6B7E818">
                          <w:pPr>
                            <w:pStyle w:val="6"/>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vk47wyAgAAY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TjvDICAABjBAAADgAAAAAAAAABACAAAAAfAQAAZHJzL2Uyb0RvYy54bWxQSwUG&#10;AAAAAAYABgBZAQAAwwUAAAAA&#10;">
              <v:fill on="f" focussize="0,0"/>
              <v:stroke on="f" weight="0.5pt"/>
              <v:imagedata o:title=""/>
              <o:lock v:ext="edit" aspectratio="f"/>
              <v:textbox inset="0mm,0mm,0mm,0mm" style="mso-fit-shape-to-text:t;">
                <w:txbxContent>
                  <w:p w14:paraId="36B7E818">
                    <w:pPr>
                      <w:pStyle w:val="6"/>
                    </w:pPr>
                    <w:r>
                      <w:fldChar w:fldCharType="begin"/>
                    </w:r>
                    <w:r>
                      <w:instrText xml:space="preserve"> PAGE  \* MERGEFORMAT </w:instrText>
                    </w:r>
                    <w:r>
                      <w:fldChar w:fldCharType="separate"/>
                    </w:r>
                    <w:r>
                      <w:t>36</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FA49A3">
    <w:pPr>
      <w:pStyle w:val="6"/>
      <w:tabs>
        <w:tab w:val="center" w:pos="4153"/>
        <w:tab w:val="right" w:pos="8306"/>
        <w:tab w:val="clear" w:pos="0"/>
      </w:tabs>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0C05823">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10C05823">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6C9BF3">
    <w:pPr>
      <w:pStyle w:val="7"/>
      <w:pBdr>
        <w:bottom w:val="none" w:color="auto" w:sz="0" w:space="0"/>
      </w:pBdr>
      <w:tabs>
        <w:tab w:val="center" w:pos="4153"/>
        <w:tab w:val="right" w:pos="8306"/>
        <w:tab w:val="clear" w:pos="0"/>
      </w:tabs>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3D79FB">
    <w:pPr>
      <w:pStyle w:val="7"/>
      <w:pBdr>
        <w:bottom w:val="none" w:color="auto" w:sz="0" w:space="1"/>
      </w:pBdr>
      <w:tabs>
        <w:tab w:val="center" w:pos="4153"/>
        <w:tab w:val="right" w:pos="8306"/>
        <w:tab w:val="clear" w:pos="0"/>
      </w:tabs>
      <w:jc w:val="left"/>
      <w:rPr>
        <w:rFonts w:cs="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4D8E0A"/>
    <w:multiLevelType w:val="multilevel"/>
    <w:tmpl w:val="B04D8E0A"/>
    <w:lvl w:ilvl="0" w:tentative="0">
      <w:start w:val="1"/>
      <w:numFmt w:val="chineseCounting"/>
      <w:pStyle w:val="11"/>
      <w:suff w:val="nothing"/>
      <w:lvlText w:val="第%1章 "/>
      <w:lvlJc w:val="left"/>
      <w:pPr>
        <w:tabs>
          <w:tab w:val="left" w:pos="0"/>
        </w:tabs>
        <w:ind w:left="0" w:firstLine="0"/>
      </w:pPr>
      <w:rPr>
        <w:rFonts w:hint="eastAsia" w:ascii="宋体" w:hAnsi="宋体" w:eastAsia="宋体" w:cs="宋体"/>
      </w:rPr>
    </w:lvl>
    <w:lvl w:ilvl="1" w:tentative="0">
      <w:start w:val="1"/>
      <w:numFmt w:val="chineseCounting"/>
      <w:suff w:val="nothing"/>
      <w:lvlText w:val="%2、"/>
      <w:lvlJc w:val="left"/>
      <w:pPr>
        <w:ind w:left="0" w:firstLine="0"/>
      </w:pPr>
      <w:rPr>
        <w:rFonts w:hint="eastAsia" w:ascii="宋体" w:hAnsi="宋体" w:eastAsia="宋体" w:cs="宋体"/>
      </w:rPr>
    </w:lvl>
    <w:lvl w:ilvl="2" w:tentative="0">
      <w:start w:val="1"/>
      <w:numFmt w:val="chineseCounting"/>
      <w:suff w:val="nothing"/>
      <w:lvlText w:val="(%3)"/>
      <w:lvlJc w:val="left"/>
      <w:pPr>
        <w:tabs>
          <w:tab w:val="left" w:pos="0"/>
        </w:tabs>
        <w:ind w:left="0" w:firstLine="0"/>
      </w:pPr>
      <w:rPr>
        <w:rFonts w:hint="eastAsia" w:ascii="宋体" w:hAnsi="宋体" w:eastAsia="宋体" w:cs="宋体"/>
      </w:rPr>
    </w:lvl>
    <w:lvl w:ilvl="3" w:tentative="0">
      <w:start w:val="1"/>
      <w:numFmt w:val="decimal"/>
      <w:suff w:val="nothing"/>
      <w:lvlText w:val="%4."/>
      <w:lvlJc w:val="left"/>
      <w:pPr>
        <w:tabs>
          <w:tab w:val="left" w:pos="0"/>
        </w:tabs>
        <w:ind w:left="0" w:firstLine="0"/>
      </w:pPr>
      <w:rPr>
        <w:rFonts w:hint="eastAsia" w:ascii="宋体" w:hAnsi="宋体" w:eastAsia="宋体" w:cs="宋体"/>
      </w:rPr>
    </w:lvl>
    <w:lvl w:ilvl="4" w:tentative="0">
      <w:start w:val="1"/>
      <w:numFmt w:val="decimal"/>
      <w:suff w:val="nothing"/>
      <w:lvlText w:val="%4.%5"/>
      <w:lvlJc w:val="left"/>
      <w:pPr>
        <w:ind w:left="0" w:firstLine="0"/>
      </w:pPr>
      <w:rPr>
        <w:rFonts w:hint="eastAsia" w:ascii="宋体" w:hAnsi="宋体" w:eastAsia="宋体" w:cs="宋体"/>
      </w:rPr>
    </w:lvl>
    <w:lvl w:ilvl="5" w:tentative="0">
      <w:start w:val="1"/>
      <w:numFmt w:val="decimal"/>
      <w:suff w:val="nothing"/>
      <w:lvlText w:val="(%6)"/>
      <w:lvlJc w:val="left"/>
      <w:pPr>
        <w:ind w:left="0" w:firstLine="0"/>
      </w:pPr>
      <w:rPr>
        <w:rFonts w:hint="eastAsia" w:ascii="宋体" w:hAnsi="宋体" w:eastAsia="宋体" w:cs="宋体"/>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hNDU0YjIxYWIyNzllMzE5MzQwNGI3NjBjNWQ3YTkifQ=="/>
  </w:docVars>
  <w:rsids>
    <w:rsidRoot w:val="0CD31B48"/>
    <w:rsid w:val="05C16B57"/>
    <w:rsid w:val="0CD31B48"/>
    <w:rsid w:val="0EA60F05"/>
    <w:rsid w:val="1AA02A76"/>
    <w:rsid w:val="1D2E2297"/>
    <w:rsid w:val="1E2D1660"/>
    <w:rsid w:val="23685D28"/>
    <w:rsid w:val="266709E2"/>
    <w:rsid w:val="31DB4E98"/>
    <w:rsid w:val="33A618E0"/>
    <w:rsid w:val="35E46651"/>
    <w:rsid w:val="4726000C"/>
    <w:rsid w:val="58083551"/>
    <w:rsid w:val="67C628CA"/>
    <w:rsid w:val="6A0E5A38"/>
    <w:rsid w:val="73587F21"/>
    <w:rsid w:val="7B1B79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adjustRightInd w:val="0"/>
      <w:snapToGrid w:val="0"/>
      <w:spacing w:line="440" w:lineRule="exact"/>
    </w:pPr>
    <w:rPr>
      <w:rFonts w:ascii="宋体" w:hAnsi="宋体" w:eastAsia="宋体" w:cs="Times New Roman"/>
      <w:kern w:val="2"/>
      <w:sz w:val="24"/>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annotation text"/>
    <w:basedOn w:val="1"/>
    <w:qFormat/>
    <w:uiPriority w:val="0"/>
    <w:pPr>
      <w:jc w:val="left"/>
    </w:pPr>
  </w:style>
  <w:style w:type="paragraph" w:styleId="4">
    <w:name w:val="Body Text"/>
    <w:basedOn w:val="1"/>
    <w:next w:val="1"/>
    <w:qFormat/>
    <w:uiPriority w:val="99"/>
    <w:rPr>
      <w:rFonts w:ascii="Times New Roman"/>
    </w:rPr>
  </w:style>
  <w:style w:type="paragraph" w:styleId="5">
    <w:name w:val="Plain Text"/>
    <w:basedOn w:val="1"/>
    <w:next w:val="1"/>
    <w:qFormat/>
    <w:uiPriority w:val="99"/>
    <w:pPr>
      <w:autoSpaceDE w:val="0"/>
      <w:autoSpaceDN w:val="0"/>
      <w:jc w:val="both"/>
    </w:pPr>
    <w:rPr>
      <w:rFonts w:hAnsi="Tms Rmn"/>
      <w:sz w:val="21"/>
      <w:szCs w:val="21"/>
    </w:rPr>
  </w:style>
  <w:style w:type="paragraph" w:styleId="6">
    <w:name w:val="footer"/>
    <w:basedOn w:val="1"/>
    <w:qFormat/>
    <w:uiPriority w:val="0"/>
    <w:pPr>
      <w:spacing w:line="240" w:lineRule="auto"/>
    </w:pPr>
    <w:rPr>
      <w:sz w:val="18"/>
      <w:szCs w:val="18"/>
    </w:rPr>
  </w:style>
  <w:style w:type="paragraph" w:styleId="7">
    <w:name w:val="header"/>
    <w:basedOn w:val="1"/>
    <w:qFormat/>
    <w:uiPriority w:val="0"/>
    <w:pPr>
      <w:pBdr>
        <w:bottom w:val="single" w:color="auto" w:sz="6" w:space="1"/>
      </w:pBdr>
      <w:wordWrap w:val="0"/>
      <w:topLinePunct/>
      <w:spacing w:line="240" w:lineRule="auto"/>
      <w:jc w:val="center"/>
    </w:pPr>
    <w:rPr>
      <w:sz w:val="18"/>
      <w:szCs w:val="18"/>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14、“第一章”一级标题"/>
    <w:basedOn w:val="12"/>
    <w:qFormat/>
    <w:uiPriority w:val="0"/>
    <w:pPr>
      <w:numPr>
        <w:ilvl w:val="0"/>
        <w:numId w:val="1"/>
      </w:numPr>
      <w:spacing w:beforeLines="50" w:afterLines="50" w:line="240" w:lineRule="auto"/>
      <w:jc w:val="center"/>
      <w:outlineLvl w:val="0"/>
    </w:pPr>
    <w:rPr>
      <w:b/>
      <w:sz w:val="36"/>
    </w:rPr>
  </w:style>
  <w:style w:type="paragraph" w:customStyle="1" w:styleId="12">
    <w:name w:val="01、普通正文"/>
    <w:basedOn w:val="1"/>
    <w:qFormat/>
    <w:uiPriority w:val="0"/>
    <w:pPr>
      <w:wordWrap w:val="0"/>
      <w:topLinePunct/>
    </w:pPr>
    <w:rPr>
      <w:snapToGrid w:val="0"/>
    </w:rPr>
  </w:style>
  <w:style w:type="paragraph" w:customStyle="1" w:styleId="13">
    <w:name w:val="样式 首行缩进:  2 字符"/>
    <w:basedOn w:val="1"/>
    <w:qFormat/>
    <w:uiPriority w:val="99"/>
    <w:pPr>
      <w:spacing w:line="400" w:lineRule="exact"/>
      <w:ind w:firstLine="200" w:firstLineChars="200"/>
    </w:pPr>
  </w:style>
  <w:style w:type="character" w:customStyle="1" w:styleId="14">
    <w:name w:val="样式 宋体 小四"/>
    <w:qFormat/>
    <w:uiPriority w:val="0"/>
    <w:rPr>
      <w:sz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506</Words>
  <Characters>520</Characters>
  <Lines>0</Lines>
  <Paragraphs>0</Paragraphs>
  <TotalTime>2</TotalTime>
  <ScaleCrop>false</ScaleCrop>
  <LinksUpToDate>false</LinksUpToDate>
  <CharactersWithSpaces>601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2024-11-25T04:48:00Z</dcterms:created>
  <dc:creator>administrator</dc:creator>
  <cp:lastModifiedBy>好巧</cp:lastModifiedBy>
  <dcterms:modified xsi:type="dcterms:W3CDTF">2025-03-28T08:26:16Z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404283E0D1564832A58682655EEC5761_13</vt:lpwstr>
  </property>
  <property fmtid="{D5CDD505-2E9C-101B-9397-08002B2CF9AE}" pid="4" name="KSOTemplateDocerSaveRecord">
    <vt:lpwstr>eyJoZGlkIjoiMzk3ZGEwZGM2Njk1NzUxNzlhOTgwOWRiNzUxMTU4NWYiLCJ1c2VySWQiOiIzNjQzNzQxNTMifQ==</vt:lpwstr>
  </property>
</Properties>
</file>