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版本号：N513433202500002320250402001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冕宁县惠安镇沙坝片区、勒安片区、稗子田片区村级国土空间规划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N5134332025000023</w:t>
      </w:r>
    </w:p>
    <w:p>
      <w:pPr>
        <w:pStyle w:val="null3"/>
        <w:jc w:val="left"/>
        <w:outlineLvl w:val="2"/>
      </w:pPr>
      <w:r>
        <w:rPr>
          <w:rFonts w:ascii="仿宋_GB2312" w:hAnsi="仿宋_GB2312" w:cs="仿宋_GB2312" w:eastAsia="仿宋_GB2312"/>
          <w:sz w:val="28"/>
          <w:b/>
        </w:rPr>
        <w:t>冕宁县惠安镇人民政府</w:t>
      </w:r>
    </w:p>
    <w:p>
      <w:pPr>
        <w:pStyle w:val="null3"/>
        <w:jc w:val="center"/>
        <w:outlineLvl w:val="2"/>
      </w:pPr>
      <w:r>
        <w:rPr>
          <w:rFonts w:ascii="仿宋_GB2312" w:hAnsi="仿宋_GB2312" w:cs="仿宋_GB2312" w:eastAsia="仿宋_GB2312"/>
          <w:sz w:val="28"/>
          <w:b/>
        </w:rPr>
        <w:t>四川迅弛招标代理有限公司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四川迅弛招标代理有限公司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冕宁县惠安镇人民政府</w:t>
      </w:r>
      <w:r>
        <w:rPr>
          <w:rFonts w:ascii="仿宋_GB2312" w:hAnsi="仿宋_GB2312" w:cs="仿宋_GB2312" w:eastAsia="仿宋_GB2312"/>
        </w:rPr>
        <w:t xml:space="preserve"> 委托，拟对 </w:t>
      </w:r>
      <w:r>
        <w:rPr>
          <w:rFonts w:ascii="仿宋_GB2312" w:hAnsi="仿宋_GB2312" w:cs="仿宋_GB2312" w:eastAsia="仿宋_GB2312"/>
        </w:rPr>
        <w:t>冕宁县惠安镇沙坝片区、勒安片区、稗子田片区村级国土空间规划</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凉山彝族自治州冕宁县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N5134332025000023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冕宁县惠安镇沙坝片区、勒安片区、稗子田片区村级国土空间规划</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根据《中共中央国务院关于建立国土空间规划体系并监督实施的若干意见》（中发〔2019〕18号）、《中共四川省委办公厅四川省人民政府办公厅关于印发〈四川省建立国土空间规划体系并监督实施的实施方案〉的通知》（川委厅〔2020〕8 号）、《中共四川省委办公厅四川省人民政府办公厅印发〈关于全省县域内片区划分的指导意见〉〈关于以片区为单元编制乡村国土空间规划的指导意见〉的通知》（川委厅〔2021〕53 号）、《四川省自然资源厅〈关于以片区为单元编制乡村国土空间规划的工作方案〉的通知》（川自然资源发〔2021〕38 号）、《四川省自然资源厅关于印发四川省乡镇级、村级规划编制指南和备案审查要点的通知》（川自然资发〔2021〕70 号）等文件精神，围绕“优化片区农业生态空间、培育壮大片区特色优势产业、统筹片区基础设施和公共服务资源配置、提升片区乡村人居环境品质”四大任务，结合冕宁县乡镇行政区划调整、综合考虑功能定位、产业类型、地貌特征，拟启动冕宁县3个片区村级规划，本项目分为一个包，不分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1、具备国家行政主管部门颁发的有效期内的城乡规划规划编制乙级及以上资质。（描述：具备国家行政主管部门颁发的有效期内的城乡规划规划编制乙级及以上资质。（提供资质证书复印件加盖供应商鲜章））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冕宁县惠安镇人民政府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冕宁县惠安镇迫夫村1组109号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0834-6760199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四川迅弛招标代理有限公司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四川省凉山彝族自治州西昌市正义南路18号3层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0834-3621234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关于进一步放开建设项目专业服务价格的通知（发改价格〔2015〕299号）文件精神收取。由成交人支付，中标人在规定时间内未支付招标代理服务费的后果由成交人承担，并承担有关法律责任。</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冕宁县惠安镇人民政府</w:t>
      </w:r>
      <w:r>
        <w:rPr>
          <w:rFonts w:ascii="仿宋_GB2312" w:hAnsi="仿宋_GB2312" w:cs="仿宋_GB2312" w:eastAsia="仿宋_GB2312"/>
        </w:rPr>
        <w:t xml:space="preserve"> 和 </w:t>
      </w:r>
      <w:r>
        <w:rPr>
          <w:rFonts w:ascii="仿宋_GB2312" w:hAnsi="仿宋_GB2312" w:cs="仿宋_GB2312" w:eastAsia="仿宋_GB2312"/>
        </w:rPr>
        <w:t>四川迅弛招标代理有限公司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冕宁县惠安镇人民政府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四川迅弛招标代理有限公司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供应商提出验收申请之日起15日内组织验收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按照招标文件的质量要求和技术指标、供应商的响应文件及承诺与合同约定标准进行验收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按照招标文件商务要求及供应商响应商务要求内容进行验收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 205号)、《政府采购需求管理办法》(财库(2021) 22号)的要求及国家行业主管部门规定的标准、方法和内容及招标文件的质量要求和技术指标、供应商的响应文件及承诺与合同约定标准进行验收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冕宁县惠安镇人民政府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四川迅弛招标代理有限公司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四川迅弛招标代理有限公司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联系电话：0834-3621234</w:t>
      </w:r>
    </w:p>
    <w:p>
      <w:pPr>
        <w:pStyle w:val="null3"/>
        <w:jc w:val="left"/>
      </w:pPr>
      <w:r>
        <w:rPr>
          <w:rFonts w:ascii="仿宋_GB2312" w:hAnsi="仿宋_GB2312" w:cs="仿宋_GB2312" w:eastAsia="仿宋_GB2312"/>
        </w:rPr>
        <w:t>地址：四川省西昌市正义南路18号3楼</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750,000.00</w:t>
      </w:r>
    </w:p>
    <w:p>
      <w:pPr>
        <w:pStyle w:val="null3"/>
        <w:jc w:val="left"/>
      </w:pPr>
      <w:r>
        <w:rPr>
          <w:rFonts w:ascii="仿宋_GB2312" w:hAnsi="仿宋_GB2312" w:cs="仿宋_GB2312" w:eastAsia="仿宋_GB2312"/>
        </w:rPr>
        <w:t>采购包最高限价（元）: 750,000.00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C13010000 区域规划和设计服务</w:t>
            </w:r>
          </w:p>
        </w:tc>
        <w:tc>
          <w:tcPr>
            <w:tcW w:type="dxa" w:w="821"/>
          </w:tcPr>
          <w:p>
            <w:pPr>
              <w:pStyle w:val="null3"/>
              <w:jc w:val="left"/>
            </w:pPr>
            <w:r>
              <w:rPr>
                <w:rFonts w:ascii="仿宋_GB2312" w:hAnsi="仿宋_GB2312" w:cs="仿宋_GB2312" w:eastAsia="仿宋_GB2312"/>
              </w:rPr>
              <w:t>冕宁县惠安镇沙坝片区、勒安片区村级国土空间规划</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冕宁县惠安镇沙坝片区、勒安片区村级国土空间规划</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标的名称：冕宁县惠安镇沙坝片区、勒安片区村级国土空间规划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★服务内容及服务要求</w:t>
            </w:r>
          </w:p>
        </w:tc>
        <w:tc>
          <w:tcPr>
            <w:tcW w:type="dxa" w:w="5814"/>
          </w:tcPr>
          <w:p>
            <w:pPr>
              <w:pStyle w:val="null3"/>
              <w:jc w:val="left"/>
            </w:pPr>
            <w:r>
              <w:rPr>
                <w:rFonts w:ascii="仿宋_GB2312" w:hAnsi="仿宋_GB2312" w:cs="仿宋_GB2312" w:eastAsia="仿宋_GB2312"/>
                <w:sz w:val="24"/>
                <w:color w:val="000000"/>
              </w:rPr>
              <w:t>（一）规划编制背景</w:t>
            </w:r>
          </w:p>
          <w:p>
            <w:pPr>
              <w:pStyle w:val="null3"/>
              <w:ind w:firstLine="480"/>
              <w:jc w:val="both"/>
            </w:pPr>
            <w:r>
              <w:rPr>
                <w:rFonts w:ascii="仿宋_GB2312" w:hAnsi="仿宋_GB2312" w:cs="仿宋_GB2312" w:eastAsia="仿宋_GB2312"/>
                <w:sz w:val="24"/>
                <w:color w:val="000000"/>
              </w:rPr>
              <w:t>《中共中央</w:t>
            </w:r>
            <w:r>
              <w:rPr>
                <w:rFonts w:ascii="仿宋_GB2312" w:hAnsi="仿宋_GB2312" w:cs="仿宋_GB2312" w:eastAsia="仿宋_GB2312"/>
                <w:sz w:val="24"/>
                <w:color w:val="000000"/>
              </w:rPr>
              <w:t>国务院关于进一步深化农村改革扎实推进乡村全面振兴的意见》</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2025年1月1日）</w:t>
            </w:r>
            <w:r>
              <w:rPr>
                <w:rFonts w:ascii="仿宋_GB2312" w:hAnsi="仿宋_GB2312" w:cs="仿宋_GB2312" w:eastAsia="仿宋_GB2312"/>
                <w:sz w:val="24"/>
                <w:color w:val="000000"/>
              </w:rPr>
              <w:t>提出实施乡村建设</w:t>
            </w:r>
            <w:r>
              <w:rPr>
                <w:rFonts w:ascii="仿宋_GB2312" w:hAnsi="仿宋_GB2312" w:cs="仿宋_GB2312" w:eastAsia="仿宋_GB2312"/>
                <w:sz w:val="24"/>
                <w:color w:val="000000"/>
              </w:rPr>
              <w:t>“百千万”工程，要提高村庄规划编制质量和实效，不得要求村庄规划编制全覆盖</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实施宜居宜业和美乡村建设</w:t>
            </w:r>
            <w:r>
              <w:rPr>
                <w:rFonts w:ascii="仿宋_GB2312" w:hAnsi="仿宋_GB2312" w:cs="仿宋_GB2312" w:eastAsia="仿宋_GB2312"/>
                <w:sz w:val="24"/>
                <w:color w:val="000000"/>
              </w:rPr>
              <w:t>“百片引领、千村带动、万村补短”工程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合理确定村庄建设重点和优先序，统筹建设和管护，加快推动农房和村庄建设现代化，探索具有地域特色的乡村建设模式，实施</w:t>
            </w:r>
            <w:r>
              <w:rPr>
                <w:rFonts w:ascii="仿宋_GB2312" w:hAnsi="仿宋_GB2312" w:cs="仿宋_GB2312" w:eastAsia="仿宋_GB2312"/>
                <w:sz w:val="24"/>
                <w:color w:val="000000"/>
              </w:rPr>
              <w:t>“一村一实事”行动；深入打好农业农村污染治理攻坚战，持续推进农村人居环境整治提升，建设美丽乡村。村级片区规划要坚持新发展理念，坚持以人民为中心，坚持一切从实际出发，坚持高质量发展，牢固树立创新、协调、绿色、开放、共享的发展理念，顺应新时代国土空间治理要求，构建以国土空间规划为基础、以统一用途管制为手段的国土空间开发保护制度，推动片区绿色、高质量发展。</w:t>
            </w:r>
          </w:p>
          <w:p>
            <w:pPr>
              <w:pStyle w:val="null3"/>
              <w:jc w:val="left"/>
            </w:pPr>
            <w:r>
              <w:rPr>
                <w:rFonts w:ascii="仿宋_GB2312" w:hAnsi="仿宋_GB2312" w:cs="仿宋_GB2312" w:eastAsia="仿宋_GB2312"/>
                <w:sz w:val="24"/>
                <w:color w:val="000000"/>
              </w:rPr>
              <w:t>（二）技术服务要求</w:t>
            </w:r>
          </w:p>
          <w:p>
            <w:pPr>
              <w:pStyle w:val="null3"/>
              <w:ind w:firstLine="480"/>
              <w:jc w:val="both"/>
            </w:pPr>
            <w:r>
              <w:rPr>
                <w:rFonts w:ascii="仿宋_GB2312" w:hAnsi="仿宋_GB2312" w:cs="仿宋_GB2312" w:eastAsia="仿宋_GB2312"/>
                <w:sz w:val="24"/>
                <w:color w:val="000000"/>
              </w:rPr>
              <w:t>1.编制依据</w:t>
            </w:r>
          </w:p>
          <w:p>
            <w:pPr>
              <w:pStyle w:val="null3"/>
              <w:ind w:firstLine="480"/>
              <w:jc w:val="both"/>
            </w:pPr>
            <w:r>
              <w:rPr>
                <w:rFonts w:ascii="仿宋_GB2312" w:hAnsi="仿宋_GB2312" w:cs="仿宋_GB2312" w:eastAsia="仿宋_GB2312"/>
                <w:sz w:val="24"/>
                <w:color w:val="000000"/>
              </w:rPr>
              <w:t>包括但不限于以下内容：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1）法律法规</w:t>
            </w:r>
          </w:p>
          <w:p>
            <w:pPr>
              <w:pStyle w:val="null3"/>
              <w:ind w:firstLine="480"/>
              <w:jc w:val="both"/>
            </w:pPr>
            <w:r>
              <w:rPr>
                <w:rFonts w:ascii="仿宋_GB2312" w:hAnsi="仿宋_GB2312" w:cs="仿宋_GB2312" w:eastAsia="仿宋_GB2312"/>
                <w:sz w:val="24"/>
                <w:color w:val="000000"/>
              </w:rPr>
              <w:t>《中华人民共和国城乡规划法》；</w:t>
            </w:r>
          </w:p>
          <w:p>
            <w:pPr>
              <w:pStyle w:val="null3"/>
              <w:ind w:firstLine="480"/>
              <w:jc w:val="both"/>
            </w:pPr>
            <w:r>
              <w:rPr>
                <w:rFonts w:ascii="仿宋_GB2312" w:hAnsi="仿宋_GB2312" w:cs="仿宋_GB2312" w:eastAsia="仿宋_GB2312"/>
                <w:sz w:val="24"/>
                <w:color w:val="000000"/>
              </w:rPr>
              <w:t>《中华人民共和国土地管理法》；</w:t>
            </w:r>
          </w:p>
          <w:p>
            <w:pPr>
              <w:pStyle w:val="null3"/>
              <w:ind w:firstLine="480"/>
              <w:jc w:val="both"/>
            </w:pPr>
            <w:r>
              <w:rPr>
                <w:rFonts w:ascii="仿宋_GB2312" w:hAnsi="仿宋_GB2312" w:cs="仿宋_GB2312" w:eastAsia="仿宋_GB2312"/>
                <w:sz w:val="24"/>
                <w:color w:val="000000"/>
              </w:rPr>
              <w:t>《中华人民共和国土地管理法实施条例》；</w:t>
            </w:r>
          </w:p>
          <w:p>
            <w:pPr>
              <w:pStyle w:val="null3"/>
              <w:ind w:firstLine="480"/>
              <w:jc w:val="both"/>
            </w:pPr>
            <w:r>
              <w:rPr>
                <w:rFonts w:ascii="仿宋_GB2312" w:hAnsi="仿宋_GB2312" w:cs="仿宋_GB2312" w:eastAsia="仿宋_GB2312"/>
                <w:sz w:val="24"/>
                <w:color w:val="000000"/>
              </w:rPr>
              <w:t>《中华人民共和国环境保护法》；</w:t>
            </w:r>
          </w:p>
          <w:p>
            <w:pPr>
              <w:pStyle w:val="null3"/>
              <w:ind w:firstLine="480"/>
              <w:jc w:val="both"/>
            </w:pPr>
            <w:r>
              <w:rPr>
                <w:rFonts w:ascii="仿宋_GB2312" w:hAnsi="仿宋_GB2312" w:cs="仿宋_GB2312" w:eastAsia="仿宋_GB2312"/>
                <w:sz w:val="24"/>
                <w:color w:val="000000"/>
              </w:rPr>
              <w:t>《基本农田保护条例》；</w:t>
            </w:r>
          </w:p>
          <w:p>
            <w:pPr>
              <w:pStyle w:val="null3"/>
              <w:ind w:firstLine="480"/>
              <w:jc w:val="both"/>
            </w:pPr>
            <w:r>
              <w:rPr>
                <w:rFonts w:ascii="仿宋_GB2312" w:hAnsi="仿宋_GB2312" w:cs="仿宋_GB2312" w:eastAsia="仿宋_GB2312"/>
                <w:sz w:val="24"/>
                <w:color w:val="000000"/>
              </w:rPr>
              <w:t>《四川省城乡规划条例》。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2）部门规章及规范性文件</w:t>
            </w:r>
          </w:p>
          <w:p>
            <w:pPr>
              <w:pStyle w:val="null3"/>
              <w:ind w:firstLine="480"/>
              <w:jc w:val="both"/>
            </w:pPr>
            <w:r>
              <w:rPr>
                <w:rFonts w:ascii="仿宋_GB2312" w:hAnsi="仿宋_GB2312" w:cs="仿宋_GB2312" w:eastAsia="仿宋_GB2312"/>
                <w:sz w:val="24"/>
                <w:color w:val="000000"/>
              </w:rPr>
              <w:t>《中共中央国务院关于实施乡村振兴战略的意见》（中发〔</w:t>
            </w:r>
            <w:r>
              <w:rPr>
                <w:rFonts w:ascii="仿宋_GB2312" w:hAnsi="仿宋_GB2312" w:cs="仿宋_GB2312" w:eastAsia="仿宋_GB2312"/>
                <w:sz w:val="24"/>
                <w:color w:val="000000"/>
              </w:rPr>
              <w:t>2018〕1号）；</w:t>
            </w:r>
          </w:p>
          <w:p>
            <w:pPr>
              <w:pStyle w:val="null3"/>
              <w:ind w:firstLine="480"/>
              <w:jc w:val="both"/>
            </w:pPr>
            <w:r>
              <w:rPr>
                <w:rFonts w:ascii="仿宋_GB2312" w:hAnsi="仿宋_GB2312" w:cs="仿宋_GB2312" w:eastAsia="仿宋_GB2312"/>
                <w:sz w:val="24"/>
                <w:color w:val="000000"/>
              </w:rPr>
              <w:t>《中共中央国务院关于建立国土空间规划体系并监督实施的若干意见》（中发〔</w:t>
            </w:r>
            <w:r>
              <w:rPr>
                <w:rFonts w:ascii="仿宋_GB2312" w:hAnsi="仿宋_GB2312" w:cs="仿宋_GB2312" w:eastAsia="仿宋_GB2312"/>
                <w:sz w:val="24"/>
                <w:color w:val="000000"/>
              </w:rPr>
              <w:t>2019〕18号）；</w:t>
            </w:r>
          </w:p>
          <w:p>
            <w:pPr>
              <w:pStyle w:val="null3"/>
              <w:ind w:firstLine="480"/>
              <w:jc w:val="left"/>
            </w:pPr>
            <w:r>
              <w:rPr>
                <w:rFonts w:ascii="仿宋_GB2312" w:hAnsi="仿宋_GB2312" w:cs="仿宋_GB2312" w:eastAsia="仿宋_GB2312"/>
                <w:sz w:val="24"/>
                <w:color w:val="000000"/>
              </w:rPr>
              <w:t>《自然资源部办公厅关于加强村庄规划促进乡村振兴的通知》（自然资办发﹝</w:t>
            </w:r>
            <w:r>
              <w:rPr>
                <w:rFonts w:ascii="仿宋_GB2312" w:hAnsi="仿宋_GB2312" w:cs="仿宋_GB2312" w:eastAsia="仿宋_GB2312"/>
                <w:sz w:val="24"/>
                <w:color w:val="000000"/>
              </w:rPr>
              <w:t>2019﹞35号）；</w:t>
            </w:r>
          </w:p>
          <w:p>
            <w:pPr>
              <w:pStyle w:val="null3"/>
              <w:ind w:firstLine="480"/>
              <w:jc w:val="both"/>
            </w:pPr>
            <w:r>
              <w:rPr>
                <w:rFonts w:ascii="仿宋_GB2312" w:hAnsi="仿宋_GB2312" w:cs="仿宋_GB2312" w:eastAsia="仿宋_GB2312"/>
                <w:sz w:val="24"/>
                <w:color w:val="000000"/>
              </w:rPr>
              <w:t>《自然资源部关于全面开展国土空间规划的通知》（自然资发〔</w:t>
            </w:r>
            <w:r>
              <w:rPr>
                <w:rFonts w:ascii="仿宋_GB2312" w:hAnsi="仿宋_GB2312" w:cs="仿宋_GB2312" w:eastAsia="仿宋_GB2312"/>
                <w:sz w:val="24"/>
                <w:color w:val="000000"/>
              </w:rPr>
              <w:t>2019〕87号）；</w:t>
            </w:r>
          </w:p>
          <w:p>
            <w:pPr>
              <w:pStyle w:val="null3"/>
              <w:ind w:firstLine="480"/>
              <w:jc w:val="both"/>
            </w:pPr>
            <w:r>
              <w:rPr>
                <w:rFonts w:ascii="仿宋_GB2312" w:hAnsi="仿宋_GB2312" w:cs="仿宋_GB2312" w:eastAsia="仿宋_GB2312"/>
                <w:sz w:val="24"/>
                <w:color w:val="000000"/>
              </w:rPr>
              <w:t>《四川省自然资源厅印发</w:t>
            </w:r>
            <w:r>
              <w:rPr>
                <w:rFonts w:ascii="仿宋_GB2312" w:hAnsi="仿宋_GB2312" w:cs="仿宋_GB2312" w:eastAsia="仿宋_GB2312"/>
                <w:sz w:val="24"/>
                <w:color w:val="000000"/>
              </w:rPr>
              <w:t>&lt;关于以片区为单元编制乡村国土空间规划的工作方案&gt;的通知》（川自然资发〔2021〕38号）；</w:t>
            </w:r>
          </w:p>
          <w:p>
            <w:pPr>
              <w:pStyle w:val="null3"/>
              <w:ind w:firstLine="480"/>
              <w:jc w:val="both"/>
            </w:pPr>
            <w:r>
              <w:rPr>
                <w:rFonts w:ascii="仿宋_GB2312" w:hAnsi="仿宋_GB2312" w:cs="仿宋_GB2312" w:eastAsia="仿宋_GB2312"/>
                <w:sz w:val="24"/>
                <w:color w:val="000000"/>
              </w:rPr>
              <w:t>《中共四川省委办公厅四川省人民政府办公厅印发</w:t>
            </w:r>
            <w:r>
              <w:rPr>
                <w:rFonts w:ascii="仿宋_GB2312" w:hAnsi="仿宋_GB2312" w:cs="仿宋_GB2312" w:eastAsia="仿宋_GB2312"/>
                <w:sz w:val="24"/>
                <w:color w:val="000000"/>
              </w:rPr>
              <w:t>&lt;关于全省县域内片区划分的指导意见&gt;&lt;关于以片区为单位编制乡村国土空间规划的指导意见&gt;的通知》（川委厅〔2021〕53 号）；</w:t>
            </w:r>
          </w:p>
          <w:p>
            <w:pPr>
              <w:pStyle w:val="null3"/>
              <w:ind w:firstLine="480"/>
              <w:jc w:val="both"/>
            </w:pPr>
            <w:r>
              <w:rPr>
                <w:rFonts w:ascii="仿宋_GB2312" w:hAnsi="仿宋_GB2312" w:cs="仿宋_GB2312" w:eastAsia="仿宋_GB2312"/>
                <w:sz w:val="24"/>
                <w:color w:val="000000"/>
              </w:rPr>
              <w:t>《四川省自然资源厅关于印发四川省乡镇级、村级规划编制指南和备案审查要点的通知》（川自然资发〔</w:t>
            </w:r>
            <w:r>
              <w:rPr>
                <w:rFonts w:ascii="仿宋_GB2312" w:hAnsi="仿宋_GB2312" w:cs="仿宋_GB2312" w:eastAsia="仿宋_GB2312"/>
                <w:sz w:val="24"/>
                <w:color w:val="000000"/>
              </w:rPr>
              <w:t>2021〕70号）；</w:t>
            </w:r>
          </w:p>
          <w:p>
            <w:pPr>
              <w:pStyle w:val="null3"/>
              <w:ind w:firstLine="480"/>
              <w:jc w:val="both"/>
            </w:pPr>
            <w:r>
              <w:rPr>
                <w:rFonts w:ascii="仿宋_GB2312" w:hAnsi="仿宋_GB2312" w:cs="仿宋_GB2312" w:eastAsia="仿宋_GB2312"/>
                <w:sz w:val="24"/>
                <w:color w:val="000000"/>
              </w:rPr>
              <w:t>《四川省村规划编制指南》</w:t>
            </w:r>
            <w:r>
              <w:rPr>
                <w:rFonts w:ascii="仿宋_GB2312" w:hAnsi="仿宋_GB2312" w:cs="仿宋_GB2312" w:eastAsia="仿宋_GB2312"/>
                <w:sz w:val="24"/>
                <w:color w:val="000000"/>
              </w:rPr>
              <w:t>（川自然资办函〔</w:t>
            </w:r>
            <w:r>
              <w:rPr>
                <w:rFonts w:ascii="仿宋_GB2312" w:hAnsi="仿宋_GB2312" w:cs="仿宋_GB2312" w:eastAsia="仿宋_GB2312"/>
                <w:sz w:val="24"/>
                <w:color w:val="000000"/>
              </w:rPr>
              <w:t>2024〕109 号）；</w:t>
            </w:r>
          </w:p>
          <w:p>
            <w:pPr>
              <w:pStyle w:val="null3"/>
              <w:ind w:firstLine="480"/>
              <w:jc w:val="both"/>
            </w:pPr>
            <w:r>
              <w:rPr>
                <w:rFonts w:ascii="仿宋_GB2312" w:hAnsi="仿宋_GB2312" w:cs="仿宋_GB2312" w:eastAsia="仿宋_GB2312"/>
                <w:sz w:val="24"/>
                <w:color w:val="000000"/>
              </w:rPr>
              <w:t>《国土空间调查、规划、用途管制用地用海分类指南》。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规划范围：</w:t>
            </w:r>
          </w:p>
          <w:p>
            <w:pPr>
              <w:pStyle w:val="null3"/>
              <w:ind w:firstLine="480"/>
              <w:jc w:val="both"/>
            </w:pPr>
            <w:r>
              <w:rPr>
                <w:rFonts w:ascii="仿宋_GB2312" w:hAnsi="仿宋_GB2312" w:cs="仿宋_GB2312" w:eastAsia="仿宋_GB2312"/>
                <w:sz w:val="24"/>
                <w:color w:val="000000"/>
              </w:rPr>
              <w:t>规划范围涉及</w:t>
            </w:r>
            <w:r>
              <w:rPr>
                <w:rFonts w:ascii="仿宋_GB2312" w:hAnsi="仿宋_GB2312" w:cs="仿宋_GB2312" w:eastAsia="仿宋_GB2312"/>
                <w:sz w:val="24"/>
                <w:color w:val="000000"/>
              </w:rPr>
              <w:t>1</w:t>
            </w:r>
            <w:r>
              <w:rPr>
                <w:rFonts w:ascii="仿宋_GB2312" w:hAnsi="仿宋_GB2312" w:cs="仿宋_GB2312" w:eastAsia="仿宋_GB2312"/>
                <w:sz w:val="24"/>
                <w:color w:val="000000"/>
              </w:rPr>
              <w:t>镇，</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个村级片区，共计</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w:t>
            </w:r>
            <w:r>
              <w:rPr>
                <w:rFonts w:ascii="仿宋_GB2312" w:hAnsi="仿宋_GB2312" w:cs="仿宋_GB2312" w:eastAsia="仿宋_GB2312"/>
                <w:sz w:val="24"/>
                <w:color w:val="000000"/>
              </w:rPr>
              <w:t>行政</w:t>
            </w:r>
            <w:r>
              <w:rPr>
                <w:rFonts w:ascii="仿宋_GB2312" w:hAnsi="仿宋_GB2312" w:cs="仿宋_GB2312" w:eastAsia="仿宋_GB2312"/>
                <w:sz w:val="24"/>
                <w:color w:val="000000"/>
              </w:rPr>
              <w:t>村。</w:t>
            </w:r>
          </w:p>
          <w:p>
            <w:pPr>
              <w:pStyle w:val="null3"/>
              <w:ind w:firstLine="480"/>
              <w:jc w:val="both"/>
            </w:pPr>
            <w:r>
              <w:rPr>
                <w:rFonts w:ascii="仿宋_GB2312" w:hAnsi="仿宋_GB2312" w:cs="仿宋_GB2312" w:eastAsia="仿宋_GB2312"/>
                <w:sz w:val="24"/>
                <w:color w:val="000000"/>
              </w:rPr>
              <w:t>片区一为</w:t>
            </w:r>
            <w:r>
              <w:rPr>
                <w:rFonts w:ascii="仿宋_GB2312" w:hAnsi="仿宋_GB2312" w:cs="仿宋_GB2312" w:eastAsia="仿宋_GB2312"/>
                <w:sz w:val="24"/>
                <w:color w:val="000000"/>
              </w:rPr>
              <w:t>惠</w:t>
            </w:r>
            <w:r>
              <w:rPr>
                <w:rFonts w:ascii="仿宋_GB2312" w:hAnsi="仿宋_GB2312" w:cs="仿宋_GB2312" w:eastAsia="仿宋_GB2312"/>
                <w:sz w:val="24"/>
                <w:color w:val="000000"/>
              </w:rPr>
              <w:t>安镇勒安片区，规划范围包括勒安村共</w:t>
            </w:r>
            <w:r>
              <w:rPr>
                <w:rFonts w:ascii="仿宋_GB2312" w:hAnsi="仿宋_GB2312" w:cs="仿宋_GB2312" w:eastAsia="仿宋_GB2312"/>
                <w:sz w:val="24"/>
                <w:color w:val="000000"/>
              </w:rPr>
              <w:t>1个行政村，总面积约为909.91公顷</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片区</w:t>
            </w:r>
            <w:r>
              <w:rPr>
                <w:rFonts w:ascii="仿宋_GB2312" w:hAnsi="仿宋_GB2312" w:cs="仿宋_GB2312" w:eastAsia="仿宋_GB2312"/>
                <w:sz w:val="24"/>
                <w:color w:val="000000"/>
              </w:rPr>
              <w:t>二</w:t>
            </w:r>
            <w:r>
              <w:rPr>
                <w:rFonts w:ascii="仿宋_GB2312" w:hAnsi="仿宋_GB2312" w:cs="仿宋_GB2312" w:eastAsia="仿宋_GB2312"/>
                <w:sz w:val="24"/>
                <w:color w:val="000000"/>
              </w:rPr>
              <w:t>为惠安镇沙坝片区，规划范围包括迫</w:t>
            </w:r>
            <w:r>
              <w:rPr>
                <w:rFonts w:ascii="仿宋_GB2312" w:hAnsi="仿宋_GB2312" w:cs="仿宋_GB2312" w:eastAsia="仿宋_GB2312"/>
                <w:sz w:val="24"/>
                <w:color w:val="000000"/>
              </w:rPr>
              <w:t>夫</w:t>
            </w:r>
            <w:r>
              <w:rPr>
                <w:rFonts w:ascii="仿宋_GB2312" w:hAnsi="仿宋_GB2312" w:cs="仿宋_GB2312" w:eastAsia="仿宋_GB2312"/>
                <w:sz w:val="24"/>
                <w:color w:val="000000"/>
              </w:rPr>
              <w:t>村、沙坝村、坪坝村共</w:t>
            </w:r>
            <w:r>
              <w:rPr>
                <w:rFonts w:ascii="仿宋_GB2312" w:hAnsi="仿宋_GB2312" w:cs="仿宋_GB2312" w:eastAsia="仿宋_GB2312"/>
                <w:sz w:val="24"/>
                <w:color w:val="000000"/>
              </w:rPr>
              <w:t>3个行政村，总面积约为5136.05公顷</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片区</w:t>
            </w:r>
            <w:r>
              <w:rPr>
                <w:rFonts w:ascii="仿宋_GB2312" w:hAnsi="仿宋_GB2312" w:cs="仿宋_GB2312" w:eastAsia="仿宋_GB2312"/>
                <w:sz w:val="24"/>
                <w:color w:val="000000"/>
              </w:rPr>
              <w:t>三</w:t>
            </w:r>
            <w:r>
              <w:rPr>
                <w:rFonts w:ascii="仿宋_GB2312" w:hAnsi="仿宋_GB2312" w:cs="仿宋_GB2312" w:eastAsia="仿宋_GB2312"/>
                <w:sz w:val="24"/>
                <w:color w:val="000000"/>
              </w:rPr>
              <w:t>为惠安镇</w:t>
            </w:r>
            <w:r>
              <w:rPr>
                <w:rFonts w:ascii="仿宋_GB2312" w:hAnsi="仿宋_GB2312" w:cs="仿宋_GB2312" w:eastAsia="仿宋_GB2312"/>
                <w:sz w:val="24"/>
                <w:color w:val="000000"/>
              </w:rPr>
              <w:t>稗子田</w:t>
            </w:r>
            <w:r>
              <w:rPr>
                <w:rFonts w:ascii="仿宋_GB2312" w:hAnsi="仿宋_GB2312" w:cs="仿宋_GB2312" w:eastAsia="仿宋_GB2312"/>
                <w:sz w:val="24"/>
                <w:color w:val="000000"/>
              </w:rPr>
              <w:t>片区，规划范围包括</w:t>
            </w:r>
            <w:r>
              <w:rPr>
                <w:rFonts w:ascii="仿宋_GB2312" w:hAnsi="仿宋_GB2312" w:cs="仿宋_GB2312" w:eastAsia="仿宋_GB2312"/>
                <w:sz w:val="24"/>
                <w:color w:val="000000"/>
              </w:rPr>
              <w:t>稗子田</w:t>
            </w:r>
            <w:r>
              <w:rPr>
                <w:rFonts w:ascii="仿宋_GB2312" w:hAnsi="仿宋_GB2312" w:cs="仿宋_GB2312" w:eastAsia="仿宋_GB2312"/>
                <w:sz w:val="24"/>
                <w:color w:val="000000"/>
              </w:rPr>
              <w:t>村共</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个行政村，</w:t>
            </w:r>
            <w:r>
              <w:rPr>
                <w:rFonts w:ascii="仿宋_GB2312" w:hAnsi="仿宋_GB2312" w:cs="仿宋_GB2312" w:eastAsia="仿宋_GB2312"/>
                <w:sz w:val="24"/>
                <w:color w:val="000000"/>
              </w:rPr>
              <w:t>总面积约为</w:t>
            </w:r>
            <w:r>
              <w:rPr>
                <w:rFonts w:ascii="仿宋_GB2312" w:hAnsi="仿宋_GB2312" w:cs="仿宋_GB2312" w:eastAsia="仿宋_GB2312"/>
                <w:sz w:val="24"/>
                <w:color w:val="000000"/>
              </w:rPr>
              <w:t>394.97</w:t>
            </w:r>
            <w:r>
              <w:rPr>
                <w:rFonts w:ascii="仿宋_GB2312" w:hAnsi="仿宋_GB2312" w:cs="仿宋_GB2312" w:eastAsia="仿宋_GB2312"/>
                <w:sz w:val="24"/>
                <w:color w:val="000000"/>
              </w:rPr>
              <w:t>公顷</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3.规划期限</w:t>
            </w:r>
          </w:p>
          <w:p>
            <w:pPr>
              <w:pStyle w:val="null3"/>
              <w:ind w:firstLine="480"/>
              <w:jc w:val="both"/>
            </w:pPr>
            <w:r>
              <w:rPr>
                <w:rFonts w:ascii="仿宋_GB2312" w:hAnsi="仿宋_GB2312" w:cs="仿宋_GB2312" w:eastAsia="仿宋_GB2312"/>
                <w:sz w:val="24"/>
                <w:color w:val="000000"/>
              </w:rPr>
              <w:t>与县级国土空间总体规划期限保持一致。规划目标年为</w:t>
            </w:r>
            <w:r>
              <w:rPr>
                <w:rFonts w:ascii="仿宋_GB2312" w:hAnsi="仿宋_GB2312" w:cs="仿宋_GB2312" w:eastAsia="仿宋_GB2312"/>
                <w:sz w:val="24"/>
                <w:color w:val="000000"/>
              </w:rPr>
              <w:t>2035年，近期一般为 5 年。</w:t>
            </w:r>
          </w:p>
          <w:p>
            <w:pPr>
              <w:pStyle w:val="null3"/>
              <w:ind w:firstLine="480"/>
              <w:jc w:val="both"/>
            </w:pPr>
            <w:r>
              <w:rPr>
                <w:rFonts w:ascii="仿宋_GB2312" w:hAnsi="仿宋_GB2312" w:cs="仿宋_GB2312" w:eastAsia="仿宋_GB2312"/>
                <w:sz w:val="24"/>
                <w:color w:val="000000"/>
              </w:rPr>
              <w:t>4.规划内容</w:t>
            </w:r>
          </w:p>
          <w:p>
            <w:pPr>
              <w:pStyle w:val="null3"/>
              <w:ind w:firstLine="480"/>
              <w:jc w:val="both"/>
            </w:pPr>
            <w:r>
              <w:rPr>
                <w:rFonts w:ascii="仿宋_GB2312" w:hAnsi="仿宋_GB2312" w:cs="仿宋_GB2312" w:eastAsia="仿宋_GB2312"/>
                <w:sz w:val="24"/>
                <w:color w:val="000000"/>
              </w:rPr>
              <w:t>本次技术服务和工作内容根据四川省自然资源厅《关于印发四川省乡镇级、村级规划编制指南和备案审查要点的通知》（川自然资发〔</w:t>
            </w:r>
            <w:r>
              <w:rPr>
                <w:rFonts w:ascii="仿宋_GB2312" w:hAnsi="仿宋_GB2312" w:cs="仿宋_GB2312" w:eastAsia="仿宋_GB2312"/>
                <w:sz w:val="24"/>
                <w:color w:val="000000"/>
              </w:rPr>
              <w:t>2021〕70号）相关要求及其他相关规范技术要求编制，技术服务与工作内容及时响应部、省级相关部门的要求，若有新出台的规范要求，则按最新的规范要求执行。</w:t>
            </w:r>
          </w:p>
          <w:p>
            <w:pPr>
              <w:pStyle w:val="null3"/>
              <w:ind w:firstLine="480"/>
              <w:jc w:val="both"/>
            </w:pPr>
            <w:r>
              <w:rPr>
                <w:rFonts w:ascii="仿宋_GB2312" w:hAnsi="仿宋_GB2312" w:cs="仿宋_GB2312" w:eastAsia="仿宋_GB2312"/>
                <w:sz w:val="24"/>
                <w:color w:val="000000"/>
              </w:rPr>
              <w:t>根据确定的村级片区划分方案进行村级片区国土空间规划编制工作，引领乡村资源要素配置和布局优化，重塑乡村经济地理格局，加强县域经济发展支点。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现状分析</w:t>
            </w:r>
          </w:p>
          <w:p>
            <w:pPr>
              <w:pStyle w:val="null3"/>
              <w:ind w:firstLine="480"/>
              <w:jc w:val="both"/>
            </w:pPr>
            <w:r>
              <w:rPr>
                <w:rFonts w:ascii="仿宋_GB2312" w:hAnsi="仿宋_GB2312" w:cs="仿宋_GB2312" w:eastAsia="仿宋_GB2312"/>
                <w:sz w:val="24"/>
                <w:color w:val="000000"/>
              </w:rPr>
              <w:t>深入分析本片区资源环境、空间布局、产业基础，以及各类设施和农村居民点建设等基本情况。根据当地发展建设现状实际，进一步研究本片区在自然地理、社会经济、产业发展、村庄建设、土地利用等方面的主要特征，梳理需要解决的主要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功能定位</w:t>
            </w:r>
          </w:p>
          <w:p>
            <w:pPr>
              <w:pStyle w:val="null3"/>
              <w:ind w:firstLine="480"/>
              <w:jc w:val="both"/>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产业兴旺、生态宜居、乡风文明、治理有效、生活富裕”的要求，结合乡镇级国土空间总体规划的相关内容，进一步深化村级片区的发展定位，根据人口年龄结构和城乡人口流动趋势，确定村级片区的人口规模，研究提出村级片区规划的思路和目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底线约束</w:t>
            </w:r>
          </w:p>
          <w:p>
            <w:pPr>
              <w:pStyle w:val="null3"/>
              <w:ind w:firstLine="480"/>
              <w:jc w:val="both"/>
            </w:pPr>
            <w:r>
              <w:rPr>
                <w:rFonts w:ascii="仿宋_GB2312" w:hAnsi="仿宋_GB2312" w:cs="仿宋_GB2312" w:eastAsia="仿宋_GB2312"/>
                <w:sz w:val="24"/>
                <w:color w:val="000000"/>
              </w:rPr>
              <w:t>落实乡镇级国土空间总体规划关于统筹安排各类空间的要求，切实做到适地适用、协调好保护与发展的关系，进一步细化下列重点区域范围边界的划定工作：</w:t>
            </w:r>
          </w:p>
          <w:p>
            <w:pPr>
              <w:pStyle w:val="null3"/>
              <w:ind w:firstLine="480"/>
              <w:jc w:val="both"/>
            </w:pPr>
            <w:r>
              <w:rPr>
                <w:rFonts w:ascii="仿宋_GB2312" w:hAnsi="仿宋_GB2312" w:cs="仿宋_GB2312" w:eastAsia="仿宋_GB2312"/>
                <w:sz w:val="24"/>
                <w:color w:val="000000"/>
              </w:rPr>
              <w:t>耕地和永久基本农田。落实乡镇级国土空间总体规划确定的耕地保护和永久基本农田目标任务，细化耕地和永久基本农田布局，并明确管控措施。为适应现代农业发展和农村居民点建设需要，宜在农村居民点和现代农业发展区等用地周边安排一定比例的一般耕地，为未来发展留有余地。</w:t>
            </w:r>
          </w:p>
          <w:p>
            <w:pPr>
              <w:pStyle w:val="null3"/>
              <w:ind w:firstLine="480"/>
              <w:jc w:val="both"/>
            </w:pPr>
            <w:r>
              <w:rPr>
                <w:rFonts w:ascii="仿宋_GB2312" w:hAnsi="仿宋_GB2312" w:cs="仿宋_GB2312" w:eastAsia="仿宋_GB2312"/>
                <w:sz w:val="24"/>
                <w:color w:val="000000"/>
              </w:rPr>
              <w:t>生态保护红线。落实乡镇级国土空间总体规划确定的生态保护红线划定成果，明确相应的管控措施。</w:t>
            </w:r>
          </w:p>
          <w:p>
            <w:pPr>
              <w:pStyle w:val="null3"/>
              <w:ind w:firstLine="480"/>
              <w:jc w:val="both"/>
            </w:pPr>
            <w:r>
              <w:rPr>
                <w:rFonts w:ascii="仿宋_GB2312" w:hAnsi="仿宋_GB2312" w:cs="仿宋_GB2312" w:eastAsia="仿宋_GB2312"/>
                <w:sz w:val="24"/>
                <w:color w:val="000000"/>
              </w:rPr>
              <w:t>其他保护线。根据上位规划确定的防灾安全要求，结合村级精度与地质灾害风险调查评价结果，细化灾害安全防护边界范围。根据上位规划确定的历史文化保护要求，细化落实历史文化保护线。结合当地水资源等自然资源的空间分布，细化落实需要保护的其他各类资源的管控范围和保护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用地布局</w:t>
            </w:r>
          </w:p>
          <w:p>
            <w:pPr>
              <w:pStyle w:val="null3"/>
              <w:ind w:firstLine="480"/>
              <w:jc w:val="both"/>
            </w:pPr>
            <w:r>
              <w:rPr>
                <w:rFonts w:ascii="仿宋_GB2312" w:hAnsi="仿宋_GB2312" w:cs="仿宋_GB2312" w:eastAsia="仿宋_GB2312"/>
                <w:sz w:val="24"/>
                <w:color w:val="000000"/>
              </w:rPr>
              <w:t>围绕片区功能定位和存在的主要问题，按照《国土空间调查、规划、用途管制用地用海分类指南》和下列要求对各类现状用地的布局进行优化，落实到具体图斑。有条件的地区可在优化用地布局的基础上增加历史文化保护、土地综合整治和生态修复专章，进一步深化历史文化资源保护措施、土地综合整治的潜力和重点区域、生态修复的重点任务和具体措施等规划内容。</w:t>
            </w:r>
          </w:p>
          <w:p>
            <w:pPr>
              <w:pStyle w:val="null3"/>
              <w:ind w:firstLine="480"/>
              <w:jc w:val="both"/>
            </w:pPr>
            <w:r>
              <w:rPr>
                <w:rFonts w:ascii="仿宋_GB2312" w:hAnsi="仿宋_GB2312" w:cs="仿宋_GB2312" w:eastAsia="仿宋_GB2312"/>
                <w:sz w:val="24"/>
                <w:color w:val="000000"/>
              </w:rPr>
              <w:t>①农用地布局</w:t>
            </w:r>
          </w:p>
          <w:p>
            <w:pPr>
              <w:pStyle w:val="null3"/>
              <w:ind w:firstLine="480"/>
              <w:jc w:val="both"/>
            </w:pPr>
            <w:r>
              <w:rPr>
                <w:rFonts w:ascii="仿宋_GB2312" w:hAnsi="仿宋_GB2312" w:cs="仿宋_GB2312" w:eastAsia="仿宋_GB2312"/>
                <w:sz w:val="24"/>
                <w:color w:val="000000"/>
              </w:rPr>
              <w:t>落实乡镇级国土空间总体规划确定的耕地保护目标任务，将耕地布局细化落实到图斑。根据当地产业发展重点，统筹安排园地、林地、草地等用地布局。</w:t>
            </w:r>
          </w:p>
          <w:p>
            <w:pPr>
              <w:pStyle w:val="null3"/>
              <w:ind w:firstLine="480"/>
              <w:jc w:val="both"/>
            </w:pPr>
            <w:r>
              <w:rPr>
                <w:rFonts w:ascii="仿宋_GB2312" w:hAnsi="仿宋_GB2312" w:cs="仿宋_GB2312" w:eastAsia="仿宋_GB2312"/>
                <w:sz w:val="24"/>
                <w:color w:val="000000"/>
              </w:rPr>
              <w:t>②农业设施建设用地布局</w:t>
            </w:r>
          </w:p>
          <w:p>
            <w:pPr>
              <w:pStyle w:val="null3"/>
              <w:ind w:firstLine="480"/>
              <w:jc w:val="both"/>
            </w:pPr>
            <w:r>
              <w:rPr>
                <w:rFonts w:ascii="仿宋_GB2312" w:hAnsi="仿宋_GB2312" w:cs="仿宋_GB2312" w:eastAsia="仿宋_GB2312"/>
                <w:sz w:val="24"/>
                <w:color w:val="000000"/>
              </w:rPr>
              <w:t>按照农业现代化发展要求，细化完善农村道路布局，明确直接用于作物种植和畜禽水产养殖的农业设施用地布局。</w:t>
            </w:r>
          </w:p>
          <w:p>
            <w:pPr>
              <w:pStyle w:val="null3"/>
              <w:ind w:firstLine="480"/>
              <w:jc w:val="both"/>
            </w:pPr>
            <w:r>
              <w:rPr>
                <w:rFonts w:ascii="仿宋_GB2312" w:hAnsi="仿宋_GB2312" w:cs="仿宋_GB2312" w:eastAsia="仿宋_GB2312"/>
                <w:sz w:val="24"/>
                <w:color w:val="000000"/>
              </w:rPr>
              <w:t>③建设用地布局</w:t>
            </w:r>
          </w:p>
          <w:p>
            <w:pPr>
              <w:pStyle w:val="null3"/>
              <w:ind w:firstLine="480"/>
              <w:jc w:val="both"/>
            </w:pPr>
            <w:r>
              <w:rPr>
                <w:rFonts w:ascii="仿宋_GB2312" w:hAnsi="仿宋_GB2312" w:cs="仿宋_GB2312" w:eastAsia="仿宋_GB2312"/>
                <w:sz w:val="24"/>
                <w:color w:val="000000"/>
              </w:rPr>
              <w:t>按照乡镇级国土空间总体规划明确的建设用地布局和管控规则，优化细化农村居民点、乡村产业建设用地布局，落实其他建设用地布局，明确土地利用控制要求。</w:t>
            </w:r>
          </w:p>
          <w:p>
            <w:pPr>
              <w:pStyle w:val="null3"/>
              <w:ind w:firstLine="480"/>
              <w:jc w:val="both"/>
            </w:pPr>
            <w:r>
              <w:rPr>
                <w:rFonts w:ascii="仿宋_GB2312" w:hAnsi="仿宋_GB2312" w:cs="仿宋_GB2312" w:eastAsia="仿宋_GB2312"/>
                <w:sz w:val="24"/>
                <w:color w:val="000000"/>
              </w:rPr>
              <w:t>农村居民点建设用地。严格落实</w:t>
            </w:r>
            <w:r>
              <w:rPr>
                <w:rFonts w:ascii="仿宋_GB2312" w:hAnsi="仿宋_GB2312" w:cs="仿宋_GB2312" w:eastAsia="仿宋_GB2312"/>
                <w:sz w:val="24"/>
                <w:color w:val="000000"/>
              </w:rPr>
              <w:t>“一户一宅”，结合当地实际确定居民点人均建设用地标准，根据人口预测结果，合理安排各居民点建设用地规模，划定居民点建设范围，并细化居民点内农村宅基地、村庄内部道路和农村社区服务设施等其他各类用地布局。因地制宜采用“小规模、组团式、微田园、生态化”的布局模式，鼓励各地探索具有当地特色的布局模式。</w:t>
            </w:r>
          </w:p>
          <w:p>
            <w:pPr>
              <w:pStyle w:val="null3"/>
              <w:ind w:firstLine="480"/>
              <w:jc w:val="both"/>
            </w:pPr>
            <w:r>
              <w:rPr>
                <w:rFonts w:ascii="仿宋_GB2312" w:hAnsi="仿宋_GB2312" w:cs="仿宋_GB2312" w:eastAsia="仿宋_GB2312"/>
                <w:sz w:val="24"/>
                <w:color w:val="000000"/>
              </w:rPr>
              <w:t>其他建设用地。根据国家相关政策，按照上位规划和专项规划要求，细化落实军事设施、文物古迹、宗教场所、殡葬场所等特殊用地以及采矿用地、盐田等用地布局。</w:t>
            </w:r>
          </w:p>
          <w:p>
            <w:pPr>
              <w:pStyle w:val="null3"/>
              <w:ind w:firstLine="480"/>
              <w:jc w:val="both"/>
            </w:pPr>
            <w:r>
              <w:rPr>
                <w:rFonts w:ascii="仿宋_GB2312" w:hAnsi="仿宋_GB2312" w:cs="仿宋_GB2312" w:eastAsia="仿宋_GB2312"/>
                <w:sz w:val="24"/>
                <w:color w:val="000000"/>
              </w:rPr>
              <w:t>土地利用控制。根据各类建设的实际需求，明确各类建设用地的用地分类、用地面积、建筑高度等地块控制指标，以及建筑风貌等其他建设管控要求，注重体现乡土风情，避免照搬城镇建设管控指标。可预留不超过</w:t>
            </w:r>
            <w:r>
              <w:rPr>
                <w:rFonts w:ascii="仿宋_GB2312" w:hAnsi="仿宋_GB2312" w:cs="仿宋_GB2312" w:eastAsia="仿宋_GB2312"/>
                <w:sz w:val="24"/>
                <w:color w:val="000000"/>
              </w:rPr>
              <w:t>5%的建设用地机动指标，用于安排村民居住、基础设施和公共服务设施建设，以及乡村旅游休闲等农村新产业新业态用地。暂未明确具体用途的建设用地，可确定为留白用地并明确管控要求，在建设项目审批时落地机动指标、同步更新数据库。</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5）其他用地布局</w:t>
            </w:r>
          </w:p>
          <w:p>
            <w:pPr>
              <w:pStyle w:val="null3"/>
              <w:ind w:firstLine="480"/>
              <w:jc w:val="both"/>
            </w:pPr>
            <w:r>
              <w:rPr>
                <w:rFonts w:ascii="仿宋_GB2312" w:hAnsi="仿宋_GB2312" w:cs="仿宋_GB2312" w:eastAsia="仿宋_GB2312"/>
                <w:sz w:val="24"/>
                <w:color w:val="000000"/>
              </w:rPr>
              <w:t>保护河流、湖泊等自然水域，完善田间排灌系统，优化乡村水网布局。根据用地布局结果，制定国土空间用途结构调整表，明确各类用地的规划增减情况。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6）产业发展</w:t>
            </w:r>
          </w:p>
          <w:p>
            <w:pPr>
              <w:pStyle w:val="null3"/>
              <w:ind w:firstLine="480"/>
              <w:jc w:val="both"/>
            </w:pPr>
            <w:r>
              <w:rPr>
                <w:rFonts w:ascii="仿宋_GB2312" w:hAnsi="仿宋_GB2312" w:cs="仿宋_GB2312" w:eastAsia="仿宋_GB2312"/>
                <w:sz w:val="24"/>
                <w:color w:val="000000"/>
              </w:rPr>
              <w:t>根据上位规划、专项规划，结合自然资源禀赋和现有产业基础，明确产业发展重点，统筹产业发展空间，细化产业用地布局。推动乡村工业向园区集中，原则上不安排新增工业用地。直接服务种植养殖业的农产品加工、电子商务、仓储保鲜冷链、产地低温直销配送等产业，结合农村居民点适度集中布局。在不占用永久基本农田和生态保护红线、不突破规划建设用地等约束性指标、不破坏生态环境和乡村风貌的前提下，因地制宜点状布局乡村旅游用地。鼓励利用集体经营性建设用地发展乡村产业，壮大村集体经济。</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7）设施配套</w:t>
            </w:r>
          </w:p>
          <w:p>
            <w:pPr>
              <w:pStyle w:val="null3"/>
              <w:ind w:firstLine="480"/>
              <w:jc w:val="both"/>
            </w:pPr>
            <w:r>
              <w:rPr>
                <w:rFonts w:ascii="仿宋_GB2312" w:hAnsi="仿宋_GB2312" w:cs="仿宋_GB2312" w:eastAsia="仿宋_GB2312"/>
                <w:sz w:val="24"/>
                <w:color w:val="000000"/>
              </w:rPr>
              <w:t>公服设施：合理布局各类公共服务设施。鼓励利用村内现有场地和建筑用作公共服务设施，明确新建、改建、撤销的设施清单；鼓励各类公共服务设施合设，提高乡村建设用地利用效率。</w:t>
            </w:r>
          </w:p>
          <w:p>
            <w:pPr>
              <w:pStyle w:val="null3"/>
              <w:ind w:firstLine="480"/>
              <w:jc w:val="both"/>
            </w:pPr>
            <w:r>
              <w:rPr>
                <w:rFonts w:ascii="仿宋_GB2312" w:hAnsi="仿宋_GB2312" w:cs="仿宋_GB2312" w:eastAsia="仿宋_GB2312"/>
                <w:sz w:val="24"/>
                <w:color w:val="000000"/>
              </w:rPr>
              <w:t>交通设施：对外交通：落实上位空间规划及交通类专项规划确定的区域重大交通基础设施和农村公路布局，做好用地预留和布局衔接。农村道路：明确农村道路的技术等级和路网布局。提出村组通畅工程建设要求，打通断头路、扩容瓶颈路、新建直连路；结合农村产业和资源禀赋，提出乡村振兴产业路旅游路布局方案，明确一批路景交融的美丽乡村示范路。有条件的地区可结合实际需要，明确机耕道，生产路，森林防火通道等专用道路布局。运输设施：按照乡村运输金通工程建设要求，遵循</w:t>
            </w:r>
            <w:r>
              <w:rPr>
                <w:rFonts w:ascii="仿宋_GB2312" w:hAnsi="仿宋_GB2312" w:cs="仿宋_GB2312" w:eastAsia="仿宋_GB2312"/>
                <w:sz w:val="24"/>
                <w:color w:val="000000"/>
              </w:rPr>
              <w:t>“一站多能、综合利用”的原则，布局村级客运物流综合服务站。</w:t>
            </w:r>
          </w:p>
          <w:p>
            <w:pPr>
              <w:pStyle w:val="null3"/>
              <w:ind w:firstLine="480"/>
              <w:jc w:val="both"/>
            </w:pPr>
            <w:r>
              <w:rPr>
                <w:rFonts w:ascii="仿宋_GB2312" w:hAnsi="仿宋_GB2312" w:cs="仿宋_GB2312" w:eastAsia="仿宋_GB2312"/>
                <w:sz w:val="24"/>
                <w:color w:val="000000"/>
              </w:rPr>
              <w:t>市政设施：合理确定电力、燃气、水利，以及供水、污水、通信、环卫等设施的布局、规模和建设标准，明确重要基础设施廊道和重大邻避设施的建设与管控要求。</w:t>
            </w:r>
          </w:p>
          <w:p>
            <w:pPr>
              <w:pStyle w:val="null3"/>
              <w:ind w:firstLine="480"/>
              <w:jc w:val="both"/>
            </w:pPr>
            <w:r>
              <w:rPr>
                <w:rFonts w:ascii="仿宋_GB2312" w:hAnsi="仿宋_GB2312" w:cs="仿宋_GB2312" w:eastAsia="仿宋_GB2312"/>
                <w:sz w:val="24"/>
                <w:color w:val="000000"/>
              </w:rPr>
              <w:t>防灾设施：落实上级规划或专项规划中防灾减灾工作要求，提出综合防灾减灾目标，根据需要明确居民点消防、防洪排涝、地质灾害防治、抗震等防灾减灾设施规划建设要求。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8）品质提升</w:t>
            </w:r>
          </w:p>
          <w:p>
            <w:pPr>
              <w:pStyle w:val="null3"/>
              <w:ind w:firstLine="480"/>
              <w:jc w:val="both"/>
            </w:pPr>
            <w:r>
              <w:rPr>
                <w:rFonts w:ascii="仿宋_GB2312" w:hAnsi="仿宋_GB2312" w:cs="仿宋_GB2312" w:eastAsia="仿宋_GB2312"/>
                <w:sz w:val="24"/>
                <w:color w:val="000000"/>
              </w:rPr>
              <w:t>提升乡村人居环境品质：优化农村居民点布局，塑造山水田园与乡村聚落相融合的空间形态。确定乡村建筑总体风貌，制定建筑风格指引。补齐垃圾收集设施、污水处理设施、卫生厕所等农村人居环境建设短板，提升乡村宜居水平。</w:t>
            </w:r>
          </w:p>
          <w:p>
            <w:pPr>
              <w:pStyle w:val="null3"/>
              <w:ind w:firstLine="480"/>
              <w:jc w:val="both"/>
            </w:pPr>
            <w:r>
              <w:rPr>
                <w:rFonts w:ascii="仿宋_GB2312" w:hAnsi="仿宋_GB2312" w:cs="仿宋_GB2312" w:eastAsia="仿宋_GB2312"/>
                <w:sz w:val="24"/>
                <w:color w:val="000000"/>
              </w:rPr>
              <w:t>开展土地整治与生态修复：开展农用地综合整治整理。有序开展农村宅基地、土坯房、历史遗留工矿废弃地、城镇低效用地以及其他闲置低效建设用地整治。明确坑塘水面、沟渠、溪流、湿地等水域湿地修复范围和水土流失、防护造林等山体修复范围。鼓励资源富集、矿山分布集中地区利用市场化方式开展绿色矿山建设、推进矿山生态修复。</w:t>
            </w:r>
          </w:p>
          <w:p>
            <w:pPr>
              <w:pStyle w:val="null3"/>
              <w:ind w:firstLine="480"/>
              <w:jc w:val="both"/>
            </w:pPr>
            <w:r>
              <w:rPr>
                <w:rFonts w:ascii="仿宋_GB2312" w:hAnsi="仿宋_GB2312" w:cs="仿宋_GB2312" w:eastAsia="仿宋_GB2312"/>
                <w:sz w:val="24"/>
                <w:color w:val="000000"/>
              </w:rPr>
              <w:t>5、成果要求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1）规划成果严格按照《四川省村规划编制指南》（202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年修订版）审查要求执行，符合省市相关要求，主要包括规划文本、图件、表格、数据库等。正式成果提交纸质文件</w:t>
            </w:r>
            <w:r>
              <w:rPr>
                <w:rFonts w:ascii="仿宋_GB2312" w:hAnsi="仿宋_GB2312" w:cs="仿宋_GB2312" w:eastAsia="仿宋_GB2312"/>
                <w:sz w:val="24"/>
                <w:color w:val="000000"/>
              </w:rPr>
              <w:t>4 套、电子文件光盘 2 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2）规划成果须达到国家、省市相关法律、法规、规范和技术规定要求。符合四川省自然资源厅《四川省村规划编制指南（202</w:t>
            </w:r>
            <w:r>
              <w:rPr>
                <w:rFonts w:ascii="仿宋_GB2312" w:hAnsi="仿宋_GB2312" w:cs="仿宋_GB2312" w:eastAsia="仿宋_GB2312"/>
                <w:sz w:val="24"/>
                <w:color w:val="000000"/>
              </w:rPr>
              <w:t>4</w:t>
            </w:r>
            <w:r>
              <w:rPr>
                <w:rFonts w:ascii="仿宋_GB2312" w:hAnsi="仿宋_GB2312" w:cs="仿宋_GB2312" w:eastAsia="仿宋_GB2312"/>
                <w:sz w:val="24"/>
                <w:color w:val="000000"/>
              </w:rPr>
              <w:t>年修订版）》、《四川省村规划备案程序及审查要点》的要求为准。若有新出台的规范要求，则按最新的规范要求执行</w:t>
            </w:r>
            <w:r>
              <w:rPr>
                <w:rFonts w:ascii="仿宋_GB2312" w:hAnsi="仿宋_GB2312" w:cs="仿宋_GB2312" w:eastAsia="仿宋_GB2312"/>
                <w:sz w:val="24"/>
                <w:color w:val="000000"/>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冕宁县（惠安镇）</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（1）履约验收主体：冕宁县惠安镇人民政府。 （2）履约验收时间：供应商提出验收申请之日起15日内组织验收。 （3）履约验收方式：采购人自行验收。 （4）履约验收程序：一次性验收。项目实施完成后，由采购人组织专业人员按照国家相关规范标准、财库（2016）205号及采购文件的要求供应商配合进行验收。 （5）履约验收内容： （技术）、按照招标文件的质量要求和技术指标、供应商的响应文件及承诺与合同约定标准进行验收。 （商务）、按照招标文件商务要求及供应商响应商务要求内容进行验收。 履约验收验收标准：按照《财政部关于进一步加强政府采购需求和履约验收管理的指导意见》(财库(2016) 205号)、《政府采购需求管理办法》(财库(2021) 22号)的要求及国家行业主管部门规定的标准、方法和内容及招标文件的质量要求和技术指标、供应商的响应文件及承诺与合同约定标准进行验收。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1、合同签订生效后15日内，采购人支付中标人合同款项的 30%作为预付款。，达到付款条件起15日内，支付合同总金额的30.00%</w:t>
            </w:r>
          </w:p>
          <w:p>
            <w:pPr>
              <w:pStyle w:val="null3"/>
              <w:jc w:val="left"/>
            </w:pPr>
            <w:r>
              <w:rPr>
                <w:rFonts w:ascii="仿宋_GB2312" w:hAnsi="仿宋_GB2312" w:cs="仿宋_GB2312" w:eastAsia="仿宋_GB2312"/>
              </w:rPr>
              <w:t>2、规划成果经县专家会审查通过后15日内支付合同总价的40%，达到付款条件起15日内，支付合同总金额的40.00%</w:t>
            </w:r>
          </w:p>
          <w:p>
            <w:pPr>
              <w:pStyle w:val="null3"/>
              <w:jc w:val="left"/>
            </w:pPr>
            <w:r>
              <w:rPr>
                <w:rFonts w:ascii="仿宋_GB2312" w:hAnsi="仿宋_GB2312" w:cs="仿宋_GB2312" w:eastAsia="仿宋_GB2312"/>
              </w:rPr>
              <w:t>3、规划成果通过县人民政府审批后15日内支付合同总价的20%，达到付款条件起15日内，支付合同总金额的20.00%</w:t>
            </w:r>
          </w:p>
          <w:p>
            <w:pPr>
              <w:pStyle w:val="null3"/>
              <w:jc w:val="left"/>
            </w:pPr>
            <w:r>
              <w:rPr>
                <w:rFonts w:ascii="仿宋_GB2312" w:hAnsi="仿宋_GB2312" w:cs="仿宋_GB2312" w:eastAsia="仿宋_GB2312"/>
              </w:rPr>
              <w:t>4、规划成果提交至四川省自然资源厅审查及备案后15日内支付合同总价的10%，达到付款条件起15日内，支付合同总金额的10.00%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（3）解决合同纠纷的方式：因本合同履行过程中产生的争议，双方应友好协商解决。经协商不能解决的，任何一方均可以向甲方所在地的有管辖权的法院提起诉讼。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 （1）本项目为总价报价方式，供应商的报价是履行合同的最终价格，是供应商完成本项目所需的一切费用，采购人不再支付任何费用。供应商报价估算错误等引起的风险由投标人自行承担。本项目最高限价75万元。供应商报价需符合预算要求，超出预算价及最高限价的的报价为无效竞标。 （2）预算控制价：75万元 。供应商报价需符合预算控制价要求，供应商报价需符合项目的预算控制价要求，超出项目预算控制价的报价为无效响应。 2、供应商应对本采购项目进行分析并编制项目方案。 （1）项目基础分析内容包括但不限于：①项目编制意义；②背景政策研究；③现状发展分析；④存在的问题；⑤面临的形势与机遇。 （2）技术方案内容包括但不限于：①规划指导思想；②规划原则；③规划目标及发展愿景；④规划编制工作程序及技术路线；⑤规划策略等进行分析。 （3）服务方案内容包括但不限于：①人员配置及分工；②项目进度保证措施。③安全管理制度；④成果质量保障措施；⑤后续服务方案； （4）供应商应配备能履行合同的相关专业技术人员。 （5）供应商应具备类似项目的履约经验。 3、★保密原则：在项目实施程中接触到的所有信息和数据严格保密，未经授权不得拷贝，留存，不得泄露给任何单位和个人，不得利用此数据进行任何侵害采购方的行为，否则采购方有权追究供应商的责任。注：“所有信息”包括但不限于：书面、口头、可视方式接触到的文件、资料和数据等关于本项目的任何信息。 4、★安全责任 中标单位在服务实施过程中的安全责任由中标单位负全责，采购人不承担任何安全责任， 也不承担如发生安全事故产生的任何责任。 5、其他未尽事宜合同中约定。 注：“★”为实质性要求，实质性要求不允许负偏离，否则作无效竞标处理。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响应文件封面,中小企业声明函,残疾人福利性单位声明函,供应商应提交的相关证明材料,报价表,投标（响应）函,监狱企业的证明文件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供应商认为需要提供的其它证明材料,具有健全财务会计制度的证明材料,投标（响应）函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具备国家行政主管部门颁发的有效期内的城乡规划规划编制乙级及以上资质。</w:t>
            </w:r>
          </w:p>
        </w:tc>
        <w:tc>
          <w:tcPr>
            <w:tcW w:type="dxa" w:w="3322"/>
          </w:tcPr>
          <w:p>
            <w:pPr>
              <w:pStyle w:val="null3"/>
              <w:jc w:val="left"/>
            </w:pPr>
            <w:r>
              <w:rPr>
                <w:rFonts w:ascii="仿宋_GB2312" w:hAnsi="仿宋_GB2312" w:cs="仿宋_GB2312" w:eastAsia="仿宋_GB2312"/>
              </w:rPr>
              <w:t>具备国家行政主管部门颁发的有效期内的城乡规划规划编制乙级及以上资质。（提供资质证书复印件加盖供应商鲜章）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项目基础分析</w:t>
            </w:r>
          </w:p>
        </w:tc>
        <w:tc>
          <w:tcPr>
            <w:tcW w:type="dxa" w:w="2575"/>
          </w:tcPr>
          <w:p>
            <w:pPr>
              <w:pStyle w:val="null3"/>
              <w:jc w:val="left"/>
            </w:pPr>
            <w:r>
              <w:rPr>
                <w:rFonts w:ascii="仿宋_GB2312" w:hAnsi="仿宋_GB2312" w:cs="仿宋_GB2312" w:eastAsia="仿宋_GB2312"/>
              </w:rPr>
              <w:t>供应商需针对本项目编制项目背景政策、项目编制意义及现状问题研究分析，需包含： （1）项目编制意义； （2）背景政策研究； （3）现状发展分析； （4）存在的问题； （5）面临的形势与机遇。 上述内容完整详细且满足采购文件要求得10分，每缺失一项扣2分，每有一处内容缺陷扣1分，扣完为止。（内容缺陷指：缺陷指：存在不适用项目实际情况的情形、方案标题与实际内容有不相符合、方案中内容前后混乱、内容缺失、不符合/不满足采购需求、涉及的规范及标准错误等）</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供应商认为需要提供的其它证明材料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575"/>
          </w:tcPr>
          <w:p>
            <w:pPr>
              <w:pStyle w:val="null3"/>
              <w:jc w:val="left"/>
            </w:pPr>
            <w:r>
              <w:rPr>
                <w:rFonts w:ascii="仿宋_GB2312" w:hAnsi="仿宋_GB2312" w:cs="仿宋_GB2312" w:eastAsia="仿宋_GB2312"/>
              </w:rPr>
              <w:t>投标人针对本项目编制规划方案，需包含： （1）规划指导思想； （2）规划原则； （3）规划目标及发展愿景； （4）规划编制工作程序及技术路线； （5）规划策略等进行分析。 上述内容完整详细且满足采购文件要求得35分，每缺失一项扣7分，每有一处内容缺陷扣3.5分，扣完为止。（内容缺陷指：缺陷指：存在不适用项目实际情况的情形、方案标题与实际内容有不相符合、方案中内容前后混乱、内容缺失、不符合/不满足采购需求、涉及的规范及标准错误等）</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供应商认为需要提供的其它证明材料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投标人需针对本项目编制服务体系方案，方案需包括： （1）人员配置及分工 （2）项目进度保证措施。 （3）安全管理制度； （4）成果质量保障措施； （5）后续服务方案； 上述内容完整详细且满足采购文件要求得10分，每缺失一项扣2分，每有一处内容缺陷扣1分，扣完为止。（内容缺陷指：缺陷指：存在不适用项目实际情况的情形、方案标题与实际内容有不相符合、方案中内容前后混乱、内容缺失、不符合/不满足采购需求、涉及的规范及标准错误等）</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供应商认为需要提供的其它证明材料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专业技术人员配置</w:t>
            </w:r>
          </w:p>
        </w:tc>
        <w:tc>
          <w:tcPr>
            <w:tcW w:type="dxa" w:w="2575"/>
          </w:tcPr>
          <w:p>
            <w:pPr>
              <w:pStyle w:val="null3"/>
              <w:jc w:val="left"/>
            </w:pPr>
            <w:r>
              <w:rPr>
                <w:rFonts w:ascii="仿宋_GB2312" w:hAnsi="仿宋_GB2312" w:cs="仿宋_GB2312" w:eastAsia="仿宋_GB2312"/>
              </w:rPr>
              <w:t>1.项目负责人（11分） 具有国家注册城乡（市）规划师得4分，同时具备国土空间规划（城市规划类）高级工程师及以上技术职称再加4分，同时具有城市设计高级工程师及以上技术职称再加3分，本项最多11分， 2.技术负责人（8分） 具有国家注册城乡（市）规划师得4分，同时具备国土空间规划（城市规划类）高级工程师及以上技术职称再加4分,本项满分8分。 3.项目技术人员（8分） 项目组其他成员每有1人具有城市规划或国土空间规划或土地或国土整治专业中级及以上技术职称的得4分，在此基础上具有国家注册城乡(市)规划师的加4分；此项满分8分； 注：以上人员不重复计分，需提供相关证书复印件及在职证明材料并加盖公章。</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供应商认为需要提供的其它证明材料</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自2020年1月1日至响应文件递交截止日，具有类似项目履约经验，每提供1个得4分，本项满分8分。 注：1.类似项目指国土空间规划类项目 2.提供合同（协议书）或中标（成交）通知书复印件并加盖公章。</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供应商认为需要提供的其它证明材料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满足磋商文件要求且响应价格最低的响应报价为磋商基准价，其价格分为满分。其他供应商的价格分统一按照下列公式计算：磋商报价得分=(磋商基准价／最后磋商报价)*10%*100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详见附件：供应商认为需要提供的其它证明材料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