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惠安县生活垃圾焚烧发电厂飞灰填埋及周边水环境管理服务项目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CGXM-2025-350521-00207[2025]00176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[350521]YXG[GK]2025003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惠安县市政公用事业发展中心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泉州永信房地产评估项目咨询有限公司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惠安县生活垃圾焚烧发电厂飞灰填埋及周边水环境管理服务项目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CGXM-2025-350521-00207[2025]00176</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[350521]YXG[GK]2025003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惠安县市政公用事业发展中心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惠安县螺城镇石灵街196号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18350750320</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泉州永信房地产评估项目咨询有限公司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惠安县螺城镇乐园街</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362100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0595-87362639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泉州永信房地产评估项目咨询有限公司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9,350,307.00</w:t>
      </w:r>
    </w:p>
    <w:p>
      <w:pPr>
        <w:pStyle w:val="null3"/>
        <w:jc w:val="left"/>
      </w:pPr>
      <w:r>
        <w:rPr>
          <w:rFonts w:ascii="仿宋_GB2312" w:hAnsi="仿宋_GB2312" w:cs="仿宋_GB2312" w:eastAsia="仿宋_GB2312"/>
        </w:rPr>
        <w:t>采购包最高限价（元）: 9,350,307.00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生活垃圾焚烧发电厂飞灰填埋及周边水环境管理</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9,350,307.00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生活垃圾焚烧发电厂飞灰填埋及周边水环境管理</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9,350,307.00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生活垃圾焚烧发电厂飞灰填埋及周边水环境管理</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水环境运营</w:t>
            </w:r>
          </w:p>
        </w:tc>
        <w:tc>
          <w:tcPr>
            <w:tcW w:type="dxa" w:w="2076"/>
          </w:tcPr>
          <w:p>
            <w:pPr>
              <w:pStyle w:val="null3"/>
              <w:jc w:val="left"/>
            </w:pPr>
            <w:r>
              <w:rPr>
                <w:rFonts w:ascii="仿宋_GB2312" w:hAnsi="仿宋_GB2312" w:cs="仿宋_GB2312" w:eastAsia="仿宋_GB2312"/>
              </w:rPr>
              <w:t>含税全包价</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2,932,191.00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飞灰填埋</w:t>
            </w:r>
          </w:p>
        </w:tc>
        <w:tc>
          <w:tcPr>
            <w:tcW w:type="dxa" w:w="2076"/>
          </w:tcPr>
          <w:p>
            <w:pPr>
              <w:pStyle w:val="null3"/>
              <w:jc w:val="left"/>
            </w:pPr>
            <w:r>
              <w:rPr>
                <w:rFonts w:ascii="仿宋_GB2312" w:hAnsi="仿宋_GB2312" w:cs="仿宋_GB2312" w:eastAsia="仿宋_GB2312"/>
              </w:rPr>
              <w:t>含税全包价</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3,134,295.00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淋溶水处置</w:t>
            </w:r>
          </w:p>
        </w:tc>
        <w:tc>
          <w:tcPr>
            <w:tcW w:type="dxa" w:w="2076"/>
          </w:tcPr>
          <w:p>
            <w:pPr>
              <w:pStyle w:val="null3"/>
              <w:jc w:val="left"/>
            </w:pPr>
            <w:r>
              <w:rPr>
                <w:rFonts w:ascii="仿宋_GB2312" w:hAnsi="仿宋_GB2312" w:cs="仿宋_GB2312" w:eastAsia="仿宋_GB2312"/>
              </w:rPr>
              <w:t>含税全包价</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3,283,821.00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惠安县财政局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采购委托协议约定金额4.32万元计取，代理服务费在领取中标通知书时以转帐、电汇、现金等方式一次性缴清。请投标人在报价时予以充分考虑。代理服务费以人民币支付。服务费缴交账户：开户银行：中国民生银行股份有限公司泉州惠安支行，开户名称：泉州永信房地产评估项目咨询有限公司，银行账号：693819097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①质疑事项其他要求：a.质疑函以中国政府采购网(www.ccgp.gov.cn)公布的“政府采购供应商质疑函范本”格 式为准，投标人若有质疑事项请自行到中国政府采购网“下载专区”中下载使用，不符合上述要求的质疑函不予受 理；b.针对同一采购程序环节的质疑多次提出的不予受理；c.质疑函应以书面形式提交至泉州永信房地产评估项 目咨询有限公司(地址：泉州市惠安县螺城镇自来水营业大楼三楼),否则不予受理。②经审计的上一年度的年度财务报告可为2023年度或2024年度。③中标人需在采购结果公告后三个工作日内向采购代理机构提交一份纸质投标文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1.“远程不见面开标”事项：a.本项目不要求投标人递交纸质投标文件，招标文件中关于投标人须在开标现场完成的事项，包括但不限于签字、检查及确认等各项要求，不适用于本项目； b.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 远程开标在操作过程中如有疑问请咨询400-161-2666。投标人因自身原因造成无法正常观看开标流程、远程解密或签章的，后果由投标人自行承担； c.在规定的时间内正确提交电子投标文件的投标人在开标时将由系统判定签到情况，具体信息以福建省政府采购网上公开信息系统所示为准； d.投标人应在远程解密开启后30分钟内使用CA数字证书进行投标文件的解密操作，逾期未解密的视为放弃投标； e.唱标结束后，投标人可对开标结果进行签章，并在远程签章开放后10分钟内完成，逾期未签章的视为认同开标结果； f.远程解密及远程签章的开放起始时间均在开标过程中临时开启，请投标人务必密切关注实时开标流程，并根据流程在系统内按时操作，否则产生的后果由投标人自行承担；g.开、评标期间，投标人代表应保证采购系统中预留的联系方式畅通，以便随时接收并答复评标委员会发起的澄清等事项，具体操作过程请下载供应商操作手册查看。 2.被视为串标情形的，将按照《福建省财政厅关于电子化政府采购项目中视为串标情形认定与处理的指导意见》进行处理。 3.在电子投标文件中，涉及“单位负责人签字”的内容可使用打字录入方式完成。</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提出询问，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由泉州永信房地产评估项目咨询有限公司派出的工作人员至少1人，</w:t>
      </w:r>
      <w:r>
        <w:rPr>
          <w:rFonts w:ascii="仿宋_GB2312" w:hAnsi="仿宋_GB2312" w:cs="仿宋_GB2312" w:eastAsia="仿宋_GB2312"/>
        </w:rPr>
        <w:t>其余1人可为采购人代表或泉州永信房地产评估项目咨询有限公司的工作人员。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技术要求中标注“★”符号的技术参数为不允许负偏离的实质性要求，若有负偏离按无效投标处理。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（1）投标人的交货地点、交货时间、交货条件不符合招标文件要求，或不接受招标文件规定的合同款支付方式。（2）不符合招标文件中规定的其它实质性要求的条款。</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按《关于在相关自由贸易试验区和自由贸易港开展推动解决政府采购异常低价问题试点工作的通知》（财办库〔2024〕265号）规定执行：一、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二、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三、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泉州永信房地产评估项目咨询有限公司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技术项（F2×A2）满分为80.0000分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技术和服务要求响应情况</w:t>
            </w:r>
          </w:p>
        </w:tc>
        <w:tc>
          <w:tcPr>
            <w:tcW w:type="dxa" w:w="831"/>
          </w:tcPr>
          <w:p>
            <w:pPr>
              <w:pStyle w:val="null3"/>
              <w:jc w:val="right"/>
            </w:pPr>
            <w:r>
              <w:rPr>
                <w:rFonts w:ascii="仿宋_GB2312" w:hAnsi="仿宋_GB2312" w:cs="仿宋_GB2312" w:eastAsia="仿宋_GB2312"/>
              </w:rPr>
              <w:t>45.00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根据各投标人对本项目的技术和服务要求响应情况进行评审：完全满足采购文件要求的得45分，以“★”标示的评审项[共3项] 为不允许负偏离的实质性要求，如有负偏离的响应无效，其它无符号标示的评审项[共15项]有负偏离的每一项扣3分。</w:t>
            </w:r>
          </w:p>
        </w:tc>
      </w:tr>
      <w:tr>
        <w:tc>
          <w:tcPr>
            <w:tcW w:type="dxa" w:w="3322"/>
          </w:tcPr>
          <w:p>
            <w:pPr>
              <w:pStyle w:val="null3"/>
              <w:jc w:val="both"/>
            </w:pPr>
            <w:r>
              <w:rPr>
                <w:rFonts w:ascii="仿宋_GB2312" w:hAnsi="仿宋_GB2312" w:cs="仿宋_GB2312" w:eastAsia="仿宋_GB2312"/>
              </w:rPr>
              <w:t>运营管理制度方案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根据投标人针对本项目制定的“运营管理制度方案” 情况进行评审： （1）方案整体思路清晰、内容描述完整、逻辑性强的得3分； （2）方案整体思路一般、内容描述较完整、逻辑性一般的得2.9分； （3）方案整体思路模糊、内容描述不完整、逻辑性差的得2.8分； （4）未提供方案的本项不得分。</w:t>
            </w:r>
          </w:p>
        </w:tc>
      </w:tr>
      <w:tr>
        <w:tc>
          <w:tcPr>
            <w:tcW w:type="dxa" w:w="3322"/>
          </w:tcPr>
          <w:p>
            <w:pPr>
              <w:pStyle w:val="null3"/>
              <w:jc w:val="both"/>
            </w:pPr>
            <w:r>
              <w:rPr>
                <w:rFonts w:ascii="仿宋_GB2312" w:hAnsi="仿宋_GB2312" w:cs="仿宋_GB2312" w:eastAsia="仿宋_GB2312"/>
              </w:rPr>
              <w:t>运维设备维护方案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根据投标人针对本项目制定的“运维设备维护方案”情况(包括并不限于设备检修维护规程、制度等）进行评审： （1）方案整体思路清晰、内容描述完整、逻辑性强的得3分； （2）方案整体思路一般、内容描述较完整、逻辑性一般的得2.9分； （3）方案整体思路模糊、内容描述不完整、逻辑性差的得2.8分； （4）未提供方案的本项不得分。</w:t>
            </w:r>
          </w:p>
        </w:tc>
      </w:tr>
      <w:tr>
        <w:tc>
          <w:tcPr>
            <w:tcW w:type="dxa" w:w="3322"/>
          </w:tcPr>
          <w:p>
            <w:pPr>
              <w:pStyle w:val="null3"/>
              <w:jc w:val="both"/>
            </w:pPr>
            <w:r>
              <w:rPr>
                <w:rFonts w:ascii="仿宋_GB2312" w:hAnsi="仿宋_GB2312" w:cs="仿宋_GB2312" w:eastAsia="仿宋_GB2312"/>
              </w:rPr>
              <w:t>安全管理制度方案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根据投标人针对本项目制定的“安全管理制度方案”情况进行评审： （1）方案整体思路清晰、内容描述完整、逻辑性强的得3分； （2）方案整体思路一般、内容描述较完整、逻辑性一般的得2.9分； （3）方案整体思路模糊、内容描述不完整、逻辑性差的得2.8分； （4）未提供方案的本项不得分。</w:t>
            </w:r>
          </w:p>
        </w:tc>
      </w:tr>
      <w:tr>
        <w:tc>
          <w:tcPr>
            <w:tcW w:type="dxa" w:w="3322"/>
          </w:tcPr>
          <w:p>
            <w:pPr>
              <w:pStyle w:val="null3"/>
              <w:jc w:val="both"/>
            </w:pPr>
            <w:r>
              <w:rPr>
                <w:rFonts w:ascii="仿宋_GB2312" w:hAnsi="仿宋_GB2312" w:cs="仿宋_GB2312" w:eastAsia="仿宋_GB2312"/>
              </w:rPr>
              <w:t>应急预案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根据投标人针对本项目制定的“应急预案”情况(包括并不限于事故应急抢修能力、紧急处理事故外排水能力，具备事故应急池等）进行评审： （1）预案整体思路清晰、内容描述完整、逻辑性强的得3分； （2）预案整体思路一般、内容描述较完整、逻辑性一般的得2.9分； （3）预案整体思路模糊、内容描述不完整、逻辑性差的得2.8分； (4）未提供预案案的本项不得分。</w:t>
            </w:r>
          </w:p>
        </w:tc>
      </w:tr>
      <w:tr>
        <w:tc>
          <w:tcPr>
            <w:tcW w:type="dxa" w:w="3322"/>
          </w:tcPr>
          <w:p>
            <w:pPr>
              <w:pStyle w:val="null3"/>
              <w:jc w:val="both"/>
            </w:pPr>
            <w:r>
              <w:rPr>
                <w:rFonts w:ascii="仿宋_GB2312" w:hAnsi="仿宋_GB2312" w:cs="仿宋_GB2312" w:eastAsia="仿宋_GB2312"/>
              </w:rPr>
              <w:t>飞灰填埋方案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根据投标人针对本项目制定的“飞灰填埋方案”情况进行评审： （1）方案整体思路清晰、内容描述完整、逻辑性强的得3分； （2）方案整体思路一般、内容描述较完整、逻辑性一般的得2.9分； （3）方案整体思路模糊、内容描述不完整、逻辑性差的得2.8分； (4）未提供方案的本项不得分。</w:t>
            </w:r>
          </w:p>
        </w:tc>
      </w:tr>
      <w:tr>
        <w:tc>
          <w:tcPr>
            <w:tcW w:type="dxa" w:w="3322"/>
          </w:tcPr>
          <w:p>
            <w:pPr>
              <w:pStyle w:val="null3"/>
              <w:jc w:val="both"/>
            </w:pPr>
            <w:r>
              <w:rPr>
                <w:rFonts w:ascii="仿宋_GB2312" w:hAnsi="仿宋_GB2312" w:cs="仿宋_GB2312" w:eastAsia="仿宋_GB2312"/>
              </w:rPr>
              <w:t>作业人员</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拟投入本项目的作业人员具有安全生产管理人员证书的得1分。 注：须为本单位人员（以社保证明材料注明的单位为准），且需提供相关证书及投标截止时间前六个月（不含投标截止时间的当月）中任一月份的社保证明材料，否则不予认定。</w:t>
            </w:r>
          </w:p>
        </w:tc>
      </w:tr>
      <w:tr>
        <w:tc>
          <w:tcPr>
            <w:tcW w:type="dxa" w:w="3322"/>
          </w:tcPr>
          <w:p>
            <w:pPr>
              <w:pStyle w:val="null3"/>
              <w:jc w:val="both"/>
            </w:pPr>
            <w:r>
              <w:rPr>
                <w:rFonts w:ascii="仿宋_GB2312" w:hAnsi="仿宋_GB2312" w:cs="仿宋_GB2312" w:eastAsia="仿宋_GB2312"/>
              </w:rPr>
              <w:t>作业人员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拟投入本项目的作业人员具有安全员证书的得1.5分，具有注册安全工程师证书得3分。最高分3分。 注：须为本单位人员（以社保证明材料注明的单位为准），且需提供相关证书及投标截止时间前六个月（不含投标截止时间的当月）中任一月份的社保证明材料，否则不予认定。</w:t>
            </w:r>
          </w:p>
        </w:tc>
      </w:tr>
      <w:tr>
        <w:tc>
          <w:tcPr>
            <w:tcW w:type="dxa" w:w="3322"/>
          </w:tcPr>
          <w:p>
            <w:pPr>
              <w:pStyle w:val="null3"/>
              <w:jc w:val="both"/>
            </w:pPr>
            <w:r>
              <w:rPr>
                <w:rFonts w:ascii="仿宋_GB2312" w:hAnsi="仿宋_GB2312" w:cs="仿宋_GB2312" w:eastAsia="仿宋_GB2312"/>
              </w:rPr>
              <w:t>作业人员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拟投入本项目的作业人员具有环境或电气相关专业初级职称证书的得1分，具有环境或电气相关专业中级职称证书的得2分，具有环境或电气相关专业高级职称证书的得3分。最高3分。 注：①须为本单位人员（以社保证明材料注明的单位为准），且需提供相关证书及投标截止时间前六个月（不含投标截止时间的当月）中任一月份的社保证明材料，否则不予认定。 ②同一人有多个职称证书的按最高项计。</w:t>
            </w:r>
          </w:p>
        </w:tc>
      </w:tr>
      <w:tr>
        <w:tc>
          <w:tcPr>
            <w:tcW w:type="dxa" w:w="3322"/>
          </w:tcPr>
          <w:p>
            <w:pPr>
              <w:pStyle w:val="null3"/>
              <w:jc w:val="both"/>
            </w:pPr>
            <w:r>
              <w:rPr>
                <w:rFonts w:ascii="仿宋_GB2312" w:hAnsi="仿宋_GB2312" w:cs="仿宋_GB2312" w:eastAsia="仿宋_GB2312"/>
              </w:rPr>
              <w:t>作业人员</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拟投入本项目的作业人员具有焊接与热切割作业证得1分；具有装配钳工证书的得1分。满分2分。 注：须为本单位人员（以社保证明材料注明的单位为准），且需提供相关证书及投标截止时间前六个月（不含投标截止时间的当月）中任一月份的社保证明材料，否则不予认定。</w:t>
            </w:r>
          </w:p>
        </w:tc>
      </w:tr>
      <w:tr>
        <w:tc>
          <w:tcPr>
            <w:tcW w:type="dxa" w:w="3322"/>
          </w:tcPr>
          <w:p>
            <w:pPr>
              <w:pStyle w:val="null3"/>
              <w:jc w:val="both"/>
            </w:pPr>
            <w:r>
              <w:rPr>
                <w:rFonts w:ascii="仿宋_GB2312" w:hAnsi="仿宋_GB2312" w:cs="仿宋_GB2312" w:eastAsia="仿宋_GB2312"/>
              </w:rPr>
              <w:t>作业人员</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拟投入本项目的作业人员具有电工作业证的每人得0.5分，满分2分。 注：须为本单位人员（以社保证明材料注明的单位为准），且需提供相关证书及投标截止时间前六个月（不含投标截止时间的当月）中任一月份的社保证明材料，否则不予认定。</w:t>
            </w:r>
          </w:p>
        </w:tc>
      </w:tr>
      <w:tr>
        <w:tc>
          <w:tcPr>
            <w:tcW w:type="dxa" w:w="3322"/>
          </w:tcPr>
          <w:p>
            <w:pPr>
              <w:pStyle w:val="null3"/>
              <w:jc w:val="both"/>
            </w:pPr>
            <w:r>
              <w:rPr>
                <w:rFonts w:ascii="仿宋_GB2312" w:hAnsi="仿宋_GB2312" w:cs="仿宋_GB2312" w:eastAsia="仿宋_GB2312"/>
              </w:rPr>
              <w:t>作业保障情况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投标人具备污水在线监测系统的得2分。 注：需提供购买合同相关证明材料，否则不得分。</w:t>
            </w:r>
          </w:p>
        </w:tc>
      </w:tr>
      <w:tr>
        <w:tc>
          <w:tcPr>
            <w:tcW w:type="dxa" w:w="3322"/>
          </w:tcPr>
          <w:p>
            <w:pPr>
              <w:pStyle w:val="null3"/>
              <w:jc w:val="both"/>
            </w:pPr>
            <w:r>
              <w:rPr>
                <w:rFonts w:ascii="仿宋_GB2312" w:hAnsi="仿宋_GB2312" w:cs="仿宋_GB2312" w:eastAsia="仿宋_GB2312"/>
              </w:rPr>
              <w:t>作业保障情况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投标人具备污水处置能力的得2分。 注：需提供污水处置资质证明文件、或污水（或渗滤液）接收处置合同等其他证明材料，否则不得分。</w:t>
            </w:r>
          </w:p>
        </w:tc>
      </w:tr>
      <w:tr>
        <w:tc>
          <w:tcPr>
            <w:tcW w:type="dxa" w:w="3322"/>
          </w:tcPr>
          <w:p>
            <w:pPr>
              <w:pStyle w:val="null3"/>
              <w:jc w:val="both"/>
            </w:pPr>
            <w:r>
              <w:rPr>
                <w:rFonts w:ascii="仿宋_GB2312" w:hAnsi="仿宋_GB2312" w:cs="仿宋_GB2312" w:eastAsia="仿宋_GB2312"/>
              </w:rPr>
              <w:t>作业保障情况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投标人具备可存储1000吨及以上的危废存储间的得2分。 需提供投标人自有的危废存储间照片等相关证明材料，否则不得分。</w:t>
            </w:r>
          </w:p>
        </w:tc>
      </w:tr>
      <w:tr>
        <w:tc>
          <w:tcPr>
            <w:tcW w:type="dxa" w:w="3322"/>
          </w:tcPr>
          <w:p>
            <w:pPr>
              <w:pStyle w:val="null3"/>
              <w:jc w:val="both"/>
            </w:pPr>
            <w:r>
              <w:rPr>
                <w:rFonts w:ascii="仿宋_GB2312" w:hAnsi="仿宋_GB2312" w:cs="仿宋_GB2312" w:eastAsia="仿宋_GB2312"/>
              </w:rPr>
              <w:t>作业保障情况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投标人具备化验室的2分。 注：需提供场所及化验设备照片，否则不得分。</w:t>
            </w:r>
          </w:p>
        </w:tc>
      </w:tr>
      <w:tr>
        <w:tc>
          <w:tcPr>
            <w:tcW w:type="dxa" w:w="3322"/>
          </w:tcPr>
          <w:p>
            <w:pPr>
              <w:pStyle w:val="null3"/>
              <w:jc w:val="both"/>
            </w:pPr>
            <w:r>
              <w:rPr>
                <w:rFonts w:ascii="仿宋_GB2312" w:hAnsi="仿宋_GB2312" w:cs="仿宋_GB2312" w:eastAsia="仿宋_GB2312"/>
              </w:rPr>
              <w:t>作业保障情况</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投标人具有可投入本项目的化验人员，且该人员具有化学等相关专业初级或以上职称证书的1分。 注：须为本单位人员（以社保证明材料注明的单位为准），且需提供相关证书及投标截止时间前六个月（不含投标截止时间的当月）中任一月份的社保证明材料，否则不予认定。</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投标人具有有效ISO质量管理体系认证、ISO环境管理体系认证、职业健康安全管理体系认证三种认证证书之一的，每种认证得1分，满分3分。 注：需提供认证证书及全国认证认可信息公共服务平台(网址：http://cx.cnca.cn/)查询结果页面信息，否则不得分。</w:t>
            </w:r>
          </w:p>
        </w:tc>
      </w:tr>
      <w:tr>
        <w:tc>
          <w:tcPr>
            <w:tcW w:type="dxa" w:w="3322"/>
          </w:tcPr>
          <w:p>
            <w:pPr>
              <w:pStyle w:val="null3"/>
              <w:jc w:val="both"/>
            </w:pPr>
            <w:r>
              <w:rPr>
                <w:rFonts w:ascii="仿宋_GB2312" w:hAnsi="仿宋_GB2312" w:cs="仿宋_GB2312" w:eastAsia="仿宋_GB2312"/>
              </w:rPr>
              <w:t>综合实力</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投标人具备安全生产标准化证书二级或以上得1分。 注：需提供相关证书，否则不得分。</w:t>
            </w:r>
          </w:p>
        </w:tc>
      </w:tr>
      <w:tr>
        <w:tc>
          <w:tcPr>
            <w:tcW w:type="dxa" w:w="3322"/>
          </w:tcPr>
          <w:p>
            <w:pPr>
              <w:pStyle w:val="null3"/>
              <w:jc w:val="both"/>
            </w:pPr>
            <w:r>
              <w:rPr>
                <w:rFonts w:ascii="仿宋_GB2312" w:hAnsi="仿宋_GB2312" w:cs="仿宋_GB2312" w:eastAsia="仿宋_GB2312"/>
              </w:rPr>
              <w:t>员工保障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服务人员购买的人身意外保险情况（包括个人意外险或雇主责任险，死亡伤残赔付限额大于等于50万元且医疗费用赔偿限额大于等于5万元的标准）进行评议，30人≤购买人数＜60人的得1分，60人≤购买人数＜90人的得2分，≥90人的得3分，其他不得分。 注：须提供有效期内的保险单正本和保险承保明细表（含分公司、子公司等分支机构），未按要求提供不得分。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投标人通过政府采购取得同类型业绩的得3分。 注：需提供该业绩项目的中标（成交）公告（提供相关网站的下载网页及其网址）、中标（成交）通知书、合同文本或能够证明该业绩项目已经采购单位验收合格的相关证明文件，并罗列业绩清单。未能提供业绩的或业绩资料提供不齐全，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惠安县生活垃圾焚烧发电厂位于惠安县山霞镇垵固村，于</w:t>
      </w:r>
      <w:r>
        <w:rPr>
          <w:rFonts w:ascii="仿宋_GB2312" w:hAnsi="仿宋_GB2312" w:cs="仿宋_GB2312" w:eastAsia="仿宋_GB2312"/>
          <w:sz w:val="24"/>
        </w:rPr>
        <w:t>2010</w:t>
      </w:r>
      <w:r>
        <w:rPr>
          <w:rFonts w:ascii="仿宋_GB2312" w:hAnsi="仿宋_GB2312" w:cs="仿宋_GB2312" w:eastAsia="仿宋_GB2312"/>
          <w:sz w:val="24"/>
        </w:rPr>
        <w:t>年底建设完成投入试运行。</w:t>
      </w:r>
    </w:p>
    <w:p>
      <w:pPr>
        <w:pStyle w:val="null3"/>
        <w:ind w:firstLine="564"/>
        <w:jc w:val="both"/>
      </w:pPr>
      <w:r>
        <w:rPr>
          <w:rFonts w:ascii="仿宋_GB2312" w:hAnsi="仿宋_GB2312" w:cs="仿宋_GB2312" w:eastAsia="仿宋_GB2312"/>
          <w:sz w:val="24"/>
          <w:color w:val="333333"/>
        </w:rPr>
        <w:t>1.</w:t>
      </w:r>
      <w:r>
        <w:rPr>
          <w:rFonts w:ascii="仿宋_GB2312" w:hAnsi="仿宋_GB2312" w:cs="仿宋_GB2312" w:eastAsia="仿宋_GB2312"/>
          <w:sz w:val="24"/>
          <w:color w:val="333333"/>
        </w:rPr>
        <w:t>水环境运行管理</w:t>
      </w:r>
    </w:p>
    <w:p>
      <w:pPr>
        <w:pStyle w:val="null3"/>
        <w:ind w:firstLine="564"/>
        <w:jc w:val="both"/>
      </w:pPr>
      <w:r>
        <w:rPr>
          <w:rFonts w:ascii="仿宋_GB2312" w:hAnsi="仿宋_GB2312" w:cs="仿宋_GB2312" w:eastAsia="仿宋_GB2312"/>
          <w:sz w:val="24"/>
          <w:color w:val="333333"/>
        </w:rPr>
        <w:t>水环境工程位于2018年5月底建设完成投入试运行，工程占地面积8亩，池体容量1.2万立方米，主要收集惠安县生活垃圾焚烧发电厂全厂的雨水及洗渣厂内外流的渣水，收集后的混合水在池内进行沉淀，通过利板机将池内的沉淀泥刮至池体一侧的收集槽内通过污泥泵打至脱泥车间，污泥通过脱水后由运输车辆装载至填埋区进行填埋处理。池体内的暂存水通过水泵输送至高位水箱，高位水箱的水通过落差经过管道输送至惠安县生活垃圾焚烧发电厂配套的洗渣厂进行洗渣。洗渣厂日使用水量为80-100立方米，该水量为水环境工程1.2万立方米水池通过雨季收集和洗渣厂回收水进行暂存。池体采用水泥混凝土灌注，池体内壁涂一层环氧防腐材料，水泥灌注设备使用年限25年</w:t>
      </w:r>
      <w:r>
        <w:rPr>
          <w:rFonts w:ascii="仿宋_GB2312" w:hAnsi="仿宋_GB2312" w:cs="仿宋_GB2312" w:eastAsia="仿宋_GB2312"/>
          <w:sz w:val="24"/>
        </w:rPr>
        <w:t>。</w:t>
      </w:r>
    </w:p>
    <w:p>
      <w:pPr>
        <w:pStyle w:val="null3"/>
        <w:ind w:firstLine="564"/>
        <w:jc w:val="both"/>
      </w:pPr>
      <w:r>
        <w:rPr>
          <w:rFonts w:ascii="仿宋_GB2312" w:hAnsi="仿宋_GB2312" w:cs="仿宋_GB2312" w:eastAsia="仿宋_GB2312"/>
          <w:sz w:val="24"/>
        </w:rPr>
        <w:t>2.</w:t>
      </w:r>
      <w:r>
        <w:rPr>
          <w:rFonts w:ascii="仿宋_GB2312" w:hAnsi="仿宋_GB2312" w:cs="仿宋_GB2312" w:eastAsia="仿宋_GB2312"/>
          <w:sz w:val="24"/>
        </w:rPr>
        <w:t>飞灰填埋和淋溶水处置</w:t>
      </w:r>
    </w:p>
    <w:p>
      <w:pPr>
        <w:pStyle w:val="null3"/>
        <w:ind w:firstLine="564"/>
        <w:jc w:val="both"/>
      </w:pPr>
      <w:r>
        <w:rPr>
          <w:rFonts w:ascii="仿宋_GB2312" w:hAnsi="仿宋_GB2312" w:cs="仿宋_GB2312" w:eastAsia="仿宋_GB2312"/>
          <w:sz w:val="24"/>
        </w:rPr>
        <w:t>配套固废填埋场占地面积106亩，飞灰填埋区库容34.49万立方米，采用HDPE土工膜双层防渗系统，使用年限25年，项目于2013年9月完成竣工验收。焚烧飞灰的处置监管由惠安县市政公用事业发展中心（采购人）负责。飞灰属于危险废物，里面含有二噁英等有害物质，处理不当会对人体健康和环境造成极大危害，必须进行安全填埋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color w:val="000000"/>
          <w:shd w:fill="FFFFFF" w:val="clear"/>
        </w:rPr>
        <w:t>★</w:t>
      </w:r>
      <w:r>
        <w:rPr>
          <w:rFonts w:ascii="仿宋_GB2312" w:hAnsi="仿宋_GB2312" w:cs="仿宋_GB2312" w:eastAsia="仿宋_GB2312"/>
          <w:sz w:val="24"/>
          <w:b/>
          <w:color w:val="000000"/>
          <w:shd w:fill="FFFFFF" w:val="clear"/>
        </w:rPr>
        <w:t>（一）服务期限：3年</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color w:val="000000"/>
          <w:shd w:fill="FFFFFF" w:val="clear"/>
        </w:rPr>
        <w:t>★</w:t>
      </w:r>
      <w:r>
        <w:rPr>
          <w:rFonts w:ascii="仿宋_GB2312" w:hAnsi="仿宋_GB2312" w:cs="仿宋_GB2312" w:eastAsia="仿宋_GB2312"/>
          <w:sz w:val="24"/>
          <w:b/>
          <w:color w:val="000000"/>
          <w:shd w:fill="FFFFFF" w:val="clear"/>
        </w:rPr>
        <w:t>（二）人员及设备基本要求</w:t>
      </w:r>
    </w:p>
    <w:tbl>
      <w:tblPr>
        <w:tblW w:w="0" w:type="auto"/>
        <w:tblBorders>
          <w:top w:val="none" w:color="000000" w:sz="4"/>
          <w:left w:val="none" w:color="000000" w:sz="4"/>
          <w:bottom w:val="none" w:color="000000" w:sz="4"/>
          <w:right w:val="none" w:color="000000" w:sz="4"/>
          <w:insideH w:val="none"/>
          <w:insideV w:val="none"/>
        </w:tblBorders>
      </w:tblPr>
      <w:tblGrid>
        <w:gridCol w:w="1363"/>
        <w:gridCol w:w="3972"/>
        <w:gridCol w:w="2972"/>
      </w:tblGrid>
      <w:tr>
        <w:tc>
          <w:tcPr>
            <w:tcW w:type="dxa" w:w="13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b/>
              </w:rPr>
              <w:t>序号</w:t>
            </w:r>
          </w:p>
        </w:tc>
        <w:tc>
          <w:tcPr>
            <w:tcW w:type="dxa" w:w="39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b/>
              </w:rPr>
              <w:t>人员（设备）名 称</w:t>
            </w:r>
          </w:p>
        </w:tc>
        <w:tc>
          <w:tcPr>
            <w:tcW w:type="dxa" w:w="29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b/>
              </w:rPr>
              <w:t>数量</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1</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飞灰填埋司机</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人</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2</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飞灰填埋作业产人员</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3</w:t>
            </w:r>
            <w:r>
              <w:rPr>
                <w:rFonts w:ascii="仿宋_GB2312" w:hAnsi="仿宋_GB2312" w:cs="仿宋_GB2312" w:eastAsia="仿宋_GB2312"/>
                <w:sz w:val="24"/>
              </w:rPr>
              <w:t>人</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3</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焊膜工</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4</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淋溶水污水处理人员</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2</w:t>
            </w:r>
            <w:r>
              <w:rPr>
                <w:rFonts w:ascii="仿宋_GB2312" w:hAnsi="仿宋_GB2312" w:cs="仿宋_GB2312" w:eastAsia="仿宋_GB2312"/>
                <w:sz w:val="24"/>
              </w:rPr>
              <w:t>人</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5</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水环境运行管理服务人员</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4</w:t>
            </w:r>
            <w:r>
              <w:rPr>
                <w:rFonts w:ascii="仿宋_GB2312" w:hAnsi="仿宋_GB2312" w:cs="仿宋_GB2312" w:eastAsia="仿宋_GB2312"/>
                <w:sz w:val="24"/>
              </w:rPr>
              <w:t>人</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6</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铲车</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部</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7</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挖机</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部</w:t>
            </w:r>
          </w:p>
        </w:tc>
      </w:tr>
      <w:tr>
        <w:tc>
          <w:tcPr>
            <w:tcW w:type="dxa" w:w="13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8</w:t>
            </w:r>
          </w:p>
        </w:tc>
        <w:tc>
          <w:tcPr>
            <w:tcW w:type="dxa" w:w="3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pPr>
            <w:r>
              <w:rPr>
                <w:rFonts w:ascii="仿宋_GB2312" w:hAnsi="仿宋_GB2312" w:cs="仿宋_GB2312" w:eastAsia="仿宋_GB2312"/>
                <w:sz w:val="24"/>
              </w:rPr>
              <w:t>吊车</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05" w:after="105"/>
              <w:jc w:val="center"/>
            </w:pPr>
            <w:r>
              <w:rPr>
                <w:rFonts w:ascii="仿宋_GB2312" w:hAnsi="仿宋_GB2312" w:cs="仿宋_GB2312" w:eastAsia="仿宋_GB2312"/>
                <w:sz w:val="24"/>
              </w:rPr>
              <w:t>1</w:t>
            </w:r>
            <w:r>
              <w:rPr>
                <w:rFonts w:ascii="仿宋_GB2312" w:hAnsi="仿宋_GB2312" w:cs="仿宋_GB2312" w:eastAsia="仿宋_GB2312"/>
                <w:sz w:val="24"/>
              </w:rPr>
              <w:t>部</w:t>
            </w:r>
          </w:p>
        </w:tc>
      </w:tr>
    </w:tbl>
    <w:p>
      <w:pPr>
        <w:pStyle w:val="null3"/>
        <w:spacing w:before="105" w:after="105"/>
        <w:ind w:firstLine="567"/>
      </w:pPr>
      <w:r>
        <w:rPr>
          <w:rFonts w:ascii="仿宋_GB2312" w:hAnsi="仿宋_GB2312" w:cs="仿宋_GB2312" w:eastAsia="仿宋_GB2312"/>
          <w:sz w:val="24"/>
          <w:b/>
          <w:color w:val="000000"/>
          <w:shd w:fill="FFFFFF" w:val="clear"/>
        </w:rPr>
        <w:t>说明：以上人员及设备要求为最低要求，中标人应根据作业实际需要配足人员及设备。</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color w:val="000000"/>
          <w:shd w:fill="FFFFFF" w:val="clear"/>
        </w:rPr>
        <w:t>★</w:t>
      </w:r>
      <w:r>
        <w:rPr>
          <w:rFonts w:ascii="仿宋_GB2312" w:hAnsi="仿宋_GB2312" w:cs="仿宋_GB2312" w:eastAsia="仿宋_GB2312"/>
          <w:sz w:val="24"/>
          <w:b/>
          <w:color w:val="000000"/>
          <w:shd w:fill="FFFFFF" w:val="clear"/>
        </w:rPr>
        <w:t>（三）中标人必须提供排污许可证复印件或承诺中标后5个工作日办理。</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（四）中标人应具备健全的管理制度、应急处理制度、自查自检制度及完善的管理机制和应急处理机制。</w:t>
      </w:r>
    </w:p>
    <w:p>
      <w:pPr>
        <w:pStyle w:val="null3"/>
        <w:spacing w:before="105" w:after="105"/>
        <w:ind w:firstLine="567"/>
      </w:pPr>
      <w:r>
        <w:rPr>
          <w:rFonts w:ascii="仿宋_GB2312" w:hAnsi="仿宋_GB2312" w:cs="仿宋_GB2312" w:eastAsia="仿宋_GB2312"/>
          <w:sz w:val="24"/>
          <w:b/>
          <w:color w:val="000000"/>
          <w:shd w:fill="FFFFFF" w:val="clear"/>
        </w:rPr>
        <w:t>（五）</w:t>
      </w:r>
      <w:r>
        <w:rPr>
          <w:rFonts w:ascii="仿宋_GB2312" w:hAnsi="仿宋_GB2312" w:cs="仿宋_GB2312" w:eastAsia="仿宋_GB2312"/>
          <w:sz w:val="24"/>
          <w:color w:val="000000"/>
          <w:shd w:fill="FFFFFF" w:val="clear"/>
        </w:rPr>
        <w:t>水环境运行管理</w:t>
      </w:r>
    </w:p>
    <w:p>
      <w:pPr>
        <w:pStyle w:val="null3"/>
        <w:spacing w:before="105" w:after="105"/>
        <w:ind w:firstLine="567"/>
      </w:pP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运行维护内容</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洗渣厂回收水及电厂雨水→水池入口一次过滤池→水池入口</w:t>
      </w:r>
    </w:p>
    <w:p>
      <w:pPr>
        <w:pStyle w:val="null3"/>
        <w:spacing w:before="105" w:after="105"/>
        <w:ind w:firstLine="357"/>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color w:val="000000"/>
          <w:shd w:fill="FFFFFF" w:val="clear"/>
        </w:rPr>
        <w:t>污泥刮板机→脱泥离心机→运输填埋</w:t>
      </w:r>
    </w:p>
    <w:p>
      <w:pPr>
        <w:pStyle w:val="null3"/>
        <w:spacing w:before="105" w:after="105"/>
        <w:ind w:firstLine="357"/>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color w:val="000000"/>
          <w:shd w:fill="FFFFFF" w:val="clear"/>
        </w:rPr>
        <w:t>↑</w:t>
      </w:r>
    </w:p>
    <w:p>
      <w:pPr>
        <w:pStyle w:val="null3"/>
        <w:spacing w:before="105" w:after="105"/>
        <w:ind w:firstLine="357"/>
      </w:pPr>
      <w:r>
        <w:rPr>
          <w:rFonts w:ascii="仿宋_GB2312" w:hAnsi="仿宋_GB2312" w:cs="仿宋_GB2312" w:eastAsia="仿宋_GB2312"/>
          <w:sz w:val="24"/>
          <w:b/>
          <w:color w:val="000000"/>
          <w:shd w:fill="FFFFFF" w:val="clear"/>
        </w:rPr>
        <w:t>二次过滤池→1.2万立方米暂存池 →清液输送泵 →200立方米高位水箱→管道输送 →洗渣厂</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在以上运行流程过程中运行人员对工程设备进行控制，设备在长期运行过程中会出现设备故障，设备故障排除应由专业的检修人员进行维护与跟踪。</w:t>
      </w:r>
    </w:p>
    <w:p>
      <w:pPr>
        <w:pStyle w:val="null3"/>
        <w:spacing w:before="105" w:after="105"/>
        <w:ind w:firstLine="357"/>
      </w:pP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作业要求</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（1）基本要求</w:t>
      </w:r>
    </w:p>
    <w:p>
      <w:pPr>
        <w:pStyle w:val="null3"/>
        <w:spacing w:before="105" w:after="105"/>
        <w:ind w:firstLine="357"/>
      </w:pPr>
      <w:r>
        <w:rPr>
          <w:rFonts w:ascii="仿宋_GB2312" w:hAnsi="仿宋_GB2312" w:cs="仿宋_GB2312" w:eastAsia="仿宋_GB2312"/>
          <w:sz w:val="24"/>
          <w:b/>
          <w:color w:val="000000"/>
          <w:shd w:fill="FFFFFF" w:val="clear"/>
        </w:rPr>
        <w:t>a.</w:t>
      </w:r>
      <w:r>
        <w:rPr>
          <w:rFonts w:ascii="仿宋_GB2312" w:hAnsi="仿宋_GB2312" w:cs="仿宋_GB2312" w:eastAsia="仿宋_GB2312"/>
          <w:sz w:val="24"/>
          <w:b/>
          <w:color w:val="000000"/>
          <w:shd w:fill="FFFFFF" w:val="clear"/>
        </w:rPr>
        <w:t>及时刮泥作业，池底不得於积大量的污泥；</w:t>
      </w:r>
    </w:p>
    <w:p>
      <w:pPr>
        <w:pStyle w:val="null3"/>
        <w:spacing w:before="105" w:after="105"/>
        <w:ind w:firstLine="357"/>
      </w:pPr>
      <w:r>
        <w:rPr>
          <w:rFonts w:ascii="仿宋_GB2312" w:hAnsi="仿宋_GB2312" w:cs="仿宋_GB2312" w:eastAsia="仿宋_GB2312"/>
          <w:sz w:val="24"/>
          <w:b/>
          <w:color w:val="000000"/>
          <w:shd w:fill="FFFFFF" w:val="clear"/>
        </w:rPr>
        <w:t>b.</w:t>
      </w:r>
      <w:r>
        <w:rPr>
          <w:rFonts w:ascii="仿宋_GB2312" w:hAnsi="仿宋_GB2312" w:cs="仿宋_GB2312" w:eastAsia="仿宋_GB2312"/>
          <w:sz w:val="24"/>
          <w:b/>
          <w:color w:val="000000"/>
          <w:shd w:fill="FFFFFF" w:val="clear"/>
        </w:rPr>
        <w:t>刮泥作业结束后及时用污泥输送螺杆泵打至脱水离心机进行污泥脱水；</w:t>
      </w:r>
    </w:p>
    <w:p>
      <w:pPr>
        <w:pStyle w:val="null3"/>
        <w:spacing w:before="105" w:after="105"/>
        <w:ind w:firstLine="357"/>
      </w:pPr>
      <w:r>
        <w:rPr>
          <w:rFonts w:ascii="仿宋_GB2312" w:hAnsi="仿宋_GB2312" w:cs="仿宋_GB2312" w:eastAsia="仿宋_GB2312"/>
          <w:sz w:val="24"/>
          <w:b/>
          <w:color w:val="000000"/>
          <w:shd w:fill="FFFFFF" w:val="clear"/>
        </w:rPr>
        <w:t>c.</w:t>
      </w:r>
      <w:r>
        <w:rPr>
          <w:rFonts w:ascii="仿宋_GB2312" w:hAnsi="仿宋_GB2312" w:cs="仿宋_GB2312" w:eastAsia="仿宋_GB2312"/>
          <w:sz w:val="24"/>
          <w:b/>
          <w:color w:val="000000"/>
          <w:shd w:fill="FFFFFF" w:val="clear"/>
        </w:rPr>
        <w:t>正确操作脱水离心机，及时将脱水后的泥转运至合适的地方填埋；</w:t>
      </w:r>
    </w:p>
    <w:p>
      <w:pPr>
        <w:pStyle w:val="null3"/>
        <w:spacing w:before="105" w:after="105"/>
        <w:ind w:firstLine="357"/>
      </w:pPr>
      <w:r>
        <w:rPr>
          <w:rFonts w:ascii="仿宋_GB2312" w:hAnsi="仿宋_GB2312" w:cs="仿宋_GB2312" w:eastAsia="仿宋_GB2312"/>
          <w:sz w:val="24"/>
          <w:b/>
          <w:color w:val="000000"/>
          <w:shd w:fill="FFFFFF" w:val="clear"/>
        </w:rPr>
        <w:t>d.</w:t>
      </w:r>
      <w:r>
        <w:rPr>
          <w:rFonts w:ascii="仿宋_GB2312" w:hAnsi="仿宋_GB2312" w:cs="仿宋_GB2312" w:eastAsia="仿宋_GB2312"/>
          <w:sz w:val="24"/>
          <w:b/>
          <w:color w:val="000000"/>
          <w:shd w:fill="FFFFFF" w:val="clear"/>
        </w:rPr>
        <w:t>雨、渣水收集池内的可用水应及时进行输送至高位水箱，以便洗渣场用水；</w:t>
      </w:r>
    </w:p>
    <w:p>
      <w:pPr>
        <w:pStyle w:val="null3"/>
        <w:spacing w:before="105" w:after="105"/>
        <w:ind w:firstLine="357"/>
      </w:pPr>
      <w:r>
        <w:rPr>
          <w:rFonts w:ascii="仿宋_GB2312" w:hAnsi="仿宋_GB2312" w:cs="仿宋_GB2312" w:eastAsia="仿宋_GB2312"/>
          <w:sz w:val="24"/>
          <w:b/>
          <w:color w:val="000000"/>
          <w:shd w:fill="FFFFFF" w:val="clear"/>
        </w:rPr>
        <w:t>e.</w:t>
      </w:r>
      <w:r>
        <w:rPr>
          <w:rFonts w:ascii="仿宋_GB2312" w:hAnsi="仿宋_GB2312" w:cs="仿宋_GB2312" w:eastAsia="仿宋_GB2312"/>
          <w:sz w:val="24"/>
          <w:b/>
          <w:color w:val="000000"/>
          <w:shd w:fill="FFFFFF" w:val="clear"/>
        </w:rPr>
        <w:t>及时对池体进口滤网及初沉池进行杂物、积於清理和转运处理。</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（2）每月定期对水质的PH、浊度、SS、色度、COD、BOD、LAS、氨氮、粪大肠菌群、硫酸盐、总磷、氯离子、溶解性总固体、石油类、铁、锰、余氯、总碱度、总硬度、二氧化硅等指标进行检测。</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安全管理规定要求</w:t>
      </w:r>
    </w:p>
    <w:p>
      <w:pPr>
        <w:pStyle w:val="null3"/>
        <w:spacing w:before="105" w:after="105"/>
        <w:ind w:firstLine="357"/>
      </w:pPr>
      <w:r>
        <w:rPr>
          <w:rFonts w:ascii="仿宋_GB2312" w:hAnsi="仿宋_GB2312" w:cs="仿宋_GB2312" w:eastAsia="仿宋_GB2312"/>
          <w:sz w:val="24"/>
          <w:b/>
          <w:color w:val="000000"/>
          <w:shd w:fill="FFFFFF" w:val="clear"/>
        </w:rPr>
        <w:t>中标人必须加强清於及运泥车辆安全检查和驾驶员、运行作业人员的安全教育，服务过程中所产生的安全问题自行负责，与采购人无关。</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考评标准</w:t>
      </w:r>
    </w:p>
    <w:p>
      <w:pPr>
        <w:pStyle w:val="null3"/>
        <w:spacing w:before="105" w:after="105"/>
        <w:ind w:firstLine="357"/>
      </w:pPr>
      <w:r>
        <w:rPr>
          <w:rFonts w:ascii="仿宋_GB2312" w:hAnsi="仿宋_GB2312" w:cs="仿宋_GB2312" w:eastAsia="仿宋_GB2312"/>
          <w:sz w:val="24"/>
          <w:b/>
          <w:color w:val="000000"/>
          <w:shd w:fill="FFFFFF" w:val="clear"/>
        </w:rPr>
        <w:t>设备运行稳定，操作正确，设备维护到位，无安全事故。</w:t>
      </w:r>
    </w:p>
    <w:p>
      <w:pPr>
        <w:pStyle w:val="null3"/>
        <w:spacing w:before="105" w:after="105"/>
        <w:ind w:firstLine="35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其它要求</w:t>
      </w:r>
    </w:p>
    <w:p>
      <w:pPr>
        <w:pStyle w:val="null3"/>
        <w:spacing w:before="105" w:after="105"/>
        <w:ind w:firstLine="357"/>
      </w:pPr>
      <w:r>
        <w:rPr>
          <w:rFonts w:ascii="仿宋_GB2312" w:hAnsi="仿宋_GB2312" w:cs="仿宋_GB2312" w:eastAsia="仿宋_GB2312"/>
          <w:sz w:val="24"/>
          <w:b/>
          <w:color w:val="000000"/>
          <w:shd w:fill="FFFFFF" w:val="clear"/>
        </w:rPr>
        <w:t>（1）中标人应配备符合要求的项目作业人员、维护人员及管理人员，并承担所有作业人员、维护人员及管理人员的安全责任及费用。中标人应严格按照《劳动法》的规定用工，签订用工劳务合同，并按规定为工人购买人身意外保险及相关的劳动保险，在服务期内所发生的一切安全责任事故及造成第三者伤害责任的，均由中标人承担。</w:t>
      </w:r>
    </w:p>
    <w:p>
      <w:pPr>
        <w:pStyle w:val="null3"/>
        <w:spacing w:before="105" w:after="105"/>
        <w:ind w:firstLine="357"/>
      </w:pPr>
      <w:r>
        <w:rPr>
          <w:rFonts w:ascii="仿宋_GB2312" w:hAnsi="仿宋_GB2312" w:cs="仿宋_GB2312" w:eastAsia="仿宋_GB2312"/>
          <w:sz w:val="24"/>
          <w:b/>
          <w:color w:val="000000"/>
          <w:shd w:fill="FFFFFF" w:val="clear"/>
        </w:rPr>
        <w:t>（2）本项目管理人员应准时到位，服务期间本项目负责人员原则上不得更换，在承包期间本项目负责人员需更换，必须报经项目采购人同意，否则予以处罚。</w:t>
      </w:r>
    </w:p>
    <w:p>
      <w:pPr>
        <w:pStyle w:val="null3"/>
        <w:spacing w:before="105" w:after="105"/>
        <w:ind w:firstLine="357"/>
      </w:pPr>
      <w:r>
        <w:rPr>
          <w:rFonts w:ascii="仿宋_GB2312" w:hAnsi="仿宋_GB2312" w:cs="仿宋_GB2312" w:eastAsia="仿宋_GB2312"/>
          <w:sz w:val="24"/>
          <w:b/>
          <w:color w:val="000000"/>
          <w:shd w:fill="FFFFFF" w:val="clear"/>
        </w:rPr>
        <w:t>（3）服务期间项目采购人根据项目需要召开会议，中标人的单位负责人或本项目负责人必须准时参加，该项要求将作为日后专项监管考评的工作要求。</w:t>
      </w:r>
    </w:p>
    <w:p>
      <w:pPr>
        <w:pStyle w:val="null3"/>
        <w:spacing w:before="105" w:after="105"/>
        <w:ind w:firstLine="357"/>
      </w:pPr>
      <w:r>
        <w:rPr>
          <w:rFonts w:ascii="仿宋_GB2312" w:hAnsi="仿宋_GB2312" w:cs="仿宋_GB2312" w:eastAsia="仿宋_GB2312"/>
          <w:sz w:val="24"/>
          <w:b/>
          <w:color w:val="000000"/>
          <w:shd w:fill="FFFFFF" w:val="clear"/>
        </w:rPr>
        <w:t>（4）中标人必须保证解决所有作业及管理人员的衣、食、住、行等生活、工作问题，保证作业管理队伍的稳定性和安全性。</w:t>
      </w:r>
    </w:p>
    <w:p>
      <w:pPr>
        <w:pStyle w:val="null3"/>
        <w:spacing w:before="105" w:after="105"/>
        <w:ind w:firstLine="357"/>
      </w:pPr>
      <w:r>
        <w:rPr>
          <w:rFonts w:ascii="仿宋_GB2312" w:hAnsi="仿宋_GB2312" w:cs="仿宋_GB2312" w:eastAsia="仿宋_GB2312"/>
          <w:sz w:val="24"/>
          <w:b/>
          <w:color w:val="000000"/>
          <w:shd w:fill="FFFFFF" w:val="clear"/>
        </w:rPr>
        <w:t>（5）中标人应当保证其所提供的服务符合国家知识产权法律法规要求，还应保证采购人不受到第三方关于侵犯知识产权以及专利权、商标权或工业设计权等知识产权方面的指控，任何第三方如果提出此方面指控均与采购人无关，中标人应与第三方交涉，并承担可能发生的一切法律责任、费用和后果；若采购人因此而遭致损失的，中标人应赔偿该损失。</w:t>
      </w:r>
    </w:p>
    <w:p>
      <w:pPr>
        <w:pStyle w:val="null3"/>
        <w:spacing w:before="105" w:after="105"/>
        <w:ind w:firstLine="567"/>
      </w:pPr>
      <w:r>
        <w:rPr>
          <w:rFonts w:ascii="仿宋_GB2312" w:hAnsi="仿宋_GB2312" w:cs="仿宋_GB2312" w:eastAsia="仿宋_GB2312"/>
          <w:sz w:val="24"/>
          <w:b/>
          <w:color w:val="000000"/>
          <w:shd w:fill="FFFFFF" w:val="clear"/>
        </w:rPr>
        <w:t>（六）</w:t>
      </w:r>
      <w:r>
        <w:rPr>
          <w:rFonts w:ascii="仿宋_GB2312" w:hAnsi="仿宋_GB2312" w:cs="仿宋_GB2312" w:eastAsia="仿宋_GB2312"/>
          <w:sz w:val="24"/>
          <w:color w:val="000000"/>
          <w:shd w:fill="FFFFFF" w:val="clear"/>
        </w:rPr>
        <w:t>飞灰填埋和淋溶水处置</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中标人必须在规定时间内将垃圾焚烧发电厂的飞灰转运至到经环保部门验收并批准使用的安全填埋场进行填埋处理。</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焚烧发电厂的固化飞灰经计量后由运输车辆运至填埋场，由场内道路和作业道路进入填埋场作业面，在现场人员的指挥下按作业顺序进行卸车、人工搬运、整齐堆码、覆盖。固化飞灰的堆码必须分层进行，每层厚度0.4m～0.6m,按程序堆码3～4层，使固化飞灰总层厚达到2.5～3m左右，在每日填埋作业结束时进行每日覆盖，覆盖材料为厚度1.0mm厚的HDPE土工膜覆盖。</w:t>
      </w:r>
    </w:p>
    <w:p>
      <w:pPr>
        <w:pStyle w:val="null3"/>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惠安县生活垃圾焚烧发电厂废弃物处理场淋溶水经堤坝出口汇流至淋溶水调节池，中标人需自备污水处理站，经淋溶水预处理系统处理后接入污水处理站深度处理达标后排入市政污水管网，最终纳入崇山污水处理厂，中标人需具备水污染源在线监控设备实施监控必须确保水位合理和水池安全。</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中标人的运输、填埋全过程必须严格遵守国家相关法规以及符合国家环保和卫生要求，确保杜绝安全事故发生。因中标人服务延误或在运输、处置过程发生的事故责任等一律由中标人自行承担。</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中标人需配置计量地磅、监控设施一套、作业车辆三部投入本项目。</w:t>
      </w:r>
    </w:p>
    <w:p>
      <w:pPr>
        <w:pStyle w:val="null3"/>
        <w:spacing w:before="105" w:after="105"/>
        <w:ind w:firstLine="567"/>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评审项]</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验收标准：应达到污水排放标准，出水执行《生活垃圾填埋场污染控制标准》GB16889-2024中的排放标准中表2，主要指标为：总汞≤0.001mg/1、总铅≤0.1mg/1、总镉≤0.01mg/1、总砷≤0.1mg/1、总铬≤0.1mg/1、六价铬≤0.05mg/1</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服务期3年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考核验收合格</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1、期次1，说明：按招标文件要求</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1、按月支付服务费，每月服务费用经采购人财务流程审核通过后，达到付款条件起10日内，支付合同总金额的100.00%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left"/>
            </w:pPr>
            <w:r>
              <w:rPr>
                <w:rFonts w:ascii="仿宋_GB2312" w:hAnsi="仿宋_GB2312" w:cs="仿宋_GB2312" w:eastAsia="仿宋_GB2312"/>
              </w:rPr>
              <w:t>说明：履约保证金:合同价2%。中标人应按规定金额在签订合同前以转账、支票、汇票、本票或保函等方式向采购人交足合同履约保证金，合同履约保证金于服务期满后15日内无息返还。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rPr>
        <w:t>（一）报价说明</w:t>
      </w:r>
      <w:r>
        <w:br/>
      </w:r>
      <w:r>
        <w:rPr>
          <w:rFonts w:ascii="仿宋_GB2312" w:hAnsi="仿宋_GB2312" w:cs="仿宋_GB2312" w:eastAsia="仿宋_GB2312"/>
        </w:rPr>
        <w:t xml:space="preserve"> 1.在服务期内的服务费用不因任何情况而调整。</w:t>
      </w:r>
      <w:r>
        <w:br/>
      </w:r>
      <w:r>
        <w:rPr>
          <w:rFonts w:ascii="仿宋_GB2312" w:hAnsi="仿宋_GB2312" w:cs="仿宋_GB2312" w:eastAsia="仿宋_GB2312"/>
        </w:rPr>
        <w:t xml:space="preserve"> 2.投标报价包括但不局限于员工工资、机械设备辆量使用费、折旧费、设备运行电费、材料费（含药剂、HDPE膜、透气管等）、污泥转运和清理费、维修费、安全管理费、废水检测费、环境监测费、税费、人身意外保险等各种补贴和福利，以及不可预见等所有费用。</w:t>
      </w:r>
      <w:r>
        <w:br/>
      </w:r>
      <w:r>
        <w:rPr>
          <w:rFonts w:ascii="仿宋_GB2312" w:hAnsi="仿宋_GB2312" w:cs="仿宋_GB2312" w:eastAsia="仿宋_GB2312"/>
        </w:rPr>
        <w:t xml:space="preserve"> （二）结算</w:t>
      </w:r>
      <w:r>
        <w:br/>
      </w:r>
      <w:r>
        <w:rPr>
          <w:rFonts w:ascii="仿宋_GB2312" w:hAnsi="仿宋_GB2312" w:cs="仿宋_GB2312" w:eastAsia="仿宋_GB2312"/>
        </w:rPr>
        <w:t xml:space="preserve"> 1.水环境运行管理</w:t>
      </w:r>
      <w:r>
        <w:br/>
      </w:r>
      <w:r>
        <w:rPr>
          <w:rFonts w:ascii="仿宋_GB2312" w:hAnsi="仿宋_GB2312" w:cs="仿宋_GB2312" w:eastAsia="仿宋_GB2312"/>
        </w:rPr>
        <w:t xml:space="preserve"> 月服务费用=水环境运行管理服务年中标金额÷12个月</w:t>
      </w:r>
      <w:r>
        <w:br/>
      </w:r>
      <w:r>
        <w:rPr>
          <w:rFonts w:ascii="仿宋_GB2312" w:hAnsi="仿宋_GB2312" w:cs="仿宋_GB2312" w:eastAsia="仿宋_GB2312"/>
        </w:rPr>
        <w:t xml:space="preserve"> 2.飞灰填埋</w:t>
      </w:r>
      <w:r>
        <w:br/>
      </w:r>
      <w:r>
        <w:rPr>
          <w:rFonts w:ascii="仿宋_GB2312" w:hAnsi="仿宋_GB2312" w:cs="仿宋_GB2312" w:eastAsia="仿宋_GB2312"/>
        </w:rPr>
        <w:t xml:space="preserve"> 月服务费用按每月实际填埋量乘中标单价结算费用，中标单价计算公式如下：</w:t>
      </w:r>
      <w:r>
        <w:br/>
      </w:r>
      <w:r>
        <w:rPr>
          <w:rFonts w:ascii="仿宋_GB2312" w:hAnsi="仿宋_GB2312" w:cs="仿宋_GB2312" w:eastAsia="仿宋_GB2312"/>
        </w:rPr>
        <w:t xml:space="preserve"> 中标单价=飞灰填埋服务年中标金额÷17126吨</w:t>
      </w:r>
      <w:r>
        <w:br/>
      </w:r>
      <w:r>
        <w:rPr>
          <w:rFonts w:ascii="仿宋_GB2312" w:hAnsi="仿宋_GB2312" w:cs="仿宋_GB2312" w:eastAsia="仿宋_GB2312"/>
        </w:rPr>
        <w:t xml:space="preserve"> 3.淋溶水处置</w:t>
      </w:r>
      <w:r>
        <w:br/>
      </w:r>
      <w:r>
        <w:rPr>
          <w:rFonts w:ascii="仿宋_GB2312" w:hAnsi="仿宋_GB2312" w:cs="仿宋_GB2312" w:eastAsia="仿宋_GB2312"/>
        </w:rPr>
        <w:t xml:space="preserve"> 月服务费用=淋溶水处置服务年中标金额÷12个月</w:t>
      </w:r>
      <w:r>
        <w:br/>
      </w: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 xml:space="preserve">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[350521]YXG[GK]2025003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惠安县生活垃圾焚烧发电厂飞灰填埋及周边水环境管理服务项目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1(惠安县生活垃圾焚烧发电厂飞灰填埋及周边水环境管理服务项目)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惠安县生活垃圾焚烧发电厂飞灰填埋及周边水环境管理服务项目</w:t>
            </w:r>
          </w:p>
        </w:tc>
        <w:tc>
          <w:tcPr>
            <w:tcW w:type="dxa" w:w="1661"/>
          </w:tcPr>
          <w:p>
            <w:pPr>
              <w:pStyle w:val="null3"/>
              <w:jc w:val="left"/>
            </w:pPr>
            <w:r>
              <w:rPr>
                <w:rFonts w:ascii="仿宋_GB2312" w:hAnsi="仿宋_GB2312" w:cs="仿宋_GB2312" w:eastAsia="仿宋_GB2312"/>
              </w:rPr>
              <w:t xml:space="preserve"> 9350307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[350521]YXG[GK]2025003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惠安县生活垃圾焚烧发电厂飞灰填埋及周边水环境管理服务项目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惠安县生活垃圾焚烧发电厂飞灰填埋及周边水环境管理服务项目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生活垃圾焚烧发电厂飞灰填埋及周边水环境管理</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水环境运营</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2932191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飞灰填埋</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3134295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淋溶水处置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3283821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