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3284B">
      <w:pPr>
        <w:pStyle w:val="14"/>
        <w:numPr>
          <w:ilvl w:val="0"/>
          <w:numId w:val="0"/>
        </w:numPr>
        <w:spacing w:before="120" w:after="120"/>
      </w:pPr>
      <w:r>
        <w:rPr>
          <w:rFonts w:hint="eastAsia"/>
        </w:rPr>
        <w:t>政府采购合同</w:t>
      </w:r>
    </w:p>
    <w:p w14:paraId="22907655">
      <w:pPr>
        <w:pStyle w:val="18"/>
      </w:pPr>
    </w:p>
    <w:p w14:paraId="1F583180">
      <w:pPr>
        <w:pStyle w:val="15"/>
        <w:spacing w:line="520" w:lineRule="exact"/>
        <w:ind w:firstLine="480" w:firstLineChars="200"/>
      </w:pPr>
      <w:r>
        <w:rPr>
          <w:rFonts w:hint="eastAsia"/>
        </w:rPr>
        <w:t>合同编号：</w:t>
      </w:r>
      <w:r>
        <w:rPr>
          <w:rFonts w:hint="eastAsia"/>
          <w:u w:val="single"/>
        </w:rPr>
        <w:t xml:space="preserve">          </w:t>
      </w:r>
      <w:r>
        <w:rPr>
          <w:rFonts w:hint="eastAsia"/>
        </w:rPr>
        <w:t>(与项目编号一致)</w:t>
      </w:r>
    </w:p>
    <w:p w14:paraId="4718F766">
      <w:pPr>
        <w:pStyle w:val="15"/>
        <w:spacing w:line="520" w:lineRule="exact"/>
        <w:ind w:firstLine="480" w:firstLineChars="200"/>
        <w:rPr>
          <w:u w:val="single"/>
        </w:rPr>
      </w:pPr>
      <w:r>
        <w:rPr>
          <w:rFonts w:hint="eastAsia"/>
        </w:rPr>
        <w:t>计划号/备案号：</w:t>
      </w:r>
      <w:r>
        <w:rPr>
          <w:rFonts w:hint="eastAsia"/>
          <w:u w:val="single"/>
        </w:rPr>
        <w:t xml:space="preserve">                </w:t>
      </w:r>
    </w:p>
    <w:p w14:paraId="6D9F5A90">
      <w:pPr>
        <w:pStyle w:val="15"/>
        <w:spacing w:line="520" w:lineRule="exact"/>
        <w:ind w:firstLine="480" w:firstLineChars="200"/>
        <w:rPr>
          <w:u w:val="single"/>
        </w:rPr>
      </w:pPr>
      <w:r>
        <w:rPr>
          <w:rFonts w:hint="eastAsia"/>
        </w:rPr>
        <w:t>签订地点：</w:t>
      </w:r>
      <w:r>
        <w:rPr>
          <w:rFonts w:hint="eastAsia"/>
          <w:u w:val="single"/>
        </w:rPr>
        <w:t xml:space="preserve">                     </w:t>
      </w:r>
    </w:p>
    <w:p w14:paraId="467DE1A5">
      <w:pPr>
        <w:pStyle w:val="15"/>
        <w:spacing w:line="520" w:lineRule="exact"/>
        <w:ind w:firstLine="480" w:firstLineChars="200"/>
        <w:rPr>
          <w:u w:val="single"/>
        </w:rPr>
      </w:pPr>
      <w:r>
        <w:rPr>
          <w:rFonts w:hint="eastAsia"/>
        </w:rPr>
        <w:t>签订时间：</w:t>
      </w:r>
      <w:r>
        <w:rPr>
          <w:rFonts w:hint="eastAsia"/>
          <w:u w:val="single"/>
        </w:rPr>
        <w:t xml:space="preserve">                     </w:t>
      </w:r>
    </w:p>
    <w:p w14:paraId="74FAE4FF">
      <w:pPr>
        <w:pStyle w:val="15"/>
        <w:spacing w:line="520" w:lineRule="exact"/>
        <w:ind w:firstLine="480" w:firstLineChars="200"/>
        <w:rPr>
          <w:u w:val="single"/>
        </w:rPr>
      </w:pPr>
      <w:r>
        <w:rPr>
          <w:rFonts w:hint="eastAsia"/>
        </w:rPr>
        <w:t>采购人名称(甲方)：</w:t>
      </w:r>
      <w:r>
        <w:rPr>
          <w:rFonts w:hint="eastAsia"/>
          <w:u w:val="single"/>
        </w:rPr>
        <w:t xml:space="preserve">                              </w:t>
      </w:r>
    </w:p>
    <w:p w14:paraId="190DD1F9">
      <w:pPr>
        <w:pStyle w:val="15"/>
        <w:spacing w:line="520" w:lineRule="exact"/>
        <w:ind w:firstLine="480" w:firstLineChars="200"/>
        <w:rPr>
          <w:u w:val="single"/>
        </w:rPr>
      </w:pPr>
      <w:r>
        <w:rPr>
          <w:rFonts w:hint="eastAsia"/>
        </w:rPr>
        <w:t>成交供应商名称(乙方)：</w:t>
      </w:r>
      <w:r>
        <w:rPr>
          <w:rFonts w:hint="eastAsia"/>
          <w:u w:val="single"/>
        </w:rPr>
        <w:t xml:space="preserve">                          </w:t>
      </w:r>
    </w:p>
    <w:p w14:paraId="6B6F5025">
      <w:pPr>
        <w:pStyle w:val="15"/>
        <w:spacing w:line="520" w:lineRule="exact"/>
        <w:ind w:firstLine="482" w:firstLineChars="200"/>
        <w:rPr>
          <w:b/>
          <w:bCs/>
        </w:rPr>
      </w:pPr>
      <w:r>
        <w:rPr>
          <w:rFonts w:hint="eastAsia"/>
          <w:b/>
          <w:bCs/>
        </w:rPr>
        <w:t>合同类型：</w:t>
      </w:r>
      <w:r>
        <w:rPr>
          <w:rFonts w:hint="eastAsia"/>
          <w:b/>
          <w:bCs/>
          <w:u w:val="single"/>
        </w:rPr>
        <w:t xml:space="preserve">      </w:t>
      </w:r>
      <w:r>
        <w:rPr>
          <w:rFonts w:hint="eastAsia"/>
          <w:b/>
          <w:bCs/>
        </w:rPr>
        <w:t>合同</w:t>
      </w:r>
    </w:p>
    <w:p w14:paraId="72F4214F">
      <w:pPr>
        <w:pStyle w:val="15"/>
        <w:spacing w:line="520" w:lineRule="exact"/>
      </w:pPr>
    </w:p>
    <w:p w14:paraId="5AE55962">
      <w:pPr>
        <w:pStyle w:val="15"/>
        <w:spacing w:line="520" w:lineRule="exact"/>
        <w:ind w:firstLine="480" w:firstLineChars="200"/>
      </w:pPr>
      <w:r>
        <w:rPr>
          <w:rFonts w:hint="eastAsia"/>
        </w:rPr>
        <w:t>根据《中华人民共和国民法典》《中华人民共和国政府采购法》《中华人民共和国政府采购法实施条例》(国务院令第658号)《政府采购竞争性磋商采购方式管理暂行办法》及(采购项目的名称)、项目编号：(采购项目的编号)的《竞争性磋商文件》、乙方的《响应文件》及《成交通知书》，甲、乙双方同意签订本合同。详细技术说明及其他有关合同项目的特定信息由合同附件予以说明，合同附件及本项目的竞争性磋商文件、响应文件、《成交通知书》等均为本合同不可分割的部分。双方同意共同遵守如下条款：</w:t>
      </w:r>
    </w:p>
    <w:p w14:paraId="495BF695">
      <w:pPr>
        <w:pStyle w:val="16"/>
        <w:spacing w:line="520" w:lineRule="exact"/>
        <w:ind w:firstLine="482"/>
      </w:pPr>
      <w:bookmarkStart w:id="0" w:name="_Toc25324"/>
      <w:r>
        <w:rPr>
          <w:rFonts w:hint="eastAsia"/>
        </w:rPr>
        <w:t>项目基本情况</w:t>
      </w:r>
      <w:bookmarkEnd w:id="0"/>
    </w:p>
    <w:p w14:paraId="382306D9">
      <w:pPr>
        <w:pStyle w:val="15"/>
        <w:ind w:firstLine="480" w:firstLineChars="200"/>
      </w:pPr>
      <w:r>
        <w:rPr>
          <w:rFonts w:hint="eastAsia"/>
        </w:rPr>
        <w:t>根据《关于印发《四川省普通国省干线智能运行网高位视频接入测试要求》的函》（川交运调函〔2024〕3号）要求，为贯彻落实《四川省普通国省干线公路智能运行网及智慧客运枢纽建设方案》(川交函〔2023〕435号)精神，切实推进普通国省干线高位视频项目建设，进一步规范高位视频接入测试流程，雅安市公路建设服务中心拟开展普通国省干线公路重要路段高位视频监测项目。</w:t>
      </w:r>
    </w:p>
    <w:p w14:paraId="1247AB21">
      <w:pPr>
        <w:pStyle w:val="16"/>
        <w:spacing w:line="520" w:lineRule="exact"/>
        <w:ind w:firstLine="482"/>
      </w:pPr>
      <w:bookmarkStart w:id="1" w:name="_Toc11930"/>
      <w:r>
        <w:rPr>
          <w:rFonts w:hint="eastAsia"/>
        </w:rPr>
        <w:t>合同履行</w:t>
      </w:r>
      <w:bookmarkEnd w:id="1"/>
    </w:p>
    <w:p w14:paraId="74A21988">
      <w:pPr>
        <w:pStyle w:val="17"/>
        <w:numPr>
          <w:ilvl w:val="1"/>
          <w:numId w:val="6"/>
        </w:numPr>
        <w:spacing w:line="520" w:lineRule="exact"/>
        <w:ind w:firstLine="480"/>
      </w:pPr>
      <w:r>
        <w:rPr>
          <w:rFonts w:hint="eastAsia"/>
        </w:rPr>
        <w:t>履约期限：</w:t>
      </w:r>
    </w:p>
    <w:p w14:paraId="3F533DF0">
      <w:pPr>
        <w:pStyle w:val="17"/>
        <w:numPr>
          <w:ilvl w:val="1"/>
          <w:numId w:val="6"/>
        </w:numPr>
        <w:spacing w:line="520" w:lineRule="exact"/>
        <w:ind w:firstLine="480"/>
      </w:pPr>
      <w:r>
        <w:rPr>
          <w:rFonts w:hint="eastAsia"/>
        </w:rPr>
        <w:t>履行地点：雅安市</w:t>
      </w:r>
    </w:p>
    <w:p w14:paraId="7659928A">
      <w:pPr>
        <w:pStyle w:val="17"/>
        <w:numPr>
          <w:ilvl w:val="1"/>
          <w:numId w:val="6"/>
        </w:numPr>
        <w:spacing w:line="520" w:lineRule="exact"/>
        <w:ind w:firstLine="480"/>
      </w:pPr>
      <w:r>
        <w:rPr>
          <w:rFonts w:hint="eastAsia"/>
        </w:rPr>
        <w:t>履约方式：</w:t>
      </w:r>
      <w:bookmarkStart w:id="73" w:name="_GoBack"/>
      <w:bookmarkEnd w:id="73"/>
    </w:p>
    <w:p w14:paraId="144E560A">
      <w:pPr>
        <w:pStyle w:val="16"/>
        <w:spacing w:line="520" w:lineRule="exact"/>
        <w:ind w:firstLine="482"/>
      </w:pPr>
      <w:bookmarkStart w:id="2" w:name="_Toc4572"/>
      <w:bookmarkStart w:id="3" w:name="_Toc238984975"/>
      <w:bookmarkStart w:id="4" w:name="_Toc212019594"/>
      <w:bookmarkStart w:id="5" w:name="_Toc286993786"/>
      <w:bookmarkStart w:id="6" w:name="_Toc232492928"/>
      <w:bookmarkStart w:id="7" w:name="_Toc211911348"/>
      <w:bookmarkStart w:id="8" w:name="_Toc237145406"/>
      <w:bookmarkStart w:id="9" w:name="_Toc185395249"/>
      <w:bookmarkStart w:id="10" w:name="_Toc283019214"/>
      <w:bookmarkStart w:id="11" w:name="_Toc225244852"/>
      <w:bookmarkStart w:id="12" w:name="_Toc225654644"/>
      <w:bookmarkStart w:id="13" w:name="_Toc251768862"/>
      <w:bookmarkStart w:id="14" w:name="_Toc225670751"/>
      <w:bookmarkStart w:id="15" w:name="_Toc239568418"/>
      <w:bookmarkStart w:id="16" w:name="_Toc282696226"/>
      <w:bookmarkStart w:id="17" w:name="_Toc241833903"/>
      <w:bookmarkStart w:id="18" w:name="_Toc247334841"/>
      <w:bookmarkStart w:id="19" w:name="_Toc211854449"/>
      <w:bookmarkStart w:id="20" w:name="_Toc239233914"/>
      <w:r>
        <w:rPr>
          <w:rFonts w:hint="eastAsia"/>
        </w:rPr>
        <w:t>合同标的</w:t>
      </w:r>
      <w:bookmarkEnd w:id="2"/>
    </w:p>
    <w:p w14:paraId="17D99AFC">
      <w:pPr>
        <w:pStyle w:val="22"/>
        <w:ind w:left="285"/>
        <w:jc w:val="both"/>
        <w:rPr>
          <w:rFonts w:hint="default" w:ascii="仿宋" w:hAnsi="仿宋" w:eastAsia="宋体" w:cs="仿宋"/>
          <w:kern w:val="2"/>
          <w:sz w:val="24"/>
          <w:szCs w:val="21"/>
          <w:lang w:eastAsia="zh-CN"/>
        </w:rPr>
      </w:pPr>
      <w:r>
        <w:rPr>
          <w:rFonts w:ascii="仿宋" w:hAnsi="仿宋" w:eastAsia="宋体" w:cs="仿宋"/>
          <w:b/>
          <w:bCs/>
          <w:kern w:val="2"/>
          <w:sz w:val="24"/>
          <w:szCs w:val="24"/>
          <w:lang w:eastAsia="zh-CN"/>
        </w:rPr>
        <w:t>（一）服务内容：</w:t>
      </w:r>
      <w:r>
        <w:rPr>
          <w:rFonts w:ascii="仿宋" w:hAnsi="仿宋" w:eastAsia="宋体" w:cs="仿宋"/>
          <w:kern w:val="2"/>
          <w:sz w:val="24"/>
          <w:szCs w:val="21"/>
          <w:lang w:eastAsia="zh-CN"/>
        </w:rPr>
        <w:t>本项目采购一项视频监控服务，主要包含3个监控点位建设、数据接入、运行维护等服务内容。</w:t>
      </w:r>
    </w:p>
    <w:p w14:paraId="5080FBDC">
      <w:pPr>
        <w:tabs>
          <w:tab w:val="left" w:pos="312"/>
          <w:tab w:val="clear" w:pos="0"/>
        </w:tabs>
        <w:adjustRightInd/>
        <w:snapToGrid/>
        <w:spacing w:line="43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（二）监控位置</w:t>
      </w:r>
    </w:p>
    <w:tbl>
      <w:tblPr>
        <w:tblStyle w:val="6"/>
        <w:tblW w:w="4998"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69"/>
        <w:gridCol w:w="1179"/>
        <w:gridCol w:w="2776"/>
        <w:gridCol w:w="2419"/>
        <w:gridCol w:w="1070"/>
      </w:tblGrid>
      <w:tr w14:paraId="1826B4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8"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567F5E22">
            <w:pPr>
              <w:pStyle w:val="22"/>
              <w:spacing w:line="320" w:lineRule="exact"/>
              <w:jc w:val="center"/>
              <w:rPr>
                <w:rFonts w:hint="default" w:ascii="宋体" w:hAnsi="宋体" w:eastAsia="宋体" w:cs="宋体"/>
                <w:sz w:val="21"/>
                <w:szCs w:val="21"/>
              </w:rPr>
            </w:pPr>
            <w:r>
              <w:rPr>
                <w:rFonts w:ascii="宋体" w:hAnsi="宋体" w:eastAsia="宋体" w:cs="宋体"/>
                <w:color w:val="000000"/>
                <w:sz w:val="21"/>
                <w:szCs w:val="21"/>
              </w:rPr>
              <w:t>序号</w:t>
            </w:r>
          </w:p>
        </w:tc>
        <w:tc>
          <w:tcPr>
            <w:tcW w:w="692"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5F70B1D6">
            <w:pPr>
              <w:pStyle w:val="22"/>
              <w:spacing w:line="320" w:lineRule="exact"/>
              <w:jc w:val="center"/>
              <w:rPr>
                <w:rFonts w:hint="default" w:ascii="宋体" w:hAnsi="宋体" w:eastAsia="宋体" w:cs="宋体"/>
                <w:sz w:val="21"/>
                <w:szCs w:val="21"/>
              </w:rPr>
            </w:pPr>
            <w:r>
              <w:rPr>
                <w:rFonts w:ascii="宋体" w:hAnsi="宋体" w:eastAsia="宋体" w:cs="宋体"/>
                <w:color w:val="000000"/>
                <w:sz w:val="21"/>
                <w:szCs w:val="21"/>
              </w:rPr>
              <w:t>路线编号</w:t>
            </w:r>
          </w:p>
        </w:tc>
        <w:tc>
          <w:tcPr>
            <w:tcW w:w="163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5BFE87C">
            <w:pPr>
              <w:pStyle w:val="22"/>
              <w:spacing w:line="320" w:lineRule="exact"/>
              <w:jc w:val="center"/>
              <w:rPr>
                <w:rFonts w:hint="default" w:ascii="宋体" w:hAnsi="宋体" w:eastAsia="宋体" w:cs="宋体"/>
                <w:sz w:val="21"/>
                <w:szCs w:val="21"/>
              </w:rPr>
            </w:pPr>
            <w:r>
              <w:rPr>
                <w:rFonts w:ascii="宋体" w:hAnsi="宋体" w:eastAsia="宋体" w:cs="宋体"/>
                <w:color w:val="000000"/>
                <w:sz w:val="21"/>
                <w:szCs w:val="21"/>
              </w:rPr>
              <w:t>点位名称(路线编号+所在乡镇名称+高位监测点)</w:t>
            </w:r>
          </w:p>
        </w:tc>
        <w:tc>
          <w:tcPr>
            <w:tcW w:w="142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9C96FBB">
            <w:pPr>
              <w:pStyle w:val="22"/>
              <w:spacing w:line="320" w:lineRule="exact"/>
              <w:jc w:val="center"/>
              <w:rPr>
                <w:rFonts w:hint="default" w:ascii="宋体" w:hAnsi="宋体" w:eastAsia="宋体" w:cs="宋体"/>
                <w:sz w:val="21"/>
                <w:szCs w:val="21"/>
              </w:rPr>
            </w:pPr>
            <w:r>
              <w:rPr>
                <w:rFonts w:ascii="宋体" w:hAnsi="宋体" w:eastAsia="宋体" w:cs="宋体"/>
                <w:color w:val="000000"/>
                <w:sz w:val="21"/>
                <w:szCs w:val="21"/>
              </w:rPr>
              <w:t>桩号</w:t>
            </w:r>
          </w:p>
        </w:tc>
        <w:tc>
          <w:tcPr>
            <w:tcW w:w="628"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6795E8D">
            <w:pPr>
              <w:pStyle w:val="22"/>
              <w:spacing w:line="320" w:lineRule="exact"/>
              <w:jc w:val="center"/>
              <w:rPr>
                <w:rFonts w:hint="default" w:ascii="宋体" w:hAnsi="宋体" w:eastAsia="宋体" w:cs="宋体"/>
                <w:sz w:val="21"/>
                <w:szCs w:val="21"/>
              </w:rPr>
            </w:pPr>
            <w:r>
              <w:rPr>
                <w:rFonts w:ascii="宋体" w:hAnsi="宋体" w:eastAsia="宋体" w:cs="宋体"/>
                <w:color w:val="000000"/>
                <w:sz w:val="21"/>
                <w:szCs w:val="21"/>
              </w:rPr>
              <w:t>备注</w:t>
            </w:r>
          </w:p>
        </w:tc>
      </w:tr>
      <w:tr w14:paraId="241E62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A2B5844">
            <w:pPr>
              <w:pStyle w:val="22"/>
              <w:spacing w:line="320" w:lineRule="exact"/>
              <w:rPr>
                <w:rFonts w:hint="default" w:ascii="宋体" w:hAnsi="宋体" w:eastAsia="宋体" w:cs="宋体"/>
                <w:sz w:val="21"/>
                <w:szCs w:val="21"/>
              </w:rPr>
            </w:pPr>
            <w:r>
              <w:rPr>
                <w:rFonts w:ascii="宋体" w:hAnsi="宋体" w:eastAsia="宋体" w:cs="宋体"/>
                <w:color w:val="000000"/>
                <w:sz w:val="21"/>
                <w:szCs w:val="21"/>
              </w:rPr>
              <w:t>1</w:t>
            </w:r>
          </w:p>
        </w:tc>
        <w:tc>
          <w:tcPr>
            <w:tcW w:w="692" w:type="pct"/>
            <w:tcBorders>
              <w:top w:val="nil"/>
              <w:left w:val="nil"/>
              <w:bottom w:val="single" w:color="000000" w:sz="4" w:space="0"/>
              <w:right w:val="single" w:color="000000" w:sz="4" w:space="0"/>
            </w:tcBorders>
            <w:tcMar>
              <w:top w:w="0" w:type="dxa"/>
              <w:left w:w="105" w:type="dxa"/>
              <w:bottom w:w="0" w:type="dxa"/>
              <w:right w:w="105" w:type="dxa"/>
            </w:tcMar>
          </w:tcPr>
          <w:p w14:paraId="7F15EB36">
            <w:pPr>
              <w:pStyle w:val="22"/>
              <w:spacing w:line="320" w:lineRule="exact"/>
              <w:rPr>
                <w:rFonts w:hint="default" w:ascii="宋体" w:hAnsi="宋体" w:eastAsia="宋体" w:cs="宋体"/>
                <w:sz w:val="21"/>
                <w:szCs w:val="21"/>
              </w:rPr>
            </w:pPr>
            <w:r>
              <w:rPr>
                <w:rFonts w:ascii="宋体" w:hAnsi="宋体" w:eastAsia="宋体" w:cs="宋体"/>
                <w:sz w:val="21"/>
                <w:szCs w:val="21"/>
              </w:rPr>
              <w:t>G108</w:t>
            </w:r>
          </w:p>
        </w:tc>
        <w:tc>
          <w:tcPr>
            <w:tcW w:w="1630" w:type="pct"/>
            <w:tcBorders>
              <w:top w:val="nil"/>
              <w:left w:val="nil"/>
              <w:bottom w:val="single" w:color="000000" w:sz="4" w:space="0"/>
              <w:right w:val="single" w:color="000000" w:sz="4" w:space="0"/>
            </w:tcBorders>
            <w:tcMar>
              <w:top w:w="0" w:type="dxa"/>
              <w:left w:w="105" w:type="dxa"/>
              <w:bottom w:w="0" w:type="dxa"/>
              <w:right w:w="105" w:type="dxa"/>
            </w:tcMar>
          </w:tcPr>
          <w:p w14:paraId="1A3DB636">
            <w:pPr>
              <w:pStyle w:val="22"/>
              <w:spacing w:line="320" w:lineRule="exact"/>
              <w:rPr>
                <w:rFonts w:hint="default" w:ascii="宋体" w:hAnsi="宋体" w:eastAsia="宋体" w:cs="宋体"/>
                <w:sz w:val="21"/>
                <w:szCs w:val="21"/>
              </w:rPr>
            </w:pPr>
            <w:r>
              <w:rPr>
                <w:rFonts w:ascii="宋体" w:hAnsi="宋体" w:eastAsia="宋体" w:cs="宋体"/>
                <w:sz w:val="21"/>
                <w:szCs w:val="21"/>
              </w:rPr>
              <w:t>G108 石棉县孟获城</w:t>
            </w:r>
          </w:p>
        </w:tc>
        <w:tc>
          <w:tcPr>
            <w:tcW w:w="1420" w:type="pct"/>
            <w:tcBorders>
              <w:top w:val="nil"/>
              <w:left w:val="nil"/>
              <w:bottom w:val="single" w:color="000000" w:sz="4" w:space="0"/>
              <w:right w:val="single" w:color="000000" w:sz="4" w:space="0"/>
            </w:tcBorders>
            <w:tcMar>
              <w:top w:w="0" w:type="dxa"/>
              <w:left w:w="105" w:type="dxa"/>
              <w:bottom w:w="0" w:type="dxa"/>
              <w:right w:w="105" w:type="dxa"/>
            </w:tcMar>
          </w:tcPr>
          <w:p w14:paraId="198EAD6B">
            <w:pPr>
              <w:pStyle w:val="22"/>
              <w:spacing w:line="320" w:lineRule="exact"/>
              <w:rPr>
                <w:rFonts w:hint="default" w:ascii="宋体" w:hAnsi="宋体" w:eastAsia="宋体" w:cs="宋体"/>
                <w:sz w:val="21"/>
                <w:szCs w:val="21"/>
                <w:lang w:eastAsia="zh-CN"/>
              </w:rPr>
            </w:pPr>
            <w:r>
              <w:rPr>
                <w:rFonts w:ascii="宋体" w:hAnsi="宋体" w:eastAsia="宋体" w:cs="宋体"/>
                <w:sz w:val="21"/>
                <w:szCs w:val="21"/>
                <w:lang w:eastAsia="zh-CN"/>
              </w:rPr>
              <w:t>K2637+557</w:t>
            </w:r>
          </w:p>
        </w:tc>
        <w:tc>
          <w:tcPr>
            <w:tcW w:w="628" w:type="pct"/>
            <w:tcBorders>
              <w:top w:val="nil"/>
              <w:left w:val="nil"/>
              <w:bottom w:val="single" w:color="000000" w:sz="4" w:space="0"/>
              <w:right w:val="single" w:color="000000" w:sz="4" w:space="0"/>
            </w:tcBorders>
            <w:tcMar>
              <w:top w:w="0" w:type="dxa"/>
              <w:left w:w="105" w:type="dxa"/>
              <w:bottom w:w="0" w:type="dxa"/>
              <w:right w:w="105" w:type="dxa"/>
            </w:tcMar>
          </w:tcPr>
          <w:p w14:paraId="7A3134A2">
            <w:pPr>
              <w:pStyle w:val="22"/>
              <w:spacing w:line="320" w:lineRule="exact"/>
              <w:rPr>
                <w:rFonts w:hint="default" w:ascii="宋体" w:hAnsi="宋体" w:eastAsia="宋体" w:cs="宋体"/>
                <w:sz w:val="21"/>
                <w:szCs w:val="21"/>
              </w:rPr>
            </w:pPr>
          </w:p>
        </w:tc>
      </w:tr>
      <w:tr w14:paraId="268C74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DCFF287">
            <w:pPr>
              <w:pStyle w:val="22"/>
              <w:spacing w:line="320" w:lineRule="exact"/>
              <w:rPr>
                <w:rFonts w:hint="default" w:ascii="宋体" w:hAnsi="宋体" w:eastAsia="宋体" w:cs="宋体"/>
                <w:sz w:val="21"/>
                <w:szCs w:val="21"/>
              </w:rPr>
            </w:pPr>
            <w:r>
              <w:rPr>
                <w:rFonts w:ascii="宋体" w:hAnsi="宋体" w:eastAsia="宋体" w:cs="宋体"/>
                <w:color w:val="000000"/>
                <w:sz w:val="21"/>
                <w:szCs w:val="21"/>
              </w:rPr>
              <w:t>2</w:t>
            </w:r>
          </w:p>
        </w:tc>
        <w:tc>
          <w:tcPr>
            <w:tcW w:w="692" w:type="pct"/>
            <w:tcBorders>
              <w:top w:val="nil"/>
              <w:left w:val="nil"/>
              <w:bottom w:val="single" w:color="000000" w:sz="4" w:space="0"/>
              <w:right w:val="single" w:color="000000" w:sz="4" w:space="0"/>
            </w:tcBorders>
            <w:tcMar>
              <w:top w:w="0" w:type="dxa"/>
              <w:left w:w="105" w:type="dxa"/>
              <w:bottom w:w="0" w:type="dxa"/>
              <w:right w:w="105" w:type="dxa"/>
            </w:tcMar>
          </w:tcPr>
          <w:p w14:paraId="309A05D0">
            <w:pPr>
              <w:pStyle w:val="22"/>
              <w:spacing w:line="320" w:lineRule="exact"/>
              <w:rPr>
                <w:rFonts w:hint="default" w:ascii="宋体" w:hAnsi="宋体" w:eastAsia="宋体" w:cs="宋体"/>
                <w:sz w:val="21"/>
                <w:szCs w:val="21"/>
              </w:rPr>
            </w:pPr>
            <w:r>
              <w:rPr>
                <w:rFonts w:ascii="宋体" w:hAnsi="宋体" w:eastAsia="宋体" w:cs="宋体"/>
                <w:sz w:val="21"/>
                <w:szCs w:val="21"/>
              </w:rPr>
              <w:t>G318</w:t>
            </w:r>
          </w:p>
        </w:tc>
        <w:tc>
          <w:tcPr>
            <w:tcW w:w="1630" w:type="pct"/>
            <w:tcBorders>
              <w:top w:val="nil"/>
              <w:left w:val="nil"/>
              <w:bottom w:val="single" w:color="000000" w:sz="4" w:space="0"/>
              <w:right w:val="single" w:color="000000" w:sz="4" w:space="0"/>
            </w:tcBorders>
            <w:tcMar>
              <w:top w:w="0" w:type="dxa"/>
              <w:left w:w="105" w:type="dxa"/>
              <w:bottom w:w="0" w:type="dxa"/>
              <w:right w:w="105" w:type="dxa"/>
            </w:tcMar>
          </w:tcPr>
          <w:p w14:paraId="70E3CEAF">
            <w:pPr>
              <w:pStyle w:val="22"/>
              <w:spacing w:line="320" w:lineRule="exact"/>
              <w:rPr>
                <w:rFonts w:hint="default" w:ascii="宋体" w:hAnsi="宋体" w:eastAsia="宋体" w:cs="宋体"/>
                <w:sz w:val="21"/>
                <w:szCs w:val="21"/>
              </w:rPr>
            </w:pPr>
            <w:r>
              <w:rPr>
                <w:rFonts w:ascii="宋体" w:hAnsi="宋体" w:eastAsia="宋体" w:cs="宋体"/>
                <w:sz w:val="21"/>
                <w:szCs w:val="21"/>
              </w:rPr>
              <w:t>G318天全县喇叭河镇</w:t>
            </w:r>
          </w:p>
        </w:tc>
        <w:tc>
          <w:tcPr>
            <w:tcW w:w="1420" w:type="pct"/>
            <w:tcBorders>
              <w:top w:val="nil"/>
              <w:left w:val="nil"/>
              <w:bottom w:val="single" w:color="000000" w:sz="4" w:space="0"/>
              <w:right w:val="single" w:color="000000" w:sz="4" w:space="0"/>
            </w:tcBorders>
            <w:tcMar>
              <w:top w:w="0" w:type="dxa"/>
              <w:left w:w="105" w:type="dxa"/>
              <w:bottom w:w="0" w:type="dxa"/>
              <w:right w:w="105" w:type="dxa"/>
            </w:tcMar>
          </w:tcPr>
          <w:p w14:paraId="72395FF2">
            <w:pPr>
              <w:pStyle w:val="22"/>
              <w:spacing w:line="320" w:lineRule="exact"/>
              <w:rPr>
                <w:rFonts w:hint="default" w:ascii="宋体" w:hAnsi="宋体" w:eastAsia="宋体" w:cs="宋体"/>
                <w:sz w:val="21"/>
                <w:szCs w:val="21"/>
                <w:lang w:eastAsia="zh-CN"/>
              </w:rPr>
            </w:pPr>
            <w:r>
              <w:rPr>
                <w:rFonts w:ascii="宋体" w:hAnsi="宋体" w:eastAsia="宋体" w:cs="宋体"/>
                <w:sz w:val="21"/>
                <w:szCs w:val="21"/>
                <w:lang w:eastAsia="zh-CN"/>
              </w:rPr>
              <w:t>K2734+421</w:t>
            </w:r>
          </w:p>
        </w:tc>
        <w:tc>
          <w:tcPr>
            <w:tcW w:w="628" w:type="pct"/>
            <w:tcBorders>
              <w:top w:val="nil"/>
              <w:left w:val="nil"/>
              <w:bottom w:val="single" w:color="000000" w:sz="4" w:space="0"/>
              <w:right w:val="single" w:color="000000" w:sz="4" w:space="0"/>
            </w:tcBorders>
            <w:tcMar>
              <w:top w:w="0" w:type="dxa"/>
              <w:left w:w="105" w:type="dxa"/>
              <w:bottom w:w="0" w:type="dxa"/>
              <w:right w:w="105" w:type="dxa"/>
            </w:tcMar>
          </w:tcPr>
          <w:p w14:paraId="270D2159">
            <w:pPr>
              <w:pStyle w:val="22"/>
              <w:spacing w:line="320" w:lineRule="exact"/>
              <w:rPr>
                <w:rFonts w:hint="default" w:ascii="宋体" w:hAnsi="宋体" w:eastAsia="宋体" w:cs="宋体"/>
                <w:sz w:val="21"/>
                <w:szCs w:val="21"/>
              </w:rPr>
            </w:pPr>
          </w:p>
        </w:tc>
      </w:tr>
      <w:tr w14:paraId="0ACC8A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3E5D054">
            <w:pPr>
              <w:pStyle w:val="22"/>
              <w:spacing w:line="320" w:lineRule="exact"/>
              <w:rPr>
                <w:rFonts w:hint="default" w:ascii="宋体" w:hAnsi="宋体" w:eastAsia="宋体" w:cs="宋体"/>
                <w:sz w:val="21"/>
                <w:szCs w:val="21"/>
              </w:rPr>
            </w:pPr>
            <w:r>
              <w:rPr>
                <w:rFonts w:ascii="宋体" w:hAnsi="宋体" w:eastAsia="宋体" w:cs="宋体"/>
                <w:color w:val="000000"/>
                <w:sz w:val="21"/>
                <w:szCs w:val="21"/>
              </w:rPr>
              <w:t>3</w:t>
            </w:r>
          </w:p>
        </w:tc>
        <w:tc>
          <w:tcPr>
            <w:tcW w:w="692" w:type="pct"/>
            <w:tcBorders>
              <w:top w:val="nil"/>
              <w:left w:val="nil"/>
              <w:bottom w:val="single" w:color="000000" w:sz="4" w:space="0"/>
              <w:right w:val="single" w:color="000000" w:sz="4" w:space="0"/>
            </w:tcBorders>
            <w:tcMar>
              <w:top w:w="0" w:type="dxa"/>
              <w:left w:w="105" w:type="dxa"/>
              <w:bottom w:w="0" w:type="dxa"/>
              <w:right w:w="105" w:type="dxa"/>
            </w:tcMar>
          </w:tcPr>
          <w:p w14:paraId="5239ED23">
            <w:pPr>
              <w:pStyle w:val="22"/>
              <w:spacing w:line="320" w:lineRule="exact"/>
              <w:rPr>
                <w:rFonts w:hint="default" w:ascii="宋体" w:hAnsi="宋体" w:eastAsia="宋体" w:cs="宋体"/>
                <w:sz w:val="21"/>
                <w:szCs w:val="21"/>
              </w:rPr>
            </w:pPr>
            <w:r>
              <w:rPr>
                <w:rFonts w:ascii="宋体" w:hAnsi="宋体" w:eastAsia="宋体" w:cs="宋体"/>
                <w:sz w:val="21"/>
                <w:szCs w:val="21"/>
              </w:rPr>
              <w:t>S105</w:t>
            </w:r>
          </w:p>
        </w:tc>
        <w:tc>
          <w:tcPr>
            <w:tcW w:w="1630" w:type="pct"/>
            <w:tcBorders>
              <w:top w:val="nil"/>
              <w:left w:val="nil"/>
              <w:bottom w:val="single" w:color="000000" w:sz="4" w:space="0"/>
              <w:right w:val="single" w:color="000000" w:sz="4" w:space="0"/>
            </w:tcBorders>
            <w:tcMar>
              <w:top w:w="0" w:type="dxa"/>
              <w:left w:w="105" w:type="dxa"/>
              <w:bottom w:w="0" w:type="dxa"/>
              <w:right w:w="105" w:type="dxa"/>
            </w:tcMar>
          </w:tcPr>
          <w:p w14:paraId="79DCE2E2">
            <w:pPr>
              <w:pStyle w:val="22"/>
              <w:spacing w:line="320" w:lineRule="exact"/>
              <w:rPr>
                <w:rFonts w:hint="default" w:ascii="宋体" w:hAnsi="宋体" w:eastAsia="宋体" w:cs="宋体"/>
                <w:sz w:val="21"/>
                <w:szCs w:val="21"/>
              </w:rPr>
            </w:pPr>
            <w:r>
              <w:rPr>
                <w:rFonts w:ascii="宋体" w:hAnsi="宋体" w:eastAsia="宋体" w:cs="宋体"/>
                <w:sz w:val="21"/>
                <w:szCs w:val="21"/>
              </w:rPr>
              <w:t>S105碧峰峡镇</w:t>
            </w:r>
          </w:p>
        </w:tc>
        <w:tc>
          <w:tcPr>
            <w:tcW w:w="1420" w:type="pct"/>
            <w:tcBorders>
              <w:top w:val="nil"/>
              <w:left w:val="nil"/>
              <w:bottom w:val="single" w:color="000000" w:sz="4" w:space="0"/>
              <w:right w:val="single" w:color="000000" w:sz="4" w:space="0"/>
            </w:tcBorders>
            <w:tcMar>
              <w:top w:w="0" w:type="dxa"/>
              <w:left w:w="105" w:type="dxa"/>
              <w:bottom w:w="0" w:type="dxa"/>
              <w:right w:w="105" w:type="dxa"/>
            </w:tcMar>
          </w:tcPr>
          <w:p w14:paraId="7B02C58D">
            <w:pPr>
              <w:pStyle w:val="22"/>
              <w:spacing w:line="320" w:lineRule="exact"/>
              <w:rPr>
                <w:rFonts w:hint="default" w:ascii="宋体" w:hAnsi="宋体" w:eastAsia="宋体" w:cs="宋体"/>
                <w:sz w:val="21"/>
                <w:szCs w:val="21"/>
                <w:lang w:eastAsia="zh-CN"/>
              </w:rPr>
            </w:pPr>
            <w:r>
              <w:rPr>
                <w:rFonts w:ascii="宋体" w:hAnsi="宋体" w:eastAsia="宋体" w:cs="宋体"/>
                <w:sz w:val="21"/>
                <w:szCs w:val="21"/>
                <w:lang w:eastAsia="zh-CN"/>
              </w:rPr>
              <w:t>K143+454</w:t>
            </w:r>
          </w:p>
        </w:tc>
        <w:tc>
          <w:tcPr>
            <w:tcW w:w="628" w:type="pct"/>
            <w:tcBorders>
              <w:top w:val="nil"/>
              <w:left w:val="nil"/>
              <w:bottom w:val="single" w:color="000000" w:sz="4" w:space="0"/>
              <w:right w:val="single" w:color="000000" w:sz="4" w:space="0"/>
            </w:tcBorders>
            <w:tcMar>
              <w:top w:w="0" w:type="dxa"/>
              <w:left w:w="105" w:type="dxa"/>
              <w:bottom w:w="0" w:type="dxa"/>
              <w:right w:w="105" w:type="dxa"/>
            </w:tcMar>
          </w:tcPr>
          <w:p w14:paraId="3A900B19">
            <w:pPr>
              <w:pStyle w:val="22"/>
              <w:spacing w:line="320" w:lineRule="exact"/>
              <w:rPr>
                <w:rFonts w:hint="default" w:ascii="宋体" w:hAnsi="宋体" w:eastAsia="宋体" w:cs="宋体"/>
                <w:sz w:val="21"/>
                <w:szCs w:val="21"/>
              </w:rPr>
            </w:pPr>
          </w:p>
        </w:tc>
      </w:tr>
    </w:tbl>
    <w:p w14:paraId="02DC1483">
      <w:pPr>
        <w:tabs>
          <w:tab w:val="left" w:pos="312"/>
          <w:tab w:val="clear" w:pos="0"/>
        </w:tabs>
        <w:adjustRightInd/>
        <w:snapToGrid/>
        <w:spacing w:line="430" w:lineRule="exact"/>
        <w:ind w:firstLine="480" w:firstLineChars="200"/>
        <w:rPr>
          <w:rFonts w:ascii="仿宋" w:hAnsi="仿宋" w:cs="仿宋"/>
          <w:szCs w:val="21"/>
        </w:rPr>
      </w:pPr>
      <w:r>
        <w:rPr>
          <w:rFonts w:hint="eastAsia" w:ascii="仿宋" w:hAnsi="仿宋" w:cs="仿宋"/>
          <w:szCs w:val="21"/>
        </w:rPr>
        <w:t>注：实际实施中如采购人根据实际需要有权改变监控地点。</w:t>
      </w:r>
    </w:p>
    <w:p w14:paraId="3834514B">
      <w:pPr>
        <w:tabs>
          <w:tab w:val="left" w:pos="312"/>
          <w:tab w:val="clear" w:pos="0"/>
        </w:tabs>
        <w:adjustRightInd/>
        <w:snapToGrid/>
        <w:spacing w:line="43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
          <w:bCs/>
        </w:rPr>
        <w:t>（三）服务要求</w:t>
      </w:r>
    </w:p>
    <w:p w14:paraId="7EE6F952">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一）总体要求</w:t>
      </w:r>
    </w:p>
    <w:p w14:paraId="1D3779FE">
      <w:pPr>
        <w:pStyle w:val="22"/>
        <w:jc w:val="both"/>
        <w:rPr>
          <w:rFonts w:hint="default" w:ascii="宋体" w:hAnsi="宋体" w:eastAsia="宋体" w:cs="宋体"/>
        </w:rPr>
      </w:pPr>
      <w:r>
        <w:rPr>
          <w:rFonts w:ascii="宋体" w:hAnsi="宋体" w:eastAsia="宋体" w:cs="宋体"/>
          <w:sz w:val="24"/>
          <w:lang w:eastAsia="zh-CN"/>
        </w:rPr>
        <w:t>1.</w:t>
      </w:r>
      <w:r>
        <w:rPr>
          <w:rFonts w:ascii="宋体" w:hAnsi="宋体" w:eastAsia="宋体" w:cs="宋体"/>
          <w:sz w:val="24"/>
        </w:rPr>
        <w:t>本项目</w:t>
      </w:r>
      <w:r>
        <w:rPr>
          <w:rFonts w:ascii="宋体" w:hAnsi="宋体" w:eastAsia="宋体" w:cs="宋体"/>
          <w:sz w:val="24"/>
          <w:lang w:eastAsia="zh-CN"/>
        </w:rPr>
        <w:t>3</w:t>
      </w:r>
      <w:r>
        <w:rPr>
          <w:rFonts w:ascii="宋体" w:hAnsi="宋体" w:eastAsia="宋体" w:cs="宋体"/>
          <w:sz w:val="24"/>
        </w:rPr>
        <w:t>个高位视频监测点的视距</w:t>
      </w:r>
      <w:r>
        <w:rPr>
          <w:rFonts w:hint="eastAsia" w:ascii="宋体" w:hAnsi="宋体" w:eastAsia="宋体" w:cs="宋体"/>
          <w:sz w:val="24"/>
          <w:lang w:eastAsia="zh-CN"/>
        </w:rPr>
        <w:t>按照≥</w:t>
      </w:r>
      <w:r>
        <w:rPr>
          <w:rFonts w:ascii="宋体" w:hAnsi="宋体" w:eastAsia="宋体" w:cs="宋体"/>
          <w:sz w:val="24"/>
        </w:rPr>
        <w:t>1.5公里</w:t>
      </w:r>
      <w:r>
        <w:rPr>
          <w:rFonts w:hint="eastAsia" w:ascii="宋体" w:hAnsi="宋体" w:eastAsia="宋体" w:cs="宋体"/>
          <w:sz w:val="24"/>
          <w:lang w:eastAsia="zh-CN"/>
        </w:rPr>
        <w:t>要求建设</w:t>
      </w:r>
      <w:r>
        <w:rPr>
          <w:rFonts w:ascii="宋体" w:hAnsi="宋体" w:eastAsia="宋体" w:cs="宋体"/>
          <w:sz w:val="24"/>
        </w:rPr>
        <w:t>，且无浓雾多发的特殊路段点位，视频监测终端均采用高清球形摄像机，投入数量</w:t>
      </w:r>
      <w:r>
        <w:rPr>
          <w:rFonts w:ascii="宋体" w:hAnsi="宋体" w:eastAsia="宋体" w:cs="宋体"/>
          <w:sz w:val="24"/>
          <w:lang w:eastAsia="zh-CN"/>
        </w:rPr>
        <w:t>3</w:t>
      </w:r>
      <w:r>
        <w:rPr>
          <w:rFonts w:ascii="宋体" w:hAnsi="宋体" w:eastAsia="宋体" w:cs="宋体"/>
          <w:sz w:val="24"/>
        </w:rPr>
        <w:t>个。</w:t>
      </w:r>
    </w:p>
    <w:p w14:paraId="09FFBC7A">
      <w:pPr>
        <w:tabs>
          <w:tab w:val="left" w:pos="312"/>
          <w:tab w:val="clear" w:pos="0"/>
        </w:tabs>
        <w:adjustRightInd/>
        <w:snapToGrid/>
        <w:spacing w:line="430" w:lineRule="exact"/>
        <w:rPr>
          <w:rFonts w:cs="宋体"/>
          <w:b/>
          <w:bCs/>
        </w:rPr>
      </w:pPr>
      <w:r>
        <w:rPr>
          <w:rFonts w:hint="eastAsia" w:cs="宋体"/>
        </w:rPr>
        <w:t>2.摄像机根据监测范围现场情况，应能够在保证画面质量的情况下，通过高性能压缩算法，可自动和远程手动控制实时视频传输码流，与接入带宽相匹配，不会出现图像丢帧、图像延时现象。</w:t>
      </w:r>
    </w:p>
    <w:p w14:paraId="0CD15055">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二）服务所需设备、设施参数要求</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245"/>
        <w:gridCol w:w="6847"/>
      </w:tblGrid>
      <w:tr w14:paraId="1590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vAlign w:val="center"/>
          </w:tcPr>
          <w:p w14:paraId="3C41AABF">
            <w:pPr>
              <w:widowControl/>
              <w:jc w:val="center"/>
              <w:rPr>
                <w:rFonts w:cs="宋体"/>
                <w:b/>
                <w:bCs/>
                <w:color w:val="000000"/>
                <w:kern w:val="0"/>
                <w:sz w:val="21"/>
                <w:szCs w:val="21"/>
                <w:lang w:bidi="ar"/>
              </w:rPr>
            </w:pPr>
            <w:r>
              <w:rPr>
                <w:rFonts w:hint="eastAsia" w:cs="宋体"/>
                <w:b/>
                <w:bCs/>
                <w:color w:val="000000"/>
                <w:kern w:val="0"/>
                <w:sz w:val="21"/>
                <w:szCs w:val="21"/>
                <w:lang w:bidi="ar"/>
              </w:rPr>
              <w:t>序号</w:t>
            </w:r>
          </w:p>
        </w:tc>
        <w:tc>
          <w:tcPr>
            <w:tcW w:w="731" w:type="pct"/>
            <w:vAlign w:val="center"/>
          </w:tcPr>
          <w:p w14:paraId="26B1F7E2">
            <w:pPr>
              <w:widowControl/>
              <w:jc w:val="center"/>
              <w:rPr>
                <w:rFonts w:cs="宋体"/>
                <w:b/>
                <w:bCs/>
                <w:color w:val="000000"/>
                <w:kern w:val="0"/>
                <w:sz w:val="21"/>
                <w:szCs w:val="21"/>
                <w:lang w:bidi="ar"/>
              </w:rPr>
            </w:pPr>
            <w:r>
              <w:rPr>
                <w:rFonts w:hint="eastAsia" w:cs="宋体"/>
                <w:b/>
                <w:bCs/>
                <w:color w:val="000000"/>
                <w:kern w:val="0"/>
                <w:sz w:val="21"/>
                <w:szCs w:val="21"/>
                <w:lang w:bidi="ar"/>
              </w:rPr>
              <w:t>名称</w:t>
            </w:r>
          </w:p>
        </w:tc>
        <w:tc>
          <w:tcPr>
            <w:tcW w:w="4018" w:type="pct"/>
            <w:vAlign w:val="center"/>
          </w:tcPr>
          <w:p w14:paraId="1116BBA1">
            <w:pPr>
              <w:widowControl/>
              <w:jc w:val="center"/>
              <w:rPr>
                <w:rFonts w:hint="default" w:eastAsia="宋体" w:cs="宋体"/>
                <w:b/>
                <w:bCs/>
                <w:color w:val="000000"/>
                <w:kern w:val="0"/>
                <w:sz w:val="21"/>
                <w:szCs w:val="21"/>
                <w:lang w:val="en-US" w:eastAsia="zh-CN" w:bidi="ar"/>
              </w:rPr>
            </w:pPr>
            <w:r>
              <w:rPr>
                <w:rFonts w:hint="eastAsia" w:cs="宋体"/>
                <w:b/>
                <w:bCs/>
                <w:color w:val="000000"/>
                <w:kern w:val="0"/>
                <w:sz w:val="21"/>
                <w:szCs w:val="21"/>
                <w:lang w:bidi="ar"/>
              </w:rPr>
              <w:t>技术参数</w:t>
            </w:r>
            <w:r>
              <w:rPr>
                <w:rFonts w:hint="eastAsia" w:cs="宋体"/>
                <w:b/>
                <w:bCs/>
                <w:color w:val="000000"/>
                <w:kern w:val="0"/>
                <w:sz w:val="21"/>
                <w:szCs w:val="21"/>
                <w:lang w:val="en-US" w:eastAsia="zh-CN" w:bidi="ar"/>
              </w:rPr>
              <w:t>与性能指标</w:t>
            </w:r>
          </w:p>
        </w:tc>
      </w:tr>
      <w:tr w14:paraId="21BB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vAlign w:val="center"/>
          </w:tcPr>
          <w:p w14:paraId="14F3B26D">
            <w:pPr>
              <w:widowControl/>
              <w:jc w:val="center"/>
              <w:rPr>
                <w:rFonts w:cs="宋体"/>
                <w:b/>
                <w:bCs/>
                <w:color w:val="000000"/>
                <w:kern w:val="0"/>
                <w:sz w:val="21"/>
                <w:szCs w:val="21"/>
                <w:lang w:bidi="ar"/>
              </w:rPr>
            </w:pPr>
            <w:r>
              <w:rPr>
                <w:rFonts w:hint="eastAsia" w:cs="宋体"/>
                <w:b/>
                <w:bCs/>
                <w:color w:val="000000"/>
                <w:kern w:val="0"/>
                <w:sz w:val="21"/>
                <w:szCs w:val="21"/>
                <w:lang w:bidi="ar"/>
              </w:rPr>
              <w:t>1</w:t>
            </w:r>
          </w:p>
        </w:tc>
        <w:tc>
          <w:tcPr>
            <w:tcW w:w="731" w:type="pct"/>
            <w:vAlign w:val="center"/>
          </w:tcPr>
          <w:p w14:paraId="7E4018C8">
            <w:pPr>
              <w:widowControl/>
              <w:jc w:val="center"/>
              <w:rPr>
                <w:rFonts w:cs="宋体"/>
                <w:b/>
                <w:bCs/>
                <w:color w:val="000000"/>
                <w:kern w:val="0"/>
                <w:sz w:val="21"/>
                <w:szCs w:val="21"/>
                <w:lang w:bidi="ar"/>
              </w:rPr>
            </w:pPr>
            <w:r>
              <w:rPr>
                <w:rFonts w:hint="eastAsia" w:cs="宋体"/>
                <w:b/>
                <w:bCs/>
                <w:color w:val="000000"/>
                <w:kern w:val="0"/>
                <w:sz w:val="21"/>
                <w:szCs w:val="21"/>
                <w:lang w:bidi="ar"/>
              </w:rPr>
              <w:t>高清球形摄像机</w:t>
            </w:r>
          </w:p>
        </w:tc>
        <w:tc>
          <w:tcPr>
            <w:tcW w:w="4018" w:type="pct"/>
            <w:shd w:val="clear" w:color="auto" w:fill="auto"/>
            <w:vAlign w:val="top"/>
          </w:tcPr>
          <w:p w14:paraId="32CB4C76">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 400 万像素分辨率（2560*1440），可向下兼容 16：</w:t>
            </w:r>
          </w:p>
          <w:p w14:paraId="1CB367B4">
            <w:pPr>
              <w:keepNext w:val="0"/>
              <w:keepLines w:val="0"/>
              <w:widowControl/>
              <w:suppressLineNumbers w:val="0"/>
              <w:jc w:val="left"/>
              <w:rPr>
                <w:rFonts w:hint="eastAsia" w:cs="宋体"/>
                <w:color w:val="000000"/>
                <w:kern w:val="0"/>
                <w:sz w:val="21"/>
                <w:szCs w:val="21"/>
                <w:highlight w:val="none"/>
                <w:lang w:val="en-US" w:eastAsia="zh-CN" w:bidi="ar"/>
              </w:rPr>
            </w:pPr>
            <w:r>
              <w:rPr>
                <w:rFonts w:hint="eastAsia" w:ascii="宋体" w:hAnsi="宋体" w:eastAsia="宋体" w:cs="宋体"/>
                <w:color w:val="000000"/>
                <w:kern w:val="0"/>
                <w:sz w:val="21"/>
                <w:szCs w:val="21"/>
                <w:lang w:val="en-US" w:eastAsia="zh-CN" w:bidi="ar"/>
              </w:rPr>
              <w:t>9画</w:t>
            </w:r>
            <w:r>
              <w:rPr>
                <w:rFonts w:hint="eastAsia" w:ascii="宋体" w:hAnsi="宋体" w:eastAsia="宋体" w:cs="宋体"/>
                <w:color w:val="000000"/>
                <w:kern w:val="0"/>
                <w:sz w:val="21"/>
                <w:szCs w:val="21"/>
                <w:highlight w:val="none"/>
                <w:lang w:val="en-US" w:eastAsia="zh-CN" w:bidi="ar"/>
              </w:rPr>
              <w:t>面输出</w:t>
            </w:r>
            <w:r>
              <w:rPr>
                <w:rFonts w:hint="eastAsia" w:cs="宋体"/>
                <w:color w:val="000000"/>
                <w:kern w:val="0"/>
                <w:sz w:val="21"/>
                <w:szCs w:val="21"/>
                <w:highlight w:val="none"/>
                <w:lang w:val="en-US" w:eastAsia="zh-CN" w:bidi="ar"/>
              </w:rPr>
              <w:t>；</w:t>
            </w:r>
          </w:p>
          <w:p w14:paraId="23A7B2F0">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（2）摄像机靶面尺寸</w:t>
            </w:r>
            <w:r>
              <w:rPr>
                <w:rFonts w:hint="eastAsia"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1/1.</w:t>
            </w:r>
            <w:r>
              <w:rPr>
                <w:rFonts w:hint="eastAsia" w:cs="宋体"/>
                <w:color w:val="000000"/>
                <w:kern w:val="0"/>
                <w:sz w:val="21"/>
                <w:szCs w:val="21"/>
                <w:highlight w:val="none"/>
                <w:lang w:val="en-US" w:eastAsia="zh-CN" w:bidi="ar"/>
              </w:rPr>
              <w:t>8</w:t>
            </w:r>
            <w:r>
              <w:rPr>
                <w:rFonts w:hint="eastAsia" w:ascii="宋体" w:hAnsi="宋体" w:eastAsia="宋体" w:cs="宋体"/>
                <w:color w:val="000000"/>
                <w:kern w:val="0"/>
                <w:sz w:val="21"/>
                <w:szCs w:val="21"/>
                <w:highlight w:val="none"/>
                <w:lang w:val="en-US" w:eastAsia="zh-CN" w:bidi="ar"/>
              </w:rPr>
              <w:t>英寸；</w:t>
            </w:r>
          </w:p>
          <w:p w14:paraId="55C2BEF7">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 xml:space="preserve">）最低照度：彩色 </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0.001Lux@F1.4，黑白 </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0.0005Lux@F1.40Lux； </w:t>
            </w:r>
          </w:p>
          <w:p w14:paraId="3E7251D3">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）支持断网续传功能保证录像不丢失； </w:t>
            </w:r>
          </w:p>
          <w:p w14:paraId="46000278">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 xml:space="preserve">）支持红外/激光夜视功能，补光距离≥500 米； </w:t>
            </w:r>
          </w:p>
          <w:p w14:paraId="5B4C5D3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 摄像机内置镜头，支持</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5</w:t>
            </w:r>
            <w:r>
              <w:rPr>
                <w:rFonts w:hint="eastAsia" w:cs="宋体"/>
                <w:color w:val="000000"/>
                <w:kern w:val="0"/>
                <w:sz w:val="21"/>
                <w:szCs w:val="21"/>
                <w:lang w:val="en-US" w:eastAsia="zh-CN" w:bidi="ar"/>
              </w:rPr>
              <w:t>0</w:t>
            </w:r>
            <w:r>
              <w:rPr>
                <w:rFonts w:hint="eastAsia" w:ascii="宋体" w:hAnsi="宋体" w:eastAsia="宋体" w:cs="宋体"/>
                <w:color w:val="000000"/>
                <w:kern w:val="0"/>
                <w:sz w:val="21"/>
                <w:szCs w:val="21"/>
                <w:lang w:val="en-US" w:eastAsia="zh-CN" w:bidi="ar"/>
              </w:rPr>
              <w:t>倍光学变倍，镜头最大焦距</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350mm；</w:t>
            </w:r>
          </w:p>
          <w:p w14:paraId="72AA7DB3">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）支持 H.265 高效压缩； </w:t>
            </w:r>
          </w:p>
          <w:p w14:paraId="6454810F">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 xml:space="preserve">）支持 GB 35114 安全加密； </w:t>
            </w:r>
          </w:p>
          <w:p w14:paraId="4D4DB32C">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 xml:space="preserve">）支持预设位≥300 个，自定义巡航线路≥8 条； </w:t>
            </w:r>
          </w:p>
          <w:p w14:paraId="6125F0A5">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 xml:space="preserve">）支持强光抑制、电子透雾； </w:t>
            </w:r>
          </w:p>
          <w:p w14:paraId="7F1D8FAE">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）支持水平 360°，垂直</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-20°~90°监控范围调整； </w:t>
            </w:r>
          </w:p>
          <w:p w14:paraId="25661541">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）支持 DC 48V/AC 24V 供电</w:t>
            </w:r>
            <w:r>
              <w:rPr>
                <w:rFonts w:hint="eastAsia" w:cs="宋体"/>
                <w:color w:val="000000"/>
                <w:kern w:val="0"/>
                <w:sz w:val="21"/>
                <w:szCs w:val="21"/>
                <w:lang w:val="en-US" w:eastAsia="zh-CN" w:bidi="ar"/>
              </w:rPr>
              <w:t>；</w:t>
            </w:r>
          </w:p>
          <w:p w14:paraId="33A68D4A">
            <w:pPr>
              <w:keepNext w:val="0"/>
              <w:keepLines w:val="0"/>
              <w:widowControl/>
              <w:suppressLineNumbers w:val="0"/>
              <w:jc w:val="left"/>
              <w:rPr>
                <w:rFonts w:hint="eastAsia" w:ascii="宋体" w:hAnsi="宋体" w:eastAsia="宋体" w:cs="宋体"/>
                <w:sz w:val="21"/>
                <w:szCs w:val="21"/>
              </w:rPr>
            </w:pPr>
            <w:r>
              <w:rPr>
                <w:rFonts w:hint="eastAsia" w:cs="宋体"/>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外壳防护等级</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IP67；</w:t>
            </w:r>
          </w:p>
          <w:p w14:paraId="715488CA">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）支持自动雨刷，支持远程手动或自动启动雨刷功能；</w:t>
            </w:r>
          </w:p>
          <w:p w14:paraId="0E2EF92E">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 xml:space="preserve">）支持 GB/T 28181、ONVIF 标准； </w:t>
            </w:r>
          </w:p>
          <w:p w14:paraId="5494EBD8">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）网络接口：RJ45 网口，自适应 10M/100M 网络数据；</w:t>
            </w:r>
          </w:p>
          <w:p w14:paraId="0642C8F1">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）SD 卡扩展：支持 Micro SD（即 TF 卡）/Micro SDHC/Micro </w:t>
            </w:r>
          </w:p>
          <w:p w14:paraId="682D0FA1">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SDXC卡，并配置容量</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 256G 的扩展卡； </w:t>
            </w:r>
          </w:p>
          <w:p w14:paraId="72777ABD">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 xml:space="preserve">）支持远程修改视频图像文字标注； </w:t>
            </w:r>
          </w:p>
          <w:p w14:paraId="48F8B7C7">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w:t>
            </w:r>
            <w:r>
              <w:rPr>
                <w:rFonts w:hint="eastAsia" w:cs="宋体"/>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）支持时钟同步功能。</w:t>
            </w:r>
          </w:p>
          <w:p w14:paraId="7D1084C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20</w:t>
            </w:r>
            <w:r>
              <w:rPr>
                <w:rFonts w:hint="eastAsia" w:ascii="宋体" w:hAnsi="宋体" w:eastAsia="宋体" w:cs="宋体"/>
                <w:color w:val="000000"/>
                <w:kern w:val="0"/>
                <w:sz w:val="21"/>
                <w:szCs w:val="21"/>
                <w:lang w:val="en-US" w:eastAsia="zh-CN" w:bidi="ar"/>
              </w:rPr>
              <w:t>）设备具有光学防抖功能，将镜头倍率设置为最大，快门设置为1/25s，在振动台振幅</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0.3°，振动频率</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10Hz情况下，设备视场角应无明显变化，视频图像在振动过程中应保持稳定清晰；</w:t>
            </w:r>
          </w:p>
          <w:p w14:paraId="0A4A2D8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21</w:t>
            </w:r>
            <w:r>
              <w:rPr>
                <w:rFonts w:hint="eastAsia" w:ascii="宋体" w:hAnsi="宋体" w:eastAsia="宋体" w:cs="宋体"/>
                <w:color w:val="000000"/>
                <w:kern w:val="0"/>
                <w:sz w:val="21"/>
                <w:szCs w:val="21"/>
                <w:lang w:val="en-US" w:eastAsia="zh-CN" w:bidi="ar"/>
              </w:rPr>
              <w:t>）设备具备布控预置位功能，可通过布控预置位对车辆进行布控，可设置</w:t>
            </w:r>
            <w:r>
              <w:rPr>
                <w:rFonts w:hint="eastAsia"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8个布控预置位；</w:t>
            </w:r>
          </w:p>
          <w:p w14:paraId="2ED117F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22</w:t>
            </w:r>
            <w:r>
              <w:rPr>
                <w:rFonts w:hint="eastAsia" w:ascii="宋体" w:hAnsi="宋体" w:eastAsia="宋体" w:cs="宋体"/>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设备具备人脸布控功能，可通过IE浏览器或客户端软件新建布控人脸库，可建立</w:t>
            </w:r>
            <w:r>
              <w:rPr>
                <w:rFonts w:hint="eastAsia"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10个布控人脸库，每个库中可添加</w:t>
            </w:r>
            <w:r>
              <w:rPr>
                <w:rFonts w:hint="eastAsia"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15万张人脸图片；</w:t>
            </w:r>
          </w:p>
          <w:p w14:paraId="5224F82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23</w:t>
            </w:r>
            <w:r>
              <w:rPr>
                <w:rFonts w:hint="eastAsia" w:ascii="宋体" w:hAnsi="宋体" w:eastAsia="宋体" w:cs="宋体"/>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设备具备遮挡跟踪功能，当设备跟踪的人员目标全身被遮挡时，设备可在当前位置停留，人员目标在</w:t>
            </w:r>
            <w:r>
              <w:rPr>
                <w:rFonts w:hint="eastAsia"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10s内重新出现在监控画面后，设备可继续进行跟踪；</w:t>
            </w:r>
          </w:p>
          <w:p w14:paraId="2DC936F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cs="宋体"/>
                <w:color w:val="000000"/>
                <w:kern w:val="0"/>
                <w:sz w:val="21"/>
                <w:szCs w:val="21"/>
                <w:lang w:val="en-US" w:eastAsia="zh-CN" w:bidi="ar"/>
              </w:rPr>
              <w:t>24</w:t>
            </w:r>
            <w:r>
              <w:rPr>
                <w:rFonts w:hint="eastAsia" w:ascii="宋体" w:hAnsi="宋体" w:eastAsia="宋体" w:cs="宋体"/>
                <w:color w:val="000000"/>
                <w:kern w:val="0"/>
                <w:sz w:val="21"/>
                <w:szCs w:val="21"/>
                <w:lang w:val="en-US" w:eastAsia="zh-CN" w:bidi="ar"/>
              </w:rPr>
              <w:t>）设备具备布控接力跟踪功能，多台同型号设备外接平台并布控成功后，当任意一台设备监视画面中出现布控名单中的机动车时，设备可触发报警并跟踪，客户端软件可自动调用显示正在进行跟踪的设备的监控画面。</w:t>
            </w:r>
          </w:p>
        </w:tc>
      </w:tr>
    </w:tbl>
    <w:p w14:paraId="742FEDC2">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三）杆塔资源技术要求</w:t>
      </w:r>
    </w:p>
    <w:p w14:paraId="43A4F6AE">
      <w:pPr>
        <w:pStyle w:val="22"/>
        <w:jc w:val="both"/>
        <w:rPr>
          <w:rFonts w:hint="default" w:ascii="宋体" w:hAnsi="宋体" w:eastAsia="宋体" w:cs="宋体"/>
        </w:rPr>
      </w:pPr>
      <w:r>
        <w:rPr>
          <w:rFonts w:ascii="宋体" w:hAnsi="宋体" w:eastAsia="宋体" w:cs="宋体"/>
          <w:sz w:val="24"/>
        </w:rPr>
        <w:t>1</w:t>
      </w:r>
      <w:r>
        <w:rPr>
          <w:rFonts w:ascii="宋体" w:hAnsi="宋体" w:eastAsia="宋体" w:cs="宋体"/>
          <w:sz w:val="24"/>
          <w:lang w:eastAsia="zh-CN"/>
        </w:rPr>
        <w:t>.</w:t>
      </w:r>
      <w:r>
        <w:rPr>
          <w:rFonts w:ascii="宋体" w:hAnsi="宋体" w:eastAsia="宋体" w:cs="宋体"/>
          <w:sz w:val="24"/>
        </w:rPr>
        <w:t>附挂杆塔的选址、高度、承重应满足监测视野和摄像机挂载要求，</w:t>
      </w:r>
    </w:p>
    <w:p w14:paraId="4857F5F1">
      <w:pPr>
        <w:pStyle w:val="22"/>
        <w:jc w:val="both"/>
        <w:rPr>
          <w:rFonts w:hint="default" w:ascii="宋体" w:hAnsi="宋体" w:eastAsia="宋体" w:cs="宋体"/>
        </w:rPr>
      </w:pPr>
      <w:r>
        <w:rPr>
          <w:rFonts w:ascii="宋体" w:hAnsi="宋体" w:eastAsia="宋体" w:cs="宋体"/>
          <w:sz w:val="24"/>
        </w:rPr>
        <w:t>2</w:t>
      </w:r>
      <w:r>
        <w:rPr>
          <w:rFonts w:ascii="宋体" w:hAnsi="宋体" w:eastAsia="宋体" w:cs="宋体"/>
          <w:sz w:val="24"/>
          <w:lang w:eastAsia="zh-CN"/>
        </w:rPr>
        <w:t>.</w:t>
      </w:r>
      <w:r>
        <w:rPr>
          <w:rFonts w:ascii="宋体" w:hAnsi="宋体" w:eastAsia="宋体" w:cs="宋体"/>
          <w:sz w:val="24"/>
        </w:rPr>
        <w:t>视频监测终端</w:t>
      </w:r>
      <w:r>
        <w:rPr>
          <w:rFonts w:ascii="宋体" w:hAnsi="宋体" w:eastAsia="宋体" w:cs="宋体"/>
          <w:sz w:val="24"/>
          <w:lang w:eastAsia="zh-CN"/>
        </w:rPr>
        <w:t>安装高度距离安装位置地面≥18米且</w:t>
      </w:r>
      <w:r>
        <w:rPr>
          <w:rFonts w:ascii="宋体" w:hAnsi="宋体" w:eastAsia="宋体" w:cs="宋体"/>
          <w:sz w:val="24"/>
        </w:rPr>
        <w:t>相较于监测路段路面挂载高度≥15</w:t>
      </w:r>
      <w:r>
        <w:rPr>
          <w:rFonts w:hint="eastAsia" w:ascii="宋体" w:hAnsi="宋体" w:eastAsia="宋体" w:cs="宋体"/>
          <w:sz w:val="24"/>
          <w:lang w:val="en-US" w:eastAsia="zh-CN"/>
        </w:rPr>
        <w:t>米</w:t>
      </w:r>
      <w:r>
        <w:rPr>
          <w:rFonts w:hint="eastAsia" w:ascii="宋体" w:hAnsi="宋体" w:eastAsia="宋体" w:cs="宋体"/>
          <w:sz w:val="24"/>
          <w:lang w:eastAsia="zh-CN"/>
        </w:rPr>
        <w:t>，</w:t>
      </w:r>
      <w:r>
        <w:rPr>
          <w:rFonts w:ascii="宋体" w:hAnsi="宋体" w:eastAsia="宋体" w:cs="宋体"/>
          <w:sz w:val="24"/>
        </w:rPr>
        <w:t>省界≥9</w:t>
      </w:r>
      <w:r>
        <w:rPr>
          <w:rFonts w:hint="eastAsia" w:ascii="宋体" w:hAnsi="宋体" w:eastAsia="宋体" w:cs="宋体"/>
          <w:sz w:val="24"/>
          <w:lang w:val="en-US" w:eastAsia="zh-CN"/>
        </w:rPr>
        <w:t>米</w:t>
      </w:r>
      <w:r>
        <w:rPr>
          <w:rFonts w:ascii="宋体" w:hAnsi="宋体" w:eastAsia="宋体" w:cs="宋体"/>
          <w:sz w:val="24"/>
        </w:rPr>
        <w:t>。 杆塔（含基础）应参照通信铁塔的相关国家行业技术标准，</w:t>
      </w:r>
    </w:p>
    <w:p w14:paraId="6E34E5F7">
      <w:pPr>
        <w:pStyle w:val="22"/>
        <w:jc w:val="both"/>
        <w:rPr>
          <w:rFonts w:hint="default" w:ascii="宋体" w:hAnsi="宋体" w:eastAsia="宋体" w:cs="宋体"/>
        </w:rPr>
      </w:pPr>
      <w:r>
        <w:rPr>
          <w:rFonts w:ascii="宋体" w:hAnsi="宋体" w:eastAsia="宋体" w:cs="宋体"/>
          <w:sz w:val="24"/>
        </w:rPr>
        <w:t>3</w:t>
      </w:r>
      <w:r>
        <w:rPr>
          <w:rFonts w:ascii="宋体" w:hAnsi="宋体" w:eastAsia="宋体" w:cs="宋体"/>
          <w:sz w:val="24"/>
          <w:lang w:eastAsia="zh-CN"/>
        </w:rPr>
        <w:t>.</w:t>
      </w:r>
      <w:r>
        <w:rPr>
          <w:rFonts w:ascii="宋体" w:hAnsi="宋体" w:eastAsia="宋体" w:cs="宋体"/>
          <w:sz w:val="24"/>
        </w:rPr>
        <w:t>供应商应具备杆塔（含基础）的合法使用权，并承担杆塔（含基础）的质量安全管理责任。</w:t>
      </w:r>
    </w:p>
    <w:p w14:paraId="2ADF79F4">
      <w:pPr>
        <w:widowControl/>
        <w:spacing w:line="360" w:lineRule="auto"/>
        <w:rPr>
          <w:rFonts w:cs="宋体"/>
          <w:kern w:val="0"/>
          <w:szCs w:val="20"/>
        </w:rPr>
      </w:pPr>
      <w:r>
        <w:rPr>
          <w:rFonts w:hint="eastAsia" w:cs="宋体"/>
        </w:rPr>
        <w:t>4.供应商根据省厅下达文件要求监控路段范围及我县公路路面观测实际需求，自</w:t>
      </w:r>
      <w:r>
        <w:rPr>
          <w:rFonts w:hint="eastAsia" w:cs="宋体"/>
          <w:kern w:val="0"/>
          <w:szCs w:val="20"/>
          <w:lang w:eastAsia="zh-Hans"/>
        </w:rPr>
        <w:t>行选择安装位置并满足以上条件。</w:t>
      </w:r>
      <w:r>
        <w:rPr>
          <w:rFonts w:hint="eastAsia" w:cs="宋体"/>
          <w:kern w:val="0"/>
          <w:szCs w:val="20"/>
        </w:rPr>
        <w:t xml:space="preserve"> </w:t>
      </w:r>
    </w:p>
    <w:p w14:paraId="30823EC3">
      <w:pPr>
        <w:pStyle w:val="22"/>
        <w:spacing w:line="360" w:lineRule="auto"/>
        <w:jc w:val="both"/>
        <w:rPr>
          <w:rFonts w:hint="default" w:ascii="宋体" w:hAnsi="宋体" w:eastAsia="宋体" w:cs="宋体"/>
          <w:sz w:val="24"/>
        </w:rPr>
      </w:pPr>
      <w:r>
        <w:rPr>
          <w:rFonts w:ascii="宋体" w:hAnsi="宋体" w:eastAsia="宋体" w:cs="宋体"/>
          <w:sz w:val="24"/>
          <w:lang w:eastAsia="zh-CN"/>
        </w:rPr>
        <w:t>5.</w:t>
      </w:r>
      <w:r>
        <w:rPr>
          <w:rFonts w:ascii="宋体" w:hAnsi="宋体" w:eastAsia="宋体" w:cs="宋体"/>
          <w:sz w:val="24"/>
        </w:rPr>
        <w:t>每个站点均应配置防风雨，可放置所需设备的配套设备箱。</w:t>
      </w:r>
    </w:p>
    <w:p w14:paraId="7F14978E">
      <w:pPr>
        <w:pStyle w:val="22"/>
        <w:spacing w:line="360" w:lineRule="auto"/>
        <w:jc w:val="both"/>
        <w:rPr>
          <w:rFonts w:hint="default" w:ascii="宋体" w:hAnsi="宋体" w:eastAsia="宋体" w:cs="宋体"/>
          <w:sz w:val="24"/>
        </w:rPr>
      </w:pPr>
      <w:r>
        <w:rPr>
          <w:rFonts w:ascii="宋体" w:hAnsi="宋体" w:eastAsia="宋体" w:cs="宋体"/>
          <w:sz w:val="24"/>
          <w:lang w:eastAsia="zh-CN"/>
        </w:rPr>
        <w:t>6.</w:t>
      </w:r>
      <w:r>
        <w:rPr>
          <w:rFonts w:ascii="宋体" w:hAnsi="宋体" w:eastAsia="宋体" w:cs="宋体"/>
          <w:sz w:val="24"/>
        </w:rPr>
        <w:t>设备箱防护等级≥IP65，热镀锌≥600g/m</w:t>
      </w:r>
      <w:r>
        <w:rPr>
          <w:rFonts w:ascii="宋体" w:hAnsi="宋体" w:eastAsia="宋体" w:cs="宋体"/>
          <w:sz w:val="24"/>
          <w:vertAlign w:val="superscript"/>
        </w:rPr>
        <w:t>2</w:t>
      </w:r>
      <w:r>
        <w:rPr>
          <w:rFonts w:ascii="宋体" w:hAnsi="宋体" w:eastAsia="宋体" w:cs="宋体"/>
          <w:sz w:val="24"/>
        </w:rPr>
        <w:t>；设备箱门在开启时，应有自动锁定装置；设备箱门在关闭时，应密封并有锁可以锁定。</w:t>
      </w:r>
    </w:p>
    <w:p w14:paraId="21E9425C">
      <w:pPr>
        <w:pStyle w:val="22"/>
        <w:spacing w:line="360" w:lineRule="auto"/>
        <w:jc w:val="both"/>
        <w:rPr>
          <w:rFonts w:hint="default" w:ascii="宋体" w:hAnsi="宋体" w:eastAsia="宋体" w:cs="宋体"/>
          <w:sz w:val="24"/>
        </w:rPr>
      </w:pPr>
      <w:r>
        <w:rPr>
          <w:rFonts w:ascii="宋体" w:hAnsi="宋体" w:eastAsia="宋体" w:cs="宋体"/>
          <w:sz w:val="24"/>
          <w:lang w:eastAsia="zh-CN"/>
        </w:rPr>
        <w:t>7.</w:t>
      </w:r>
      <w:r>
        <w:rPr>
          <w:rFonts w:ascii="宋体" w:hAnsi="宋体" w:eastAsia="宋体" w:cs="宋体"/>
          <w:sz w:val="24"/>
        </w:rPr>
        <w:t>设备箱中应包含电源转换单元，输入为 220V±15％AC，单相 50Hz 电源；其输出应能满足机箱内所有单元的用电需要，并预留一个220V 交流插座。</w:t>
      </w:r>
    </w:p>
    <w:p w14:paraId="08A8C048">
      <w:pPr>
        <w:pStyle w:val="22"/>
        <w:spacing w:line="360" w:lineRule="auto"/>
        <w:jc w:val="both"/>
        <w:rPr>
          <w:rFonts w:hint="default" w:ascii="宋体" w:hAnsi="宋体" w:eastAsia="宋体" w:cs="宋体"/>
          <w:sz w:val="24"/>
        </w:rPr>
      </w:pPr>
      <w:r>
        <w:rPr>
          <w:rFonts w:ascii="宋体" w:hAnsi="宋体" w:eastAsia="宋体" w:cs="宋体"/>
          <w:sz w:val="24"/>
          <w:lang w:eastAsia="zh-CN"/>
        </w:rPr>
        <w:t>8.</w:t>
      </w:r>
      <w:r>
        <w:rPr>
          <w:rFonts w:ascii="宋体" w:hAnsi="宋体" w:eastAsia="宋体" w:cs="宋体"/>
          <w:sz w:val="24"/>
        </w:rPr>
        <w:t>设备箱中应有防雷电装置；应有良好的接地系统；高压接地与低压工作接地应分工；防雷接地电阻应小于 10Ω；电气接地电阻应小于4Ω。</w:t>
      </w:r>
    </w:p>
    <w:p w14:paraId="1F682605">
      <w:pPr>
        <w:pStyle w:val="22"/>
        <w:spacing w:line="360" w:lineRule="auto"/>
        <w:jc w:val="both"/>
        <w:rPr>
          <w:rFonts w:hint="default" w:ascii="宋体" w:hAnsi="宋体" w:eastAsia="宋体" w:cs="宋体"/>
          <w:sz w:val="24"/>
          <w:lang w:eastAsia="zh-CN"/>
        </w:rPr>
      </w:pPr>
      <w:r>
        <w:rPr>
          <w:rFonts w:ascii="宋体" w:hAnsi="宋体" w:eastAsia="宋体" w:cs="宋体"/>
          <w:sz w:val="24"/>
          <w:lang w:eastAsia="zh-CN"/>
        </w:rPr>
        <w:t>9.</w:t>
      </w:r>
      <w:r>
        <w:rPr>
          <w:rFonts w:ascii="宋体" w:hAnsi="宋体" w:eastAsia="宋体" w:cs="宋体"/>
          <w:sz w:val="24"/>
        </w:rPr>
        <w:t>设备箱可采用落地式或悬挂式</w:t>
      </w:r>
      <w:r>
        <w:rPr>
          <w:rFonts w:ascii="宋体" w:hAnsi="宋体" w:eastAsia="宋体" w:cs="宋体"/>
          <w:sz w:val="24"/>
          <w:lang w:eastAsia="zh-CN"/>
        </w:rPr>
        <w:t>：</w:t>
      </w:r>
    </w:p>
    <w:p w14:paraId="41A26307">
      <w:pPr>
        <w:pStyle w:val="22"/>
        <w:spacing w:line="360" w:lineRule="auto"/>
        <w:ind w:left="285"/>
        <w:jc w:val="both"/>
        <w:rPr>
          <w:rFonts w:hint="default" w:ascii="宋体" w:hAnsi="宋体" w:eastAsia="宋体" w:cs="宋体"/>
          <w:sz w:val="24"/>
        </w:rPr>
      </w:pPr>
      <w:r>
        <w:rPr>
          <w:rFonts w:ascii="宋体" w:hAnsi="宋体" w:eastAsia="宋体" w:cs="宋体"/>
          <w:sz w:val="24"/>
        </w:rPr>
        <w:t>当采用落地式时，应留出工作维护水泥平台，平台边长应大于设备箱底座边长≥10cm，高于水平地面≥10cm，以利于将来的维护工作。</w:t>
      </w:r>
    </w:p>
    <w:p w14:paraId="4667C56F">
      <w:pPr>
        <w:widowControl/>
        <w:spacing w:line="360" w:lineRule="auto"/>
        <w:ind w:firstLine="240" w:firstLineChars="100"/>
        <w:rPr>
          <w:rFonts w:cs="宋体"/>
          <w:kern w:val="0"/>
          <w:szCs w:val="20"/>
        </w:rPr>
      </w:pPr>
      <w:r>
        <w:rPr>
          <w:rFonts w:hint="eastAsia" w:cs="宋体"/>
          <w:kern w:val="0"/>
          <w:szCs w:val="20"/>
          <w:lang w:eastAsia="zh-Hans"/>
        </w:rPr>
        <w:t>当采用悬挂式时，设备箱离地高度≥2m，并应配备与立柱结合的连接件。</w:t>
      </w:r>
    </w:p>
    <w:p w14:paraId="0A8CA662">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四）供电要求</w:t>
      </w:r>
    </w:p>
    <w:p w14:paraId="44669DFB">
      <w:pPr>
        <w:widowControl/>
        <w:rPr>
          <w:rFonts w:cs="宋体"/>
        </w:rPr>
      </w:pPr>
      <w:r>
        <w:rPr>
          <w:rFonts w:hint="eastAsia" w:cs="宋体"/>
        </w:rPr>
        <w:t>1.电力供应采用现有社会资源电力。</w:t>
      </w:r>
    </w:p>
    <w:p w14:paraId="26400001">
      <w:pPr>
        <w:widowControl/>
        <w:rPr>
          <w:rFonts w:cs="宋体"/>
        </w:rPr>
      </w:pPr>
      <w:r>
        <w:rPr>
          <w:rFonts w:hint="eastAsia" w:cs="宋体"/>
        </w:rPr>
        <w:t>2.供电电缆线核算后应能确保设备正常工作（压降≤5％）。</w:t>
      </w:r>
    </w:p>
    <w:p w14:paraId="632C31D7">
      <w:pPr>
        <w:widowControl/>
        <w:rPr>
          <w:rFonts w:cs="宋体"/>
        </w:rPr>
      </w:pPr>
      <w:r>
        <w:rPr>
          <w:rFonts w:hint="eastAsia" w:cs="宋体"/>
        </w:rPr>
        <w:t>3.电源接入点改造，含配电箱及箱内微断等配套元器件。</w:t>
      </w:r>
    </w:p>
    <w:p w14:paraId="72EA3203">
      <w:pPr>
        <w:widowControl/>
        <w:rPr>
          <w:rFonts w:cs="宋体"/>
        </w:rPr>
      </w:pPr>
      <w:r>
        <w:rPr>
          <w:rFonts w:hint="eastAsia" w:cs="宋体"/>
        </w:rPr>
        <w:t>5.供应商提供每个监控点备电服务，备电时长≥3小时。</w:t>
      </w:r>
    </w:p>
    <w:p w14:paraId="167B9247">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五）传输网络</w:t>
      </w:r>
    </w:p>
    <w:p w14:paraId="63A3F0F0">
      <w:pPr>
        <w:pStyle w:val="22"/>
        <w:spacing w:line="360" w:lineRule="auto"/>
        <w:jc w:val="both"/>
        <w:rPr>
          <w:rFonts w:hint="default" w:ascii="宋体" w:hAnsi="宋体" w:eastAsia="宋体" w:cs="宋体"/>
          <w:kern w:val="2"/>
          <w:sz w:val="24"/>
          <w:szCs w:val="24"/>
          <w:lang w:eastAsia="zh-CN"/>
        </w:rPr>
      </w:pPr>
      <w:r>
        <w:rPr>
          <w:rFonts w:ascii="宋体" w:hAnsi="宋体" w:eastAsia="宋体" w:cs="宋体"/>
          <w:kern w:val="2"/>
          <w:sz w:val="24"/>
          <w:szCs w:val="24"/>
          <w:lang w:eastAsia="zh-CN"/>
        </w:rPr>
        <w:t>1.单路视频监测站点的网络带宽≥10Mbps。</w:t>
      </w:r>
    </w:p>
    <w:p w14:paraId="453CDAFF">
      <w:pPr>
        <w:pStyle w:val="22"/>
        <w:spacing w:line="360" w:lineRule="auto"/>
        <w:jc w:val="both"/>
        <w:rPr>
          <w:rFonts w:hint="default" w:ascii="宋体" w:hAnsi="宋体" w:eastAsia="宋体" w:cs="宋体"/>
          <w:kern w:val="2"/>
          <w:sz w:val="24"/>
          <w:szCs w:val="24"/>
          <w:lang w:eastAsia="zh-CN"/>
        </w:rPr>
      </w:pPr>
      <w:r>
        <w:rPr>
          <w:rFonts w:ascii="宋体" w:hAnsi="宋体" w:eastAsia="宋体" w:cs="宋体"/>
          <w:kern w:val="2"/>
          <w:sz w:val="24"/>
          <w:szCs w:val="24"/>
          <w:lang w:eastAsia="zh-CN"/>
        </w:rPr>
        <w:t>2.视频监测站点需利用互联网专线，接入到市级视频监测平台，进行集中存储。</w:t>
      </w:r>
    </w:p>
    <w:p w14:paraId="65DBC773">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六）运行维护</w:t>
      </w:r>
    </w:p>
    <w:p w14:paraId="72E91AEA">
      <w:pPr>
        <w:pStyle w:val="22"/>
        <w:ind w:firstLine="480"/>
        <w:jc w:val="both"/>
        <w:rPr>
          <w:rFonts w:hint="default"/>
        </w:rPr>
      </w:pPr>
      <w:r>
        <w:rPr>
          <w:rFonts w:ascii="宋体" w:hAnsi="宋体" w:eastAsia="宋体" w:cs="宋体"/>
          <w:kern w:val="2"/>
          <w:sz w:val="24"/>
          <w:szCs w:val="24"/>
          <w:lang w:eastAsia="zh-CN"/>
        </w:rPr>
        <w:t>运行维护保障包括本项目服务所需设备、杆塔资源、传输、供电的运行维护以及资源保障等内容，在服务期内，供应商应确保项目涉及的设施设备和系统安全、稳定、有效运行。</w:t>
      </w:r>
    </w:p>
    <w:p w14:paraId="0B6F9606">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1</w:t>
      </w:r>
      <w:r>
        <w:rPr>
          <w:rFonts w:ascii="宋体" w:hAnsi="宋体" w:eastAsia="宋体" w:cs="宋体"/>
          <w:b/>
          <w:sz w:val="24"/>
        </w:rPr>
        <w:t>）在线率</w:t>
      </w:r>
    </w:p>
    <w:p w14:paraId="5CC3BC67">
      <w:pPr>
        <w:pStyle w:val="22"/>
        <w:ind w:firstLine="240"/>
        <w:jc w:val="both"/>
        <w:rPr>
          <w:rFonts w:hint="default" w:ascii="宋体" w:hAnsi="宋体" w:eastAsia="宋体" w:cs="宋体"/>
        </w:rPr>
      </w:pPr>
      <w:r>
        <w:rPr>
          <w:rFonts w:ascii="宋体" w:hAnsi="宋体" w:eastAsia="宋体" w:cs="宋体"/>
          <w:sz w:val="24"/>
        </w:rPr>
        <w:t>站点的单点在线率=</w:t>
      </w:r>
      <w:r>
        <w:rPr>
          <w:rFonts w:ascii="宋体" w:hAnsi="宋体" w:eastAsia="宋体" w:cs="宋体"/>
          <w:sz w:val="24"/>
          <w:lang w:eastAsia="zh-CN"/>
        </w:rPr>
        <w:t>一个服务年度</w:t>
      </w:r>
      <w:r>
        <w:rPr>
          <w:rFonts w:ascii="宋体" w:hAnsi="宋体" w:eastAsia="宋体" w:cs="宋体"/>
          <w:sz w:val="24"/>
        </w:rPr>
        <w:t>内省/市视频监测平台可正常接收调用的总时长÷</w:t>
      </w:r>
      <w:r>
        <w:rPr>
          <w:rFonts w:ascii="宋体" w:hAnsi="宋体" w:eastAsia="宋体" w:cs="宋体"/>
          <w:sz w:val="24"/>
          <w:lang w:eastAsia="zh-CN"/>
        </w:rPr>
        <w:t>（365*24）</w:t>
      </w:r>
      <w:r>
        <w:rPr>
          <w:rFonts w:ascii="宋体" w:hAnsi="宋体" w:eastAsia="宋体" w:cs="宋体"/>
          <w:sz w:val="24"/>
        </w:rPr>
        <w:t>。要求如下：</w:t>
      </w:r>
    </w:p>
    <w:p w14:paraId="099BBB8C">
      <w:pPr>
        <w:pStyle w:val="22"/>
        <w:ind w:firstLine="240"/>
        <w:jc w:val="both"/>
        <w:rPr>
          <w:rFonts w:hint="default" w:ascii="宋体" w:hAnsi="宋体" w:eastAsia="宋体" w:cs="宋体"/>
          <w:lang w:eastAsia="zh-CN"/>
        </w:rPr>
      </w:pPr>
      <w:r>
        <w:rPr>
          <w:rFonts w:ascii="宋体" w:hAnsi="宋体" w:eastAsia="宋体" w:cs="宋体"/>
          <w:sz w:val="24"/>
        </w:rPr>
        <w:t>市（州）的平均在线率=</w:t>
      </w:r>
      <w:r>
        <w:rPr>
          <w:rFonts w:ascii="宋体" w:hAnsi="宋体" w:eastAsia="宋体" w:cs="宋体"/>
          <w:sz w:val="24"/>
          <w:lang w:eastAsia="zh-CN"/>
        </w:rPr>
        <w:t>一个服务年度</w:t>
      </w:r>
      <w:r>
        <w:rPr>
          <w:rFonts w:ascii="宋体" w:hAnsi="宋体" w:eastAsia="宋体" w:cs="宋体"/>
          <w:sz w:val="24"/>
        </w:rPr>
        <w:t>内各站点单点在线率的总和÷站点总数≥90%。</w:t>
      </w:r>
    </w:p>
    <w:p w14:paraId="7B92D9F5">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2</w:t>
      </w:r>
      <w:r>
        <w:rPr>
          <w:rFonts w:ascii="宋体" w:hAnsi="宋体" w:eastAsia="宋体" w:cs="宋体"/>
          <w:b/>
          <w:sz w:val="24"/>
        </w:rPr>
        <w:t>）巡检整治</w:t>
      </w:r>
    </w:p>
    <w:p w14:paraId="1972CA62">
      <w:pPr>
        <w:pStyle w:val="22"/>
        <w:ind w:firstLine="240"/>
        <w:jc w:val="both"/>
        <w:rPr>
          <w:rFonts w:hint="default" w:ascii="宋体" w:hAnsi="宋体" w:eastAsia="宋体" w:cs="宋体"/>
        </w:rPr>
      </w:pPr>
      <w:r>
        <w:rPr>
          <w:rFonts w:ascii="宋体" w:hAnsi="宋体" w:eastAsia="宋体" w:cs="宋体"/>
          <w:sz w:val="24"/>
        </w:rPr>
        <w:t>①日常巡查</w:t>
      </w:r>
      <w:r>
        <w:rPr>
          <w:rFonts w:ascii="宋体" w:hAnsi="宋体" w:eastAsia="宋体" w:cs="宋体"/>
          <w:sz w:val="24"/>
          <w:lang w:eastAsia="zh-CN"/>
        </w:rPr>
        <w:t>：</w:t>
      </w:r>
      <w:r>
        <w:rPr>
          <w:rFonts w:ascii="宋体" w:hAnsi="宋体" w:eastAsia="宋体" w:cs="宋体"/>
          <w:sz w:val="24"/>
        </w:rPr>
        <w:t>每日对站点在线、可用情况进行线上巡查</w:t>
      </w:r>
      <w:r>
        <w:rPr>
          <w:rFonts w:ascii="宋体" w:hAnsi="宋体" w:eastAsia="宋体" w:cs="宋体"/>
          <w:sz w:val="24"/>
          <w:lang w:eastAsia="zh-CN"/>
        </w:rPr>
        <w:t>。</w:t>
      </w:r>
      <w:r>
        <w:rPr>
          <w:rFonts w:ascii="宋体" w:hAnsi="宋体" w:eastAsia="宋体" w:cs="宋体"/>
          <w:sz w:val="24"/>
        </w:rPr>
        <w:t>发现站点有不在线、不可用情况，立即进行故障处理，形成巡查记录结果报告。</w:t>
      </w:r>
    </w:p>
    <w:p w14:paraId="2C6ED736">
      <w:pPr>
        <w:pStyle w:val="22"/>
        <w:ind w:firstLine="240"/>
        <w:jc w:val="both"/>
        <w:rPr>
          <w:rFonts w:hint="default" w:ascii="宋体" w:hAnsi="宋体" w:eastAsia="宋体" w:cs="宋体"/>
        </w:rPr>
      </w:pPr>
      <w:r>
        <w:rPr>
          <w:rFonts w:ascii="宋体" w:hAnsi="宋体" w:eastAsia="宋体" w:cs="宋体"/>
          <w:sz w:val="24"/>
        </w:rPr>
        <w:t>②半年巡检</w:t>
      </w:r>
      <w:r>
        <w:rPr>
          <w:rFonts w:ascii="宋体" w:hAnsi="宋体" w:eastAsia="宋体" w:cs="宋体"/>
          <w:sz w:val="24"/>
          <w:lang w:eastAsia="zh-CN"/>
        </w:rPr>
        <w:t>：</w:t>
      </w:r>
      <w:r>
        <w:rPr>
          <w:rFonts w:ascii="宋体" w:hAnsi="宋体" w:eastAsia="宋体" w:cs="宋体"/>
          <w:sz w:val="24"/>
        </w:rPr>
        <w:t>一</w:t>
      </w:r>
      <w:r>
        <w:rPr>
          <w:rFonts w:ascii="宋体" w:hAnsi="宋体" w:eastAsia="宋体" w:cs="宋体"/>
          <w:sz w:val="24"/>
          <w:lang w:eastAsia="zh-CN"/>
        </w:rPr>
        <w:t>个服务年度内</w:t>
      </w:r>
      <w:r>
        <w:rPr>
          <w:rFonts w:ascii="宋体" w:hAnsi="宋体" w:eastAsia="宋体" w:cs="宋体"/>
          <w:sz w:val="24"/>
        </w:rPr>
        <w:t>完成两次外场各类设施设备的巡检，并对整治排除隐患和问题，形成巡检记录结果报告。巡检内容包括但不限于：附挂杆塔的隐患排查，塔体紧固，摄像机</w:t>
      </w:r>
      <w:r>
        <w:rPr>
          <w:rFonts w:ascii="宋体" w:hAnsi="宋体" w:eastAsia="宋体" w:cs="宋体"/>
          <w:sz w:val="24"/>
          <w:lang w:eastAsia="zh-CN"/>
        </w:rPr>
        <w:t>运行状况</w:t>
      </w:r>
      <w:r>
        <w:rPr>
          <w:rFonts w:ascii="宋体" w:hAnsi="宋体" w:eastAsia="宋体" w:cs="宋体"/>
          <w:sz w:val="24"/>
        </w:rPr>
        <w:t>，供电系统、配套电源和防雷接地的隐患排查等。</w:t>
      </w:r>
    </w:p>
    <w:p w14:paraId="7E91FF97">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3</w:t>
      </w:r>
      <w:r>
        <w:rPr>
          <w:rFonts w:ascii="宋体" w:hAnsi="宋体" w:eastAsia="宋体" w:cs="宋体"/>
          <w:b/>
          <w:sz w:val="24"/>
        </w:rPr>
        <w:t>）故障处理</w:t>
      </w:r>
    </w:p>
    <w:p w14:paraId="7C33C309">
      <w:pPr>
        <w:pStyle w:val="22"/>
        <w:ind w:firstLine="480" w:firstLineChars="200"/>
        <w:jc w:val="both"/>
        <w:rPr>
          <w:rFonts w:hint="default" w:ascii="宋体" w:hAnsi="宋体" w:eastAsia="宋体" w:cs="宋体"/>
        </w:rPr>
      </w:pPr>
      <w:r>
        <w:rPr>
          <w:rFonts w:ascii="宋体" w:hAnsi="宋体" w:eastAsia="宋体" w:cs="宋体"/>
          <w:sz w:val="24"/>
        </w:rPr>
        <w:t>及时处理故障。站点不在线、不可用等故障，供应商应在24小时内（最迟不超过48小时）完成处理并恢复正常可用。遇不可抗力情况除外。</w:t>
      </w:r>
    </w:p>
    <w:p w14:paraId="12B551B2">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4</w:t>
      </w:r>
      <w:r>
        <w:rPr>
          <w:rFonts w:ascii="宋体" w:hAnsi="宋体" w:eastAsia="宋体" w:cs="宋体"/>
          <w:b/>
          <w:sz w:val="24"/>
        </w:rPr>
        <w:t>）资源保障</w:t>
      </w:r>
    </w:p>
    <w:p w14:paraId="5D4BD975">
      <w:pPr>
        <w:pStyle w:val="22"/>
        <w:ind w:firstLine="240"/>
        <w:jc w:val="both"/>
        <w:rPr>
          <w:rFonts w:hint="default" w:ascii="宋体" w:hAnsi="宋体" w:eastAsia="宋体" w:cs="宋体"/>
        </w:rPr>
      </w:pPr>
      <w:r>
        <w:rPr>
          <w:rFonts w:ascii="宋体" w:hAnsi="宋体" w:eastAsia="宋体" w:cs="宋体"/>
          <w:sz w:val="24"/>
        </w:rPr>
        <w:t>供应商应承担并及时足额缴纳站点运行所涉及的电费、传输网络租赁费等费用，确保站点所需资源保障连续、不间断。</w:t>
      </w:r>
    </w:p>
    <w:p w14:paraId="3096266A">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5</w:t>
      </w:r>
      <w:r>
        <w:rPr>
          <w:rFonts w:ascii="宋体" w:hAnsi="宋体" w:eastAsia="宋体" w:cs="宋体"/>
          <w:b/>
          <w:sz w:val="24"/>
        </w:rPr>
        <w:t>）设施设备维护</w:t>
      </w:r>
    </w:p>
    <w:p w14:paraId="34B163BA">
      <w:pPr>
        <w:pStyle w:val="22"/>
        <w:ind w:firstLine="240"/>
        <w:jc w:val="both"/>
        <w:rPr>
          <w:rFonts w:hint="default" w:ascii="宋体" w:hAnsi="宋体" w:eastAsia="宋体" w:cs="宋体"/>
        </w:rPr>
      </w:pPr>
      <w:r>
        <w:rPr>
          <w:rFonts w:ascii="宋体" w:hAnsi="宋体" w:eastAsia="宋体" w:cs="宋体"/>
          <w:sz w:val="24"/>
        </w:rPr>
        <w:t>供应商应负责所有设备的维修或更换以及升级和调试，承担各类线路被破坏的风险并补齐</w:t>
      </w:r>
      <w:r>
        <w:rPr>
          <w:rFonts w:hint="eastAsia" w:ascii="宋体" w:hAnsi="宋体" w:eastAsia="宋体" w:cs="宋体"/>
          <w:sz w:val="24"/>
          <w:lang w:eastAsia="zh-CN"/>
        </w:rPr>
        <w:t>，</w:t>
      </w:r>
      <w:r>
        <w:rPr>
          <w:rFonts w:hint="eastAsia" w:ascii="宋体" w:hAnsi="宋体" w:eastAsia="宋体" w:cs="宋体"/>
          <w:sz w:val="24"/>
          <w:lang w:val="en-US" w:eastAsia="zh-CN"/>
        </w:rPr>
        <w:t>所需费用包含在本项目报价中</w:t>
      </w:r>
      <w:r>
        <w:rPr>
          <w:rFonts w:ascii="宋体" w:hAnsi="宋体" w:eastAsia="宋体" w:cs="宋体"/>
          <w:sz w:val="24"/>
        </w:rPr>
        <w:t>。</w:t>
      </w:r>
    </w:p>
    <w:p w14:paraId="774AFF35">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6</w:t>
      </w:r>
      <w:r>
        <w:rPr>
          <w:rFonts w:ascii="宋体" w:hAnsi="宋体" w:eastAsia="宋体" w:cs="宋体"/>
          <w:b/>
          <w:sz w:val="24"/>
        </w:rPr>
        <w:t>）技术支持</w:t>
      </w:r>
    </w:p>
    <w:p w14:paraId="064947CD">
      <w:pPr>
        <w:pStyle w:val="22"/>
        <w:ind w:firstLine="240"/>
        <w:jc w:val="both"/>
        <w:rPr>
          <w:rFonts w:hint="default" w:ascii="宋体" w:hAnsi="宋体" w:eastAsia="宋体" w:cs="宋体"/>
        </w:rPr>
      </w:pPr>
      <w:r>
        <w:rPr>
          <w:rFonts w:ascii="宋体" w:hAnsi="宋体" w:eastAsia="宋体" w:cs="宋体"/>
          <w:sz w:val="24"/>
        </w:rPr>
        <w:t>供应商提供 7×24 小时的技术支持热线，保证项目</w:t>
      </w:r>
      <w:r>
        <w:rPr>
          <w:rFonts w:ascii="宋体" w:hAnsi="宋体" w:eastAsia="宋体" w:cs="宋体"/>
          <w:sz w:val="24"/>
          <w:lang w:eastAsia="zh-CN"/>
        </w:rPr>
        <w:t>采购人</w:t>
      </w:r>
      <w:r>
        <w:rPr>
          <w:rFonts w:ascii="宋体" w:hAnsi="宋体" w:eastAsia="宋体" w:cs="宋体"/>
          <w:sz w:val="24"/>
        </w:rPr>
        <w:t>及地方交通部门获得系统日常维护的技术支持，保证项目</w:t>
      </w:r>
      <w:r>
        <w:rPr>
          <w:rFonts w:ascii="宋体" w:hAnsi="宋体" w:eastAsia="宋体" w:cs="宋体"/>
          <w:sz w:val="24"/>
          <w:lang w:eastAsia="zh-CN"/>
        </w:rPr>
        <w:t>采购人</w:t>
      </w:r>
      <w:r>
        <w:rPr>
          <w:rFonts w:ascii="宋体" w:hAnsi="宋体" w:eastAsia="宋体" w:cs="宋体"/>
          <w:sz w:val="24"/>
        </w:rPr>
        <w:t>及地方交通部门关于系统的技术性问题得到及时、有效的解决。提供的技术支持和服务的内容包括：现场服务、电话支持、电子邮件支持、因特网支持和提供系统应急策略等内容。</w:t>
      </w:r>
    </w:p>
    <w:p w14:paraId="65EAE07C">
      <w:pPr>
        <w:pStyle w:val="22"/>
        <w:ind w:left="285"/>
        <w:jc w:val="both"/>
        <w:rPr>
          <w:rFonts w:hint="default" w:ascii="宋体" w:hAnsi="宋体" w:eastAsia="宋体" w:cs="宋体"/>
        </w:rPr>
      </w:pPr>
      <w:r>
        <w:rPr>
          <w:rFonts w:ascii="宋体" w:hAnsi="宋体" w:eastAsia="宋体" w:cs="宋体"/>
          <w:b/>
          <w:sz w:val="24"/>
        </w:rPr>
        <w:t>（</w:t>
      </w:r>
      <w:r>
        <w:rPr>
          <w:rFonts w:ascii="宋体" w:hAnsi="宋体" w:eastAsia="宋体" w:cs="宋体"/>
          <w:b/>
          <w:sz w:val="24"/>
          <w:lang w:eastAsia="zh-CN"/>
        </w:rPr>
        <w:t>7</w:t>
      </w:r>
      <w:r>
        <w:rPr>
          <w:rFonts w:ascii="宋体" w:hAnsi="宋体" w:eastAsia="宋体" w:cs="宋体"/>
          <w:b/>
          <w:sz w:val="24"/>
        </w:rPr>
        <w:t>）技术培训</w:t>
      </w:r>
    </w:p>
    <w:p w14:paraId="6BEF788A">
      <w:pPr>
        <w:pStyle w:val="22"/>
        <w:ind w:firstLine="240"/>
        <w:jc w:val="both"/>
        <w:rPr>
          <w:rFonts w:hint="default" w:ascii="宋体" w:hAnsi="宋体" w:eastAsia="宋体" w:cs="宋体"/>
        </w:rPr>
      </w:pPr>
      <w:r>
        <w:rPr>
          <w:rFonts w:ascii="宋体" w:hAnsi="宋体" w:eastAsia="宋体" w:cs="宋体"/>
          <w:sz w:val="24"/>
        </w:rPr>
        <w:t>供应商应按照项目建设方及地方交通部门需要，提供使用、管理、维护等方面的培训，并承担培训相关费用。</w:t>
      </w:r>
    </w:p>
    <w:p w14:paraId="0A8A2C77">
      <w:pPr>
        <w:tabs>
          <w:tab w:val="left" w:pos="312"/>
          <w:tab w:val="clear" w:pos="0"/>
        </w:tabs>
        <w:adjustRightInd/>
        <w:snapToGrid/>
        <w:spacing w:line="430" w:lineRule="exact"/>
        <w:outlineLvl w:val="1"/>
        <w:rPr>
          <w:rFonts w:asciiTheme="minorEastAsia" w:hAnsiTheme="minorEastAsia" w:eastAsiaTheme="minorEastAsia" w:cstheme="minorEastAsia"/>
          <w:b/>
          <w:bCs/>
        </w:rPr>
      </w:pPr>
      <w:r>
        <w:rPr>
          <w:rFonts w:hint="eastAsia" w:asciiTheme="minorEastAsia" w:hAnsiTheme="minorEastAsia" w:eastAsiaTheme="minorEastAsia" w:cstheme="minorEastAsia"/>
          <w:b/>
          <w:bCs/>
        </w:rPr>
        <w:t>七）服务考核</w:t>
      </w:r>
    </w:p>
    <w:p w14:paraId="1B3A062D">
      <w:pPr>
        <w:pStyle w:val="22"/>
        <w:ind w:firstLine="240"/>
        <w:jc w:val="both"/>
        <w:rPr>
          <w:rFonts w:hint="default" w:ascii="宋体" w:hAnsi="宋体" w:eastAsia="宋体" w:cs="宋体"/>
          <w:sz w:val="24"/>
        </w:rPr>
      </w:pPr>
      <w:r>
        <w:rPr>
          <w:rFonts w:ascii="宋体" w:hAnsi="宋体" w:eastAsia="宋体" w:cs="宋体"/>
          <w:sz w:val="24"/>
          <w:lang w:eastAsia="zh-CN"/>
        </w:rPr>
        <w:t>采购人每年按下表要求对中标供应商的服务质量进行考核：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1401"/>
        <w:gridCol w:w="4071"/>
        <w:gridCol w:w="2131"/>
      </w:tblGrid>
      <w:tr w14:paraId="65FB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21" w:type="dxa"/>
          </w:tcPr>
          <w:p w14:paraId="241550C3">
            <w:pPr>
              <w:pStyle w:val="22"/>
              <w:spacing w:line="360" w:lineRule="auto"/>
              <w:jc w:val="both"/>
              <w:rPr>
                <w:rFonts w:hint="default" w:ascii="宋体" w:hAnsi="宋体" w:eastAsia="宋体" w:cs="宋体"/>
                <w:kern w:val="2"/>
                <w:sz w:val="21"/>
                <w:szCs w:val="21"/>
                <w:lang w:eastAsia="zh-CN"/>
              </w:rPr>
            </w:pPr>
            <w:r>
              <w:rPr>
                <w:rFonts w:ascii="宋体" w:hAnsi="宋体" w:eastAsia="宋体" w:cs="宋体"/>
                <w:color w:val="000000"/>
                <w:sz w:val="21"/>
                <w:szCs w:val="21"/>
                <w:lang w:eastAsia="zh-CN" w:bidi="ar"/>
              </w:rPr>
              <w:t>序号</w:t>
            </w:r>
          </w:p>
        </w:tc>
        <w:tc>
          <w:tcPr>
            <w:tcW w:w="1404" w:type="dxa"/>
          </w:tcPr>
          <w:p w14:paraId="730F6B3A">
            <w:pPr>
              <w:widowControl/>
              <w:rPr>
                <w:rFonts w:cs="宋体"/>
                <w:sz w:val="21"/>
                <w:szCs w:val="21"/>
              </w:rPr>
            </w:pPr>
            <w:r>
              <w:rPr>
                <w:rFonts w:hint="eastAsia" w:cs="宋体"/>
                <w:color w:val="000000"/>
                <w:kern w:val="0"/>
                <w:sz w:val="21"/>
                <w:szCs w:val="21"/>
                <w:lang w:bidi="ar"/>
              </w:rPr>
              <w:t>考核项目</w:t>
            </w:r>
          </w:p>
        </w:tc>
        <w:tc>
          <w:tcPr>
            <w:tcW w:w="4082" w:type="dxa"/>
          </w:tcPr>
          <w:p w14:paraId="0DAA9F21">
            <w:pPr>
              <w:widowControl/>
              <w:rPr>
                <w:rFonts w:cs="宋体"/>
                <w:sz w:val="21"/>
                <w:szCs w:val="21"/>
              </w:rPr>
            </w:pPr>
            <w:r>
              <w:rPr>
                <w:rFonts w:hint="eastAsia" w:cs="宋体"/>
                <w:color w:val="000000"/>
                <w:kern w:val="0"/>
                <w:sz w:val="21"/>
                <w:szCs w:val="21"/>
                <w:lang w:bidi="ar"/>
              </w:rPr>
              <w:t>考核内容及分值</w:t>
            </w:r>
          </w:p>
        </w:tc>
        <w:tc>
          <w:tcPr>
            <w:tcW w:w="2136" w:type="dxa"/>
          </w:tcPr>
          <w:p w14:paraId="2FBED1F1">
            <w:pPr>
              <w:widowControl/>
              <w:rPr>
                <w:rFonts w:cs="宋体"/>
                <w:sz w:val="21"/>
                <w:szCs w:val="21"/>
              </w:rPr>
            </w:pPr>
            <w:r>
              <w:rPr>
                <w:rFonts w:hint="eastAsia" w:cs="宋体"/>
                <w:color w:val="000000"/>
                <w:kern w:val="0"/>
                <w:sz w:val="21"/>
                <w:szCs w:val="21"/>
                <w:lang w:bidi="ar"/>
              </w:rPr>
              <w:t>分值</w:t>
            </w:r>
          </w:p>
        </w:tc>
      </w:tr>
      <w:tr w14:paraId="50062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921" w:type="dxa"/>
          </w:tcPr>
          <w:p w14:paraId="45226A8B">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1</w:t>
            </w:r>
          </w:p>
        </w:tc>
        <w:tc>
          <w:tcPr>
            <w:tcW w:w="1404" w:type="dxa"/>
          </w:tcPr>
          <w:p w14:paraId="6F57A224">
            <w:pPr>
              <w:widowControl/>
              <w:rPr>
                <w:rFonts w:cs="宋体"/>
                <w:sz w:val="21"/>
                <w:szCs w:val="21"/>
              </w:rPr>
            </w:pPr>
            <w:r>
              <w:rPr>
                <w:rFonts w:hint="eastAsia" w:cs="宋体"/>
                <w:color w:val="000000"/>
                <w:kern w:val="0"/>
                <w:sz w:val="21"/>
                <w:szCs w:val="21"/>
                <w:lang w:bidi="ar"/>
              </w:rPr>
              <w:t xml:space="preserve">故障申报 </w:t>
            </w:r>
          </w:p>
          <w:p w14:paraId="40DB7108">
            <w:pPr>
              <w:widowControl/>
              <w:rPr>
                <w:rFonts w:cs="宋体"/>
                <w:sz w:val="21"/>
                <w:szCs w:val="21"/>
              </w:rPr>
            </w:pPr>
            <w:r>
              <w:rPr>
                <w:rFonts w:hint="eastAsia" w:cs="宋体"/>
                <w:color w:val="000000"/>
                <w:kern w:val="0"/>
                <w:sz w:val="21"/>
                <w:szCs w:val="21"/>
                <w:lang w:bidi="ar"/>
              </w:rPr>
              <w:t xml:space="preserve">热线电话 </w:t>
            </w:r>
          </w:p>
          <w:p w14:paraId="7759219E">
            <w:pPr>
              <w:widowControl/>
              <w:rPr>
                <w:rFonts w:cs="宋体"/>
                <w:sz w:val="21"/>
                <w:szCs w:val="21"/>
              </w:rPr>
            </w:pPr>
            <w:r>
              <w:rPr>
                <w:rFonts w:hint="eastAsia" w:cs="宋体"/>
                <w:color w:val="000000"/>
                <w:kern w:val="0"/>
                <w:sz w:val="21"/>
                <w:szCs w:val="21"/>
                <w:lang w:bidi="ar"/>
              </w:rPr>
              <w:t>应答</w:t>
            </w:r>
          </w:p>
          <w:p w14:paraId="3A8D3193">
            <w:pPr>
              <w:pStyle w:val="22"/>
              <w:spacing w:line="360" w:lineRule="auto"/>
              <w:jc w:val="both"/>
              <w:rPr>
                <w:rFonts w:hint="default" w:ascii="宋体" w:hAnsi="宋体" w:eastAsia="宋体" w:cs="宋体"/>
                <w:kern w:val="2"/>
                <w:sz w:val="21"/>
                <w:szCs w:val="21"/>
                <w:lang w:eastAsia="zh-CN"/>
              </w:rPr>
            </w:pPr>
          </w:p>
        </w:tc>
        <w:tc>
          <w:tcPr>
            <w:tcW w:w="4082" w:type="dxa"/>
          </w:tcPr>
          <w:p w14:paraId="1C4BD5B8">
            <w:pPr>
              <w:widowControl/>
              <w:rPr>
                <w:rFonts w:cs="宋体"/>
                <w:sz w:val="21"/>
                <w:szCs w:val="21"/>
              </w:rPr>
            </w:pPr>
            <w:r>
              <w:rPr>
                <w:rFonts w:hint="eastAsia" w:cs="宋体"/>
                <w:color w:val="000000"/>
                <w:kern w:val="0"/>
                <w:sz w:val="21"/>
                <w:szCs w:val="21"/>
                <w:lang w:bidi="ar"/>
              </w:rPr>
              <w:t>提供7x24小时的故障响应：一般情况下，在1小时以内响应。如电话连续3次以上拨打无人 接听，视为无响应。每次不响应扣1分，扣完 为止。</w:t>
            </w:r>
          </w:p>
        </w:tc>
        <w:tc>
          <w:tcPr>
            <w:tcW w:w="2136" w:type="dxa"/>
          </w:tcPr>
          <w:p w14:paraId="0F88EE5A">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20</w:t>
            </w:r>
          </w:p>
        </w:tc>
      </w:tr>
      <w:tr w14:paraId="19B5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23757647">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2</w:t>
            </w:r>
          </w:p>
        </w:tc>
        <w:tc>
          <w:tcPr>
            <w:tcW w:w="1404" w:type="dxa"/>
          </w:tcPr>
          <w:p w14:paraId="0457F48F">
            <w:pPr>
              <w:widowControl/>
              <w:rPr>
                <w:rFonts w:cs="宋体"/>
                <w:sz w:val="21"/>
                <w:szCs w:val="21"/>
              </w:rPr>
            </w:pPr>
            <w:r>
              <w:rPr>
                <w:rFonts w:hint="eastAsia" w:cs="宋体"/>
                <w:color w:val="000000"/>
                <w:kern w:val="0"/>
                <w:sz w:val="21"/>
                <w:szCs w:val="21"/>
                <w:lang w:bidi="ar"/>
              </w:rPr>
              <w:t xml:space="preserve">故障处理 </w:t>
            </w:r>
          </w:p>
          <w:p w14:paraId="77131764">
            <w:pPr>
              <w:widowControl/>
              <w:rPr>
                <w:rFonts w:cs="宋体"/>
                <w:sz w:val="21"/>
                <w:szCs w:val="21"/>
              </w:rPr>
            </w:pPr>
            <w:r>
              <w:rPr>
                <w:rFonts w:hint="eastAsia" w:cs="宋体"/>
                <w:color w:val="000000"/>
                <w:kern w:val="0"/>
                <w:sz w:val="21"/>
                <w:szCs w:val="21"/>
                <w:lang w:bidi="ar"/>
              </w:rPr>
              <w:t>时效</w:t>
            </w:r>
          </w:p>
          <w:p w14:paraId="097F37F1">
            <w:pPr>
              <w:pStyle w:val="22"/>
              <w:spacing w:line="360" w:lineRule="auto"/>
              <w:jc w:val="both"/>
              <w:rPr>
                <w:rFonts w:hint="default" w:ascii="宋体" w:hAnsi="宋体" w:eastAsia="宋体" w:cs="宋体"/>
                <w:kern w:val="2"/>
                <w:sz w:val="21"/>
                <w:szCs w:val="21"/>
                <w:lang w:eastAsia="zh-CN"/>
              </w:rPr>
            </w:pPr>
          </w:p>
        </w:tc>
        <w:tc>
          <w:tcPr>
            <w:tcW w:w="4082" w:type="dxa"/>
          </w:tcPr>
          <w:p w14:paraId="3ED12EB7">
            <w:pPr>
              <w:widowControl/>
              <w:rPr>
                <w:rFonts w:cs="宋体"/>
                <w:sz w:val="21"/>
                <w:szCs w:val="21"/>
              </w:rPr>
            </w:pPr>
            <w:r>
              <w:rPr>
                <w:rFonts w:hint="eastAsia" w:cs="宋体"/>
                <w:color w:val="000000"/>
                <w:kern w:val="0"/>
                <w:sz w:val="21"/>
                <w:szCs w:val="21"/>
                <w:lang w:bidi="ar"/>
              </w:rPr>
              <w:t>前段点位不能正常运行超过48小时或影响上级考核的，以及链路故障在24小时内排除故障 。超出时效范围的，除不可抗力及非供应商原因的，每次扣1分，扣完为止。</w:t>
            </w:r>
          </w:p>
          <w:p w14:paraId="378F81FE">
            <w:pPr>
              <w:pStyle w:val="22"/>
              <w:spacing w:line="360" w:lineRule="auto"/>
              <w:jc w:val="both"/>
              <w:rPr>
                <w:rFonts w:hint="default" w:ascii="宋体" w:hAnsi="宋体" w:eastAsia="宋体" w:cs="宋体"/>
                <w:kern w:val="2"/>
                <w:sz w:val="21"/>
                <w:szCs w:val="21"/>
                <w:lang w:eastAsia="zh-CN"/>
              </w:rPr>
            </w:pPr>
          </w:p>
        </w:tc>
        <w:tc>
          <w:tcPr>
            <w:tcW w:w="2136" w:type="dxa"/>
          </w:tcPr>
          <w:p w14:paraId="719B518A">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20</w:t>
            </w:r>
          </w:p>
        </w:tc>
      </w:tr>
      <w:tr w14:paraId="0429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2F24872F">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3</w:t>
            </w:r>
          </w:p>
        </w:tc>
        <w:tc>
          <w:tcPr>
            <w:tcW w:w="1404" w:type="dxa"/>
          </w:tcPr>
          <w:p w14:paraId="1F63FF01">
            <w:pPr>
              <w:widowControl/>
              <w:rPr>
                <w:rFonts w:cs="宋体"/>
                <w:sz w:val="21"/>
                <w:szCs w:val="21"/>
              </w:rPr>
            </w:pPr>
            <w:r>
              <w:rPr>
                <w:rFonts w:hint="eastAsia" w:cs="宋体"/>
                <w:color w:val="000000"/>
                <w:kern w:val="0"/>
                <w:sz w:val="21"/>
                <w:szCs w:val="21"/>
                <w:lang w:bidi="ar"/>
              </w:rPr>
              <w:t>安全事故</w:t>
            </w:r>
          </w:p>
          <w:p w14:paraId="3F99FF34">
            <w:pPr>
              <w:pStyle w:val="22"/>
              <w:spacing w:line="360" w:lineRule="auto"/>
              <w:jc w:val="both"/>
              <w:rPr>
                <w:rFonts w:hint="default" w:ascii="宋体" w:hAnsi="宋体" w:eastAsia="宋体" w:cs="宋体"/>
                <w:kern w:val="2"/>
                <w:sz w:val="21"/>
                <w:szCs w:val="21"/>
                <w:lang w:eastAsia="zh-CN"/>
              </w:rPr>
            </w:pPr>
          </w:p>
        </w:tc>
        <w:tc>
          <w:tcPr>
            <w:tcW w:w="4082" w:type="dxa"/>
          </w:tcPr>
          <w:p w14:paraId="1D6E5D27">
            <w:pPr>
              <w:widowControl/>
              <w:rPr>
                <w:rFonts w:cs="宋体"/>
                <w:sz w:val="21"/>
                <w:szCs w:val="21"/>
              </w:rPr>
            </w:pPr>
            <w:r>
              <w:rPr>
                <w:rFonts w:hint="eastAsia" w:cs="宋体"/>
                <w:color w:val="000000"/>
                <w:kern w:val="0"/>
                <w:sz w:val="21"/>
                <w:szCs w:val="21"/>
                <w:lang w:bidi="ar"/>
              </w:rPr>
              <w:t>发生信息系统及网络安全事故的(含上级通报和我局自行发现)，每次扣2分，扣完为止。</w:t>
            </w:r>
          </w:p>
          <w:p w14:paraId="4E20B001">
            <w:pPr>
              <w:pStyle w:val="22"/>
              <w:spacing w:line="360" w:lineRule="auto"/>
              <w:jc w:val="both"/>
              <w:rPr>
                <w:rFonts w:hint="default" w:ascii="宋体" w:hAnsi="宋体" w:eastAsia="宋体" w:cs="宋体"/>
                <w:kern w:val="2"/>
                <w:sz w:val="21"/>
                <w:szCs w:val="21"/>
                <w:lang w:eastAsia="zh-CN"/>
              </w:rPr>
            </w:pPr>
          </w:p>
        </w:tc>
        <w:tc>
          <w:tcPr>
            <w:tcW w:w="2136" w:type="dxa"/>
          </w:tcPr>
          <w:p w14:paraId="44C3C7DD">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20</w:t>
            </w:r>
          </w:p>
        </w:tc>
      </w:tr>
      <w:tr w14:paraId="1344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58F13B15">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4</w:t>
            </w:r>
          </w:p>
        </w:tc>
        <w:tc>
          <w:tcPr>
            <w:tcW w:w="1404" w:type="dxa"/>
          </w:tcPr>
          <w:p w14:paraId="06D0D7AB">
            <w:pPr>
              <w:pStyle w:val="22"/>
              <w:spacing w:line="360" w:lineRule="auto"/>
              <w:jc w:val="both"/>
              <w:rPr>
                <w:rFonts w:hint="default" w:ascii="宋体" w:hAnsi="宋体" w:eastAsia="宋体" w:cs="宋体"/>
                <w:kern w:val="2"/>
                <w:sz w:val="21"/>
                <w:szCs w:val="21"/>
                <w:lang w:eastAsia="zh-CN"/>
              </w:rPr>
            </w:pPr>
            <w:r>
              <w:rPr>
                <w:rFonts w:ascii="宋体" w:hAnsi="宋体" w:eastAsia="宋体" w:cs="宋体"/>
                <w:color w:val="000000"/>
                <w:sz w:val="21"/>
                <w:szCs w:val="21"/>
                <w:lang w:eastAsia="zh-CN" w:bidi="ar"/>
              </w:rPr>
              <w:t>平均在线率</w:t>
            </w:r>
          </w:p>
        </w:tc>
        <w:tc>
          <w:tcPr>
            <w:tcW w:w="4082" w:type="dxa"/>
          </w:tcPr>
          <w:p w14:paraId="09AA2220">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本项目监控点位平均在线率≥90%，每低于1%扣2分，扣完为止。（不可抗力事件和电力公司长时间停电剔除考核）</w:t>
            </w:r>
          </w:p>
        </w:tc>
        <w:tc>
          <w:tcPr>
            <w:tcW w:w="2136" w:type="dxa"/>
          </w:tcPr>
          <w:p w14:paraId="41DA2A8C">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40</w:t>
            </w:r>
          </w:p>
        </w:tc>
      </w:tr>
      <w:tr w14:paraId="3BAC3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5077B69C">
            <w:pPr>
              <w:pStyle w:val="22"/>
              <w:spacing w:line="360" w:lineRule="auto"/>
              <w:jc w:val="both"/>
              <w:rPr>
                <w:rFonts w:hint="default" w:ascii="宋体" w:hAnsi="宋体" w:eastAsia="宋体" w:cs="宋体"/>
                <w:kern w:val="2"/>
                <w:sz w:val="21"/>
                <w:szCs w:val="21"/>
                <w:lang w:eastAsia="zh-CN"/>
              </w:rPr>
            </w:pPr>
            <w:r>
              <w:rPr>
                <w:rFonts w:ascii="宋体" w:hAnsi="宋体" w:eastAsia="宋体" w:cs="宋体"/>
                <w:kern w:val="2"/>
                <w:sz w:val="21"/>
                <w:szCs w:val="21"/>
                <w:lang w:eastAsia="zh-CN"/>
              </w:rPr>
              <w:t>5</w:t>
            </w:r>
          </w:p>
        </w:tc>
        <w:tc>
          <w:tcPr>
            <w:tcW w:w="1404" w:type="dxa"/>
          </w:tcPr>
          <w:p w14:paraId="1229CF1B">
            <w:pPr>
              <w:widowControl/>
              <w:rPr>
                <w:rFonts w:cs="宋体"/>
                <w:sz w:val="21"/>
                <w:szCs w:val="21"/>
              </w:rPr>
            </w:pPr>
            <w:r>
              <w:rPr>
                <w:rFonts w:hint="eastAsia" w:cs="宋体"/>
                <w:color w:val="000000"/>
                <w:kern w:val="0"/>
                <w:sz w:val="21"/>
                <w:szCs w:val="21"/>
                <w:lang w:bidi="ar"/>
              </w:rPr>
              <w:t xml:space="preserve">考核结果 </w:t>
            </w:r>
          </w:p>
          <w:p w14:paraId="04D1B037">
            <w:pPr>
              <w:widowControl/>
              <w:rPr>
                <w:rFonts w:cs="宋体"/>
                <w:sz w:val="21"/>
                <w:szCs w:val="21"/>
              </w:rPr>
            </w:pPr>
            <w:r>
              <w:rPr>
                <w:rFonts w:hint="eastAsia" w:cs="宋体"/>
                <w:color w:val="000000"/>
                <w:kern w:val="0"/>
                <w:sz w:val="21"/>
                <w:szCs w:val="21"/>
                <w:lang w:bidi="ar"/>
              </w:rPr>
              <w:t>应用</w:t>
            </w:r>
          </w:p>
          <w:p w14:paraId="6E67D201">
            <w:pPr>
              <w:pStyle w:val="22"/>
              <w:spacing w:line="360" w:lineRule="auto"/>
              <w:jc w:val="both"/>
              <w:rPr>
                <w:rFonts w:hint="default" w:ascii="宋体" w:hAnsi="宋体" w:eastAsia="宋体" w:cs="宋体"/>
                <w:color w:val="000000"/>
                <w:sz w:val="21"/>
                <w:szCs w:val="21"/>
                <w:lang w:eastAsia="zh-CN" w:bidi="ar"/>
              </w:rPr>
            </w:pPr>
          </w:p>
        </w:tc>
        <w:tc>
          <w:tcPr>
            <w:tcW w:w="6218" w:type="dxa"/>
            <w:gridSpan w:val="2"/>
          </w:tcPr>
          <w:p w14:paraId="2FFD8CEF">
            <w:pPr>
              <w:widowControl/>
              <w:rPr>
                <w:rFonts w:cs="宋体"/>
                <w:sz w:val="21"/>
                <w:szCs w:val="21"/>
              </w:rPr>
            </w:pPr>
            <w:r>
              <w:rPr>
                <w:rFonts w:hint="eastAsia" w:cs="宋体"/>
                <w:color w:val="000000"/>
                <w:kern w:val="0"/>
                <w:sz w:val="21"/>
                <w:szCs w:val="21"/>
                <w:lang w:bidi="ar"/>
              </w:rPr>
              <w:t>按年度考核，得分在90分及以上，按合同约定核算该年度维保服务费用；考核得分在90分以下，每低1分扣当年度服务费用的1%，服务费用以支付约定为准，结算周期以合同约定为准。</w:t>
            </w:r>
          </w:p>
          <w:p w14:paraId="1472E47A">
            <w:pPr>
              <w:pStyle w:val="22"/>
              <w:spacing w:line="360" w:lineRule="auto"/>
              <w:jc w:val="both"/>
              <w:rPr>
                <w:rFonts w:hint="default" w:ascii="宋体" w:hAnsi="宋体" w:eastAsia="宋体" w:cs="宋体"/>
                <w:kern w:val="2"/>
                <w:sz w:val="21"/>
                <w:szCs w:val="21"/>
                <w:lang w:eastAsia="zh-CN"/>
              </w:rPr>
            </w:pPr>
          </w:p>
        </w:tc>
      </w:tr>
    </w:tbl>
    <w:p w14:paraId="08D073B5">
      <w:pPr>
        <w:pStyle w:val="16"/>
        <w:spacing w:line="520" w:lineRule="exact"/>
        <w:ind w:firstLine="482"/>
      </w:pPr>
      <w:bookmarkStart w:id="21" w:name="_Toc27747"/>
      <w:r>
        <w:rPr>
          <w:rFonts w:hint="eastAsia"/>
        </w:rPr>
        <w:t>质量标准</w:t>
      </w:r>
      <w:bookmarkEnd w:id="21"/>
    </w:p>
    <w:p w14:paraId="4C24A03A">
      <w:pPr>
        <w:tabs>
          <w:tab w:val="left" w:pos="312"/>
          <w:tab w:val="clear" w:pos="0"/>
        </w:tabs>
        <w:adjustRightInd/>
        <w:snapToGrid/>
        <w:spacing w:line="430" w:lineRule="exact"/>
        <w:ind w:firstLine="480" w:firstLineChars="200"/>
        <w:rPr>
          <w:rFonts w:cs="宋体"/>
          <w:color w:val="000000"/>
          <w:kern w:val="0"/>
          <w:lang w:bidi="ar"/>
        </w:rPr>
      </w:pPr>
      <w:r>
        <w:rPr>
          <w:rFonts w:hint="eastAsia" w:cs="宋体"/>
          <w:color w:val="000000"/>
          <w:kern w:val="0"/>
          <w:lang w:bidi="ar"/>
        </w:rPr>
        <w:t>其他未明确要求严格按照下列技术规范要求执行：</w:t>
      </w:r>
    </w:p>
    <w:p w14:paraId="6945B45A">
      <w:pPr>
        <w:pStyle w:val="22"/>
        <w:ind w:firstLine="480" w:firstLineChars="200"/>
        <w:jc w:val="both"/>
        <w:rPr>
          <w:rFonts w:hint="default" w:ascii="仿宋" w:hAnsi="仿宋" w:eastAsia="宋体" w:cs="仿宋"/>
          <w:kern w:val="2"/>
          <w:sz w:val="24"/>
          <w:szCs w:val="21"/>
          <w:lang w:eastAsia="zh-CN"/>
        </w:rPr>
      </w:pPr>
      <w:r>
        <w:rPr>
          <w:rFonts w:ascii="仿宋" w:hAnsi="仿宋" w:eastAsia="宋体" w:cs="仿宋"/>
          <w:kern w:val="2"/>
          <w:sz w:val="24"/>
          <w:szCs w:val="21"/>
          <w:lang w:eastAsia="zh-CN"/>
        </w:rPr>
        <w:t>1、《交通运输视频图像文字信息标注规范》（JT/T 1389.1-2021，以下简称《文字信息标注规范》）；</w:t>
      </w:r>
    </w:p>
    <w:p w14:paraId="5FE52211">
      <w:pPr>
        <w:pStyle w:val="22"/>
        <w:ind w:firstLine="480" w:firstLineChars="200"/>
        <w:jc w:val="both"/>
        <w:rPr>
          <w:rFonts w:hint="default" w:ascii="仿宋" w:hAnsi="仿宋" w:eastAsia="宋体" w:cs="仿宋"/>
          <w:kern w:val="2"/>
          <w:sz w:val="24"/>
          <w:szCs w:val="21"/>
          <w:lang w:eastAsia="zh-CN"/>
        </w:rPr>
      </w:pPr>
      <w:r>
        <w:rPr>
          <w:rFonts w:ascii="仿宋" w:hAnsi="仿宋" w:eastAsia="宋体" w:cs="仿宋"/>
          <w:kern w:val="2"/>
          <w:sz w:val="24"/>
          <w:szCs w:val="21"/>
          <w:lang w:eastAsia="zh-CN"/>
        </w:rPr>
        <w:t>2、《公路数据库编目编码规则》（JT/T 132-2014，以下简称《公路编码规则》）；</w:t>
      </w:r>
    </w:p>
    <w:p w14:paraId="137E8FCC">
      <w:pPr>
        <w:pStyle w:val="22"/>
        <w:ind w:firstLine="480" w:firstLineChars="200"/>
        <w:jc w:val="both"/>
        <w:rPr>
          <w:rFonts w:hint="default" w:ascii="仿宋" w:hAnsi="仿宋" w:eastAsia="宋体" w:cs="仿宋"/>
          <w:kern w:val="2"/>
          <w:sz w:val="24"/>
          <w:szCs w:val="21"/>
          <w:lang w:eastAsia="zh-CN"/>
        </w:rPr>
      </w:pPr>
      <w:r>
        <w:rPr>
          <w:rFonts w:ascii="仿宋" w:hAnsi="仿宋" w:eastAsia="宋体" w:cs="仿宋"/>
          <w:kern w:val="2"/>
          <w:sz w:val="24"/>
          <w:szCs w:val="21"/>
          <w:lang w:eastAsia="zh-CN"/>
        </w:rPr>
        <w:t>3、《四川省交通运行监测与应急指挥系统（二期）工程建设指南及技术规范要求（市州部分）》（川交信息便〔2018〕16号，以下简称《应急二期技术要求》）；</w:t>
      </w:r>
    </w:p>
    <w:p w14:paraId="19FD1D78">
      <w:pPr>
        <w:pStyle w:val="22"/>
        <w:ind w:firstLine="480" w:firstLineChars="200"/>
        <w:jc w:val="both"/>
        <w:rPr>
          <w:rFonts w:hint="default" w:ascii="仿宋" w:hAnsi="仿宋" w:eastAsia="宋体" w:cs="仿宋"/>
          <w:kern w:val="2"/>
          <w:sz w:val="24"/>
          <w:szCs w:val="21"/>
          <w:lang w:eastAsia="zh-CN"/>
        </w:rPr>
      </w:pPr>
      <w:r>
        <w:rPr>
          <w:rFonts w:ascii="仿宋" w:hAnsi="仿宋" w:eastAsia="宋体" w:cs="仿宋"/>
          <w:kern w:val="2"/>
          <w:sz w:val="24"/>
          <w:szCs w:val="21"/>
          <w:lang w:eastAsia="zh-CN"/>
        </w:rPr>
        <w:t>4、《国家综合交通运输信息平台视频资源编码与命名规范》（交办科技函〔2023〕1375号）；</w:t>
      </w:r>
    </w:p>
    <w:p w14:paraId="0CEFBD99">
      <w:pPr>
        <w:pStyle w:val="22"/>
        <w:ind w:firstLine="480" w:firstLineChars="200"/>
        <w:jc w:val="both"/>
        <w:rPr>
          <w:rFonts w:hint="default" w:ascii="仿宋" w:hAnsi="仿宋" w:eastAsia="宋体" w:cs="仿宋"/>
          <w:kern w:val="2"/>
          <w:sz w:val="24"/>
          <w:szCs w:val="21"/>
          <w:lang w:eastAsia="zh-CN"/>
        </w:rPr>
      </w:pPr>
      <w:r>
        <w:rPr>
          <w:rFonts w:ascii="仿宋" w:hAnsi="仿宋" w:eastAsia="宋体" w:cs="仿宋"/>
          <w:kern w:val="2"/>
          <w:sz w:val="24"/>
          <w:szCs w:val="21"/>
          <w:lang w:eastAsia="zh-CN"/>
        </w:rPr>
        <w:t>5、《四川省普通国省干线公路智能运行网及智慧客运枢纽建设方案》（川交函〔2023〕435号）；</w:t>
      </w:r>
    </w:p>
    <w:p w14:paraId="16C0534C">
      <w:pPr>
        <w:pStyle w:val="22"/>
        <w:ind w:firstLine="480" w:firstLineChars="200"/>
        <w:jc w:val="both"/>
      </w:pPr>
      <w:r>
        <w:rPr>
          <w:rFonts w:ascii="仿宋" w:hAnsi="仿宋" w:eastAsia="宋体" w:cs="仿宋"/>
          <w:kern w:val="2"/>
          <w:sz w:val="24"/>
          <w:szCs w:val="21"/>
          <w:lang w:eastAsia="zh-CN"/>
        </w:rPr>
        <w:t>6、《四川省普通国省干线公路高位视频监测站建设指南及技术要求》（川交运调函〔2023〕14号）。</w:t>
      </w:r>
    </w:p>
    <w:p w14:paraId="372B7A8A">
      <w:pPr>
        <w:pStyle w:val="16"/>
        <w:spacing w:line="520" w:lineRule="exact"/>
        <w:ind w:firstLine="482"/>
      </w:pPr>
      <w:bookmarkStart w:id="22" w:name="_Toc2650"/>
      <w:r>
        <w:rPr>
          <w:rFonts w:hint="eastAsia"/>
        </w:rPr>
        <w:t>验收要求</w:t>
      </w:r>
      <w:bookmarkEnd w:id="22"/>
    </w:p>
    <w:p w14:paraId="28712683">
      <w:pPr>
        <w:pStyle w:val="21"/>
        <w:numPr>
          <w:ilvl w:val="255"/>
          <w:numId w:val="0"/>
        </w:numPr>
        <w:spacing w:line="480" w:lineRule="exact"/>
        <w:ind w:left="480" w:leftChars="200"/>
        <w:rPr>
          <w:rFonts w:cs="宋体"/>
        </w:rPr>
      </w:pPr>
      <w:r>
        <w:rPr>
          <w:rFonts w:hint="eastAsia" w:cs="宋体"/>
        </w:rPr>
        <w:t>(1)验收组织方式：自行验收；</w:t>
      </w:r>
    </w:p>
    <w:p w14:paraId="0D59FCBB">
      <w:pPr>
        <w:pStyle w:val="21"/>
        <w:numPr>
          <w:ilvl w:val="255"/>
          <w:numId w:val="0"/>
        </w:numPr>
        <w:spacing w:line="480" w:lineRule="exact"/>
        <w:ind w:left="480" w:leftChars="200"/>
        <w:rPr>
          <w:rFonts w:cs="宋体"/>
        </w:rPr>
      </w:pPr>
      <w:r>
        <w:rPr>
          <w:rFonts w:hint="eastAsia" w:cs="宋体"/>
        </w:rPr>
        <w:t>(2)是否邀请本项目其他供应商：否；</w:t>
      </w:r>
    </w:p>
    <w:p w14:paraId="3BD990EB">
      <w:pPr>
        <w:pStyle w:val="21"/>
        <w:numPr>
          <w:ilvl w:val="3"/>
          <w:numId w:val="0"/>
        </w:numPr>
        <w:spacing w:line="480" w:lineRule="exact"/>
        <w:ind w:left="480" w:leftChars="200"/>
        <w:rPr>
          <w:rFonts w:cs="宋体"/>
        </w:rPr>
      </w:pPr>
      <w:r>
        <w:rPr>
          <w:rFonts w:hint="eastAsia" w:cs="宋体"/>
        </w:rPr>
        <w:t>(3)是否邀请专家：是；</w:t>
      </w:r>
    </w:p>
    <w:p w14:paraId="60BD8E87">
      <w:pPr>
        <w:pStyle w:val="21"/>
        <w:numPr>
          <w:ilvl w:val="3"/>
          <w:numId w:val="0"/>
        </w:numPr>
        <w:spacing w:line="480" w:lineRule="exact"/>
        <w:ind w:left="480" w:leftChars="200"/>
        <w:rPr>
          <w:rFonts w:cs="宋体"/>
        </w:rPr>
      </w:pPr>
      <w:r>
        <w:rPr>
          <w:rFonts w:hint="eastAsia" w:cs="宋体"/>
        </w:rPr>
        <w:t>(4)是否邀请服务对象：否；</w:t>
      </w:r>
    </w:p>
    <w:p w14:paraId="55FF3DE3">
      <w:pPr>
        <w:pStyle w:val="21"/>
        <w:numPr>
          <w:ilvl w:val="3"/>
          <w:numId w:val="0"/>
        </w:numPr>
        <w:spacing w:line="480" w:lineRule="exact"/>
        <w:ind w:left="480" w:leftChars="200"/>
        <w:rPr>
          <w:rFonts w:cs="宋体"/>
        </w:rPr>
      </w:pPr>
      <w:r>
        <w:rPr>
          <w:rFonts w:hint="eastAsia" w:cs="宋体"/>
        </w:rPr>
        <w:t>(5)是否邀请第三方检测机构：否；</w:t>
      </w:r>
    </w:p>
    <w:p w14:paraId="288B76E3">
      <w:pPr>
        <w:pStyle w:val="21"/>
        <w:numPr>
          <w:ilvl w:val="3"/>
          <w:numId w:val="0"/>
        </w:numPr>
        <w:spacing w:line="480" w:lineRule="exact"/>
        <w:ind w:left="480" w:leftChars="200"/>
        <w:rPr>
          <w:rFonts w:cs="宋体"/>
        </w:rPr>
      </w:pPr>
      <w:r>
        <w:rPr>
          <w:rFonts w:hint="eastAsia" w:cs="宋体"/>
        </w:rPr>
        <w:t>(6)验收程序：一次性验收；</w:t>
      </w:r>
    </w:p>
    <w:p w14:paraId="03A0B01E">
      <w:pPr>
        <w:pStyle w:val="21"/>
        <w:numPr>
          <w:ilvl w:val="3"/>
          <w:numId w:val="0"/>
        </w:numPr>
        <w:spacing w:line="480" w:lineRule="exact"/>
        <w:ind w:left="480" w:leftChars="200"/>
        <w:rPr>
          <w:rFonts w:cs="宋体"/>
        </w:rPr>
      </w:pPr>
      <w:r>
        <w:rPr>
          <w:rFonts w:hint="eastAsia" w:cs="宋体"/>
        </w:rPr>
        <w:t>(7)验收时间：供应商提出验收申请之日起5日内组织验收。</w:t>
      </w:r>
    </w:p>
    <w:p w14:paraId="4D3BCA05">
      <w:pPr>
        <w:pStyle w:val="21"/>
        <w:numPr>
          <w:ilvl w:val="3"/>
          <w:numId w:val="0"/>
        </w:numPr>
        <w:spacing w:line="480" w:lineRule="exact"/>
        <w:ind w:left="480" w:leftChars="200"/>
        <w:rPr>
          <w:rFonts w:cs="宋体"/>
        </w:rPr>
      </w:pPr>
      <w:r>
        <w:rPr>
          <w:rFonts w:hint="eastAsia" w:cs="宋体"/>
        </w:rPr>
        <w:t>(8)技术验收内容：</w:t>
      </w:r>
    </w:p>
    <w:p w14:paraId="623559BA">
      <w:pPr>
        <w:pStyle w:val="21"/>
        <w:numPr>
          <w:ilvl w:val="3"/>
          <w:numId w:val="0"/>
        </w:numPr>
        <w:spacing w:line="480" w:lineRule="exact"/>
        <w:ind w:firstLine="480" w:firstLineChars="200"/>
        <w:rPr>
          <w:rFonts w:cs="宋体"/>
        </w:rPr>
      </w:pPr>
      <w:r>
        <w:rPr>
          <w:rFonts w:hint="eastAsia" w:cs="宋体"/>
        </w:rPr>
        <w:t>包括采购内容、具体技术参数指标（技术服务要求）、商务条件、售后服务等涉及本项目建设质量的所有内容。</w:t>
      </w:r>
    </w:p>
    <w:p w14:paraId="23C9A06D">
      <w:pPr>
        <w:pStyle w:val="21"/>
        <w:numPr>
          <w:ilvl w:val="3"/>
          <w:numId w:val="0"/>
        </w:numPr>
        <w:spacing w:line="480" w:lineRule="exact"/>
        <w:ind w:left="480" w:leftChars="200"/>
        <w:rPr>
          <w:rFonts w:cs="宋体"/>
        </w:rPr>
      </w:pPr>
      <w:r>
        <w:rPr>
          <w:rFonts w:hint="eastAsia" w:cs="宋体"/>
        </w:rPr>
        <w:t>(9)商务验收内容：</w:t>
      </w:r>
    </w:p>
    <w:p w14:paraId="0B4038B0">
      <w:pPr>
        <w:pStyle w:val="21"/>
        <w:numPr>
          <w:ilvl w:val="3"/>
          <w:numId w:val="0"/>
        </w:numPr>
        <w:spacing w:line="480" w:lineRule="exact"/>
        <w:ind w:firstLine="480" w:firstLineChars="200"/>
        <w:rPr>
          <w:rFonts w:cs="宋体"/>
        </w:rPr>
      </w:pPr>
      <w:r>
        <w:rPr>
          <w:rFonts w:hint="eastAsia" w:cs="宋体"/>
        </w:rPr>
        <w:t>9.1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w:t>
      </w:r>
    </w:p>
    <w:p w14:paraId="2DB11F07">
      <w:pPr>
        <w:pStyle w:val="21"/>
        <w:numPr>
          <w:ilvl w:val="3"/>
          <w:numId w:val="0"/>
        </w:numPr>
        <w:spacing w:line="480" w:lineRule="exact"/>
        <w:ind w:firstLine="480" w:firstLineChars="200"/>
        <w:rPr>
          <w:rFonts w:cs="宋体"/>
        </w:rPr>
      </w:pPr>
      <w:r>
        <w:rPr>
          <w:rFonts w:hint="eastAsia" w:cs="宋体"/>
        </w:rPr>
        <w:t>9.2如验收合格，双方签署验收报告；</w:t>
      </w:r>
    </w:p>
    <w:p w14:paraId="4FCA54EF">
      <w:pPr>
        <w:pStyle w:val="21"/>
        <w:numPr>
          <w:ilvl w:val="3"/>
          <w:numId w:val="0"/>
        </w:numPr>
        <w:spacing w:line="480" w:lineRule="exact"/>
        <w:ind w:firstLine="480" w:firstLineChars="200"/>
        <w:rPr>
          <w:rFonts w:cs="宋体"/>
        </w:rPr>
      </w:pPr>
      <w:r>
        <w:rPr>
          <w:rFonts w:hint="eastAsia" w:cs="宋体"/>
        </w:rPr>
        <w:t>9.3项目验收结果合格的，供应商凭《验收报告》办理相关手续；验收不合格且拒不整改的，将不予支付采购资金，还可能上报本项目同级财政部门按照政府采购法律法规等有关规定给予行政处罚； </w:t>
      </w:r>
    </w:p>
    <w:p w14:paraId="634D8885">
      <w:pPr>
        <w:pStyle w:val="21"/>
        <w:numPr>
          <w:ilvl w:val="3"/>
          <w:numId w:val="0"/>
        </w:numPr>
        <w:spacing w:line="480" w:lineRule="exact"/>
        <w:ind w:left="480" w:leftChars="200"/>
        <w:rPr>
          <w:rFonts w:cs="宋体"/>
        </w:rPr>
      </w:pPr>
      <w:r>
        <w:rPr>
          <w:rFonts w:hint="eastAsia" w:cs="宋体"/>
        </w:rPr>
        <w:t>(10)验收标准：</w:t>
      </w:r>
    </w:p>
    <w:p w14:paraId="00634BC5">
      <w:pPr>
        <w:pStyle w:val="21"/>
        <w:numPr>
          <w:ilvl w:val="3"/>
          <w:numId w:val="0"/>
        </w:numPr>
        <w:spacing w:line="480" w:lineRule="exact"/>
        <w:ind w:firstLine="480" w:firstLineChars="200"/>
        <w:rPr>
          <w:rFonts w:cs="宋体"/>
        </w:rPr>
      </w:pPr>
      <w:r>
        <w:rPr>
          <w:rFonts w:hint="eastAsia"/>
        </w:rPr>
        <w:t>严</w:t>
      </w:r>
      <w:r>
        <w:t>格按照《财政部关于进一步加强政府采购需求和履约验收管理的指导意见》(财库〔2016〕205号)、《政府采购需求管理办法》（财库〔2021〕22号）、《雅安市财政局关于规范政府采购履约验收工作的通知》（雅财采〔2021〕50号）和</w:t>
      </w:r>
      <w:r>
        <w:rPr>
          <w:rFonts w:hint="eastAsia"/>
        </w:rPr>
        <w:t>磋商</w:t>
      </w:r>
      <w:r>
        <w:t>文件相关要求进行验收。 2、由采购人组织履约验收小组，开展项目验收工作，达到国家相关标准、行业标准、地方标准或者其他标准、规范要求为标准，按照《竞争性磋商文件》、《响应文件》和双方签订的《采购合同》，审查项目资料完备性、规范性情况，审查项目履行合同、《竞争性磋商文件》和《响应文件》情况，审查所有材料质量、性能、安全性以及各项技术指标完成情况，对供应商履约情况进行验收，出具验收报告</w:t>
      </w:r>
      <w:r>
        <w:rPr>
          <w:rFonts w:hint="eastAsia" w:cs="宋体"/>
        </w:rPr>
        <w:t>；</w:t>
      </w:r>
    </w:p>
    <w:p w14:paraId="419450B9">
      <w:pPr>
        <w:pStyle w:val="21"/>
        <w:numPr>
          <w:ilvl w:val="3"/>
          <w:numId w:val="0"/>
        </w:numPr>
        <w:spacing w:line="480" w:lineRule="exact"/>
        <w:ind w:left="480" w:leftChars="200"/>
        <w:rPr>
          <w:rFonts w:cs="宋体"/>
        </w:rPr>
      </w:pPr>
      <w:r>
        <w:rPr>
          <w:rFonts w:hint="eastAsia" w:cs="宋体"/>
        </w:rPr>
        <w:t>(11)履约验收其他事项：</w:t>
      </w:r>
    </w:p>
    <w:p w14:paraId="46A9D639">
      <w:pPr>
        <w:pStyle w:val="21"/>
        <w:numPr>
          <w:ilvl w:val="3"/>
          <w:numId w:val="0"/>
        </w:numPr>
        <w:spacing w:line="480" w:lineRule="exact"/>
        <w:ind w:firstLine="480" w:firstLineChars="200"/>
        <w:rPr>
          <w:rFonts w:cs="宋体"/>
        </w:rPr>
      </w:pPr>
      <w:r>
        <w:rPr>
          <w:rFonts w:hint="eastAsia" w:cs="宋体"/>
        </w:rPr>
        <w:t>其他未尽事宜应严格按照《财政部关于进一步加强政府采购需求和履约验收管理的指导意见》(财库〔2016〕205号)、《政府采购需求管理办法》((财库〔2021〕22 号)及磋商文件相关规定组织验收。</w:t>
      </w:r>
    </w:p>
    <w:p w14:paraId="273EE96F">
      <w:pPr>
        <w:pStyle w:val="16"/>
        <w:spacing w:line="520" w:lineRule="exact"/>
        <w:ind w:firstLine="482"/>
      </w:pPr>
      <w:bookmarkStart w:id="23" w:name="_Toc14465"/>
      <w:r>
        <w:rPr>
          <w:rFonts w:hint="eastAsia"/>
        </w:rPr>
        <w:t>合同价款及支付方式</w:t>
      </w:r>
      <w:bookmarkEnd w:id="23"/>
    </w:p>
    <w:p w14:paraId="0143B27C">
      <w:pPr>
        <w:pStyle w:val="15"/>
        <w:spacing w:line="520" w:lineRule="exact"/>
        <w:ind w:firstLine="480" w:firstLineChars="200"/>
        <w:rPr>
          <w:rFonts w:cs="宋体"/>
        </w:rPr>
      </w:pPr>
      <w:r>
        <w:rPr>
          <w:rFonts w:hint="eastAsia" w:cs="宋体"/>
          <w:snapToGrid/>
          <w:lang w:bidi="ar"/>
        </w:rPr>
        <w:t>本项目合同价款由以下组成：</w:t>
      </w:r>
      <w:r>
        <w:rPr>
          <w:rFonts w:hint="eastAsia" w:cs="宋体"/>
        </w:rPr>
        <w:t>合同总价为人民币大写：</w:t>
      </w:r>
      <w:r>
        <w:rPr>
          <w:rFonts w:hint="eastAsia" w:cs="宋体"/>
          <w:u w:val="single"/>
        </w:rPr>
        <w:t xml:space="preserve">                </w:t>
      </w:r>
      <w:r>
        <w:rPr>
          <w:rFonts w:hint="eastAsia" w:cs="宋体"/>
        </w:rPr>
        <w:t>元，即￥</w:t>
      </w:r>
      <w:r>
        <w:rPr>
          <w:rFonts w:hint="eastAsia" w:cs="宋体"/>
          <w:u w:val="single"/>
        </w:rPr>
        <w:t xml:space="preserve">        </w:t>
      </w:r>
      <w:r>
        <w:rPr>
          <w:rFonts w:hint="eastAsia" w:cs="宋体"/>
        </w:rPr>
        <w:t>元；该合同总价已包括人员劳务、差旅、设备投入、成果、保险、风险、税金、利润以及招标文件规定的一切费用。本合同执行期间合同总价不变，甲方无须另向乙方支付本合同规定之外的其他任何费用。</w:t>
      </w:r>
    </w:p>
    <w:p w14:paraId="7E2A88BE">
      <w:pPr>
        <w:pStyle w:val="5"/>
        <w:widowControl w:val="0"/>
        <w:numPr>
          <w:ilvl w:val="1"/>
          <w:numId w:val="7"/>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XX万元；</w:t>
      </w:r>
    </w:p>
    <w:p w14:paraId="3CAFBF43">
      <w:pPr>
        <w:pStyle w:val="5"/>
        <w:widowControl w:val="0"/>
        <w:numPr>
          <w:ilvl w:val="1"/>
          <w:numId w:val="7"/>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XX万元；</w:t>
      </w:r>
    </w:p>
    <w:p w14:paraId="1208E0F1">
      <w:pPr>
        <w:pStyle w:val="5"/>
        <w:widowControl w:val="0"/>
        <w:numPr>
          <w:ilvl w:val="1"/>
          <w:numId w:val="7"/>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XX万元。涉及分项时进行分别描述</w:t>
      </w:r>
    </w:p>
    <w:p w14:paraId="2C69310C">
      <w:pPr>
        <w:pStyle w:val="5"/>
        <w:widowControl w:val="0"/>
        <w:numPr>
          <w:ilvl w:val="1"/>
          <w:numId w:val="7"/>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w:t>
      </w:r>
    </w:p>
    <w:p w14:paraId="0543ABFF">
      <w:pPr>
        <w:pStyle w:val="5"/>
        <w:widowControl w:val="0"/>
        <w:numPr>
          <w:ilvl w:val="1"/>
          <w:numId w:val="7"/>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支付方式：</w:t>
      </w:r>
      <w:r>
        <w:rPr>
          <w:rFonts w:hint="eastAsia" w:cs="Times New Roman"/>
          <w:kern w:val="2"/>
          <w:lang w:bidi="ar"/>
        </w:rPr>
        <w:t xml:space="preserve"> </w:t>
      </w:r>
    </w:p>
    <w:p w14:paraId="00ED3E24">
      <w:pPr>
        <w:pStyle w:val="3"/>
        <w:adjustRightInd/>
        <w:snapToGrid/>
        <w:ind w:firstLine="482" w:firstLineChars="200"/>
        <w:rPr>
          <w:rFonts w:ascii="宋体" w:cs="宋体"/>
          <w:b/>
          <w:bCs/>
        </w:rPr>
      </w:pPr>
    </w:p>
    <w:p w14:paraId="0029E26F">
      <w:pPr>
        <w:pStyle w:val="3"/>
        <w:adjustRightInd/>
        <w:snapToGrid/>
        <w:ind w:firstLine="482" w:firstLineChars="200"/>
        <w:rPr>
          <w:rFonts w:asciiTheme="minorEastAsia" w:hAnsiTheme="minorEastAsia" w:eastAsiaTheme="minorEastAsia" w:cstheme="minorEastAsia"/>
        </w:rPr>
      </w:pPr>
      <w:r>
        <w:rPr>
          <w:rFonts w:hint="eastAsia" w:ascii="宋体" w:cs="宋体"/>
          <w:b/>
          <w:bCs/>
        </w:rPr>
        <w:t>注：</w:t>
      </w:r>
      <w:r>
        <w:t>①</w:t>
      </w:r>
      <w:r>
        <w:rPr>
          <w:rFonts w:hint="eastAsia"/>
        </w:rPr>
        <w:t>甲方</w:t>
      </w:r>
      <w:r>
        <w:t>不得向</w:t>
      </w:r>
      <w:r>
        <w:rPr>
          <w:rFonts w:hint="eastAsia"/>
        </w:rPr>
        <w:t>乙方</w:t>
      </w:r>
      <w:r>
        <w:t>提出任何不合理的要求作为签订合同的条件，不得将磋商文件和合同中未规定的义务作为向</w:t>
      </w:r>
      <w:r>
        <w:rPr>
          <w:rFonts w:hint="eastAsia"/>
        </w:rPr>
        <w:t>乙方</w:t>
      </w:r>
      <w:r>
        <w:t>付款的条件。 ②对于满足采购合同约定资金支付条件的，釆购人应当自收到发票后10个工作日内(第一次付款或预付款除外)将资金按时足额支付到约定账户。釆购人不得以机构变动、人员更替、内部程序、政策调整、单位放假等为由延迟付款，釆购人无故拒绝或者延迟支付政府采购合同款项的，应当依照采购合同约定承担违约责任。 ③每次付款前，</w:t>
      </w:r>
      <w:r>
        <w:rPr>
          <w:rFonts w:hint="eastAsia"/>
        </w:rPr>
        <w:t>乙方</w:t>
      </w:r>
      <w:r>
        <w:t>须向</w:t>
      </w:r>
      <w:r>
        <w:rPr>
          <w:rFonts w:hint="eastAsia"/>
        </w:rPr>
        <w:t>甲方</w:t>
      </w:r>
      <w:r>
        <w:t>出具合法有效完整的增值税发票及凭证资料后进行支付结算，付款方式均采用公对公的银行转账，</w:t>
      </w:r>
      <w:r>
        <w:rPr>
          <w:rFonts w:hint="eastAsia"/>
        </w:rPr>
        <w:t>甲方</w:t>
      </w:r>
      <w:r>
        <w:t>接受转账的开户信息以合同载明的为准。如因</w:t>
      </w:r>
      <w:r>
        <w:rPr>
          <w:rFonts w:hint="eastAsia"/>
        </w:rPr>
        <w:t>乙方</w:t>
      </w:r>
      <w:r>
        <w:t>未按照要求提供合法有效的发票导致逾期付款的，不视为</w:t>
      </w:r>
      <w:r>
        <w:rPr>
          <w:rFonts w:hint="eastAsia"/>
        </w:rPr>
        <w:t>甲方</w:t>
      </w:r>
      <w:r>
        <w:t>违约，</w:t>
      </w:r>
      <w:r>
        <w:rPr>
          <w:rFonts w:hint="eastAsia"/>
        </w:rPr>
        <w:t>甲方</w:t>
      </w:r>
      <w:r>
        <w:t>不承担任何责任。④鼓励</w:t>
      </w:r>
      <w:r>
        <w:rPr>
          <w:rFonts w:hint="eastAsia"/>
        </w:rPr>
        <w:t>甲方</w:t>
      </w:r>
      <w:r>
        <w:t>完善内部流程，自收到发票后1个工作日内完成资金支付事宜。</w:t>
      </w:r>
    </w:p>
    <w:p w14:paraId="21574465">
      <w:pPr>
        <w:pStyle w:val="16"/>
        <w:spacing w:line="520" w:lineRule="exact"/>
        <w:ind w:firstLine="482"/>
      </w:pPr>
      <w:bookmarkStart w:id="24" w:name="_Toc9180"/>
      <w:r>
        <w:rPr>
          <w:rFonts w:hint="eastAsia"/>
        </w:rPr>
        <w:t>知识产权</w:t>
      </w:r>
      <w:bookmarkEnd w:id="24"/>
    </w:p>
    <w:p w14:paraId="2394BE17">
      <w:pPr>
        <w:pStyle w:val="18"/>
        <w:spacing w:line="520" w:lineRule="exact"/>
      </w:pPr>
      <w:r>
        <w:rPr>
          <w:rFonts w:hint="eastAsia"/>
        </w:rPr>
        <w:t>乙方应保证所提供的服务或其任何一部分均不会侵犯任何第三方的专利权、商标权或著作权。</w:t>
      </w:r>
    </w:p>
    <w:p w14:paraId="105F8D5F">
      <w:pPr>
        <w:pStyle w:val="16"/>
        <w:spacing w:line="520" w:lineRule="exact"/>
        <w:ind w:firstLine="482"/>
      </w:pPr>
      <w:bookmarkStart w:id="25" w:name="_Toc5770"/>
      <w:r>
        <w:rPr>
          <w:rFonts w:hint="eastAsia"/>
        </w:rPr>
        <w:t>无产权瑕疵条款</w:t>
      </w:r>
      <w:bookmarkEnd w:id="25"/>
    </w:p>
    <w:p w14:paraId="2F60F1F4">
      <w:pPr>
        <w:pStyle w:val="21"/>
        <w:numPr>
          <w:ilvl w:val="3"/>
          <w:numId w:val="0"/>
        </w:numPr>
        <w:adjustRightInd/>
        <w:snapToGrid/>
        <w:spacing w:line="520" w:lineRule="exact"/>
        <w:ind w:firstLine="480" w:firstLineChars="200"/>
        <w:rPr>
          <w:rFonts w:cs="宋体"/>
        </w:rPr>
      </w:pPr>
      <w:r>
        <w:rPr>
          <w:rFonts w:hint="eastAsia" w:cs="宋体"/>
        </w:rPr>
        <w:t>(一)</w:t>
      </w:r>
      <w:r>
        <w:rPr>
          <w:rFonts w:hint="eastAsia" w:cs="宋体"/>
          <w:lang w:bidi="ar"/>
        </w:rPr>
        <w:t>乙方</w:t>
      </w:r>
      <w:r>
        <w:rPr>
          <w:rFonts w:hint="eastAsia" w:cs="宋体"/>
        </w:rPr>
        <w:t>在本项目使用任何服务(包括部分使用)时，不会产生因第三方提出侵犯其专利权、商标权、</w:t>
      </w:r>
      <w:r>
        <w:rPr>
          <w:rFonts w:hint="eastAsia" w:cs="宋体"/>
          <w:lang w:bidi="ar"/>
        </w:rPr>
        <w:t>著作权</w:t>
      </w:r>
      <w:r>
        <w:rPr>
          <w:rFonts w:hint="eastAsia" w:cs="宋体"/>
        </w:rPr>
        <w:t>或其它知识产权而引起的法律和经济纠纷，如因专利权、商标权或其它知识产权而引起法律和经济纠纷，由</w:t>
      </w:r>
      <w:r>
        <w:rPr>
          <w:rFonts w:hint="eastAsia" w:cs="宋体"/>
          <w:lang w:bidi="ar"/>
        </w:rPr>
        <w:t>乙方</w:t>
      </w:r>
      <w:r>
        <w:rPr>
          <w:rFonts w:hint="eastAsia" w:cs="宋体"/>
        </w:rPr>
        <w:t>承担所有相关责任。</w:t>
      </w:r>
    </w:p>
    <w:p w14:paraId="22E5F343">
      <w:pPr>
        <w:pStyle w:val="21"/>
        <w:numPr>
          <w:ilvl w:val="3"/>
          <w:numId w:val="0"/>
        </w:numPr>
        <w:adjustRightInd/>
        <w:snapToGrid/>
        <w:spacing w:line="520" w:lineRule="exact"/>
        <w:ind w:firstLine="480" w:firstLineChars="200"/>
        <w:rPr>
          <w:rFonts w:cs="宋体"/>
        </w:rPr>
      </w:pPr>
      <w:r>
        <w:rPr>
          <w:rFonts w:hint="eastAsia" w:cs="宋体"/>
        </w:rPr>
        <w:t>(二)甲方享有本项目实施过程中产生的知识成果及知识产权，并依据实际情况对采购标的涉及的知识产权的进行处理。</w:t>
      </w:r>
    </w:p>
    <w:p w14:paraId="509E9A34">
      <w:pPr>
        <w:pStyle w:val="21"/>
        <w:numPr>
          <w:ilvl w:val="3"/>
          <w:numId w:val="0"/>
        </w:numPr>
        <w:adjustRightInd/>
        <w:snapToGrid/>
        <w:spacing w:line="520" w:lineRule="exact"/>
        <w:ind w:firstLine="480" w:firstLineChars="200"/>
        <w:rPr>
          <w:rFonts w:cs="宋体"/>
        </w:rPr>
      </w:pPr>
      <w:r>
        <w:rPr>
          <w:rFonts w:hint="eastAsia" w:cs="宋体"/>
        </w:rPr>
        <w:t>(三)</w:t>
      </w:r>
      <w:r>
        <w:rPr>
          <w:rFonts w:hint="eastAsia" w:cs="宋体"/>
          <w:lang w:bidi="ar"/>
        </w:rPr>
        <w:t>乙方</w:t>
      </w:r>
      <w:r>
        <w:rPr>
          <w:rFonts w:hint="eastAsia" w:cs="宋体"/>
        </w:rPr>
        <w:t>如欲在项目实施过程中采用自有知识成果，需提供相关技术文档，并承诺提供无限期技术支持，甲方享有永久使用权。</w:t>
      </w:r>
    </w:p>
    <w:p w14:paraId="3D5C96B1">
      <w:pPr>
        <w:pStyle w:val="21"/>
        <w:numPr>
          <w:ilvl w:val="3"/>
          <w:numId w:val="0"/>
        </w:numPr>
        <w:adjustRightInd/>
        <w:snapToGrid/>
        <w:spacing w:line="520" w:lineRule="exact"/>
        <w:ind w:firstLine="480" w:firstLineChars="200"/>
        <w:rPr>
          <w:rFonts w:cs="宋体"/>
        </w:rPr>
      </w:pPr>
      <w:r>
        <w:rPr>
          <w:rFonts w:hint="eastAsia" w:cs="宋体"/>
        </w:rPr>
        <w:t xml:space="preserve">(四)如采用乙方所不拥有的知识产权，任需提供相关技术文档，并承诺提供无限期技术支持，甲方享有永久合法使用使用权，且不承担该知识产权的相关费用。 </w:t>
      </w:r>
    </w:p>
    <w:p w14:paraId="47B70C43">
      <w:pPr>
        <w:pStyle w:val="16"/>
        <w:spacing w:line="520" w:lineRule="exact"/>
        <w:ind w:firstLine="482"/>
      </w:pPr>
      <w:bookmarkStart w:id="26" w:name="_Toc7599"/>
      <w:r>
        <w:rPr>
          <w:rFonts w:hint="eastAsia"/>
        </w:rPr>
        <w:t>履约保证金</w:t>
      </w:r>
      <w:bookmarkEnd w:id="26"/>
    </w:p>
    <w:p w14:paraId="3E50D5A3">
      <w:pPr>
        <w:pStyle w:val="16"/>
        <w:numPr>
          <w:ilvl w:val="0"/>
          <w:numId w:val="0"/>
        </w:numPr>
        <w:spacing w:line="520" w:lineRule="exact"/>
        <w:ind w:left="480" w:leftChars="200"/>
        <w:outlineLvl w:val="9"/>
        <w:rPr>
          <w:b w:val="0"/>
          <w:bCs/>
        </w:rPr>
      </w:pPr>
      <w:r>
        <w:rPr>
          <w:rFonts w:hint="eastAsia"/>
          <w:b w:val="0"/>
          <w:bCs/>
        </w:rPr>
        <w:t>本项目不收取履约保证金</w:t>
      </w:r>
    </w:p>
    <w:p w14:paraId="729BA3A1">
      <w:pPr>
        <w:pStyle w:val="16"/>
        <w:spacing w:line="520" w:lineRule="exact"/>
        <w:ind w:firstLine="482"/>
      </w:pPr>
      <w:bookmarkStart w:id="27" w:name="_Toc12901"/>
      <w:r>
        <w:rPr>
          <w:rFonts w:hint="eastAsia"/>
        </w:rPr>
        <w:t>甲方的权利和义务</w:t>
      </w:r>
      <w:bookmarkEnd w:id="27"/>
    </w:p>
    <w:p w14:paraId="0BC6A4EA">
      <w:pPr>
        <w:pStyle w:val="17"/>
        <w:numPr>
          <w:ilvl w:val="1"/>
          <w:numId w:val="8"/>
        </w:numPr>
        <w:spacing w:line="520" w:lineRule="exact"/>
        <w:ind w:firstLine="480"/>
      </w:pPr>
      <w:r>
        <w:rPr>
          <w:rFonts w:hint="eastAsia"/>
        </w:rPr>
        <w:t>甲方有权对合同规定范围内乙方的服务行为进行监督和检查，拥有监管权。对甲方认为不合理的部分有权下达整改通知书，并要求乙方限期整改。</w:t>
      </w:r>
    </w:p>
    <w:p w14:paraId="0D9ECEDE">
      <w:pPr>
        <w:pStyle w:val="17"/>
        <w:numPr>
          <w:ilvl w:val="1"/>
          <w:numId w:val="8"/>
        </w:numPr>
        <w:spacing w:line="520" w:lineRule="exact"/>
        <w:ind w:firstLine="480"/>
      </w:pPr>
      <w:r>
        <w:rPr>
          <w:rFonts w:hint="eastAsia"/>
        </w:rPr>
        <w:t>甲方有权依据双方签订的考评办法对乙方提供的服务进行定期考评。当考评结果未达到标准时，有权依据考评办法约定的数额扣除服务费。</w:t>
      </w:r>
    </w:p>
    <w:p w14:paraId="2D7C5F71">
      <w:pPr>
        <w:pStyle w:val="17"/>
        <w:numPr>
          <w:ilvl w:val="1"/>
          <w:numId w:val="8"/>
        </w:numPr>
        <w:spacing w:line="520" w:lineRule="exact"/>
        <w:ind w:firstLine="480"/>
      </w:pPr>
      <w:r>
        <w:rPr>
          <w:rFonts w:hint="eastAsia"/>
        </w:rPr>
        <w:t>负责检查监督乙方管理工作的实施及制度的执行情况。</w:t>
      </w:r>
    </w:p>
    <w:p w14:paraId="067B4ABD">
      <w:pPr>
        <w:pStyle w:val="17"/>
        <w:numPr>
          <w:ilvl w:val="1"/>
          <w:numId w:val="8"/>
        </w:numPr>
        <w:spacing w:line="520" w:lineRule="exact"/>
        <w:ind w:firstLine="480"/>
      </w:pPr>
      <w:r>
        <w:rPr>
          <w:rFonts w:hint="eastAsia"/>
        </w:rPr>
        <w:t>根据本合同规定，按时向乙方支付应付服务费用。</w:t>
      </w:r>
    </w:p>
    <w:p w14:paraId="7ACF92EE">
      <w:pPr>
        <w:pStyle w:val="17"/>
        <w:numPr>
          <w:ilvl w:val="1"/>
          <w:numId w:val="8"/>
        </w:numPr>
        <w:spacing w:line="520" w:lineRule="exact"/>
        <w:ind w:firstLine="480"/>
      </w:pPr>
      <w:r>
        <w:rPr>
          <w:rFonts w:hint="eastAsia"/>
        </w:rPr>
        <w:t>国家法律、法规所规定由甲方承担的其它责任。</w:t>
      </w:r>
    </w:p>
    <w:p w14:paraId="4458F0AE">
      <w:pPr>
        <w:pStyle w:val="16"/>
        <w:spacing w:line="520" w:lineRule="exact"/>
        <w:ind w:firstLine="482"/>
      </w:pPr>
      <w:bookmarkStart w:id="28" w:name="_Toc24257"/>
      <w:r>
        <w:rPr>
          <w:rFonts w:hint="eastAsia"/>
        </w:rPr>
        <w:t>乙方的权利和义务</w:t>
      </w:r>
      <w:bookmarkEnd w:id="28"/>
    </w:p>
    <w:p w14:paraId="5F1183F3">
      <w:pPr>
        <w:pStyle w:val="17"/>
        <w:numPr>
          <w:ilvl w:val="1"/>
          <w:numId w:val="9"/>
        </w:numPr>
        <w:spacing w:line="520" w:lineRule="exact"/>
        <w:ind w:firstLine="480"/>
      </w:pPr>
      <w:r>
        <w:rPr>
          <w:rFonts w:hint="eastAsia"/>
        </w:rPr>
        <w:t>对本合同规定的委托服务范围内的项目享有管理权及服务义务。</w:t>
      </w:r>
    </w:p>
    <w:p w14:paraId="2B9C71D2">
      <w:pPr>
        <w:pStyle w:val="17"/>
        <w:numPr>
          <w:ilvl w:val="1"/>
          <w:numId w:val="9"/>
        </w:numPr>
        <w:spacing w:line="520" w:lineRule="exact"/>
        <w:ind w:firstLine="480"/>
      </w:pPr>
      <w:r>
        <w:rPr>
          <w:rFonts w:hint="eastAsia"/>
        </w:rPr>
        <w:t>根据本合同的规定向甲方收取相关服务费用，并有权在本项目管理范围内管理及合理使用。</w:t>
      </w:r>
    </w:p>
    <w:p w14:paraId="01B54DD6">
      <w:pPr>
        <w:pStyle w:val="17"/>
        <w:numPr>
          <w:ilvl w:val="1"/>
          <w:numId w:val="9"/>
        </w:numPr>
        <w:spacing w:line="520" w:lineRule="exact"/>
        <w:ind w:firstLine="480"/>
      </w:pPr>
      <w:r>
        <w:rPr>
          <w:rFonts w:hint="eastAsia"/>
        </w:rPr>
        <w:t>及时向甲方通告本项目服务范围内有关服务的重大事项，及时配合处理投诉。</w:t>
      </w:r>
    </w:p>
    <w:p w14:paraId="0934498D">
      <w:pPr>
        <w:pStyle w:val="17"/>
        <w:numPr>
          <w:ilvl w:val="1"/>
          <w:numId w:val="9"/>
        </w:numPr>
        <w:spacing w:line="520" w:lineRule="exact"/>
        <w:ind w:firstLine="480"/>
      </w:pPr>
      <w:r>
        <w:rPr>
          <w:rFonts w:hint="eastAsia"/>
        </w:rPr>
        <w:t>接受项目行业管理部门及政府有关部门的指导，接受甲方的监督。</w:t>
      </w:r>
    </w:p>
    <w:p w14:paraId="71B06BA1">
      <w:pPr>
        <w:pStyle w:val="17"/>
        <w:numPr>
          <w:ilvl w:val="1"/>
          <w:numId w:val="9"/>
        </w:numPr>
        <w:spacing w:line="520" w:lineRule="exact"/>
        <w:ind w:firstLine="480"/>
      </w:pPr>
      <w:r>
        <w:rPr>
          <w:rFonts w:hint="eastAsia"/>
        </w:rPr>
        <w:t>国家法律、法规所规定由乙方承担的其它责任。</w:t>
      </w:r>
    </w:p>
    <w:p w14:paraId="4394307C">
      <w:pPr>
        <w:pStyle w:val="16"/>
        <w:spacing w:line="520" w:lineRule="exact"/>
        <w:ind w:firstLine="482"/>
      </w:pPr>
      <w:bookmarkStart w:id="29" w:name="_Toc8032"/>
      <w:r>
        <w:rPr>
          <w:rFonts w:hint="eastAsia"/>
        </w:rPr>
        <w:t>违约责任</w:t>
      </w:r>
      <w:bookmarkEnd w:id="29"/>
    </w:p>
    <w:p w14:paraId="7D51F7E4">
      <w:pPr>
        <w:pStyle w:val="17"/>
        <w:numPr>
          <w:ilvl w:val="1"/>
          <w:numId w:val="10"/>
        </w:numPr>
        <w:adjustRightInd/>
        <w:snapToGrid/>
        <w:spacing w:line="520" w:lineRule="exact"/>
        <w:ind w:firstLine="480"/>
        <w:rPr>
          <w:rFonts w:cs="宋体"/>
        </w:rPr>
      </w:pPr>
      <w:r>
        <w:rPr>
          <w:rFonts w:hint="eastAsia" w:cs="宋体"/>
        </w:rPr>
        <w:t>甲方违约责任</w:t>
      </w:r>
    </w:p>
    <w:p w14:paraId="0E66A1A2">
      <w:pPr>
        <w:pStyle w:val="19"/>
        <w:numPr>
          <w:ilvl w:val="2"/>
          <w:numId w:val="11"/>
        </w:numPr>
        <w:adjustRightInd/>
        <w:snapToGrid/>
        <w:spacing w:line="520" w:lineRule="exact"/>
        <w:ind w:firstLine="480"/>
        <w:rPr>
          <w:rFonts w:cs="宋体"/>
        </w:rPr>
      </w:pPr>
      <w:r>
        <w:rPr>
          <w:rFonts w:hint="eastAsia" w:cs="宋体"/>
          <w:snapToGrid/>
          <w:lang w:bidi="ar"/>
        </w:rPr>
        <w:t>甲方应遵守本合同并执行合同中的各项规定，保证本合同的正常履行。</w:t>
      </w:r>
    </w:p>
    <w:p w14:paraId="68D0C349">
      <w:pPr>
        <w:pStyle w:val="19"/>
        <w:numPr>
          <w:ilvl w:val="2"/>
          <w:numId w:val="11"/>
        </w:numPr>
        <w:adjustRightInd/>
        <w:snapToGrid/>
        <w:spacing w:line="520" w:lineRule="exact"/>
        <w:ind w:firstLine="480"/>
        <w:rPr>
          <w:rFonts w:cs="宋体"/>
        </w:rPr>
      </w:pPr>
      <w:r>
        <w:rPr>
          <w:rFonts w:hint="eastAsia" w:cs="宋体"/>
        </w:rPr>
        <w:t>甲方逾期支付服务合同款项的，除应及时付足合同款项外，应向乙方偿付欠款总额万分之</w:t>
      </w:r>
      <w:r>
        <w:rPr>
          <w:rFonts w:hint="eastAsia" w:cs="宋体"/>
          <w:u w:val="single"/>
        </w:rPr>
        <w:t>一</w:t>
      </w:r>
      <w:r>
        <w:rPr>
          <w:rFonts w:hint="eastAsia" w:cs="宋体"/>
        </w:rPr>
        <w:t>/天的违约金；逾期付款超过</w:t>
      </w:r>
      <w:r>
        <w:rPr>
          <w:rFonts w:hint="eastAsia" w:cs="宋体"/>
          <w:u w:val="single"/>
        </w:rPr>
        <w:t>120</w:t>
      </w:r>
      <w:r>
        <w:rPr>
          <w:rFonts w:hint="eastAsia" w:cs="宋体"/>
        </w:rPr>
        <w:t>天的，乙方有权终止合同；</w:t>
      </w:r>
    </w:p>
    <w:p w14:paraId="4B3DAFBF">
      <w:pPr>
        <w:pStyle w:val="19"/>
        <w:numPr>
          <w:ilvl w:val="2"/>
          <w:numId w:val="11"/>
        </w:numPr>
        <w:adjustRightInd/>
        <w:snapToGrid/>
        <w:spacing w:line="520" w:lineRule="exact"/>
        <w:ind w:firstLine="480"/>
        <w:rPr>
          <w:rFonts w:cs="宋体"/>
        </w:rPr>
      </w:pPr>
      <w:r>
        <w:rPr>
          <w:rFonts w:hint="eastAsia" w:cs="宋体"/>
        </w:rPr>
        <w:t>甲方偿付的违约金不足以弥补乙方损失的，还应按乙方经济损失尚未弥补的部分，支付赔偿金给乙方。</w:t>
      </w:r>
    </w:p>
    <w:p w14:paraId="51A0065D">
      <w:pPr>
        <w:pStyle w:val="17"/>
        <w:numPr>
          <w:ilvl w:val="1"/>
          <w:numId w:val="11"/>
        </w:numPr>
        <w:adjustRightInd/>
        <w:snapToGrid/>
        <w:spacing w:line="520" w:lineRule="exact"/>
        <w:ind w:firstLine="480"/>
        <w:rPr>
          <w:rFonts w:cs="宋体"/>
        </w:rPr>
      </w:pPr>
      <w:r>
        <w:rPr>
          <w:rFonts w:hint="eastAsia" w:cs="宋体"/>
        </w:rPr>
        <w:t>乙方违约责任</w:t>
      </w:r>
    </w:p>
    <w:p w14:paraId="4F10863D">
      <w:pPr>
        <w:pStyle w:val="19"/>
        <w:numPr>
          <w:ilvl w:val="2"/>
          <w:numId w:val="11"/>
        </w:numPr>
        <w:adjustRightInd/>
        <w:snapToGrid/>
        <w:spacing w:line="520" w:lineRule="exact"/>
        <w:ind w:firstLine="480"/>
        <w:rPr>
          <w:rFonts w:cs="宋体"/>
        </w:rPr>
      </w:pPr>
      <w:r>
        <w:rPr>
          <w:rFonts w:hint="eastAsia" w:asciiTheme="minorEastAsia" w:hAnsiTheme="minorEastAsia" w:eastAsiaTheme="minorEastAsia" w:cstheme="minorEastAsia"/>
        </w:rPr>
        <w:t>乙方必须遵守采购合同并执行合同中的各项规定，保证采购合同的正常履行。</w:t>
      </w:r>
    </w:p>
    <w:p w14:paraId="4A03C90C">
      <w:pPr>
        <w:pStyle w:val="19"/>
        <w:numPr>
          <w:ilvl w:val="2"/>
          <w:numId w:val="11"/>
        </w:numPr>
        <w:adjustRightInd/>
        <w:snapToGrid/>
        <w:spacing w:line="5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5091A6A">
      <w:pPr>
        <w:pStyle w:val="19"/>
        <w:numPr>
          <w:ilvl w:val="2"/>
          <w:numId w:val="11"/>
        </w:numPr>
        <w:adjustRightInd/>
        <w:snapToGrid/>
        <w:spacing w:line="520" w:lineRule="exact"/>
        <w:ind w:firstLine="480"/>
        <w:rPr>
          <w:rFonts w:asciiTheme="minorEastAsia" w:hAnsiTheme="minorEastAsia" w:eastAsiaTheme="minorEastAsia" w:cstheme="minorEastAsia"/>
        </w:rPr>
      </w:pPr>
      <w:r>
        <w:rPr>
          <w:rFonts w:hint="eastAsia" w:cs="宋体"/>
        </w:rPr>
        <w:t>乙方不能按时提供服务(成果)或逾期提供的而违约的，除应及时提供服务外，应向甲方偿付逾期提供部分服务总额的万分之</w:t>
      </w:r>
      <w:r>
        <w:rPr>
          <w:rFonts w:hint="eastAsia" w:cs="宋体"/>
          <w:u w:val="single"/>
        </w:rPr>
        <w:t>一</w:t>
      </w:r>
      <w:r>
        <w:rPr>
          <w:rFonts w:hint="eastAsia" w:cs="宋体"/>
        </w:rPr>
        <w:t>/天的违约金；逾期超过15天，甲方有权终止合同，乙方则应按合同总价的百分之</w:t>
      </w:r>
      <w:r>
        <w:rPr>
          <w:rFonts w:hint="eastAsia" w:cs="宋体"/>
          <w:u w:val="single"/>
        </w:rPr>
        <w:t>二十</w:t>
      </w:r>
      <w:r>
        <w:rPr>
          <w:rFonts w:hint="eastAsia" w:cs="宋体"/>
        </w:rPr>
        <w:t>的款额向甲方偿付违约金，并须全额退还甲方已经付给乙方的服务费及其利息。</w:t>
      </w:r>
    </w:p>
    <w:p w14:paraId="29C6B16B">
      <w:pPr>
        <w:pStyle w:val="19"/>
        <w:numPr>
          <w:ilvl w:val="2"/>
          <w:numId w:val="11"/>
        </w:numPr>
        <w:adjustRightInd/>
        <w:snapToGrid/>
        <w:spacing w:line="5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乙方在履约过程中，服务经甲方考核不合格的，甲方有权要求乙方整改，乙方三次整改仍不符合要求的，</w:t>
      </w:r>
      <w:r>
        <w:rPr>
          <w:rFonts w:hint="eastAsia" w:cs="宋体"/>
        </w:rPr>
        <w:t>甲方有权终止合同。</w:t>
      </w:r>
    </w:p>
    <w:p w14:paraId="2E3DD802">
      <w:pPr>
        <w:pStyle w:val="19"/>
        <w:numPr>
          <w:ilvl w:val="2"/>
          <w:numId w:val="11"/>
        </w:numPr>
        <w:adjustRightInd/>
        <w:snapToGrid/>
        <w:spacing w:line="52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乙方应当遵守甲方的相关项目需求及相关技术要求及实质性条款，实施完成采购合同应当完全满足相关项目需求及相关技术要求及实质性条款，若乙方瑕疵履行采购合同，甲方有权向乙方要求赔偿合同总价款20%的违约金，若造成相关损失的，甲方有权要求乙方承担所有赔偿责任。</w:t>
      </w:r>
    </w:p>
    <w:p w14:paraId="2B5997FE">
      <w:pPr>
        <w:pStyle w:val="16"/>
        <w:spacing w:line="520" w:lineRule="exact"/>
        <w:ind w:firstLine="482"/>
      </w:pPr>
      <w:bookmarkStart w:id="30" w:name="_Toc15584"/>
      <w:bookmarkStart w:id="31" w:name="_Toc31896"/>
      <w:bookmarkStart w:id="32" w:name="_Toc3234"/>
      <w:bookmarkStart w:id="33" w:name="_Toc13866"/>
      <w:bookmarkStart w:id="34" w:name="_Toc11859"/>
      <w:r>
        <w:rPr>
          <w:rFonts w:hint="eastAsia"/>
        </w:rPr>
        <w:t>解除合同</w:t>
      </w:r>
      <w:bookmarkEnd w:id="30"/>
      <w:bookmarkEnd w:id="31"/>
      <w:bookmarkEnd w:id="32"/>
      <w:bookmarkEnd w:id="33"/>
      <w:bookmarkEnd w:id="34"/>
    </w:p>
    <w:p w14:paraId="0446C5FC">
      <w:pPr>
        <w:pStyle w:val="13"/>
        <w:spacing w:line="520" w:lineRule="exact"/>
        <w:ind w:firstLine="480" w:firstLineChars="200"/>
        <w:rPr>
          <w:rFonts w:ascii="宋体" w:hAnsi="宋体" w:cs="宋体"/>
          <w:sz w:val="24"/>
          <w:szCs w:val="24"/>
        </w:rPr>
      </w:pPr>
      <w:r>
        <w:rPr>
          <w:rFonts w:hint="eastAsia" w:ascii="宋体" w:hAnsi="宋体" w:cs="宋体"/>
          <w:sz w:val="24"/>
          <w:szCs w:val="24"/>
        </w:rPr>
        <w:t>有下列情形之一的，当事人可以解除合同：</w:t>
      </w:r>
    </w:p>
    <w:p w14:paraId="26C5BA5B">
      <w:pPr>
        <w:pStyle w:val="13"/>
        <w:numPr>
          <w:ilvl w:val="0"/>
          <w:numId w:val="12"/>
        </w:numPr>
        <w:spacing w:line="520" w:lineRule="exact"/>
        <w:ind w:firstLine="480" w:firstLineChars="200"/>
        <w:rPr>
          <w:rFonts w:ascii="宋体" w:hAnsi="宋体" w:cs="宋体"/>
          <w:sz w:val="24"/>
          <w:szCs w:val="24"/>
        </w:rPr>
      </w:pPr>
      <w:r>
        <w:rPr>
          <w:rFonts w:hint="eastAsia" w:ascii="宋体" w:hAnsi="宋体" w:cs="宋体"/>
          <w:sz w:val="24"/>
          <w:szCs w:val="24"/>
        </w:rPr>
        <w:t>因不可抗力致使不能实现合同目的(由于非乙方或甲方原因，致使合同实质性条款无法实现的)；</w:t>
      </w:r>
    </w:p>
    <w:p w14:paraId="44D7236E">
      <w:pPr>
        <w:pStyle w:val="13"/>
        <w:numPr>
          <w:ilvl w:val="0"/>
          <w:numId w:val="12"/>
        </w:numPr>
        <w:spacing w:line="520" w:lineRule="exact"/>
        <w:ind w:firstLine="480" w:firstLineChars="200"/>
        <w:rPr>
          <w:rFonts w:ascii="宋体" w:hAnsi="宋体" w:cs="宋体"/>
          <w:sz w:val="24"/>
          <w:szCs w:val="24"/>
        </w:rPr>
      </w:pPr>
      <w:r>
        <w:rPr>
          <w:rFonts w:hint="eastAsia" w:ascii="宋体" w:hAnsi="宋体" w:cs="宋体"/>
          <w:sz w:val="24"/>
          <w:szCs w:val="24"/>
        </w:rPr>
        <w:t>当事人一方迟延履行主要债务，经催告后在合理期限内仍未履行；</w:t>
      </w:r>
    </w:p>
    <w:p w14:paraId="058BB0E4">
      <w:pPr>
        <w:pStyle w:val="13"/>
        <w:numPr>
          <w:ilvl w:val="0"/>
          <w:numId w:val="12"/>
        </w:numPr>
        <w:spacing w:line="520" w:lineRule="exact"/>
        <w:ind w:firstLine="480" w:firstLineChars="200"/>
        <w:rPr>
          <w:rFonts w:ascii="宋体" w:hAnsi="宋体" w:cs="宋体"/>
          <w:sz w:val="24"/>
          <w:szCs w:val="24"/>
        </w:rPr>
      </w:pPr>
      <w:r>
        <w:rPr>
          <w:rFonts w:hint="eastAsia" w:ascii="宋体" w:hAnsi="宋体" w:cs="宋体"/>
          <w:sz w:val="24"/>
          <w:szCs w:val="24"/>
        </w:rPr>
        <w:t>当事人一方迟延履行债务或者有其他违约行为致使不能实现合同目的；</w:t>
      </w:r>
    </w:p>
    <w:p w14:paraId="4ECB4D71">
      <w:pPr>
        <w:pStyle w:val="13"/>
        <w:numPr>
          <w:ilvl w:val="0"/>
          <w:numId w:val="12"/>
        </w:numPr>
        <w:spacing w:line="520" w:lineRule="exact"/>
        <w:ind w:firstLine="480" w:firstLineChars="200"/>
        <w:rPr>
          <w:rFonts w:ascii="宋体" w:hAnsi="宋体" w:cs="宋体"/>
          <w:sz w:val="24"/>
          <w:szCs w:val="24"/>
        </w:rPr>
      </w:pPr>
      <w:r>
        <w:rPr>
          <w:rFonts w:hint="eastAsia" w:ascii="宋体" w:hAnsi="宋体" w:cs="宋体"/>
          <w:sz w:val="24"/>
          <w:szCs w:val="24"/>
        </w:rPr>
        <w:t>本合同约定的其他情形；</w:t>
      </w:r>
    </w:p>
    <w:p w14:paraId="64953EF6">
      <w:pPr>
        <w:pStyle w:val="13"/>
        <w:numPr>
          <w:ilvl w:val="0"/>
          <w:numId w:val="12"/>
        </w:numPr>
        <w:spacing w:line="520" w:lineRule="exact"/>
        <w:ind w:firstLine="480" w:firstLineChars="200"/>
        <w:rPr>
          <w:rFonts w:ascii="宋体" w:hAnsi="宋体" w:cs="宋体"/>
          <w:sz w:val="24"/>
          <w:szCs w:val="24"/>
        </w:rPr>
      </w:pPr>
      <w:r>
        <w:rPr>
          <w:rFonts w:hint="eastAsia" w:ascii="宋体" w:hAnsi="宋体" w:cs="宋体"/>
          <w:sz w:val="24"/>
          <w:szCs w:val="24"/>
        </w:rPr>
        <w:t>法律规定的其他情形。</w:t>
      </w:r>
    </w:p>
    <w:p w14:paraId="6F096B4E">
      <w:pPr>
        <w:pStyle w:val="16"/>
        <w:spacing w:line="520" w:lineRule="exact"/>
        <w:ind w:firstLine="482"/>
      </w:pPr>
      <w:bookmarkStart w:id="35" w:name="_Toc29947"/>
      <w:r>
        <w:rPr>
          <w:rFonts w:hint="eastAsia"/>
        </w:rPr>
        <w:t>不可抗力事件处理</w:t>
      </w:r>
      <w:bookmarkEnd w:id="35"/>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C441CC8">
      <w:pPr>
        <w:pStyle w:val="5"/>
        <w:widowControl w:val="0"/>
        <w:numPr>
          <w:ilvl w:val="1"/>
          <w:numId w:val="13"/>
        </w:numPr>
        <w:wordWrap w:val="0"/>
        <w:topLinePunct/>
        <w:adjustRightInd/>
        <w:snapToGrid/>
        <w:spacing w:before="0" w:beforeAutospacing="0" w:after="0" w:afterAutospacing="0" w:line="520" w:lineRule="exact"/>
        <w:ind w:firstLine="480" w:firstLineChars="200"/>
        <w:rPr>
          <w:kern w:val="2"/>
        </w:rPr>
      </w:pPr>
      <w:bookmarkStart w:id="36" w:name="_Toc251768867"/>
      <w:bookmarkStart w:id="37" w:name="_Toc225654649"/>
      <w:bookmarkStart w:id="38" w:name="_Toc239568423"/>
      <w:bookmarkStart w:id="39" w:name="_Toc238984980"/>
      <w:bookmarkStart w:id="40" w:name="_Toc232492933"/>
      <w:bookmarkStart w:id="41" w:name="_Toc185395254"/>
      <w:bookmarkStart w:id="42" w:name="_Toc241833908"/>
      <w:bookmarkStart w:id="43" w:name="_Toc211911353"/>
      <w:bookmarkStart w:id="44" w:name="_Toc247334846"/>
      <w:bookmarkStart w:id="45" w:name="_Toc237145411"/>
      <w:bookmarkStart w:id="46" w:name="_Toc239233919"/>
      <w:bookmarkStart w:id="47" w:name="_Toc286993792"/>
      <w:bookmarkStart w:id="48" w:name="_Toc212019599"/>
      <w:bookmarkStart w:id="49" w:name="_Toc225244857"/>
      <w:bookmarkStart w:id="50" w:name="_Toc225670756"/>
      <w:bookmarkStart w:id="51" w:name="_Toc211854454"/>
      <w:r>
        <w:rPr>
          <w:rFonts w:hint="eastAsia"/>
          <w:kern w:val="2"/>
        </w:rPr>
        <w:t>不可抗力指甲、乙双方无法预见、无法预防、无法避免和无法控制的事件，例如但不限于，地震、台风、水灾、火灾或其他自然灾害，爆炸、骚乱、战争或类似战争的情况、暴动。</w:t>
      </w:r>
    </w:p>
    <w:p w14:paraId="79ACC5F4">
      <w:pPr>
        <w:pStyle w:val="5"/>
        <w:widowControl w:val="0"/>
        <w:numPr>
          <w:ilvl w:val="1"/>
          <w:numId w:val="13"/>
        </w:numPr>
        <w:wordWrap w:val="0"/>
        <w:topLinePunct/>
        <w:adjustRightInd/>
        <w:snapToGrid/>
        <w:spacing w:before="0" w:beforeAutospacing="0" w:after="0" w:afterAutospacing="0" w:line="520" w:lineRule="exact"/>
        <w:ind w:firstLine="480" w:firstLineChars="200"/>
        <w:rPr>
          <w:kern w:val="2"/>
        </w:rPr>
      </w:pPr>
      <w:r>
        <w:rPr>
          <w:rFonts w:hint="eastAsia"/>
          <w:kern w:val="2"/>
        </w:rPr>
        <w:t>如发生不可抗力，阻碍受影响方履行其在本协议项下的义务，受影响方应及时书面通知另一方并提供有关该事件的详尽资料，说明其不能履行或延迟履行本协议全部或部分条款的原因。</w:t>
      </w:r>
    </w:p>
    <w:p w14:paraId="484EB037">
      <w:pPr>
        <w:pStyle w:val="5"/>
        <w:widowControl w:val="0"/>
        <w:numPr>
          <w:ilvl w:val="1"/>
          <w:numId w:val="13"/>
        </w:numPr>
        <w:wordWrap w:val="0"/>
        <w:topLinePunct/>
        <w:adjustRightInd/>
        <w:snapToGrid/>
        <w:spacing w:before="0" w:beforeAutospacing="0" w:after="0" w:afterAutospacing="0" w:line="520" w:lineRule="exact"/>
        <w:ind w:firstLine="480" w:firstLineChars="200"/>
        <w:rPr>
          <w:kern w:val="2"/>
        </w:rPr>
      </w:pPr>
      <w:r>
        <w:rPr>
          <w:rFonts w:hint="eastAsia"/>
          <w:kern w:val="2"/>
        </w:rPr>
        <w:t>发生不可抗力事件后，受影响方均无须对因其未能履行或延迟履行本协议而使另一方蒙受的任何损害、费用增加或损失负责，而未能履行或延迟履行不应被视为违反本协议。但受影响方应采取适当措施尽量减少或消除该事件的影响，并应在尽可能短的时间内恢复履行受该事件影响的义务。</w:t>
      </w:r>
    </w:p>
    <w:p w14:paraId="6720BD1A">
      <w:pPr>
        <w:pStyle w:val="5"/>
        <w:widowControl w:val="0"/>
        <w:numPr>
          <w:ilvl w:val="1"/>
          <w:numId w:val="13"/>
        </w:numPr>
        <w:wordWrap w:val="0"/>
        <w:topLinePunct/>
        <w:adjustRightInd/>
        <w:snapToGrid/>
        <w:spacing w:before="0" w:beforeAutospacing="0" w:after="0" w:afterAutospacing="0" w:line="520" w:lineRule="exact"/>
        <w:ind w:firstLine="480" w:firstLineChars="200"/>
        <w:rPr>
          <w:kern w:val="2"/>
        </w:rPr>
      </w:pPr>
      <w:r>
        <w:rPr>
          <w:rFonts w:hint="eastAsia"/>
          <w:kern w:val="2"/>
          <w:lang w:bidi="ar"/>
        </w:rPr>
        <w:t>在合同有效期内，任何一方因不可抗力事件导致不能履行合同，则合同履行期可延长，其延长期与不可抗力影响期相同。</w:t>
      </w:r>
    </w:p>
    <w:p w14:paraId="2C401139">
      <w:pPr>
        <w:pStyle w:val="5"/>
        <w:widowControl w:val="0"/>
        <w:numPr>
          <w:ilvl w:val="1"/>
          <w:numId w:val="13"/>
        </w:numPr>
        <w:wordWrap w:val="0"/>
        <w:topLinePunct/>
        <w:adjustRightInd/>
        <w:snapToGrid/>
        <w:spacing w:before="0" w:beforeAutospacing="0" w:after="0" w:afterAutospacing="0" w:line="520" w:lineRule="exact"/>
        <w:ind w:firstLine="480" w:firstLineChars="200"/>
        <w:rPr>
          <w:kern w:val="2"/>
        </w:rPr>
      </w:pPr>
      <w:r>
        <w:rPr>
          <w:rFonts w:hint="eastAsia"/>
          <w:kern w:val="2"/>
          <w:lang w:bidi="ar"/>
        </w:rPr>
        <w:t>不可抗力事件发生后，应立即通知对方，并寄送有关权威机构出具的证明。</w:t>
      </w:r>
    </w:p>
    <w:p w14:paraId="40F22555">
      <w:pPr>
        <w:pStyle w:val="5"/>
        <w:widowControl w:val="0"/>
        <w:numPr>
          <w:ilvl w:val="1"/>
          <w:numId w:val="13"/>
        </w:numPr>
        <w:wordWrap w:val="0"/>
        <w:topLinePunct/>
        <w:adjustRightInd/>
        <w:snapToGrid/>
        <w:spacing w:before="0" w:beforeAutospacing="0" w:after="0" w:afterAutospacing="0" w:line="520" w:lineRule="exact"/>
        <w:ind w:firstLine="480" w:firstLineChars="200"/>
      </w:pPr>
      <w:r>
        <w:rPr>
          <w:rFonts w:hint="eastAsia"/>
          <w:kern w:val="2"/>
          <w:lang w:bidi="ar"/>
        </w:rPr>
        <w:t>不可抗力事件延续120天以上，双方应通过友好协商，确定是否继续履行合同。</w:t>
      </w:r>
    </w:p>
    <w:p w14:paraId="32FE385C">
      <w:pPr>
        <w:pStyle w:val="16"/>
        <w:spacing w:line="520" w:lineRule="exact"/>
        <w:ind w:firstLine="482"/>
      </w:pPr>
      <w:bookmarkStart w:id="52" w:name="_Toc20167"/>
      <w:r>
        <w:rPr>
          <w:rFonts w:hint="eastAsia"/>
        </w:rPr>
        <w:t>解决</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rPr>
        <w:t>争议的方法</w:t>
      </w:r>
      <w:bookmarkEnd w:id="52"/>
    </w:p>
    <w:p w14:paraId="6A1F8866">
      <w:pPr>
        <w:pStyle w:val="5"/>
        <w:widowControl w:val="0"/>
        <w:numPr>
          <w:ilvl w:val="1"/>
          <w:numId w:val="14"/>
        </w:numPr>
        <w:wordWrap w:val="0"/>
        <w:topLinePunct/>
        <w:spacing w:before="0" w:beforeAutospacing="0" w:after="0" w:afterAutospacing="0" w:line="520" w:lineRule="exact"/>
        <w:ind w:firstLine="480" w:firstLineChars="200"/>
        <w:rPr>
          <w:rFonts w:cs="Times New Roman"/>
          <w:kern w:val="2"/>
        </w:rPr>
      </w:pPr>
      <w:bookmarkStart w:id="53" w:name="_Toc251768868"/>
      <w:bookmarkStart w:id="54" w:name="_Toc241833909"/>
      <w:bookmarkStart w:id="55" w:name="_Toc247334847"/>
      <w:bookmarkStart w:id="56" w:name="_Toc286993793"/>
      <w:bookmarkStart w:id="57" w:name="_Toc238984981"/>
      <w:bookmarkStart w:id="58" w:name="_Toc225244858"/>
      <w:bookmarkStart w:id="59" w:name="_Toc239233920"/>
      <w:bookmarkStart w:id="60" w:name="_Toc283019219"/>
      <w:bookmarkStart w:id="61" w:name="_Toc225670757"/>
      <w:bookmarkStart w:id="62" w:name="_Toc237145412"/>
      <w:bookmarkStart w:id="63" w:name="_Toc282696231"/>
      <w:bookmarkStart w:id="64" w:name="_Toc211911354"/>
      <w:bookmarkStart w:id="65" w:name="_Toc232492934"/>
      <w:bookmarkStart w:id="66" w:name="_Toc211854455"/>
      <w:bookmarkStart w:id="67" w:name="_Toc212019600"/>
      <w:bookmarkStart w:id="68" w:name="_Toc239568424"/>
      <w:bookmarkStart w:id="69" w:name="_Toc185395255"/>
      <w:bookmarkStart w:id="70" w:name="_Toc225654650"/>
      <w:r>
        <w:rPr>
          <w:rFonts w:hint="eastAsia"/>
          <w:kern w:val="2"/>
          <w:lang w:bidi="ar"/>
        </w:rPr>
        <w:t>合同履行期间,若双方发生争议，可协商或由有关部门调解解决，协商或调解不成的，按照下列方式解决(任选一项，且只能选择一项，在选定的一项前的方框内打“√”)：</w:t>
      </w:r>
    </w:p>
    <w:p w14:paraId="031FF81F">
      <w:pPr>
        <w:pStyle w:val="5"/>
        <w:widowControl w:val="0"/>
        <w:numPr>
          <w:ilvl w:val="255"/>
          <w:numId w:val="0"/>
        </w:numPr>
        <w:wordWrap w:val="0"/>
        <w:topLinePunct/>
        <w:spacing w:before="0" w:beforeAutospacing="0" w:after="0" w:afterAutospacing="0" w:line="520" w:lineRule="exact"/>
        <w:ind w:left="480" w:leftChars="200"/>
        <w:rPr>
          <w:rFonts w:cs="Times New Roman"/>
          <w:kern w:val="2"/>
        </w:rPr>
      </w:pPr>
      <w:r>
        <w:rPr>
          <w:rFonts w:hint="eastAsia"/>
          <w:kern w:val="2"/>
          <w:lang w:bidi="ar"/>
        </w:rPr>
        <w:t>□向</w:t>
      </w:r>
      <w:r>
        <w:rPr>
          <w:rFonts w:hint="eastAsia" w:cs="Times New Roman"/>
          <w:kern w:val="2"/>
          <w:u w:val="single"/>
          <w:lang w:bidi="ar"/>
        </w:rPr>
        <w:t xml:space="preserve">    </w:t>
      </w:r>
      <w:r>
        <w:rPr>
          <w:rFonts w:hint="eastAsia"/>
          <w:kern w:val="2"/>
          <w:lang w:bidi="ar"/>
        </w:rPr>
        <w:t>仲裁委员会申请仲裁；</w:t>
      </w:r>
    </w:p>
    <w:p w14:paraId="3E91E1EA">
      <w:pPr>
        <w:pStyle w:val="5"/>
        <w:widowControl w:val="0"/>
        <w:numPr>
          <w:ilvl w:val="255"/>
          <w:numId w:val="0"/>
        </w:numPr>
        <w:wordWrap w:val="0"/>
        <w:topLinePunct/>
        <w:spacing w:before="0" w:beforeAutospacing="0" w:after="0" w:afterAutospacing="0" w:line="520" w:lineRule="exact"/>
        <w:ind w:left="480" w:leftChars="200"/>
        <w:rPr>
          <w:rFonts w:cs="Times New Roman"/>
          <w:kern w:val="2"/>
        </w:rPr>
      </w:pPr>
      <w:r>
        <w:rPr>
          <w:rFonts w:hint="eastAsia"/>
          <w:kern w:val="2"/>
          <w:lang w:bidi="ar"/>
        </w:rPr>
        <w:t>☑ 向</w:t>
      </w:r>
      <w:r>
        <w:rPr>
          <w:rFonts w:hint="eastAsia" w:cs="Times New Roman"/>
          <w:kern w:val="2"/>
          <w:u w:val="single"/>
          <w:lang w:bidi="ar"/>
        </w:rPr>
        <w:t xml:space="preserve"> 甲方   </w:t>
      </w:r>
      <w:r>
        <w:rPr>
          <w:rFonts w:hint="eastAsia"/>
          <w:kern w:val="2"/>
          <w:lang w:bidi="ar"/>
        </w:rPr>
        <w:t>所在地人民法院起诉。</w:t>
      </w:r>
    </w:p>
    <w:p w14:paraId="560A5875">
      <w:pPr>
        <w:pStyle w:val="5"/>
        <w:widowControl w:val="0"/>
        <w:numPr>
          <w:ilvl w:val="1"/>
          <w:numId w:val="15"/>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仲裁裁决应为最终决定，并对双方具有约束力。</w:t>
      </w:r>
    </w:p>
    <w:p w14:paraId="18D6AAEF">
      <w:pPr>
        <w:pStyle w:val="5"/>
        <w:widowControl w:val="0"/>
        <w:numPr>
          <w:ilvl w:val="1"/>
          <w:numId w:val="15"/>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除另有裁决外，仲裁费应由败诉方负担。</w:t>
      </w:r>
      <w:r>
        <w:rPr>
          <w:rFonts w:hint="eastAsia" w:cs="Times New Roman"/>
          <w:kern w:val="2"/>
          <w:lang w:bidi="ar"/>
        </w:rPr>
        <w:t xml:space="preserve"> </w:t>
      </w:r>
    </w:p>
    <w:p w14:paraId="6C845B9D">
      <w:pPr>
        <w:pStyle w:val="5"/>
        <w:widowControl w:val="0"/>
        <w:numPr>
          <w:ilvl w:val="1"/>
          <w:numId w:val="15"/>
        </w:numPr>
        <w:wordWrap w:val="0"/>
        <w:topLinePunct/>
        <w:spacing w:before="0" w:beforeAutospacing="0" w:after="0" w:afterAutospacing="0" w:line="520" w:lineRule="exact"/>
        <w:ind w:firstLine="480" w:firstLineChars="200"/>
        <w:rPr>
          <w:rFonts w:cs="Times New Roman"/>
          <w:kern w:val="2"/>
        </w:rPr>
      </w:pPr>
      <w:r>
        <w:rPr>
          <w:rFonts w:hint="eastAsia"/>
          <w:kern w:val="2"/>
          <w:lang w:bidi="ar"/>
        </w:rPr>
        <w:t>在仲裁期间，除正在进行仲裁部分外，合同其他部分继续执行。</w:t>
      </w:r>
      <w:r>
        <w:rPr>
          <w:rFonts w:hint="eastAsia" w:cs="Times New Roman"/>
          <w:kern w:val="2"/>
          <w:lang w:bidi="ar"/>
        </w:rPr>
        <w:t xml:space="preserve">  </w:t>
      </w:r>
    </w:p>
    <w:p w14:paraId="2EE28237">
      <w:pPr>
        <w:pStyle w:val="16"/>
        <w:spacing w:line="520" w:lineRule="exact"/>
        <w:ind w:firstLine="482"/>
      </w:pPr>
      <w:bookmarkStart w:id="71" w:name="_Toc24384"/>
      <w:r>
        <w:rPr>
          <w:rFonts w:hint="eastAsia"/>
        </w:rPr>
        <w:t>合同</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hint="eastAsia"/>
        </w:rPr>
        <w:t>生效及其他</w:t>
      </w:r>
      <w:bookmarkEnd w:id="71"/>
    </w:p>
    <w:p w14:paraId="6B10CA63">
      <w:pPr>
        <w:pStyle w:val="17"/>
        <w:numPr>
          <w:ilvl w:val="1"/>
          <w:numId w:val="16"/>
        </w:numPr>
        <w:spacing w:line="520" w:lineRule="exact"/>
        <w:ind w:firstLine="480"/>
      </w:pPr>
      <w:r>
        <w:rPr>
          <w:rFonts w:hint="eastAsia"/>
        </w:rPr>
        <w:t>合同经双方法定代表人或授权委托代理人签字并加盖单位公章</w:t>
      </w:r>
      <w:r>
        <w:rPr>
          <w:rFonts w:hint="eastAsia"/>
          <w:lang w:val="en-US" w:eastAsia="zh-CN"/>
        </w:rPr>
        <w:t>或合同专用章</w:t>
      </w:r>
      <w:r>
        <w:rPr>
          <w:rFonts w:hint="eastAsia"/>
        </w:rPr>
        <w:t>后生效。</w:t>
      </w:r>
    </w:p>
    <w:p w14:paraId="0F069E8A">
      <w:pPr>
        <w:pStyle w:val="17"/>
        <w:numPr>
          <w:ilvl w:val="1"/>
          <w:numId w:val="16"/>
        </w:numPr>
        <w:spacing w:line="520" w:lineRule="exact"/>
        <w:ind w:firstLine="480"/>
      </w:pPr>
      <w:r>
        <w:rPr>
          <w:rFonts w:hint="eastAsia"/>
        </w:rPr>
        <w:t>合同执行中涉及采购资金和采购内容修改或补充的，须经政府采购监管部门审批，并签书面补充协议报政府采购监督管理部门备案，方可作为主合同不可分割的一部分。</w:t>
      </w:r>
    </w:p>
    <w:p w14:paraId="27D37A95">
      <w:pPr>
        <w:pStyle w:val="17"/>
        <w:numPr>
          <w:ilvl w:val="1"/>
          <w:numId w:val="16"/>
        </w:numPr>
        <w:spacing w:line="520" w:lineRule="exact"/>
        <w:ind w:firstLine="480"/>
      </w:pPr>
      <w:r>
        <w:rPr>
          <w:rFonts w:hint="eastAsia"/>
        </w:rPr>
        <w:t>本合同一式</w:t>
      </w:r>
      <w:r>
        <w:rPr>
          <w:rFonts w:hint="eastAsia" w:cs="宋体"/>
          <w:lang w:bidi="ar"/>
        </w:rPr>
        <w:t>【六】</w:t>
      </w:r>
      <w:r>
        <w:rPr>
          <w:rFonts w:hint="eastAsia"/>
        </w:rPr>
        <w:t>份，自双方签章之日起起效。甲方</w:t>
      </w:r>
      <w:r>
        <w:rPr>
          <w:rFonts w:hint="eastAsia" w:cs="宋体"/>
          <w:lang w:bidi="ar"/>
        </w:rPr>
        <w:t>【二】</w:t>
      </w:r>
      <w:r>
        <w:rPr>
          <w:rFonts w:hint="eastAsia"/>
        </w:rPr>
        <w:t>份，乙方</w:t>
      </w:r>
      <w:r>
        <w:rPr>
          <w:rFonts w:hint="eastAsia" w:cs="宋体"/>
          <w:lang w:bidi="ar"/>
        </w:rPr>
        <w:t>【二】</w:t>
      </w:r>
      <w:r>
        <w:rPr>
          <w:rFonts w:hint="eastAsia"/>
        </w:rPr>
        <w:t>份，政府采购代理机构</w:t>
      </w:r>
      <w:r>
        <w:rPr>
          <w:rFonts w:hint="eastAsia" w:cs="宋体"/>
          <w:lang w:bidi="ar"/>
        </w:rPr>
        <w:t>【一】</w:t>
      </w:r>
      <w:r>
        <w:rPr>
          <w:rFonts w:hint="eastAsia"/>
        </w:rPr>
        <w:t>份，同级财政部门备案</w:t>
      </w:r>
      <w:r>
        <w:rPr>
          <w:rFonts w:hint="eastAsia" w:cs="宋体"/>
          <w:lang w:bidi="ar"/>
        </w:rPr>
        <w:t>【一】</w:t>
      </w:r>
      <w:r>
        <w:rPr>
          <w:rFonts w:hint="eastAsia"/>
        </w:rPr>
        <w:t>份，具有同等法律效力。</w:t>
      </w:r>
    </w:p>
    <w:p w14:paraId="6C2E6727">
      <w:pPr>
        <w:pStyle w:val="16"/>
        <w:spacing w:line="520" w:lineRule="exact"/>
        <w:ind w:firstLine="482"/>
      </w:pPr>
      <w:bookmarkStart w:id="72" w:name="_Toc10154"/>
      <w:r>
        <w:rPr>
          <w:rFonts w:hint="eastAsia"/>
        </w:rPr>
        <w:t>附件</w:t>
      </w:r>
      <w:bookmarkEnd w:id="72"/>
    </w:p>
    <w:p w14:paraId="3B81B17D">
      <w:pPr>
        <w:pStyle w:val="17"/>
        <w:numPr>
          <w:ilvl w:val="1"/>
          <w:numId w:val="17"/>
        </w:numPr>
        <w:spacing w:line="520" w:lineRule="exact"/>
        <w:ind w:firstLine="480"/>
      </w:pPr>
      <w:r>
        <w:rPr>
          <w:rFonts w:hint="eastAsia"/>
        </w:rPr>
        <w:t>成交通知书。</w:t>
      </w:r>
    </w:p>
    <w:p w14:paraId="5AD0F045">
      <w:pPr>
        <w:pStyle w:val="17"/>
        <w:numPr>
          <w:ilvl w:val="1"/>
          <w:numId w:val="17"/>
        </w:numPr>
        <w:spacing w:line="520" w:lineRule="exact"/>
        <w:ind w:firstLine="480"/>
      </w:pPr>
      <w:r>
        <w:rPr>
          <w:rFonts w:hint="eastAsia"/>
        </w:rPr>
        <w:t>其他</w:t>
      </w:r>
      <w:r>
        <w:rPr>
          <w:rFonts w:hint="eastAsia"/>
          <w:lang w:val="en-US" w:eastAsia="zh-CN"/>
        </w:rPr>
        <w:t>附件</w:t>
      </w:r>
      <w:r>
        <w:rPr>
          <w:rFonts w:hint="eastAsia"/>
        </w:rPr>
        <w:t>。</w:t>
      </w:r>
    </w:p>
    <w:p w14:paraId="7AA4B487">
      <w:pPr>
        <w:pStyle w:val="20"/>
        <w:pageBreakBefore/>
        <w:spacing w:before="240" w:beforeLines="100" w:after="240" w:afterLines="100"/>
        <w:jc w:val="center"/>
        <w:rPr>
          <w:b/>
          <w:bCs/>
        </w:rPr>
      </w:pPr>
      <w:r>
        <w:rPr>
          <w:rFonts w:hint="eastAsia"/>
          <w:b/>
          <w:bCs/>
        </w:rPr>
        <w:t>(本页无正文)</w:t>
      </w:r>
    </w:p>
    <w:tbl>
      <w:tblPr>
        <w:tblStyle w:val="7"/>
        <w:tblW w:w="99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81"/>
        <w:gridCol w:w="4981"/>
      </w:tblGrid>
      <w:tr w14:paraId="06C8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42912C96">
            <w:pPr>
              <w:pStyle w:val="15"/>
            </w:pPr>
            <w:r>
              <w:rPr>
                <w:rFonts w:hint="eastAsia"/>
              </w:rPr>
              <w:t>甲方：雅安市公路建设服务中心(盖章)</w:t>
            </w:r>
          </w:p>
        </w:tc>
        <w:tc>
          <w:tcPr>
            <w:tcW w:w="4981" w:type="dxa"/>
            <w:vAlign w:val="center"/>
          </w:tcPr>
          <w:p w14:paraId="62451622">
            <w:pPr>
              <w:pStyle w:val="15"/>
            </w:pPr>
            <w:r>
              <w:rPr>
                <w:rFonts w:hint="eastAsia"/>
              </w:rPr>
              <w:t>乙方：   (盖章)</w:t>
            </w:r>
          </w:p>
        </w:tc>
      </w:tr>
      <w:tr w14:paraId="28438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58618FC2">
            <w:pPr>
              <w:pStyle w:val="15"/>
            </w:pPr>
            <w:r>
              <w:rPr>
                <w:rFonts w:hint="eastAsia"/>
              </w:rPr>
              <w:t>法定代表人(被授权人)：</w:t>
            </w:r>
          </w:p>
        </w:tc>
        <w:tc>
          <w:tcPr>
            <w:tcW w:w="4981" w:type="dxa"/>
            <w:vAlign w:val="center"/>
          </w:tcPr>
          <w:p w14:paraId="01151BB9">
            <w:pPr>
              <w:pStyle w:val="15"/>
            </w:pPr>
            <w:r>
              <w:rPr>
                <w:rFonts w:hint="eastAsia"/>
              </w:rPr>
              <w:t>法定代表人(被授权人)：</w:t>
            </w:r>
          </w:p>
        </w:tc>
      </w:tr>
      <w:tr w14:paraId="2FFDE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087E4614">
            <w:pPr>
              <w:pStyle w:val="15"/>
            </w:pPr>
            <w:r>
              <w:rPr>
                <w:rFonts w:hint="eastAsia"/>
              </w:rPr>
              <w:t>地址(住所)：城后路134号</w:t>
            </w:r>
          </w:p>
        </w:tc>
        <w:tc>
          <w:tcPr>
            <w:tcW w:w="4981" w:type="dxa"/>
            <w:vAlign w:val="center"/>
          </w:tcPr>
          <w:p w14:paraId="2D4118BB">
            <w:pPr>
              <w:pStyle w:val="15"/>
            </w:pPr>
            <w:r>
              <w:rPr>
                <w:rFonts w:hint="eastAsia"/>
              </w:rPr>
              <w:t>地址(住所)：</w:t>
            </w:r>
          </w:p>
        </w:tc>
      </w:tr>
      <w:tr w14:paraId="6EFD2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37960BF9">
            <w:pPr>
              <w:pStyle w:val="15"/>
            </w:pPr>
            <w:r>
              <w:rPr>
                <w:rFonts w:hint="eastAsia"/>
              </w:rPr>
              <w:t>开户银行：</w:t>
            </w:r>
          </w:p>
        </w:tc>
        <w:tc>
          <w:tcPr>
            <w:tcW w:w="4981" w:type="dxa"/>
            <w:vAlign w:val="center"/>
          </w:tcPr>
          <w:p w14:paraId="3E658B77">
            <w:pPr>
              <w:pStyle w:val="15"/>
            </w:pPr>
            <w:r>
              <w:rPr>
                <w:rFonts w:hint="eastAsia"/>
              </w:rPr>
              <w:t>开户银行：</w:t>
            </w:r>
          </w:p>
        </w:tc>
      </w:tr>
      <w:tr w14:paraId="028FB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1CA0D59C">
            <w:pPr>
              <w:pStyle w:val="15"/>
            </w:pPr>
            <w:r>
              <w:rPr>
                <w:rFonts w:hint="eastAsia"/>
              </w:rPr>
              <w:t>账号：</w:t>
            </w:r>
          </w:p>
        </w:tc>
        <w:tc>
          <w:tcPr>
            <w:tcW w:w="4981" w:type="dxa"/>
            <w:vAlign w:val="center"/>
          </w:tcPr>
          <w:p w14:paraId="4EBA04CA">
            <w:pPr>
              <w:pStyle w:val="15"/>
            </w:pPr>
            <w:r>
              <w:rPr>
                <w:rFonts w:hint="eastAsia"/>
              </w:rPr>
              <w:t>账号：</w:t>
            </w:r>
          </w:p>
        </w:tc>
      </w:tr>
      <w:tr w14:paraId="7FA9B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14:paraId="662320D8">
            <w:pPr>
              <w:pStyle w:val="15"/>
            </w:pPr>
            <w:r>
              <w:rPr>
                <w:rFonts w:hint="eastAsia"/>
              </w:rPr>
              <w:t xml:space="preserve">电话： </w:t>
            </w:r>
          </w:p>
        </w:tc>
        <w:tc>
          <w:tcPr>
            <w:tcW w:w="4981" w:type="dxa"/>
            <w:vAlign w:val="center"/>
          </w:tcPr>
          <w:p w14:paraId="7D0571ED">
            <w:pPr>
              <w:pStyle w:val="15"/>
            </w:pPr>
            <w:r>
              <w:rPr>
                <w:rFonts w:hint="eastAsia"/>
              </w:rPr>
              <w:t xml:space="preserve">电话： </w:t>
            </w:r>
          </w:p>
        </w:tc>
      </w:tr>
      <w:tr w14:paraId="1A717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vAlign w:val="center"/>
          </w:tcPr>
          <w:p w14:paraId="7E82FD40">
            <w:pPr>
              <w:pStyle w:val="15"/>
            </w:pPr>
            <w:r>
              <w:rPr>
                <w:rFonts w:hint="eastAsia"/>
              </w:rPr>
              <w:t>传真：</w:t>
            </w:r>
          </w:p>
        </w:tc>
        <w:tc>
          <w:tcPr>
            <w:tcW w:w="4981" w:type="dxa"/>
            <w:vAlign w:val="center"/>
          </w:tcPr>
          <w:p w14:paraId="799147D4">
            <w:pPr>
              <w:pStyle w:val="15"/>
            </w:pPr>
            <w:r>
              <w:rPr>
                <w:rFonts w:hint="eastAsia"/>
              </w:rPr>
              <w:t>传真：</w:t>
            </w:r>
          </w:p>
        </w:tc>
      </w:tr>
      <w:tr w14:paraId="73F71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vAlign w:val="center"/>
          </w:tcPr>
          <w:p w14:paraId="5447F67F">
            <w:pPr>
              <w:pStyle w:val="15"/>
            </w:pPr>
            <w:r>
              <w:rPr>
                <w:rFonts w:hint="eastAsia"/>
              </w:rPr>
              <w:t>签约日期：</w:t>
            </w:r>
            <w:r>
              <w:rPr>
                <w:rFonts w:hint="eastAsia"/>
                <w:lang w:val="en-US" w:eastAsia="zh-CN"/>
              </w:rPr>
              <w:t>2025</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tc>
        <w:tc>
          <w:tcPr>
            <w:tcW w:w="4981" w:type="dxa"/>
            <w:vAlign w:val="center"/>
          </w:tcPr>
          <w:p w14:paraId="4B7A461E">
            <w:pPr>
              <w:pStyle w:val="15"/>
            </w:pPr>
            <w:r>
              <w:rPr>
                <w:rFonts w:hint="eastAsia"/>
              </w:rPr>
              <w:t>签约日期：</w:t>
            </w:r>
            <w:r>
              <w:rPr>
                <w:rFonts w:hint="eastAsia"/>
                <w:lang w:val="en-US" w:eastAsia="zh-CN"/>
              </w:rPr>
              <w:t>2025</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tc>
      </w:tr>
    </w:tbl>
    <w:p w14:paraId="512FEA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D8E0A"/>
    <w:multiLevelType w:val="multilevel"/>
    <w:tmpl w:val="B04D8E0A"/>
    <w:lvl w:ilvl="0" w:tentative="0">
      <w:start w:val="1"/>
      <w:numFmt w:val="chineseCounting"/>
      <w:pStyle w:val="14"/>
      <w:suff w:val="nothing"/>
      <w:lvlText w:val="第%1章 "/>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pStyle w:val="21"/>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17"/>
      <w:suff w:val="nothing"/>
      <w:lvlText w:val="(%2)"/>
      <w:lvlJc w:val="left"/>
      <w:pPr>
        <w:ind w:left="0" w:firstLine="0"/>
      </w:pPr>
      <w:rPr>
        <w:rFonts w:hint="eastAsia" w:ascii="宋体" w:hAnsi="宋体" w:eastAsia="宋体" w:cs="宋体"/>
      </w:rPr>
    </w:lvl>
    <w:lvl w:ilvl="2" w:tentative="0">
      <w:start w:val="1"/>
      <w:numFmt w:val="decimal"/>
      <w:pStyle w:val="19"/>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01429B6E"/>
    <w:multiLevelType w:val="singleLevel"/>
    <w:tmpl w:val="01429B6E"/>
    <w:lvl w:ilvl="0" w:tentative="0">
      <w:start w:val="1"/>
      <w:numFmt w:val="chineseCounting"/>
      <w:pStyle w:val="16"/>
      <w:suff w:val="nothing"/>
      <w:lvlText w:val="%1、"/>
      <w:lvlJc w:val="left"/>
      <w:pPr>
        <w:tabs>
          <w:tab w:val="left" w:pos="0"/>
        </w:tabs>
        <w:ind w:left="0" w:firstLine="0"/>
      </w:pPr>
      <w:rPr>
        <w:rFonts w:hint="eastAsia" w:ascii="宋体" w:hAnsi="宋体" w:eastAsia="宋体" w:cs="宋体"/>
      </w:rPr>
    </w:lvl>
  </w:abstractNum>
  <w:abstractNum w:abstractNumId="3">
    <w:nsid w:val="0232C877"/>
    <w:multiLevelType w:val="singleLevel"/>
    <w:tmpl w:val="0232C877"/>
    <w:lvl w:ilvl="0" w:tentative="0">
      <w:start w:val="1"/>
      <w:numFmt w:val="chineseCounting"/>
      <w:suff w:val="nothing"/>
      <w:lvlText w:val="（%1）"/>
      <w:lvlJc w:val="left"/>
      <w:rPr>
        <w:rFonts w:hint="eastAsia"/>
      </w:rPr>
    </w:lvl>
  </w:abstractNum>
  <w:abstractNum w:abstractNumId="4">
    <w:nsid w:val="30942FA6"/>
    <w:multiLevelType w:val="singleLevel"/>
    <w:tmpl w:val="30942FA6"/>
    <w:lvl w:ilvl="0" w:tentative="0">
      <w:start w:val="1"/>
      <w:numFmt w:val="decimal"/>
      <w:pStyle w:val="12"/>
      <w:lvlText w:val="%1."/>
      <w:lvlJc w:val="left"/>
      <w:pPr>
        <w:ind w:left="425" w:hanging="425"/>
      </w:pPr>
      <w:rPr>
        <w:rFonts w:hint="default"/>
      </w:rPr>
    </w:lvl>
  </w:abstractNum>
  <w:abstractNum w:abstractNumId="5">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7D78E590"/>
    <w:multiLevelType w:val="multilevel"/>
    <w:tmpl w:val="7D78E590"/>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ascii="宋体" w:hAnsi="宋体" w:eastAsia="宋体" w:cs="宋体"/>
      </w:rPr>
    </w:lvl>
    <w:lvl w:ilvl="6" w:tentative="0">
      <w:start w:val="1"/>
      <w:numFmt w:val="lowerLetter"/>
      <w:suff w:val="nothing"/>
      <w:lvlText w:val="%7．"/>
      <w:lvlJc w:val="left"/>
      <w:pPr>
        <w:ind w:left="0" w:firstLine="402"/>
      </w:pPr>
      <w:rPr>
        <w:rFonts w:hint="eastAsia" w:ascii="宋体" w:hAnsi="宋体" w:eastAsia="宋体" w:cs="宋体"/>
      </w:rPr>
    </w:lvl>
    <w:lvl w:ilvl="7" w:tentative="0">
      <w:start w:val="1"/>
      <w:numFmt w:val="lowerLetter"/>
      <w:suff w:val="nothing"/>
      <w:lvlText w:val="%8）"/>
      <w:lvlJc w:val="left"/>
      <w:pPr>
        <w:ind w:left="0" w:firstLine="402"/>
      </w:pPr>
      <w:rPr>
        <w:rFonts w:hint="eastAsia" w:ascii="宋体" w:hAnsi="宋体" w:eastAsia="宋体" w:cs="宋体"/>
      </w:rPr>
    </w:lvl>
    <w:lvl w:ilvl="8" w:tentative="0">
      <w:start w:val="1"/>
      <w:numFmt w:val="lowerRoman"/>
      <w:suff w:val="nothing"/>
      <w:lvlText w:val="%9 "/>
      <w:lvlJc w:val="left"/>
      <w:pPr>
        <w:ind w:left="0" w:firstLine="402"/>
      </w:pPr>
      <w:rPr>
        <w:rFonts w:hint="eastAsia" w:ascii="宋体" w:hAnsi="宋体" w:eastAsia="宋体" w:cs="宋体"/>
      </w:rPr>
    </w:lvl>
  </w:abstractNum>
  <w:num w:numId="1">
    <w:abstractNumId w:val="5"/>
  </w:num>
  <w:num w:numId="2">
    <w:abstractNumId w:val="4"/>
  </w:num>
  <w:num w:numId="3">
    <w:abstractNumId w:val="0"/>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21D39"/>
    <w:rsid w:val="6DA21D39"/>
    <w:rsid w:val="71DC2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adjustRightInd w:val="0"/>
      <w:snapToGrid w:val="0"/>
      <w:spacing w:line="440" w:lineRule="exact"/>
    </w:pPr>
    <w:rPr>
      <w:rFonts w:ascii="宋体" w:hAnsi="宋体" w:eastAsia="宋体" w:cstheme="minorBidi"/>
      <w:kern w:val="2"/>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rFonts w:ascii="Times New Roman"/>
    </w:rPr>
  </w:style>
  <w:style w:type="paragraph" w:styleId="4">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5">
    <w:name w:val="Normal (Web)"/>
    <w:basedOn w:val="1"/>
    <w:qFormat/>
    <w:uiPriority w:val="99"/>
    <w:pPr>
      <w:widowControl/>
      <w:spacing w:before="100" w:beforeAutospacing="1" w:after="100" w:afterAutospacing="1" w:line="240" w:lineRule="auto"/>
      <w:ind w:left="0" w:firstLine="0" w:firstLineChars="0"/>
      <w:jc w:val="left"/>
    </w:pPr>
    <w:rPr>
      <w:rFonts w:ascii="宋体" w:hAnsi="宋体" w:cs="宋体"/>
      <w:kern w:val="0"/>
      <w:sz w:val="24"/>
      <w:szCs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标题 5（有编号）（绿盟科技）"/>
    <w:basedOn w:val="10"/>
    <w:next w:val="13"/>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0">
    <w:name w:val="正文1"/>
    <w:next w:val="1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1">
    <w:name w:val="正文文本1"/>
    <w:basedOn w:val="12"/>
    <w:next w:val="10"/>
    <w:autoRedefine/>
    <w:qFormat/>
    <w:uiPriority w:val="0"/>
    <w:pPr>
      <w:tabs>
        <w:tab w:val="left" w:pos="0"/>
      </w:tabs>
    </w:pPr>
    <w:rPr>
      <w:rFonts w:eastAsia="宋体"/>
      <w:sz w:val="18"/>
    </w:rPr>
  </w:style>
  <w:style w:type="paragraph" w:customStyle="1" w:styleId="12">
    <w:name w:val="表格内1"/>
    <w:next w:val="11"/>
    <w:autoRedefine/>
    <w:qFormat/>
    <w:uiPriority w:val="0"/>
    <w:pPr>
      <w:widowControl w:val="0"/>
      <w:numPr>
        <w:ilvl w:val="0"/>
        <w:numId w:val="2"/>
      </w:numPr>
      <w:jc w:val="both"/>
    </w:pPr>
    <w:rPr>
      <w:rFonts w:ascii="Calibri" w:hAnsi="Calibri" w:eastAsia="宋体" w:cs="黑体"/>
      <w:b/>
      <w:kern w:val="2"/>
      <w:sz w:val="21"/>
      <w:szCs w:val="22"/>
      <w:lang w:val="en-US" w:eastAsia="zh-CN" w:bidi="ar-SA"/>
    </w:rPr>
  </w:style>
  <w:style w:type="paragraph" w:customStyle="1" w:styleId="1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4">
    <w:name w:val="14、“第一章”一级标题"/>
    <w:basedOn w:val="15"/>
    <w:qFormat/>
    <w:uiPriority w:val="0"/>
    <w:pPr>
      <w:numPr>
        <w:ilvl w:val="0"/>
        <w:numId w:val="3"/>
      </w:numPr>
      <w:spacing w:beforeLines="50" w:afterLines="50" w:line="240" w:lineRule="auto"/>
      <w:jc w:val="center"/>
      <w:outlineLvl w:val="0"/>
    </w:pPr>
    <w:rPr>
      <w:b/>
      <w:sz w:val="36"/>
    </w:rPr>
  </w:style>
  <w:style w:type="paragraph" w:customStyle="1" w:styleId="15">
    <w:name w:val="01、普通正文"/>
    <w:basedOn w:val="1"/>
    <w:qFormat/>
    <w:uiPriority w:val="0"/>
    <w:pPr>
      <w:wordWrap w:val="0"/>
      <w:topLinePunct/>
    </w:pPr>
    <w:rPr>
      <w:snapToGrid w:val="0"/>
    </w:rPr>
  </w:style>
  <w:style w:type="paragraph" w:customStyle="1" w:styleId="16">
    <w:name w:val="21、合同二级标题序号"/>
    <w:basedOn w:val="15"/>
    <w:qFormat/>
    <w:uiPriority w:val="0"/>
    <w:pPr>
      <w:numPr>
        <w:ilvl w:val="0"/>
        <w:numId w:val="4"/>
      </w:numPr>
      <w:ind w:firstLine="803" w:firstLineChars="200"/>
      <w:outlineLvl w:val="1"/>
    </w:pPr>
    <w:rPr>
      <w:b/>
    </w:rPr>
  </w:style>
  <w:style w:type="paragraph" w:customStyle="1" w:styleId="17">
    <w:name w:val="05、“(一)”正文三级标题"/>
    <w:basedOn w:val="1"/>
    <w:qFormat/>
    <w:uiPriority w:val="0"/>
    <w:pPr>
      <w:numPr>
        <w:ilvl w:val="1"/>
        <w:numId w:val="5"/>
      </w:numPr>
      <w:wordWrap w:val="0"/>
      <w:topLinePunct/>
      <w:ind w:firstLine="803" w:firstLineChars="200"/>
    </w:pPr>
  </w:style>
  <w:style w:type="paragraph" w:customStyle="1" w:styleId="18">
    <w:name w:val="02、首行缩进2字符正文"/>
    <w:basedOn w:val="1"/>
    <w:qFormat/>
    <w:uiPriority w:val="0"/>
    <w:pPr>
      <w:wordWrap w:val="0"/>
      <w:topLinePunct/>
      <w:ind w:firstLine="480" w:firstLineChars="200"/>
    </w:pPr>
  </w:style>
  <w:style w:type="paragraph" w:customStyle="1" w:styleId="19">
    <w:name w:val="06、“1.”正文四级标题"/>
    <w:basedOn w:val="1"/>
    <w:qFormat/>
    <w:uiPriority w:val="0"/>
    <w:pPr>
      <w:numPr>
        <w:ilvl w:val="2"/>
        <w:numId w:val="5"/>
      </w:numPr>
      <w:wordWrap w:val="0"/>
      <w:topLinePunct/>
      <w:ind w:firstLine="803" w:firstLineChars="200"/>
    </w:pPr>
    <w:rPr>
      <w:snapToGrid w:val="0"/>
    </w:rPr>
  </w:style>
  <w:style w:type="paragraph" w:customStyle="1" w:styleId="20">
    <w:name w:val="00、封面正文(与其他内容无关的格式)"/>
    <w:basedOn w:val="1"/>
    <w:qFormat/>
    <w:uiPriority w:val="0"/>
  </w:style>
  <w:style w:type="paragraph" w:customStyle="1" w:styleId="21">
    <w:name w:val="17“1.”四级标题"/>
    <w:basedOn w:val="18"/>
    <w:autoRedefine/>
    <w:qFormat/>
    <w:uiPriority w:val="0"/>
    <w:pPr>
      <w:numPr>
        <w:ilvl w:val="3"/>
        <w:numId w:val="3"/>
      </w:numPr>
      <w:ind w:firstLine="803"/>
    </w:pPr>
  </w:style>
  <w:style w:type="paragraph" w:customStyle="1" w:styleId="2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8182</Words>
  <Characters>8689</Characters>
  <Lines>0</Lines>
  <Paragraphs>0</Paragraphs>
  <TotalTime>2</TotalTime>
  <ScaleCrop>false</ScaleCrop>
  <LinksUpToDate>false</LinksUpToDate>
  <CharactersWithSpaces>8860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2025-02-27T05:52:00Z</dcterms:created>
  <dc:creator>袁先森</dc:creator>
  <cp:lastModifiedBy>袁伟峰</cp:lastModifiedBy>
  <dcterms:modified xsi:type="dcterms:W3CDTF">2025-03-17T01:58:18Z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67935D90BD3343F88D39D8AC77D39540_11</vt:lpwstr>
  </property>
  <property fmtid="{D5CDD505-2E9C-101B-9397-08002B2CF9AE}" pid="4" name="KSOTemplateDocerSaveRecord">
    <vt:lpwstr>eyJoZGlkIjoiODMyMzU4OGU4OGIzMzc5N2RmODY1MTUyMmIxY2Y5MTgiLCJ1c2VySWQiOiIxNjgyNzU0NjU4In0=</vt:lpwstr>
  </property>
</Properties>
</file>