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版本号：N511801202500005720250402002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国道351夹金山隧道工程土建交工检测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N5118012025000057</w:t>
      </w:r>
    </w:p>
    <w:p>
      <w:pPr>
        <w:pStyle w:val="null3"/>
        <w:jc w:val="center"/>
        <w:outlineLvl w:val="2"/>
      </w:pPr>
      <w:r>
        <w:rPr>
          <w:rFonts w:ascii="仿宋_GB2312" w:hAnsi="仿宋_GB2312" w:cs="仿宋_GB2312" w:eastAsia="仿宋_GB2312"/>
          <w:sz w:val="28"/>
          <w:b/>
        </w:rPr>
        <w:t>雅安市公路建设服务中心</w:t>
      </w:r>
    </w:p>
    <w:p>
      <w:pPr>
        <w:pStyle w:val="null3"/>
        <w:jc w:val="center"/>
        <w:outlineLvl w:val="2"/>
      </w:pPr>
      <w:r>
        <w:rPr>
          <w:rFonts w:ascii="仿宋_GB2312" w:hAnsi="仿宋_GB2312" w:cs="仿宋_GB2312" w:eastAsia="仿宋_GB2312"/>
          <w:sz w:val="28"/>
          <w:b/>
        </w:rPr>
        <w:t>四川和达建设工程有限公司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四川和达建设工程有限公司</w:t>
      </w:r>
      <w:r>
        <w:rPr>
          <w:rFonts w:ascii="仿宋_GB2312" w:hAnsi="仿宋_GB2312" w:cs="仿宋_GB2312" w:eastAsia="仿宋_GB2312"/>
        </w:rPr>
        <w:t xml:space="preserve"> （以下简称“代理机构”）受 </w:t>
      </w:r>
      <w:r>
        <w:rPr>
          <w:rFonts w:ascii="仿宋_GB2312" w:hAnsi="仿宋_GB2312" w:cs="仿宋_GB2312" w:eastAsia="仿宋_GB2312"/>
        </w:rPr>
        <w:t>雅安市公路建设服务中心</w:t>
      </w:r>
      <w:r>
        <w:rPr>
          <w:rFonts w:ascii="仿宋_GB2312" w:hAnsi="仿宋_GB2312" w:cs="仿宋_GB2312" w:eastAsia="仿宋_GB2312"/>
        </w:rPr>
        <w:t xml:space="preserve"> 委托，拟对 </w:t>
      </w:r>
      <w:r>
        <w:rPr>
          <w:rFonts w:ascii="仿宋_GB2312" w:hAnsi="仿宋_GB2312" w:cs="仿宋_GB2312" w:eastAsia="仿宋_GB2312"/>
        </w:rPr>
        <w:t>国道351夹金山隧道工程土建交工检测</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雅安市市本级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N5118012025000057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国道351夹金山隧道工程土建交工检测</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本项目为国道351夹金山隧道工程土建交工检测；共计1个包。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交通行政主管部门颁发的公路工程综合甲级工程试验检测资质或公路工程桥梁隧道工程专项试验检测资质；并具有相关部门颁发的在有效期内的《检验检测机构资质认定证书》（CMA）（响应时提供有效期内的相关资质证书扫描件）。（描述：供应商须具有交通行政主管部门颁发的公路工程综合甲级工程试验检测资质或公路工程桥梁隧道工程专项试验检测资质；并具有相关部门颁发的在有效期内的《检验检测机构资质认定证书》（CMA）（响应时提供有效期内的相关资质证书扫描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雅安市公路建设服务中心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雅安市雨城区城后路134号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0835-2223338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四川和达建设工程有限公司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成都市武侯区科华北路 2 号 5 层9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黄晓宇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18808331540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采购包1：1,414,047.00元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代理服务费收费标准：成本加合理利润原则。代理费：18300元；收款单位：四川和达建设工程有限公司，开户行：中国建设银行股份有限公司成都第七支行 ，账户号码：51001479008051544214</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雅安市公路建设服务中心</w:t>
      </w:r>
      <w:r>
        <w:rPr>
          <w:rFonts w:ascii="仿宋_GB2312" w:hAnsi="仿宋_GB2312" w:cs="仿宋_GB2312" w:eastAsia="仿宋_GB2312"/>
        </w:rPr>
        <w:t xml:space="preserve"> 和 </w:t>
      </w:r>
      <w:r>
        <w:rPr>
          <w:rFonts w:ascii="仿宋_GB2312" w:hAnsi="仿宋_GB2312" w:cs="仿宋_GB2312" w:eastAsia="仿宋_GB2312"/>
        </w:rPr>
        <w:t>四川和达建设工程有限公司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雅安市公路建设服务中心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四川和达建设工程有限公司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技术要求和服务要求(包括每一项技术、服务和商务要求的履约情况)和供应商的响应文件与合同约定标准进行验收；采购人与供应商双方如对技术要求和服务要求约定标准有异议的事项，由采购人在采购文件中按服务要求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项目验收结果合格的，供应商凭验收报告办理剩余采购资金支付；验收不合格且拒不整改的，将不予支付剩余采购资金。</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按国家有关规定以及采购文件服务要求、供应商的响应文件与合同约定标准进行验收。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 205 号)和《雅安市财政局关于规范政府采购履约验收工作的通知》（雅财采[2021]50号）的要求进行验收。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雅安市公路建设服务中心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四川和达建设工程有限公司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四川和达建设工程有限公司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联系人：黄先生</w:t>
      </w:r>
    </w:p>
    <w:p>
      <w:pPr>
        <w:pStyle w:val="null3"/>
        <w:jc w:val="left"/>
      </w:pPr>
      <w:r>
        <w:rPr>
          <w:rFonts w:ascii="仿宋_GB2312" w:hAnsi="仿宋_GB2312" w:cs="仿宋_GB2312" w:eastAsia="仿宋_GB2312"/>
        </w:rPr>
        <w:t>联系电话：18808331540</w:t>
      </w:r>
    </w:p>
    <w:p>
      <w:pPr>
        <w:pStyle w:val="null3"/>
        <w:jc w:val="left"/>
      </w:pPr>
      <w:r>
        <w:rPr>
          <w:rFonts w:ascii="仿宋_GB2312" w:hAnsi="仿宋_GB2312" w:cs="仿宋_GB2312" w:eastAsia="仿宋_GB2312"/>
        </w:rPr>
        <w:t>地址：成都市武侯区科华北路2号5层9号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1,414,047.00</w:t>
      </w:r>
    </w:p>
    <w:p>
      <w:pPr>
        <w:pStyle w:val="null3"/>
        <w:jc w:val="left"/>
      </w:pPr>
      <w:r>
        <w:rPr>
          <w:rFonts w:ascii="仿宋_GB2312" w:hAnsi="仿宋_GB2312" w:cs="仿宋_GB2312" w:eastAsia="仿宋_GB2312"/>
        </w:rPr>
        <w:t>采购包最高限价（元）: 1,412,547.00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C11990000 其他工程管理服务</w:t>
            </w:r>
          </w:p>
        </w:tc>
        <w:tc>
          <w:tcPr>
            <w:tcW w:type="dxa" w:w="821"/>
          </w:tcPr>
          <w:p>
            <w:pPr>
              <w:pStyle w:val="null3"/>
              <w:jc w:val="left"/>
            </w:pPr>
            <w:r>
              <w:rPr>
                <w:rFonts w:ascii="仿宋_GB2312" w:hAnsi="仿宋_GB2312" w:cs="仿宋_GB2312" w:eastAsia="仿宋_GB2312"/>
              </w:rPr>
              <w:t>国道351夹金山隧道工程土建交工检测</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1,412,547.00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国道351夹金山隧道工程土建交工检测</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1,412,547.00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标的名称：国道351夹金山隧道工程土建交工检测</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jc w:val="center"/>
              <w:outlineLvl w:val="3"/>
            </w:pPr>
            <w:r>
              <w:rPr>
                <w:rFonts w:ascii="仿宋_GB2312" w:hAnsi="仿宋_GB2312" w:cs="仿宋_GB2312" w:eastAsia="仿宋_GB2312"/>
                <w:sz w:val="24"/>
                <w:b/>
              </w:rPr>
              <w:t>一、</w:t>
            </w:r>
            <w:r>
              <w:rPr>
                <w:rFonts w:ascii="仿宋_GB2312" w:hAnsi="仿宋_GB2312" w:cs="仿宋_GB2312" w:eastAsia="仿宋_GB2312"/>
                <w:sz w:val="24"/>
                <w:b/>
              </w:rPr>
              <w:t>国道</w:t>
            </w:r>
            <w:r>
              <w:rPr>
                <w:rFonts w:ascii="仿宋_GB2312" w:hAnsi="仿宋_GB2312" w:cs="仿宋_GB2312" w:eastAsia="仿宋_GB2312"/>
                <w:sz w:val="24"/>
                <w:b/>
              </w:rPr>
              <w:t>351夹金山隧道工程交工检测</w:t>
            </w:r>
            <w:r>
              <w:rPr>
                <w:rFonts w:ascii="仿宋_GB2312" w:hAnsi="仿宋_GB2312" w:cs="仿宋_GB2312" w:eastAsia="仿宋_GB2312"/>
                <w:sz w:val="24"/>
                <w:b/>
              </w:rPr>
              <w:t>清单</w:t>
            </w:r>
          </w:p>
          <w:tbl>
            <w:tblPr>
              <w:tblInd w:type="dxa" w:w="90"/>
              <w:tblBorders>
                <w:top w:val="none" w:color="000000" w:sz="4"/>
                <w:left w:val="none" w:color="000000" w:sz="4"/>
                <w:bottom w:val="none" w:color="000000" w:sz="4"/>
                <w:right w:val="none" w:color="000000" w:sz="4"/>
                <w:insideH w:val="none"/>
                <w:insideV w:val="none"/>
              </w:tblBorders>
            </w:tblPr>
            <w:tblGrid>
              <w:gridCol w:w="293"/>
              <w:gridCol w:w="444"/>
              <w:gridCol w:w="418"/>
              <w:gridCol w:w="551"/>
              <w:gridCol w:w="694"/>
              <w:gridCol w:w="1317"/>
              <w:gridCol w:w="453"/>
              <w:gridCol w:w="480"/>
              <w:gridCol w:w="898"/>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单位工程</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分部工程</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工程量清单</w:t>
                  </w:r>
                </w:p>
              </w:tc>
              <w:tc>
                <w:tcPr>
                  <w:tcW w:type="dxa" w:w="6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检测项目</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检测频率</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路基工程</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排水工程</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0.67km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断面尺寸</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w:t>
                  </w:r>
                  <w:r>
                    <w:rPr>
                      <w:rFonts w:ascii="仿宋_GB2312" w:hAnsi="仿宋_GB2312" w:cs="仿宋_GB2312" w:eastAsia="仿宋_GB2312"/>
                      <w:sz w:val="21"/>
                    </w:rPr>
                    <w:t>2-3处，每处抽不少于2个断面。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铺砌厚度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每合同段抽不少于</w:t>
                  </w:r>
                  <w:r>
                    <w:rPr>
                      <w:rFonts w:ascii="仿宋_GB2312" w:hAnsi="仿宋_GB2312" w:cs="仿宋_GB2312" w:eastAsia="仿宋_GB2312"/>
                      <w:sz w:val="21"/>
                    </w:rPr>
                    <w:t>3处，每处开挖检查不少于1个断面。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涵洞</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8道盖板涵</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每处用回弹仪或超声波测不少于</w:t>
                  </w:r>
                  <w:r>
                    <w:rPr>
                      <w:rFonts w:ascii="仿宋_GB2312" w:hAnsi="仿宋_GB2312" w:cs="仿宋_GB2312" w:eastAsia="仿宋_GB2312"/>
                      <w:sz w:val="21"/>
                    </w:rPr>
                    <w:t>10个测区。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抽查不少于总数的</w:t>
                  </w:r>
                  <w:r>
                    <w:rPr>
                      <w:rFonts w:ascii="仿宋_GB2312" w:hAnsi="仿宋_GB2312" w:cs="仿宋_GB2312" w:eastAsia="仿宋_GB2312"/>
                      <w:sz w:val="21"/>
                    </w:rPr>
                    <w:t>10%且每种类型不少于1道。抽查1道涵洞。</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结构尺寸</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每道</w:t>
                  </w:r>
                  <w:r>
                    <w:rPr>
                      <w:rFonts w:ascii="仿宋_GB2312" w:hAnsi="仿宋_GB2312" w:cs="仿宋_GB2312" w:eastAsia="仿宋_GB2312"/>
                      <w:sz w:val="21"/>
                    </w:rPr>
                    <w:t>5-10个。</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路面工程</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路面面层</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0.67km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沥青路面压实度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沥青路面弯沉</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每公里为评定单元，每评定单元不少于</w:t>
                  </w:r>
                  <w:r>
                    <w:rPr>
                      <w:rFonts w:ascii="仿宋_GB2312" w:hAnsi="仿宋_GB2312" w:cs="仿宋_GB2312" w:eastAsia="仿宋_GB2312"/>
                      <w:sz w:val="21"/>
                    </w:rPr>
                    <w:t>40点。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每公里检测</w:t>
                  </w:r>
                  <w:r>
                    <w:rPr>
                      <w:rFonts w:ascii="仿宋_GB2312" w:hAnsi="仿宋_GB2312" w:cs="仿宋_GB2312" w:eastAsia="仿宋_GB2312"/>
                      <w:sz w:val="21"/>
                    </w:rPr>
                    <w:t>1个车道。</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km·车道</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0.67</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沥青路面车辙</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1处，每处每车道至少测1个断面。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横坡</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1处，每处1-2个断面。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隧道工程</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主洞，共计</w:t>
                  </w:r>
                  <w:r>
                    <w:rPr>
                      <w:rFonts w:ascii="仿宋_GB2312" w:hAnsi="仿宋_GB2312" w:cs="仿宋_GB2312" w:eastAsia="仿宋_GB2312"/>
                      <w:sz w:val="21"/>
                    </w:rPr>
                    <w:t>9350m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用回弹仪或超声波每座特长、长隧道测不少于</w:t>
                  </w:r>
                  <w:r>
                    <w:rPr>
                      <w:rFonts w:ascii="仿宋_GB2312" w:hAnsi="仿宋_GB2312" w:cs="仿宋_GB2312" w:eastAsia="仿宋_GB2312"/>
                      <w:sz w:val="21"/>
                    </w:rPr>
                    <w:t>20个测区。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用高频地质雷达连续检测拱顶、拱腰三条线。</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延米</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28050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大面平整度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衬砌平整度实测每座特长隧道测</w:t>
                  </w:r>
                  <w:r>
                    <w:rPr>
                      <w:rFonts w:ascii="仿宋_GB2312" w:hAnsi="仿宋_GB2312" w:cs="仿宋_GB2312" w:eastAsia="仿宋_GB2312"/>
                      <w:sz w:val="21"/>
                    </w:rPr>
                    <w:t>20处以上。</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总体</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每座特长隧道测不少于</w:t>
                  </w:r>
                  <w:r>
                    <w:rPr>
                      <w:rFonts w:ascii="仿宋_GB2312" w:hAnsi="仿宋_GB2312" w:cs="仿宋_GB2312" w:eastAsia="仿宋_GB2312"/>
                      <w:sz w:val="21"/>
                    </w:rPr>
                    <w:t>20点。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净空</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每座特长隧道测不少于</w:t>
                  </w:r>
                  <w:r>
                    <w:rPr>
                      <w:rFonts w:ascii="仿宋_GB2312" w:hAnsi="仿宋_GB2312" w:cs="仿宋_GB2312" w:eastAsia="仿宋_GB2312"/>
                      <w:sz w:val="21"/>
                    </w:rPr>
                    <w:t>20点。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隧道路面</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沥青路面压实度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沥青路面车辙</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1处，每处每车道至少测1个断面。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沥青路面渗水系数</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沥青路面平整度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每公里检测</w:t>
                  </w:r>
                  <w:r>
                    <w:rPr>
                      <w:rFonts w:ascii="仿宋_GB2312" w:hAnsi="仿宋_GB2312" w:cs="仿宋_GB2312" w:eastAsia="仿宋_GB2312"/>
                      <w:sz w:val="21"/>
                    </w:rPr>
                    <w:t>1个车道。</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km·车道</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横坡</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1处，每处1-2个断面。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隧道工程</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平导，共计</w:t>
                  </w:r>
                  <w:r>
                    <w:rPr>
                      <w:rFonts w:ascii="仿宋_GB2312" w:hAnsi="仿宋_GB2312" w:cs="仿宋_GB2312" w:eastAsia="仿宋_GB2312"/>
                      <w:sz w:val="21"/>
                    </w:rPr>
                    <w:t>9364m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用回弹仪或超声波每座特长、长隧道测不少于</w:t>
                  </w:r>
                  <w:r>
                    <w:rPr>
                      <w:rFonts w:ascii="仿宋_GB2312" w:hAnsi="仿宋_GB2312" w:cs="仿宋_GB2312" w:eastAsia="仿宋_GB2312"/>
                      <w:sz w:val="21"/>
                    </w:rPr>
                    <w:t>20个测区。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用高频地质雷达连续检测拱顶、拱腰三条线。</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延米</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28092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大面平整度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衬砌平整度实测每座特长隧道测</w:t>
                  </w:r>
                  <w:r>
                    <w:rPr>
                      <w:rFonts w:ascii="仿宋_GB2312" w:hAnsi="仿宋_GB2312" w:cs="仿宋_GB2312" w:eastAsia="仿宋_GB2312"/>
                      <w:sz w:val="21"/>
                    </w:rPr>
                    <w:t>20处以上。</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总体</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宽度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每座特长隧道测不少于</w:t>
                  </w:r>
                  <w:r>
                    <w:rPr>
                      <w:rFonts w:ascii="仿宋_GB2312" w:hAnsi="仿宋_GB2312" w:cs="仿宋_GB2312" w:eastAsia="仿宋_GB2312"/>
                      <w:sz w:val="21"/>
                    </w:rPr>
                    <w:t>20点。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净空</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每座特长隧道测不少于</w:t>
                  </w:r>
                  <w:r>
                    <w:rPr>
                      <w:rFonts w:ascii="仿宋_GB2312" w:hAnsi="仿宋_GB2312" w:cs="仿宋_GB2312" w:eastAsia="仿宋_GB2312"/>
                      <w:sz w:val="21"/>
                    </w:rPr>
                    <w:t>20点。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隧道路面</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混凝土路面强度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混凝土路面相邻板高差</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1处，每处不少于3点。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每公里检测</w:t>
                  </w:r>
                  <w:r>
                    <w:rPr>
                      <w:rFonts w:ascii="仿宋_GB2312" w:hAnsi="仿宋_GB2312" w:cs="仿宋_GB2312" w:eastAsia="仿宋_GB2312"/>
                      <w:sz w:val="21"/>
                    </w:rPr>
                    <w:t>1个车道。</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km·车道</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9.364</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1处，每处不少于1点。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横坡</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每公里抽检不少于</w:t>
                  </w:r>
                  <w:r>
                    <w:rPr>
                      <w:rFonts w:ascii="仿宋_GB2312" w:hAnsi="仿宋_GB2312" w:cs="仿宋_GB2312" w:eastAsia="仿宋_GB2312"/>
                      <w:sz w:val="21"/>
                    </w:rPr>
                    <w:t>1处，每处1-2个断面。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桥梁工程</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下部</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波日沟大桥</w:t>
                  </w:r>
                  <w:r>
                    <w:rPr>
                      <w:rFonts w:ascii="仿宋_GB2312" w:hAnsi="仿宋_GB2312" w:cs="仿宋_GB2312" w:eastAsia="仿宋_GB2312"/>
                      <w:sz w:val="21"/>
                    </w:rPr>
                    <w:t>50m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墩台混凝土强度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每墩台用回弹仪或超声波测不少于</w:t>
                  </w:r>
                  <w:r>
                    <w:rPr>
                      <w:rFonts w:ascii="仿宋_GB2312" w:hAnsi="仿宋_GB2312" w:cs="仿宋_GB2312" w:eastAsia="仿宋_GB2312"/>
                      <w:sz w:val="21"/>
                    </w:rPr>
                    <w:t>2个测区,测区总数10个测区。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抽检</w:t>
                  </w:r>
                  <w:r>
                    <w:rPr>
                      <w:rFonts w:ascii="仿宋_GB2312" w:hAnsi="仿宋_GB2312" w:cs="仿宋_GB2312" w:eastAsia="仿宋_GB2312"/>
                      <w:sz w:val="21"/>
                    </w:rPr>
                    <w:t>5处</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主要结构尺寸</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每墩台测不少于</w:t>
                  </w:r>
                  <w:r>
                    <w:rPr>
                      <w:rFonts w:ascii="仿宋_GB2312" w:hAnsi="仿宋_GB2312" w:cs="仿宋_GB2312" w:eastAsia="仿宋_GB2312"/>
                      <w:sz w:val="21"/>
                    </w:rPr>
                    <w:t>2点。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每墩台测</w:t>
                  </w:r>
                  <w:r>
                    <w:rPr>
                      <w:rFonts w:ascii="仿宋_GB2312" w:hAnsi="仿宋_GB2312" w:cs="仿宋_GB2312" w:eastAsia="仿宋_GB2312"/>
                      <w:sz w:val="21"/>
                    </w:rPr>
                    <w:t>2-4处。</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墩台垂直度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每个墩台测两个方向。</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方向</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上部</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抽查主要承重构件，每孔用回弹仪或超声波测不少于</w:t>
                  </w:r>
                  <w:r>
                    <w:rPr>
                      <w:rFonts w:ascii="仿宋_GB2312" w:hAnsi="仿宋_GB2312" w:cs="仿宋_GB2312" w:eastAsia="仿宋_GB2312"/>
                      <w:sz w:val="21"/>
                    </w:rPr>
                    <w:t>10个测区。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主要结构尺寸</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每座桥测</w:t>
                  </w:r>
                  <w:r>
                    <w:rPr>
                      <w:rFonts w:ascii="仿宋_GB2312" w:hAnsi="仿宋_GB2312" w:cs="仿宋_GB2312" w:eastAsia="仿宋_GB2312"/>
                      <w:sz w:val="21"/>
                    </w:rPr>
                    <w:t>10-20点。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每孔测</w:t>
                  </w:r>
                  <w:r>
                    <w:rPr>
                      <w:rFonts w:ascii="仿宋_GB2312" w:hAnsi="仿宋_GB2312" w:cs="仿宋_GB2312" w:eastAsia="仿宋_GB2312"/>
                      <w:sz w:val="21"/>
                    </w:rPr>
                    <w:t>2-4处。</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桥面系</w:t>
                  </w: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桥面铺装平整度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3m直尺检测3处，每处3尺。</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横坡</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w:t>
                  </w:r>
                  <w:r>
                    <w:rPr>
                      <w:rFonts w:ascii="仿宋_GB2312" w:hAnsi="仿宋_GB2312" w:cs="仿宋_GB2312" w:eastAsia="仿宋_GB2312"/>
                      <w:sz w:val="21"/>
                    </w:rPr>
                    <w:t>100m测不少于3个断面。</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断面</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桥面抗滑</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w:t>
                  </w:r>
                  <w:r>
                    <w:rPr>
                      <w:rFonts w:ascii="仿宋_GB2312" w:hAnsi="仿宋_GB2312" w:cs="仿宋_GB2312" w:eastAsia="仿宋_GB2312"/>
                      <w:sz w:val="21"/>
                    </w:rPr>
                    <w:t>200m测不少于3处。</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交通安全设施</w:t>
                  </w: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49块</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立柱竖直度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每柱测两个方向。</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方向</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标志抽查不少于总数的</w:t>
                  </w:r>
                  <w:r>
                    <w:rPr>
                      <w:rFonts w:ascii="仿宋_GB2312" w:hAnsi="仿宋_GB2312" w:cs="仿宋_GB2312" w:eastAsia="仿宋_GB2312"/>
                      <w:sz w:val="21"/>
                    </w:rPr>
                    <w:t>10%。抽检5处。</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标志板净空</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取不利点。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标志板厚度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每块测不少于</w:t>
                  </w:r>
                  <w:r>
                    <w:rPr>
                      <w:rFonts w:ascii="仿宋_GB2312" w:hAnsi="仿宋_GB2312" w:cs="仿宋_GB2312" w:eastAsia="仿宋_GB2312"/>
                      <w:sz w:val="21"/>
                    </w:rPr>
                    <w:t>2点。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标志面反光膜等级及逆反射系数</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每块测不少于</w:t>
                  </w:r>
                  <w:r>
                    <w:rPr>
                      <w:rFonts w:ascii="仿宋_GB2312" w:hAnsi="仿宋_GB2312" w:cs="仿宋_GB2312" w:eastAsia="仿宋_GB2312"/>
                      <w:sz w:val="21"/>
                    </w:rPr>
                    <w:t>2点。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标线</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19.434km（含平导9.364km）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标线厚度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1处，每处不少于5点。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抽检</w:t>
                  </w:r>
                  <w:r>
                    <w:rPr>
                      <w:rFonts w:ascii="仿宋_GB2312" w:hAnsi="仿宋_GB2312" w:cs="仿宋_GB2312" w:eastAsia="仿宋_GB2312"/>
                      <w:sz w:val="21"/>
                    </w:rPr>
                    <w:t>11处</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逆反射系数</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1处，每处不少于5点。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444"/>
                  <w:vMerge/>
                  <w:tcBorders>
                    <w:top w:val="none" w:color="000000" w:sz="4"/>
                    <w:left w:val="single" w:color="000000" w:sz="4"/>
                    <w:bottom w:val="single" w:color="000000" w:sz="4"/>
                    <w:right w:val="single" w:color="000000" w:sz="4"/>
                  </w:tcBorders>
                </w:tcPr>
                <w:p/>
              </w:tc>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波形护栏</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共计</w:t>
                  </w:r>
                  <w:r>
                    <w:rPr>
                      <w:rFonts w:ascii="仿宋_GB2312" w:hAnsi="仿宋_GB2312" w:cs="仿宋_GB2312" w:eastAsia="仿宋_GB2312"/>
                      <w:sz w:val="21"/>
                    </w:rPr>
                    <w:t>2525m</w:t>
                  </w: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波形梁板基底金属厚度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1处，每处不少于5点。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抽检</w:t>
                  </w:r>
                  <w:r>
                    <w:rPr>
                      <w:rFonts w:ascii="仿宋_GB2312" w:hAnsi="仿宋_GB2312" w:cs="仿宋_GB2312" w:eastAsia="仿宋_GB2312"/>
                      <w:sz w:val="21"/>
                    </w:rPr>
                    <w:t>3处</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立柱壁厚</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1处，每处不少于5点。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立柱埋入深度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1处，每处不少于1根。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444"/>
                  <w:vMerge/>
                  <w:tcBorders>
                    <w:top w:val="none" w:color="000000" w:sz="4"/>
                    <w:left w:val="single" w:color="000000" w:sz="4"/>
                    <w:bottom w:val="single" w:color="000000" w:sz="4"/>
                    <w:right w:val="single" w:color="000000" w:sz="4"/>
                  </w:tcBorders>
                </w:tcPr>
                <w:p/>
              </w:tc>
              <w:tc>
                <w:tcPr>
                  <w:tcW w:type="dxa" w:w="418"/>
                  <w:vMerge/>
                  <w:tcBorders>
                    <w:top w:val="none" w:color="000000" w:sz="4"/>
                    <w:left w:val="single" w:color="000000" w:sz="4"/>
                    <w:bottom w:val="single" w:color="000000" w:sz="4"/>
                    <w:right w:val="single" w:color="000000" w:sz="4"/>
                  </w:tcBorders>
                </w:tcPr>
                <w:p/>
              </w:tc>
              <w:tc>
                <w:tcPr>
                  <w:tcW w:type="dxa" w:w="551"/>
                  <w:vMerge/>
                  <w:tcBorders>
                    <w:top w:val="none" w:color="000000" w:sz="4"/>
                    <w:left w:val="single" w:color="000000" w:sz="4"/>
                    <w:bottom w:val="single" w:color="000000" w:sz="4"/>
                    <w:right w:val="single" w:color="000000" w:sz="4"/>
                  </w:tcBorders>
                </w:tcPr>
                <w:p/>
              </w:tc>
              <w:tc>
                <w:tcPr>
                  <w:tcW w:type="dxa" w:w="6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横梁中心高度</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每公里不少于</w:t>
                  </w:r>
                  <w:r>
                    <w:rPr>
                      <w:rFonts w:ascii="仿宋_GB2312" w:hAnsi="仿宋_GB2312" w:cs="仿宋_GB2312" w:eastAsia="仿宋_GB2312"/>
                      <w:sz w:val="21"/>
                    </w:rPr>
                    <w:t>1处，每处不少于5点。</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w:t>
                  </w:r>
                </w:p>
              </w:tc>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98"/>
                  <w:vMerge/>
                  <w:tcBorders>
                    <w:top w:val="none" w:color="000000" w:sz="4"/>
                    <w:left w:val="single" w:color="000000" w:sz="4"/>
                    <w:bottom w:val="single" w:color="000000" w:sz="4"/>
                    <w:right w:val="single" w:color="000000" w:sz="4"/>
                  </w:tcBorders>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4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481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检测车、交通车（</w:t>
                  </w:r>
                  <w:r>
                    <w:rPr>
                      <w:rFonts w:ascii="仿宋_GB2312" w:hAnsi="仿宋_GB2312" w:cs="仿宋_GB2312" w:eastAsia="仿宋_GB2312"/>
                      <w:sz w:val="21"/>
                    </w:rPr>
                    <w:t>18个台班）</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444"/>
                  <w:vMerge/>
                  <w:tcBorders>
                    <w:top w:val="none" w:color="000000" w:sz="4"/>
                    <w:left w:val="single" w:color="000000" w:sz="4"/>
                    <w:bottom w:val="single" w:color="000000" w:sz="4"/>
                    <w:right w:val="single" w:color="000000" w:sz="4"/>
                  </w:tcBorders>
                </w:tcPr>
                <w:p/>
              </w:tc>
              <w:tc>
                <w:tcPr>
                  <w:tcW w:type="dxa" w:w="481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人员食宿（</w:t>
                  </w:r>
                  <w:r>
                    <w:rPr>
                      <w:rFonts w:ascii="仿宋_GB2312" w:hAnsi="仿宋_GB2312" w:cs="仿宋_GB2312" w:eastAsia="仿宋_GB2312"/>
                      <w:sz w:val="21"/>
                    </w:rPr>
                    <w:t>20人 5天）</w:t>
                  </w:r>
                </w:p>
              </w:tc>
            </w:tr>
          </w:tbl>
          <w:p>
            <w:pPr>
              <w:pStyle w:val="null3"/>
              <w:jc w:val="center"/>
              <w:outlineLvl w:val="3"/>
            </w:pPr>
            <w:r>
              <w:rPr>
                <w:rFonts w:ascii="仿宋_GB2312" w:hAnsi="仿宋_GB2312" w:cs="仿宋_GB2312" w:eastAsia="仿宋_GB2312"/>
                <w:sz w:val="24"/>
                <w:b/>
              </w:rPr>
              <w:t>二、</w:t>
            </w:r>
            <w:r>
              <w:rPr>
                <w:rFonts w:ascii="仿宋_GB2312" w:hAnsi="仿宋_GB2312" w:cs="仿宋_GB2312" w:eastAsia="仿宋_GB2312"/>
                <w:sz w:val="24"/>
                <w:b/>
              </w:rPr>
              <w:t>G351线夹金山隧道工程房建交工检测清单</w:t>
            </w:r>
          </w:p>
          <w:tbl>
            <w:tblPr>
              <w:tblInd w:type="dxa" w:w="90"/>
              <w:tblBorders>
                <w:top w:val="none" w:color="000000" w:sz="4"/>
                <w:left w:val="none" w:color="000000" w:sz="4"/>
                <w:bottom w:val="none" w:color="000000" w:sz="4"/>
                <w:right w:val="none" w:color="000000" w:sz="4"/>
                <w:insideH w:val="none"/>
                <w:insideV w:val="none"/>
              </w:tblBorders>
            </w:tblPr>
            <w:tblGrid>
              <w:gridCol w:w="299"/>
              <w:gridCol w:w="484"/>
              <w:gridCol w:w="590"/>
              <w:gridCol w:w="405"/>
              <w:gridCol w:w="775"/>
              <w:gridCol w:w="643"/>
              <w:gridCol w:w="308"/>
              <w:gridCol w:w="1198"/>
              <w:gridCol w:w="449"/>
              <w:gridCol w:w="405"/>
            </w:tblGrid>
            <w:tr>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管理设施类型</w:t>
                  </w:r>
                </w:p>
              </w:tc>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检测地点</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占地</w:t>
                  </w:r>
                  <w:r>
                    <w:br/>
                  </w:r>
                  <w:r>
                    <w:rPr>
                      <w:rFonts w:ascii="仿宋_GB2312" w:hAnsi="仿宋_GB2312" w:cs="仿宋_GB2312" w:eastAsia="仿宋_GB2312"/>
                      <w:sz w:val="21"/>
                      <w:b/>
                    </w:rPr>
                    <w:t>（亩）</w:t>
                  </w:r>
                </w:p>
              </w:tc>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建筑面积（平方米）</w:t>
                  </w:r>
                </w:p>
              </w:tc>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结构类型</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层数</w:t>
                  </w:r>
                </w:p>
              </w:tc>
              <w:tc>
                <w:tcPr>
                  <w:tcW w:type="dxa" w:w="1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检测项目</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预估数量</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隧道入口端</w:t>
                  </w:r>
                  <w:r>
                    <w:br/>
                  </w:r>
                  <w:r>
                    <w:rPr>
                      <w:rFonts w:ascii="仿宋_GB2312" w:hAnsi="仿宋_GB2312" w:cs="仿宋_GB2312" w:eastAsia="仿宋_GB2312"/>
                      <w:sz w:val="21"/>
                    </w:rPr>
                    <w:t>（宝兴端）</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21.99</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4101.04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道班房</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1375</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焊缝</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防腐涂层</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道班房附属用房</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1294.07</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设备用房</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隧道变电所一</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372.22</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风机房</w:t>
                  </w:r>
                  <w:r>
                    <w:br/>
                  </w:r>
                  <w:r>
                    <w:rPr>
                      <w:rFonts w:ascii="仿宋_GB2312" w:hAnsi="仿宋_GB2312" w:cs="仿宋_GB2312" w:eastAsia="仿宋_GB2312"/>
                      <w:sz w:val="21"/>
                      <w:color w:val="000000"/>
                    </w:rPr>
                    <w:t>（合设引水发电机房）</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523.75</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车库一</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303</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隧道出口端</w:t>
                  </w:r>
                  <w:r>
                    <w:br/>
                  </w:r>
                  <w:r>
                    <w:rPr>
                      <w:rFonts w:ascii="仿宋_GB2312" w:hAnsi="仿宋_GB2312" w:cs="仿宋_GB2312" w:eastAsia="仿宋_GB2312"/>
                      <w:sz w:val="21"/>
                      <w:color w:val="000000"/>
                    </w:rPr>
                    <w:t>（小金端）</w:t>
                  </w:r>
                </w:p>
              </w:tc>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2588.54</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隧道应急管理站</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1509</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隧道变电所二</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359.74</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风机房</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364.3</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车库二</w:t>
                  </w:r>
                </w:p>
              </w:tc>
              <w:tc>
                <w:tcPr>
                  <w:tcW w:type="dxa" w:w="4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355.5</w:t>
                  </w:r>
                </w:p>
              </w:tc>
              <w:tc>
                <w:tcPr>
                  <w:tcW w:type="dxa" w:w="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钢筋混凝土结构</w:t>
                  </w:r>
                </w:p>
              </w:tc>
              <w:tc>
                <w:tcPr>
                  <w:tcW w:type="dxa" w:w="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混凝土强度检测（回弹法）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测区</w:t>
                  </w:r>
                </w:p>
              </w:tc>
            </w:tr>
            <w:tr>
              <w:tc>
                <w:tcPr>
                  <w:tcW w:type="dxa" w:w="299"/>
                  <w:vMerge/>
                  <w:tcBorders>
                    <w:top w:val="none" w:color="000000" w:sz="4"/>
                    <w:left w:val="single" w:color="000000" w:sz="4"/>
                    <w:bottom w:val="single" w:color="000000" w:sz="4"/>
                    <w:right w:val="single" w:color="000000" w:sz="4"/>
                  </w:tcBorders>
                </w:tcPr>
                <w:p/>
              </w:tc>
              <w:tc>
                <w:tcPr>
                  <w:tcW w:type="dxa" w:w="484"/>
                  <w:vMerge/>
                  <w:tcBorders>
                    <w:top w:val="none" w:color="000000" w:sz="4"/>
                    <w:left w:val="single" w:color="000000" w:sz="4"/>
                    <w:bottom w:val="single" w:color="000000" w:sz="4"/>
                    <w:right w:val="single" w:color="000000" w:sz="4"/>
                  </w:tcBorders>
                </w:tcPr>
                <w:p/>
              </w:tc>
              <w:tc>
                <w:tcPr>
                  <w:tcW w:type="dxa" w:w="590"/>
                  <w:vMerge/>
                  <w:tcBorders>
                    <w:top w:val="none" w:color="000000" w:sz="4"/>
                    <w:left w:val="single" w:color="000000" w:sz="4"/>
                    <w:bottom w:val="single" w:color="000000" w:sz="4"/>
                    <w:right w:val="single" w:color="000000" w:sz="4"/>
                  </w:tcBorders>
                </w:tcPr>
                <w:p/>
              </w:tc>
              <w:tc>
                <w:tcPr>
                  <w:tcW w:type="dxa" w:w="405"/>
                  <w:vMerge/>
                  <w:tcBorders>
                    <w:top w:val="none" w:color="000000" w:sz="4"/>
                    <w:left w:val="single" w:color="000000" w:sz="4"/>
                    <w:bottom w:val="single" w:color="000000" w:sz="4"/>
                    <w:right w:val="single" w:color="000000" w:sz="4"/>
                  </w:tcBorders>
                </w:tcPr>
                <w:p/>
              </w:tc>
              <w:tc>
                <w:tcPr>
                  <w:tcW w:type="dxa" w:w="775"/>
                  <w:vMerge/>
                  <w:tcBorders>
                    <w:top w:val="none" w:color="000000" w:sz="4"/>
                    <w:left w:val="single" w:color="000000" w:sz="4"/>
                    <w:bottom w:val="single" w:color="000000" w:sz="4"/>
                    <w:right w:val="single" w:color="000000" w:sz="4"/>
                  </w:tcBorders>
                </w:tcPr>
                <w:p/>
              </w:tc>
              <w:tc>
                <w:tcPr>
                  <w:tcW w:type="dxa" w:w="643"/>
                  <w:vMerge/>
                  <w:tcBorders>
                    <w:top w:val="none" w:color="000000" w:sz="4"/>
                    <w:left w:val="single" w:color="000000" w:sz="4"/>
                    <w:bottom w:val="single" w:color="000000" w:sz="4"/>
                    <w:right w:val="single" w:color="000000" w:sz="4"/>
                  </w:tcBorders>
                </w:tcPr>
                <w:p/>
              </w:tc>
              <w:tc>
                <w:tcPr>
                  <w:tcW w:type="dxa" w:w="308"/>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钢筋保护层厚度（电磁感应法）</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r>
            <w:tr>
              <w:tc>
                <w:tcPr>
                  <w:tcW w:type="dxa" w:w="3504"/>
                  <w:gridSpan w:val="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检测车、交通车</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台班</w:t>
                  </w:r>
                </w:p>
              </w:tc>
            </w:tr>
            <w:tr>
              <w:tc>
                <w:tcPr>
                  <w:tcW w:type="dxa" w:w="3504"/>
                  <w:gridSpan w:val="7"/>
                  <w:vMerge/>
                  <w:tcBorders>
                    <w:top w:val="none" w:color="000000" w:sz="4"/>
                    <w:left w:val="single" w:color="000000" w:sz="4"/>
                    <w:bottom w:val="single" w:color="000000" w:sz="4"/>
                    <w:right w:val="single" w:color="000000" w:sz="4"/>
                  </w:tcBorders>
                </w:tcPr>
                <w:p/>
              </w:tc>
              <w:tc>
                <w:tcPr>
                  <w:tcW w:type="dxa" w:w="1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食宿</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人、天</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应当建立健全档案制度，原始记录，检测报告内容必须清晰、完整、规范，保证档案齐备和检测数据可追溯。</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不得出具虚假检测报告，不得篡改或者伪造检测报告。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供应商应保证所提供的服务或其任何一部分不会侵犯任何第三方的专利权、商标权或著作权。</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接受项目行业管理部门及政府有关部门的指导，接受采购人的监督。</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供应商定期及时向采购人通告本项目服务范围内有关服务的重大事项及其进度。</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安全要求：供应商严格遵守《中华人民共和国安全生产法》、《四川省安全生产条例》等法律法规的规定，供应商在</w:t>
            </w:r>
            <w:r>
              <w:rPr>
                <w:rFonts w:ascii="仿宋_GB2312" w:hAnsi="仿宋_GB2312" w:cs="仿宋_GB2312" w:eastAsia="仿宋_GB2312"/>
                <w:sz w:val="24"/>
              </w:rPr>
              <w:t>合同履约</w:t>
            </w:r>
            <w:r>
              <w:rPr>
                <w:rFonts w:ascii="仿宋_GB2312" w:hAnsi="仿宋_GB2312" w:cs="仿宋_GB2312" w:eastAsia="仿宋_GB2312"/>
                <w:sz w:val="24"/>
              </w:rPr>
              <w:t>过程中发生的任何交通、生产事故造成财产损失或人员伤亡的，以及与其他第三方发生的任何纠纷或事故，由供应商承担全部责任，采购人不承担任何责任和费用。（单独提供承诺函并签章）</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出具的检测报告必须符合国家规范要求，并依据相应的标准规范对检测结果进行判定，确保检测结果客观、公正、科学、准确。</w:t>
            </w:r>
          </w:p>
          <w:p>
            <w:pPr>
              <w:pStyle w:val="null3"/>
              <w:ind w:firstLine="480"/>
              <w:jc w:val="left"/>
            </w:pPr>
            <w:r>
              <w:rPr>
                <w:rFonts w:ascii="仿宋_GB2312" w:hAnsi="仿宋_GB2312" w:cs="仿宋_GB2312" w:eastAsia="仿宋_GB2312"/>
                <w:sz w:val="24"/>
              </w:rPr>
              <w:t>8、成果文件：供应商提交符合本项目要求的检测报告，纸质报告4份，电子档1份。</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服务方案</w:t>
            </w:r>
          </w:p>
        </w:tc>
        <w:tc>
          <w:tcPr>
            <w:tcW w:type="dxa" w:w="5814"/>
          </w:tcPr>
          <w:p>
            <w:pPr>
              <w:pStyle w:val="null3"/>
              <w:ind w:firstLine="480"/>
              <w:jc w:val="left"/>
            </w:pPr>
            <w:r>
              <w:rPr>
                <w:rFonts w:ascii="仿宋_GB2312" w:hAnsi="仿宋_GB2312" w:cs="仿宋_GB2312" w:eastAsia="仿宋_GB2312"/>
                <w:sz w:val="24"/>
              </w:rPr>
              <w:t>1、根据供应商针对本项目提供的检测方案进行评审，包括①检测工作程序；②检测的内容、方法、检测频率；③检测手段、检测资料及分析报告的形成；④最终报告格式及内容；</w:t>
            </w:r>
            <w:r>
              <w:rPr>
                <w:rFonts w:ascii="仿宋_GB2312" w:hAnsi="仿宋_GB2312" w:cs="仿宋_GB2312" w:eastAsia="仿宋_GB2312"/>
                <w:sz w:val="24"/>
              </w:rPr>
              <w:t>4</w:t>
            </w:r>
            <w:r>
              <w:rPr>
                <w:rFonts w:ascii="仿宋_GB2312" w:hAnsi="仿宋_GB2312" w:cs="仿宋_GB2312" w:eastAsia="仿宋_GB2312"/>
                <w:sz w:val="24"/>
              </w:rPr>
              <w:t>项内容。</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根据供应商针对本项目提供的服务质量保障措施进行评审，包括</w:t>
            </w:r>
            <w:r>
              <w:rPr>
                <w:rFonts w:ascii="仿宋_GB2312" w:hAnsi="仿宋_GB2312" w:cs="仿宋_GB2312" w:eastAsia="仿宋_GB2312"/>
                <w:sz w:val="24"/>
              </w:rPr>
              <w:t>①保证检测质量的技术措施；②检测进度计划及保证检测进度的措施；③检测工作质量与服务保证措施；④检测工作进出场计划；⑤人员配置计划安排；⑥配合、协调工作计划；6项内容。</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根据供应商针对本项目提供的安全保障方案进行评审，包括</w:t>
            </w:r>
            <w:r>
              <w:rPr>
                <w:rFonts w:ascii="仿宋_GB2312" w:hAnsi="仿宋_GB2312" w:cs="仿宋_GB2312" w:eastAsia="仿宋_GB2312"/>
                <w:sz w:val="24"/>
              </w:rPr>
              <w:t>①安全管理制度；②项目安全生产实施细则；③应急预案；3项内容。</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根据供应商针对本项目提供的后续服务方案进行评审，包括</w:t>
            </w:r>
            <w:r>
              <w:rPr>
                <w:rFonts w:ascii="仿宋_GB2312" w:hAnsi="仿宋_GB2312" w:cs="仿宋_GB2312" w:eastAsia="仿宋_GB2312"/>
                <w:sz w:val="24"/>
              </w:rPr>
              <w:t>①后续服务安排方案；②后续服务人员配备；③后续服务响应时间及措施；3项内容。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履约能力</w:t>
            </w:r>
          </w:p>
        </w:tc>
        <w:tc>
          <w:tcPr>
            <w:tcW w:type="dxa" w:w="5814"/>
          </w:tcPr>
          <w:p>
            <w:pPr>
              <w:pStyle w:val="null3"/>
              <w:jc w:val="left"/>
            </w:pPr>
            <w:r>
              <w:rPr>
                <w:rFonts w:ascii="仿宋_GB2312" w:hAnsi="仿宋_GB2312" w:cs="仿宋_GB2312" w:eastAsia="仿宋_GB2312"/>
                <w:sz w:val="24"/>
              </w:rPr>
              <w:t>供应商提供自</w:t>
            </w:r>
            <w:r>
              <w:rPr>
                <w:rFonts w:ascii="仿宋_GB2312" w:hAnsi="仿宋_GB2312" w:cs="仿宋_GB2312" w:eastAsia="仿宋_GB2312"/>
                <w:sz w:val="24"/>
              </w:rPr>
              <w:t>2021年1月1日（含）以来类似项目业绩。</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服务团队</w:t>
            </w:r>
          </w:p>
        </w:tc>
        <w:tc>
          <w:tcPr>
            <w:tcW w:type="dxa" w:w="5814"/>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供应商为本项目拟派的项目负责人（</w:t>
            </w:r>
            <w:r>
              <w:rPr>
                <w:rFonts w:ascii="仿宋_GB2312" w:hAnsi="仿宋_GB2312" w:cs="仿宋_GB2312" w:eastAsia="仿宋_GB2312"/>
                <w:sz w:val="24"/>
              </w:rPr>
              <w:t xml:space="preserve">1人）；  </w:t>
            </w:r>
          </w:p>
          <w:p>
            <w:pPr>
              <w:pStyle w:val="null3"/>
              <w:ind w:firstLine="480"/>
              <w:jc w:val="left"/>
            </w:pPr>
            <w:r>
              <w:rPr>
                <w:rFonts w:ascii="仿宋_GB2312" w:hAnsi="仿宋_GB2312" w:cs="仿宋_GB2312" w:eastAsia="仿宋_GB2312"/>
                <w:sz w:val="24"/>
              </w:rPr>
              <w:t>2、供应商为本项目拟派的项目技术负责人（1人）；</w:t>
            </w:r>
          </w:p>
          <w:p>
            <w:pPr>
              <w:pStyle w:val="null3"/>
              <w:ind w:firstLine="480"/>
              <w:jc w:val="left"/>
            </w:pPr>
            <w:r>
              <w:rPr>
                <w:rFonts w:ascii="仿宋_GB2312" w:hAnsi="仿宋_GB2312" w:cs="仿宋_GB2312" w:eastAsia="仿宋_GB2312"/>
                <w:sz w:val="24"/>
              </w:rPr>
              <w:t>3、供应商为本项目拟派的其他检测人员（2人）。</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自合同签订之日起180日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验收由采购人组织，供应商配合进行。验收时如发现所提交的成果不符合标准及合同规定之情形者，采购人应做出详尽的现场记录，或由双方签署备忘录，此现场记录或备忘录可用作补充、缺失和整改的有效证据，由此产生的时间延误与有关费用由供应商承担，验收期限相应顺延；验收合格，双方签署验收报告；供应商凭验收报告办理剩余采购资金支付。验收不合格且拒不整改的，将不予支付剩余采购资金。</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1、签订合同后，成交供应商提供合法有效的正式发票后，达到付款条件起7日内，支付合同总金额的40.00%</w:t>
            </w:r>
          </w:p>
          <w:p>
            <w:pPr>
              <w:pStyle w:val="null3"/>
              <w:jc w:val="left"/>
            </w:pPr>
            <w:r>
              <w:rPr>
                <w:rFonts w:ascii="仿宋_GB2312" w:hAnsi="仿宋_GB2312" w:cs="仿宋_GB2312" w:eastAsia="仿宋_GB2312"/>
              </w:rPr>
              <w:t>2、合同履约完成、提交检测报告并验收合格后，达到付款条件起10日内，支付合同总金额的60.00%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供应商必须遵守采购合同并执行合同中的各项规定，保证采购合同的正常履行。（2）如因供应商工作人员在履行职务过程中的疏忽、失职、过错等故意或者过失原因给采购人造成损失或侵害，包括但不限于采购人本身的财产损失、由此而导致的采购对任何第三方的法律责任等，供应商对此均应承担全部的赔偿责任。（3）供应商必须遵守采购合同按时完成合同相关工作，若由于供应商原因导致合同迟延履行，供应商应承担采购合同中约定的违约金。（4）供应商应当遵守采购人的相关项目需求及相关技术、服务要求及实质性条款，若供应商未履行采购合同，采购人有权向供应商要求赔偿合同总价款20%的违约金，若造成相关损失的，采购人有权要求供应商承担所有赔偿责任。（5）有下列情形之一的，当事人可解除合同： 1）因不可抗力致使不能实现合同目的（同于非供应商或采购人原因，致使合同实质性条款无法实现的）；2）当事人一方迟延履行主要合同，经催告后在合理期限内仍未履行；3）当事人一方迟延履行合同或者有其他违约行为致使不能实现合同目的；4）法律规定的其他情形。 2、解决争议的方法：合同履行期间，若双方发生争议，可协商或由有关部门调解解决，协商或调解不成的，向采购人所在地人民法院起诉。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★1、本项目报价不能超过最高限价，否则按无效投标处理。★ 2、本采购文件中所引相关法律制度规定，在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采购文件不再做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“3.2.技术要求”，“3.3.服务要求”中实质性要求条款</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可根据自身实际情况提供以下任意一项：（1）供应商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提交投标文件截止之日前不足一年的，也可提供在相关主管部门备案的公司章程等证明材料。供应商需在使用投标（响应）客户端编制投标文件时，按要求上传相应证明材料并进行电子签章。（2）供应商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交通行政主管部门颁发的公路工程综合甲级工程试验检测资质或公路工程桥梁隧道工程专项试验检测资质；并具有相关部门颁发的在有效期内的《检验检测机构资质认定证书》（CMA）（响应时提供有效期内的相关资质证书扫描件）。</w:t>
            </w:r>
          </w:p>
        </w:tc>
        <w:tc>
          <w:tcPr>
            <w:tcW w:type="dxa" w:w="3322"/>
          </w:tcPr>
          <w:p>
            <w:pPr>
              <w:pStyle w:val="null3"/>
              <w:jc w:val="left"/>
            </w:pPr>
            <w:r>
              <w:rPr>
                <w:rFonts w:ascii="仿宋_GB2312" w:hAnsi="仿宋_GB2312" w:cs="仿宋_GB2312" w:eastAsia="仿宋_GB2312"/>
              </w:rPr>
              <w:t>供应商须具有交通行政主管部门颁发的公路工程综合甲级工程试验检测资质或公路工程桥梁隧道工程专项试验检测资质；并具有相关部门颁发的在有效期内的《检验检测机构资质认定证书》（CMA）（响应时提供有效期内的相关资质证书扫描件）。</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采购文件要求的实质性要求</w:t>
            </w:r>
          </w:p>
        </w:tc>
        <w:tc>
          <w:tcPr>
            <w:tcW w:type="dxa" w:w="3322"/>
          </w:tcPr>
          <w:p>
            <w:pPr>
              <w:pStyle w:val="null3"/>
              <w:jc w:val="left"/>
            </w:pPr>
            <w:r>
              <w:rPr>
                <w:rFonts w:ascii="仿宋_GB2312" w:hAnsi="仿宋_GB2312" w:cs="仿宋_GB2312" w:eastAsia="仿宋_GB2312"/>
              </w:rPr>
              <w:t>第三章 技术要求、服务要求及其他要求中的所有实质性要求，供应商应按照要求响应实质性要求及条款。</w:t>
            </w:r>
          </w:p>
        </w:tc>
        <w:tc>
          <w:tcPr>
            <w:tcW w:type="dxa" w:w="1910"/>
          </w:tcPr>
          <w:p>
            <w:pPr>
              <w:pStyle w:val="null3"/>
              <w:jc w:val="left"/>
            </w:pPr>
            <w:r>
              <w:rPr>
                <w:rFonts w:ascii="仿宋_GB2312" w:hAnsi="仿宋_GB2312" w:cs="仿宋_GB2312" w:eastAsia="仿宋_GB2312"/>
              </w:rPr>
              <w:t>技术要求.docx,供应商应提交的相关证明材料,服务应答表,报价表,投标（响应）函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检测方案、服务质量保障措施、安全保障方案、后续服务方案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检测方案</w:t>
            </w:r>
          </w:p>
        </w:tc>
        <w:tc>
          <w:tcPr>
            <w:tcW w:type="dxa" w:w="2575"/>
          </w:tcPr>
          <w:p>
            <w:pPr>
              <w:pStyle w:val="null3"/>
              <w:jc w:val="left"/>
            </w:pPr>
            <w:r>
              <w:rPr>
                <w:rFonts w:ascii="仿宋_GB2312" w:hAnsi="仿宋_GB2312" w:cs="仿宋_GB2312" w:eastAsia="仿宋_GB2312"/>
              </w:rPr>
              <w:t>根据供应商针对本项目提供的检测方案进行评审，包括①检测工作程序；②检测的内容、方法、检测频率；③检测手段、检测资料及分析报告的形成；④最终报告格式及内容；4项内容。每有一项内容得6分，最多得24分。每一项内容中每出现一处存在错误或不足的扣3分，该方面分值扣完为止。 说明：（1）只是简单的复制采购需求内容而没有具体详细阐述的按照错误或不足处理。（2）错误或不足是指：非专门针对本项目或与本项目需求不匹配的情形；方案内容脱离项目实际情况；方案内容与采购需求不符合；涉及的规范及标准错误；项目信息错误；方案内容缺乏落地执行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检测方案.docx</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575"/>
          </w:tcPr>
          <w:p>
            <w:pPr>
              <w:pStyle w:val="null3"/>
              <w:jc w:val="left"/>
            </w:pPr>
            <w:r>
              <w:rPr>
                <w:rFonts w:ascii="仿宋_GB2312" w:hAnsi="仿宋_GB2312" w:cs="仿宋_GB2312" w:eastAsia="仿宋_GB2312"/>
              </w:rPr>
              <w:t>根据供应商针对本项目提供的服务质量保障措施进行评审，包括①保证检测质量的技术措施；②检测进度计划及保证检测进度的措施；③检测工作质量与服务保证措施；④检测工作进出场计划；⑤人员配置计划安排；⑥配合、协调工作计划；6项内容。每有一项内容得4分，最多得24分。每一项内容中每出现一处存在错误或不足的扣2分，该方面分值扣完为止。 说明：（1）只是简单的复制采购需求内容而没有具体详细阐述的按照错误或不足处理。（2）错误或不足是指：非专门针对本项目或与本项目需求不匹配的情形；方案内容脱离项目实际情况；方案内容与采购需求不符合；涉及的规范及标准错误；项目信息错误；方案内容缺乏落地执行等任意一种情形。</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服务质量保障措施.docx</w:t>
            </w:r>
          </w:p>
        </w:tc>
      </w:tr>
      <w:tr>
        <w:tc>
          <w:tcPr>
            <w:tcW w:type="dxa" w:w="831"/>
            <w:vMerge/>
          </w:tcPr>
          <w:p/>
        </w:tc>
        <w:tc>
          <w:tcPr>
            <w:tcW w:type="dxa" w:w="1661"/>
          </w:tcPr>
          <w:p>
            <w:pPr>
              <w:pStyle w:val="null3"/>
              <w:jc w:val="left"/>
            </w:pPr>
            <w:r>
              <w:rPr>
                <w:rFonts w:ascii="仿宋_GB2312" w:hAnsi="仿宋_GB2312" w:cs="仿宋_GB2312" w:eastAsia="仿宋_GB2312"/>
              </w:rPr>
              <w:t>安全保障方案</w:t>
            </w:r>
          </w:p>
        </w:tc>
        <w:tc>
          <w:tcPr>
            <w:tcW w:type="dxa" w:w="2575"/>
          </w:tcPr>
          <w:p>
            <w:pPr>
              <w:pStyle w:val="null3"/>
              <w:jc w:val="left"/>
            </w:pPr>
            <w:r>
              <w:rPr>
                <w:rFonts w:ascii="仿宋_GB2312" w:hAnsi="仿宋_GB2312" w:cs="仿宋_GB2312" w:eastAsia="仿宋_GB2312"/>
              </w:rPr>
              <w:t>根据供应商针对本项目提供的安全保障方案进行评审，包括①安全管理制度；②项目安全生产实施细则；③应急预案；3项内容。每有一项内容得3分，最多得9分。每一项内容中每出现一处存在错误或不足的扣1.5分，该方面分值扣完为止。 说明：（1）只是简单的复制采购需求内容而没有具体详细阐述的按照错误或不足处理。（2）错误或不足是指：非专门针对本项目或与本项目需求不匹配的情形；方案内容脱离项目实际情况；方案内容与采购需求不符合；涉及的规范及标准错误；项目信息错误；方案内容缺乏落地执行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安全保障方案.docx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针对本项目提供的后续服务方案进行评审，包括①后续服务安排方案；②后续服务人员配备；③后续服务响应时间及措施；3项内容。每有一项内容得3分，最多得9分。每一项内容中每出现一处存在错误或不足的扣1.5分，该方面分值扣完为止。 说明：（1）只是简单的复制采购需求内容而没有具体详细阐述的按照错误或不足处理。（2）错误或不足是指：非专门针对本项目或与本项目需求不匹配的情形；方案内容脱离项目实际情况；方案内容与采购需求不符合；涉及的规范及标准错误；项目信息错误；方案内容缺乏落地执行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供应商自2021年1月1日（含）以来，每有一个类似项目业绩得2.5分，本项最多得5分。 注：提供中标（成交）通知书或服务合同复印件并进行电子签章，不提供不得分。</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履约经验.docx</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575"/>
          </w:tcPr>
          <w:p>
            <w:pPr>
              <w:pStyle w:val="null3"/>
              <w:jc w:val="left"/>
            </w:pPr>
            <w:r>
              <w:rPr>
                <w:rFonts w:ascii="仿宋_GB2312" w:hAnsi="仿宋_GB2312" w:cs="仿宋_GB2312" w:eastAsia="仿宋_GB2312"/>
              </w:rPr>
              <w:t>1、供应商为本项目拟派的项目负责人（1人）：具有交通行政主管部门颁发的试验检测工程师（桥梁隧道（道路））或试验检测工程师（公路）或试验检测师（道路工程）资格证书的得3分，同时具有公路工程相关专业中级技术职称的加1分，具有公路工程相关专业副高级及以上技术职称的加2分。本项最多得5分。（提供人员相关证书复印件）。 2、供应商为本项目拟派的项目技术负责人（1人）：具有交通行政主管部门颁发的试验检测工程师（桥梁隧道（道路））资格证书的得3分，同时具有公路工程相关专业中级技术职称的加1分，具有公路工程相关专业副高级及以上技术职称的加2分。本项最多得5分。（提供人员相关证书复印件）。 3、供应商为本项目拟派的其他检测人员（2人） 每拟派1名具有交通行政主管部门颁发的试验检测员（公路或材料）及以上资格证书或助理试验检测师（道路工程）及以上资格证书的人员得2分，本项最高得4分。（提供人员相关证书复印件）。 注：1、以上人员需提供以下证明资料并加盖供应商（法定名称）电子签章：①按上述要求提供对应人员相关证书复印件；②提供对应人员的身份证复印件；③提供对应人员的就职证明材料。2、以上人员不能重复计分。3、证书以最高级别计取，不重复得分。</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服务团队.docx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详见附件：安全保障方案.docx</w:t>
      </w:r>
    </w:p>
    <w:p>
      <w:pPr>
        <w:pStyle w:val="null3"/>
        <w:ind w:firstLine="960"/>
        <w:jc w:val="left"/>
      </w:pPr>
      <w:r>
        <w:rPr>
          <w:rFonts w:ascii="仿宋_GB2312" w:hAnsi="仿宋_GB2312" w:cs="仿宋_GB2312" w:eastAsia="仿宋_GB2312"/>
        </w:rPr>
        <w:t>详见附件：服务团队.docx</w:t>
      </w:r>
    </w:p>
    <w:p>
      <w:pPr>
        <w:pStyle w:val="null3"/>
        <w:ind w:firstLine="960"/>
        <w:jc w:val="left"/>
      </w:pPr>
      <w:r>
        <w:rPr>
          <w:rFonts w:ascii="仿宋_GB2312" w:hAnsi="仿宋_GB2312" w:cs="仿宋_GB2312" w:eastAsia="仿宋_GB2312"/>
        </w:rPr>
        <w:t>详见附件：服务质量保障措施.docx</w:t>
      </w:r>
    </w:p>
    <w:p>
      <w:pPr>
        <w:pStyle w:val="null3"/>
        <w:ind w:firstLine="960"/>
        <w:jc w:val="left"/>
      </w:pPr>
      <w:r>
        <w:rPr>
          <w:rFonts w:ascii="仿宋_GB2312" w:hAnsi="仿宋_GB2312" w:cs="仿宋_GB2312" w:eastAsia="仿宋_GB2312"/>
        </w:rPr>
        <w:t>详见附件：后续服务方案.docx</w:t>
      </w:r>
    </w:p>
    <w:p>
      <w:pPr>
        <w:pStyle w:val="null3"/>
        <w:ind w:firstLine="960"/>
        <w:jc w:val="left"/>
      </w:pPr>
      <w:r>
        <w:rPr>
          <w:rFonts w:ascii="仿宋_GB2312" w:hAnsi="仿宋_GB2312" w:cs="仿宋_GB2312" w:eastAsia="仿宋_GB2312"/>
        </w:rPr>
        <w:t>详见附件：技术要求.docx</w:t>
      </w:r>
    </w:p>
    <w:p>
      <w:pPr>
        <w:pStyle w:val="null3"/>
        <w:ind w:firstLine="960"/>
        <w:jc w:val="left"/>
      </w:pPr>
      <w:r>
        <w:rPr>
          <w:rFonts w:ascii="仿宋_GB2312" w:hAnsi="仿宋_GB2312" w:cs="仿宋_GB2312" w:eastAsia="仿宋_GB2312"/>
        </w:rPr>
        <w:t>详见附件：检测方案.docx</w:t>
      </w:r>
    </w:p>
    <w:p>
      <w:pPr>
        <w:pStyle w:val="null3"/>
        <w:ind w:firstLine="960"/>
        <w:jc w:val="left"/>
      </w:pPr>
      <w:r>
        <w:rPr>
          <w:rFonts w:ascii="仿宋_GB2312" w:hAnsi="仿宋_GB2312" w:cs="仿宋_GB2312" w:eastAsia="仿宋_GB2312"/>
        </w:rPr>
        <w:t>详见附件：履约经验.docx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