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C8CE6B">
      <w:pPr>
        <w:pStyle w:val="8"/>
        <w:spacing w:line="360" w:lineRule="exact"/>
        <w:ind w:firstLine="480" w:firstLineChars="200"/>
        <w:jc w:val="center"/>
        <w:outlineLvl w:val="2"/>
        <w:rPr>
          <w:rFonts w:hint="eastAsia" w:asciiTheme="minorEastAsia" w:hAnsiTheme="minorEastAsia" w:eastAsiaTheme="minorEastAsia" w:cstheme="minorEastAsia"/>
          <w:i w:val="0"/>
          <w:iCs w:val="0"/>
          <w:sz w:val="24"/>
          <w:szCs w:val="24"/>
          <w:highlight w:val="none"/>
          <w:u w:val="none"/>
          <w:lang w:eastAsia="zh-CN"/>
        </w:rPr>
      </w:pPr>
      <w:r>
        <w:rPr>
          <w:rFonts w:hint="eastAsia" w:asciiTheme="minorEastAsia" w:hAnsiTheme="minorEastAsia" w:eastAsiaTheme="minorEastAsia" w:cstheme="minorEastAsia"/>
          <w:i w:val="0"/>
          <w:iCs w:val="0"/>
          <w:sz w:val="24"/>
          <w:szCs w:val="24"/>
          <w:highlight w:val="none"/>
          <w:u w:val="none"/>
        </w:rPr>
        <w:t>合同文本的主要条款</w:t>
      </w:r>
    </w:p>
    <w:p w14:paraId="39FD791F">
      <w:pPr>
        <w:pStyle w:val="9"/>
        <w:ind w:firstLine="0" w:firstLineChars="0"/>
        <w:rPr>
          <w:rFonts w:hint="eastAsia"/>
          <w:color w:val="auto"/>
          <w:highlight w:val="none"/>
        </w:rPr>
      </w:pPr>
    </w:p>
    <w:p w14:paraId="6C5660B6">
      <w:pPr>
        <w:pStyle w:val="9"/>
        <w:pageBreakBefore w:val="0"/>
        <w:kinsoku/>
        <w:overflowPunct/>
        <w:bidi w:val="0"/>
        <w:spacing w:line="360" w:lineRule="auto"/>
        <w:ind w:leftChars="0"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合同编号：</w:t>
      </w:r>
    </w:p>
    <w:p w14:paraId="3ADF46D3">
      <w:pPr>
        <w:pStyle w:val="9"/>
        <w:pageBreakBefore w:val="0"/>
        <w:kinsoku/>
        <w:overflowPunct/>
        <w:bidi w:val="0"/>
        <w:spacing w:line="360" w:lineRule="auto"/>
        <w:ind w:leftChars="0"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签订地点： </w:t>
      </w:r>
    </w:p>
    <w:p w14:paraId="23B20127">
      <w:pPr>
        <w:pStyle w:val="9"/>
        <w:pageBreakBefore w:val="0"/>
        <w:kinsoku/>
        <w:overflowPunct/>
        <w:bidi w:val="0"/>
        <w:spacing w:line="360" w:lineRule="auto"/>
        <w:ind w:leftChars="0"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签订时间：     年   月   日</w:t>
      </w:r>
    </w:p>
    <w:p w14:paraId="5864DFE8">
      <w:pPr>
        <w:pStyle w:val="9"/>
        <w:pageBreakBefore w:val="0"/>
        <w:kinsoku/>
        <w:overflowPunct/>
        <w:bidi w:val="0"/>
        <w:spacing w:line="360" w:lineRule="auto"/>
        <w:ind w:leftChars="0"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采购人(甲方)：</w:t>
      </w:r>
      <w:r>
        <w:rPr>
          <w:rFonts w:hint="eastAsia" w:ascii="宋体" w:hAnsi="宋体" w:eastAsia="宋体" w:cs="宋体"/>
          <w:color w:val="auto"/>
          <w:sz w:val="24"/>
          <w:szCs w:val="24"/>
          <w:highlight w:val="none"/>
          <w:u w:val="single"/>
        </w:rPr>
        <w:t xml:space="preserve">                     </w:t>
      </w:r>
    </w:p>
    <w:p w14:paraId="28495A53">
      <w:pPr>
        <w:pStyle w:val="9"/>
        <w:pageBreakBefore w:val="0"/>
        <w:kinsoku/>
        <w:overflowPunct/>
        <w:bidi w:val="0"/>
        <w:spacing w:line="360" w:lineRule="auto"/>
        <w:ind w:leftChars="0" w:firstLine="0" w:firstLineChars="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供应商(乙方)： </w:t>
      </w:r>
      <w:r>
        <w:rPr>
          <w:rFonts w:hint="eastAsia" w:ascii="宋体" w:hAnsi="宋体" w:eastAsia="宋体" w:cs="宋体"/>
          <w:color w:val="auto"/>
          <w:sz w:val="24"/>
          <w:szCs w:val="24"/>
          <w:highlight w:val="none"/>
          <w:u w:val="single"/>
        </w:rPr>
        <w:t xml:space="preserve">                    </w:t>
      </w:r>
    </w:p>
    <w:p w14:paraId="161CA59E">
      <w:pPr>
        <w:pStyle w:val="9"/>
        <w:pageBreakBefore w:val="0"/>
        <w:kinsoku/>
        <w:overflowPunct/>
        <w:bidi w:val="0"/>
        <w:spacing w:line="360" w:lineRule="auto"/>
        <w:ind w:leftChars="0" w:firstLine="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u w:val="none"/>
          <w:lang w:val="en-US" w:eastAsia="zh-CN"/>
        </w:rPr>
        <w:t>合同编号：</w:t>
      </w:r>
      <w:r>
        <w:rPr>
          <w:rFonts w:hint="eastAsia" w:ascii="宋体" w:hAnsi="宋体" w:eastAsia="宋体" w:cs="宋体"/>
          <w:color w:val="auto"/>
          <w:sz w:val="24"/>
          <w:szCs w:val="24"/>
          <w:highlight w:val="none"/>
          <w:u w:val="single"/>
        </w:rPr>
        <w:t xml:space="preserve">                    </w:t>
      </w:r>
    </w:p>
    <w:p w14:paraId="162D8F69">
      <w:pPr>
        <w:pStyle w:val="9"/>
        <w:pageBreakBefore w:val="0"/>
        <w:kinsoku/>
        <w:overflowPunct/>
        <w:bidi w:val="0"/>
        <w:spacing w:line="360" w:lineRule="auto"/>
        <w:ind w:leftChars="0" w:firstLine="480"/>
        <w:textAlignment w:val="auto"/>
        <w:rPr>
          <w:rFonts w:hint="eastAsia" w:ascii="宋体" w:hAnsi="宋体" w:eastAsia="宋体" w:cs="宋体"/>
          <w:color w:val="auto"/>
          <w:sz w:val="24"/>
          <w:szCs w:val="24"/>
          <w:highlight w:val="none"/>
        </w:rPr>
      </w:pPr>
    </w:p>
    <w:p w14:paraId="5002F009">
      <w:pPr>
        <w:pStyle w:val="9"/>
        <w:keepNext w:val="0"/>
        <w:keepLines w:val="0"/>
        <w:pageBreakBefore w:val="0"/>
        <w:widowControl w:val="0"/>
        <w:kinsoku/>
        <w:wordWrap/>
        <w:overflowPunct/>
        <w:topLinePunct w:val="0"/>
        <w:autoSpaceDE/>
        <w:autoSpaceDN/>
        <w:bidi w:val="0"/>
        <w:adjustRightInd w:val="0"/>
        <w:snapToGrid w:val="0"/>
        <w:spacing w:line="360" w:lineRule="auto"/>
        <w:ind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根据《中华人民共和国政府采购法》《中华人民共和国</w:t>
      </w:r>
      <w:r>
        <w:rPr>
          <w:rFonts w:hint="eastAsia" w:ascii="宋体" w:hAnsi="宋体" w:eastAsia="宋体" w:cs="宋体"/>
          <w:color w:val="auto"/>
          <w:sz w:val="24"/>
          <w:szCs w:val="24"/>
          <w:highlight w:val="none"/>
          <w:lang w:val="en-US" w:eastAsia="zh-CN"/>
        </w:rPr>
        <w:t>民法典</w:t>
      </w:r>
      <w:r>
        <w:rPr>
          <w:rFonts w:hint="eastAsia" w:ascii="宋体" w:hAnsi="宋体" w:eastAsia="宋体" w:cs="宋体"/>
          <w:color w:val="auto"/>
          <w:sz w:val="24"/>
          <w:szCs w:val="24"/>
          <w:highlight w:val="none"/>
        </w:rPr>
        <w:t>》与项目行业有关法律法规，以及</w:t>
      </w:r>
      <w:r>
        <w:rPr>
          <w:rFonts w:hint="eastAsia" w:cs="宋体"/>
          <w:b/>
          <w:bCs/>
          <w:color w:val="auto"/>
          <w:sz w:val="24"/>
          <w:szCs w:val="24"/>
          <w:highlight w:val="none"/>
          <w:lang w:val="zh-TW" w:eastAsia="zh-CN"/>
        </w:rPr>
        <w:t>国道351夹金山隧道工程土建交工检测</w:t>
      </w:r>
      <w:r>
        <w:rPr>
          <w:rFonts w:hint="eastAsia" w:ascii="宋体" w:hAnsi="宋体" w:eastAsia="宋体" w:cs="宋体"/>
          <w:color w:val="FF0000"/>
          <w:sz w:val="24"/>
          <w:szCs w:val="24"/>
          <w:highlight w:val="none"/>
        </w:rPr>
        <w:t xml:space="preserve"> </w:t>
      </w:r>
      <w:r>
        <w:rPr>
          <w:rFonts w:hint="eastAsia" w:ascii="宋体" w:hAnsi="宋体" w:eastAsia="宋体" w:cs="宋体"/>
          <w:b/>
          <w:bCs/>
          <w:color w:val="auto"/>
          <w:sz w:val="24"/>
          <w:szCs w:val="24"/>
          <w:highlight w:val="none"/>
        </w:rPr>
        <w:t>(项目编号：N5118012025000055</w:t>
      </w: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val="en-US" w:eastAsia="zh-CN"/>
        </w:rPr>
        <w:t>磋商文件</w:t>
      </w:r>
      <w:r>
        <w:rPr>
          <w:rFonts w:hint="eastAsia" w:ascii="宋体" w:hAnsi="宋体" w:eastAsia="宋体" w:cs="宋体"/>
          <w:color w:val="auto"/>
          <w:sz w:val="24"/>
          <w:szCs w:val="24"/>
          <w:highlight w:val="none"/>
        </w:rPr>
        <w:t>》、乙方的《</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》及《</w:t>
      </w:r>
      <w:r>
        <w:rPr>
          <w:rFonts w:hint="eastAsia" w:ascii="宋体" w:hAnsi="宋体" w:eastAsia="宋体" w:cs="宋体"/>
          <w:color w:val="auto"/>
          <w:sz w:val="24"/>
          <w:szCs w:val="24"/>
          <w:highlight w:val="none"/>
          <w:lang w:val="en-US" w:eastAsia="zh-CN"/>
        </w:rPr>
        <w:t>成交/中标</w:t>
      </w:r>
      <w:r>
        <w:rPr>
          <w:rFonts w:hint="eastAsia" w:ascii="宋体" w:hAnsi="宋体" w:eastAsia="宋体" w:cs="宋体"/>
          <w:color w:val="auto"/>
          <w:sz w:val="24"/>
          <w:szCs w:val="24"/>
          <w:highlight w:val="none"/>
        </w:rPr>
        <w:t>通知书》，甲、乙双方同意签订本合同。详细技术说明及其他有关合同项目的特定信息由合同附件予以说明，合同附件及本项目的《</w:t>
      </w:r>
      <w:r>
        <w:rPr>
          <w:rFonts w:hint="eastAsia" w:ascii="宋体" w:hAnsi="宋体" w:eastAsia="宋体" w:cs="宋体"/>
          <w:color w:val="auto"/>
          <w:sz w:val="24"/>
          <w:szCs w:val="24"/>
          <w:highlight w:val="none"/>
          <w:lang w:val="en-US" w:eastAsia="zh-CN"/>
        </w:rPr>
        <w:t>磋商文件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成交/中标</w:t>
      </w:r>
      <w:r>
        <w:rPr>
          <w:rFonts w:hint="eastAsia" w:ascii="宋体" w:hAnsi="宋体" w:eastAsia="宋体" w:cs="宋体"/>
          <w:color w:val="auto"/>
          <w:sz w:val="24"/>
          <w:szCs w:val="24"/>
          <w:highlight w:val="none"/>
        </w:rPr>
        <w:t>通知书》等均为本合同不可分割的部分。双方同意共同遵守如下条款：</w:t>
      </w:r>
    </w:p>
    <w:p w14:paraId="2ED0A1AA">
      <w:pPr>
        <w:pStyle w:val="9"/>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lang w:val="en-US" w:eastAsia="zh-CN"/>
        </w:rPr>
        <w:t>第一条 项目基本情况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3"/>
        <w:gridCol w:w="3306"/>
        <w:gridCol w:w="1532"/>
        <w:gridCol w:w="1373"/>
        <w:gridCol w:w="2664"/>
      </w:tblGrid>
      <w:tr w14:paraId="280A3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83" w:type="dxa"/>
            <w:vAlign w:val="center"/>
          </w:tcPr>
          <w:p w14:paraId="18085940">
            <w:pPr>
              <w:pStyle w:val="10"/>
              <w:pageBreakBefore w:val="0"/>
              <w:kinsoku/>
              <w:overflowPunct/>
              <w:bidi w:val="0"/>
              <w:spacing w:line="360" w:lineRule="auto"/>
              <w:ind w:leftChars="0"/>
              <w:jc w:val="center"/>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序号</w:t>
            </w:r>
          </w:p>
        </w:tc>
        <w:tc>
          <w:tcPr>
            <w:tcW w:w="3306" w:type="dxa"/>
            <w:vAlign w:val="center"/>
          </w:tcPr>
          <w:p w14:paraId="4A71C69C">
            <w:pPr>
              <w:pStyle w:val="10"/>
              <w:pageBreakBefore w:val="0"/>
              <w:kinsoku/>
              <w:overflowPunct/>
              <w:bidi w:val="0"/>
              <w:spacing w:line="360" w:lineRule="auto"/>
              <w:ind w:leftChars="0"/>
              <w:jc w:val="center"/>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服务名称</w:t>
            </w:r>
          </w:p>
        </w:tc>
        <w:tc>
          <w:tcPr>
            <w:tcW w:w="1532" w:type="dxa"/>
            <w:vAlign w:val="center"/>
          </w:tcPr>
          <w:p w14:paraId="52A61BB5">
            <w:pPr>
              <w:pStyle w:val="10"/>
              <w:pageBreakBefore w:val="0"/>
              <w:kinsoku/>
              <w:overflowPunct/>
              <w:bidi w:val="0"/>
              <w:spacing w:line="360" w:lineRule="auto"/>
              <w:ind w:leftChars="0"/>
              <w:jc w:val="center"/>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数量</w:t>
            </w:r>
          </w:p>
        </w:tc>
        <w:tc>
          <w:tcPr>
            <w:tcW w:w="1373" w:type="dxa"/>
            <w:vAlign w:val="center"/>
          </w:tcPr>
          <w:p w14:paraId="0EAF3733">
            <w:pPr>
              <w:pStyle w:val="10"/>
              <w:pageBreakBefore w:val="0"/>
              <w:kinsoku/>
              <w:overflowPunct/>
              <w:bidi w:val="0"/>
              <w:spacing w:line="360" w:lineRule="auto"/>
              <w:ind w:leftChars="0"/>
              <w:jc w:val="center"/>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单位</w:t>
            </w:r>
          </w:p>
        </w:tc>
        <w:tc>
          <w:tcPr>
            <w:tcW w:w="2664" w:type="dxa"/>
            <w:vAlign w:val="center"/>
          </w:tcPr>
          <w:p w14:paraId="60CEB28B">
            <w:pPr>
              <w:pStyle w:val="10"/>
              <w:pageBreakBefore w:val="0"/>
              <w:kinsoku/>
              <w:overflowPunct/>
              <w:bidi w:val="0"/>
              <w:spacing w:line="360" w:lineRule="auto"/>
              <w:ind w:leftChars="0"/>
              <w:jc w:val="center"/>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总价</w:t>
            </w:r>
            <w:r>
              <w:rPr>
                <w:rFonts w:hint="eastAsia" w:ascii="宋体" w:hAnsi="宋体" w:cs="宋体"/>
                <w:sz w:val="24"/>
                <w:szCs w:val="24"/>
                <w:vertAlign w:val="baseline"/>
                <w:lang w:val="en-US" w:eastAsia="zh-CN"/>
              </w:rPr>
              <w:t>（元）</w:t>
            </w:r>
          </w:p>
        </w:tc>
      </w:tr>
      <w:tr w14:paraId="664EB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1083" w:type="dxa"/>
            <w:vAlign w:val="center"/>
          </w:tcPr>
          <w:p w14:paraId="7E2221E0">
            <w:pPr>
              <w:pStyle w:val="10"/>
              <w:pageBreakBefore w:val="0"/>
              <w:kinsoku/>
              <w:overflowPunct/>
              <w:bidi w:val="0"/>
              <w:spacing w:line="360" w:lineRule="auto"/>
              <w:ind w:leftChars="0"/>
              <w:jc w:val="center"/>
              <w:textAlignment w:val="auto"/>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1</w:t>
            </w:r>
          </w:p>
        </w:tc>
        <w:tc>
          <w:tcPr>
            <w:tcW w:w="3306" w:type="dxa"/>
            <w:vAlign w:val="center"/>
          </w:tcPr>
          <w:p w14:paraId="2B1DBCA9">
            <w:pPr>
              <w:pStyle w:val="10"/>
              <w:pageBreakBefore w:val="0"/>
              <w:kinsoku/>
              <w:overflowPunct/>
              <w:bidi w:val="0"/>
              <w:spacing w:line="360" w:lineRule="auto"/>
              <w:ind w:leftChars="0"/>
              <w:jc w:val="center"/>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lang w:val="zh-TW" w:eastAsia="zh-CN"/>
              </w:rPr>
              <w:t>国道351夹金山隧道工程土建交工检测</w:t>
            </w:r>
          </w:p>
        </w:tc>
        <w:tc>
          <w:tcPr>
            <w:tcW w:w="1532" w:type="dxa"/>
            <w:vAlign w:val="center"/>
          </w:tcPr>
          <w:p w14:paraId="7129A667">
            <w:pPr>
              <w:pStyle w:val="10"/>
              <w:pageBreakBefore w:val="0"/>
              <w:kinsoku/>
              <w:overflowPunct/>
              <w:bidi w:val="0"/>
              <w:spacing w:line="360" w:lineRule="auto"/>
              <w:ind w:leftChars="0"/>
              <w:jc w:val="center"/>
              <w:textAlignment w:val="auto"/>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1</w:t>
            </w:r>
          </w:p>
        </w:tc>
        <w:tc>
          <w:tcPr>
            <w:tcW w:w="1373" w:type="dxa"/>
            <w:vAlign w:val="center"/>
          </w:tcPr>
          <w:p w14:paraId="2C3CD00E">
            <w:pPr>
              <w:pStyle w:val="10"/>
              <w:pageBreakBefore w:val="0"/>
              <w:kinsoku/>
              <w:overflowPunct/>
              <w:bidi w:val="0"/>
              <w:spacing w:line="360" w:lineRule="auto"/>
              <w:ind w:leftChars="0"/>
              <w:jc w:val="center"/>
              <w:textAlignment w:val="auto"/>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项</w:t>
            </w:r>
          </w:p>
        </w:tc>
        <w:tc>
          <w:tcPr>
            <w:tcW w:w="2664" w:type="dxa"/>
            <w:vAlign w:val="center"/>
          </w:tcPr>
          <w:p w14:paraId="1195A43F">
            <w:pPr>
              <w:pStyle w:val="10"/>
              <w:pageBreakBefore w:val="0"/>
              <w:kinsoku/>
              <w:overflowPunct/>
              <w:bidi w:val="0"/>
              <w:spacing w:line="360" w:lineRule="auto"/>
              <w:ind w:leftChars="0"/>
              <w:jc w:val="center"/>
              <w:textAlignment w:val="auto"/>
              <w:rPr>
                <w:rFonts w:hint="eastAsia" w:ascii="宋体" w:hAnsi="宋体" w:eastAsia="宋体" w:cs="宋体"/>
                <w:sz w:val="24"/>
                <w:szCs w:val="24"/>
                <w:vertAlign w:val="baseline"/>
              </w:rPr>
            </w:pPr>
          </w:p>
        </w:tc>
      </w:tr>
    </w:tbl>
    <w:p w14:paraId="5BF68EC0">
      <w:pPr>
        <w:pStyle w:val="9"/>
        <w:pageBreakBefore w:val="0"/>
        <w:kinsoku/>
        <w:overflowPunct/>
        <w:autoSpaceDE/>
        <w:autoSpaceDN/>
        <w:bidi w:val="0"/>
        <w:spacing w:line="360" w:lineRule="auto"/>
        <w:ind w:leftChars="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第二条 </w:t>
      </w:r>
      <w:r>
        <w:rPr>
          <w:rFonts w:hint="eastAsia" w:ascii="宋体" w:hAnsi="宋体" w:eastAsia="宋体" w:cs="宋体"/>
          <w:b/>
          <w:bCs/>
          <w:color w:val="auto"/>
          <w:sz w:val="24"/>
          <w:szCs w:val="24"/>
          <w:highlight w:val="none"/>
        </w:rPr>
        <w:t>合同总价</w:t>
      </w:r>
    </w:p>
    <w:p w14:paraId="7E519478">
      <w:pPr>
        <w:pStyle w:val="9"/>
        <w:pageBreakBefore w:val="0"/>
        <w:kinsoku/>
        <w:overflowPunct/>
        <w:autoSpaceDE/>
        <w:autoSpaceDN/>
        <w:bidi w:val="0"/>
        <w:spacing w:line="360" w:lineRule="auto"/>
        <w:ind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合同总价为人民币大写：</w:t>
      </w:r>
      <w:r>
        <w:rPr>
          <w:rFonts w:hint="eastAsia"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元，即RMB¥</w:t>
      </w:r>
      <w:r>
        <w:rPr>
          <w:rFonts w:hint="eastAsia"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元；该合同总价已</w:t>
      </w:r>
      <w:r>
        <w:rPr>
          <w:rFonts w:hint="eastAsia" w:ascii="宋体" w:hAnsi="宋体" w:eastAsia="宋体" w:cs="宋体"/>
          <w:b w:val="0"/>
          <w:bCs/>
          <w:color w:val="auto"/>
          <w:sz w:val="24"/>
          <w:szCs w:val="24"/>
          <w:highlight w:val="none"/>
        </w:rPr>
        <w:t>包括</w:t>
      </w:r>
      <w:r>
        <w:rPr>
          <w:rFonts w:hint="eastAsia" w:ascii="宋体" w:hAnsi="宋体" w:eastAsia="宋体" w:cs="宋体"/>
          <w:b w:val="0"/>
          <w:bCs/>
          <w:color w:val="auto"/>
          <w:sz w:val="24"/>
          <w:szCs w:val="24"/>
          <w:highlight w:val="none"/>
          <w:lang w:val="en-US" w:eastAsia="zh-CN"/>
        </w:rPr>
        <w:t>服务费、</w:t>
      </w:r>
      <w:r>
        <w:rPr>
          <w:rFonts w:hint="eastAsia" w:ascii="宋体" w:hAnsi="宋体" w:eastAsia="宋体" w:cs="宋体"/>
          <w:b w:val="0"/>
          <w:bCs/>
          <w:color w:val="auto"/>
          <w:sz w:val="24"/>
          <w:szCs w:val="24"/>
          <w:highlight w:val="none"/>
          <w:lang w:eastAsia="zh-CN"/>
        </w:rPr>
        <w:t>人工劳务、差旅、</w:t>
      </w:r>
      <w:r>
        <w:rPr>
          <w:rFonts w:hint="eastAsia" w:ascii="宋体" w:hAnsi="宋体" w:eastAsia="宋体" w:cs="宋体"/>
          <w:b w:val="0"/>
          <w:bCs/>
          <w:color w:val="auto"/>
          <w:sz w:val="24"/>
          <w:szCs w:val="24"/>
          <w:highlight w:val="none"/>
          <w:lang w:val="en-US" w:eastAsia="zh-CN"/>
        </w:rPr>
        <w:t>税金、利润</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rPr>
        <w:t>招标代理</w:t>
      </w:r>
      <w:r>
        <w:rPr>
          <w:rFonts w:hint="eastAsia" w:ascii="宋体" w:hAnsi="宋体" w:eastAsia="宋体" w:cs="宋体"/>
          <w:b w:val="0"/>
          <w:bCs/>
          <w:color w:val="auto"/>
          <w:sz w:val="24"/>
          <w:szCs w:val="24"/>
          <w:highlight w:val="none"/>
          <w:lang w:val="en-US" w:eastAsia="zh-CN"/>
        </w:rPr>
        <w:t>服务</w:t>
      </w:r>
      <w:r>
        <w:rPr>
          <w:rFonts w:hint="eastAsia" w:ascii="宋体" w:hAnsi="宋体" w:eastAsia="宋体" w:cs="宋体"/>
          <w:b w:val="0"/>
          <w:bCs/>
          <w:color w:val="auto"/>
          <w:sz w:val="24"/>
          <w:szCs w:val="24"/>
          <w:highlight w:val="none"/>
        </w:rPr>
        <w:t>费</w:t>
      </w:r>
      <w:r>
        <w:rPr>
          <w:rFonts w:hint="eastAsia" w:ascii="宋体" w:hAnsi="宋体" w:eastAsia="宋体" w:cs="宋体"/>
          <w:b w:val="0"/>
          <w:bCs/>
          <w:color w:val="auto"/>
          <w:sz w:val="24"/>
          <w:szCs w:val="24"/>
          <w:highlight w:val="none"/>
          <w:lang w:eastAsia="zh-CN"/>
        </w:rPr>
        <w:t>等一切</w:t>
      </w:r>
      <w:r>
        <w:rPr>
          <w:rFonts w:hint="eastAsia" w:ascii="宋体" w:hAnsi="宋体" w:eastAsia="宋体" w:cs="宋体"/>
          <w:b w:val="0"/>
          <w:bCs/>
          <w:color w:val="auto"/>
          <w:sz w:val="24"/>
          <w:szCs w:val="24"/>
          <w:highlight w:val="none"/>
        </w:rPr>
        <w:t>费用</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本合同执行期间合同总价不变，甲方无须另向乙方支付本合同规定之外的其他任何费用。</w:t>
      </w:r>
    </w:p>
    <w:p w14:paraId="74E322CF">
      <w:pPr>
        <w:pStyle w:val="9"/>
        <w:pageBreakBefore w:val="0"/>
        <w:numPr>
          <w:ilvl w:val="0"/>
          <w:numId w:val="3"/>
        </w:numPr>
        <w:kinsoku/>
        <w:overflowPunct/>
        <w:autoSpaceDE/>
        <w:autoSpaceDN/>
        <w:bidi w:val="0"/>
        <w:spacing w:line="360" w:lineRule="auto"/>
        <w:ind w:leftChars="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服务要求</w:t>
      </w:r>
    </w:p>
    <w:p w14:paraId="391389CE">
      <w:pPr>
        <w:pStyle w:val="16"/>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应当建立健全档案制度，原始记录，检测报告内容必须清晰、完整、规范，保证档案齐备和检测数据可追溯。</w:t>
      </w:r>
    </w:p>
    <w:p w14:paraId="433E0CD3">
      <w:pPr>
        <w:pStyle w:val="16"/>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不得出具虚假检测报告，不得篡改或者伪造检测报告。</w:t>
      </w:r>
    </w:p>
    <w:p w14:paraId="10494791">
      <w:pPr>
        <w:pStyle w:val="16"/>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供应商应保证所提供的服务或其任何一部分不会侵犯任何第三方的专利权、商标权或著作权。</w:t>
      </w:r>
    </w:p>
    <w:p w14:paraId="37BEA38A">
      <w:pPr>
        <w:pStyle w:val="16"/>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接受项目行业管理部门及政府有关部门的指导，接受采购人的监督。</w:t>
      </w:r>
    </w:p>
    <w:p w14:paraId="6EA80FB2">
      <w:pPr>
        <w:pStyle w:val="16"/>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供应商定期及时向采购人通告本项目服务范围内有关服务的重大事项及其进度。</w:t>
      </w:r>
    </w:p>
    <w:p w14:paraId="3F647820">
      <w:pPr>
        <w:pStyle w:val="16"/>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安全要求：供应商严格遵守《中华人民共和国安全生产法》、《四川省安全生产条例》等法律法规的规定，供应商在</w:t>
      </w:r>
      <w:r>
        <w:rPr>
          <w:rFonts w:hint="eastAsia" w:ascii="宋体" w:hAnsi="宋体" w:eastAsia="宋体" w:cs="宋体"/>
          <w:color w:val="auto"/>
          <w:sz w:val="24"/>
          <w:szCs w:val="24"/>
          <w:highlight w:val="none"/>
          <w:lang w:val="en-US" w:eastAsia="zh-CN"/>
        </w:rPr>
        <w:t>合同履约</w:t>
      </w:r>
      <w:r>
        <w:rPr>
          <w:rFonts w:hint="eastAsia" w:ascii="宋体" w:hAnsi="宋体" w:eastAsia="宋体" w:cs="宋体"/>
          <w:color w:val="auto"/>
          <w:sz w:val="24"/>
          <w:szCs w:val="24"/>
          <w:highlight w:val="none"/>
        </w:rPr>
        <w:t>过程中发生的任何交通、生产事故造成财产损失或人员伤亡的，以及与其他第三方发生的任何纠纷或事故，由供应商承担全部责任，采购人不承担任何责任和费用。（单独提供承诺函并签章）</w:t>
      </w:r>
    </w:p>
    <w:p w14:paraId="6DEB2B24">
      <w:pPr>
        <w:pStyle w:val="16"/>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出具的检测报告必须符合国家规范要求，并依据相应的标准规范对检测结果进行判定，确保检测结果客观、公正、科学、准确。</w:t>
      </w:r>
    </w:p>
    <w:p w14:paraId="56A94306">
      <w:pPr>
        <w:pStyle w:val="9"/>
        <w:pageBreakBefore w:val="0"/>
        <w:numPr>
          <w:ilvl w:val="0"/>
          <w:numId w:val="0"/>
        </w:numPr>
        <w:kinsoku/>
        <w:overflowPunct/>
        <w:autoSpaceDE/>
        <w:autoSpaceDN/>
        <w:bidi w:val="0"/>
        <w:spacing w:line="360" w:lineRule="auto"/>
        <w:ind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8、成果文件：供应商提交符合本项目要求的检测报告，纸质报告4份，电子档1份。</w:t>
      </w:r>
    </w:p>
    <w:p w14:paraId="0DFDF23D">
      <w:pPr>
        <w:pStyle w:val="9"/>
        <w:pageBreakBefore w:val="0"/>
        <w:numPr>
          <w:ilvl w:val="0"/>
          <w:numId w:val="0"/>
        </w:numPr>
        <w:kinsoku/>
        <w:overflowPunct/>
        <w:autoSpaceDE/>
        <w:autoSpaceDN/>
        <w:bidi w:val="0"/>
        <w:spacing w:line="360" w:lineRule="auto"/>
        <w:ind w:leftChars="0" w:firstLine="482" w:firstLineChars="200"/>
        <w:textAlignment w:val="auto"/>
        <w:rPr>
          <w:rFonts w:hint="eastAsia" w:ascii="宋体" w:hAnsi="宋体" w:eastAsia="宋体" w:cs="宋体"/>
          <w:b/>
          <w:bCs/>
          <w:color w:val="auto"/>
          <w:sz w:val="24"/>
          <w:szCs w:val="24"/>
          <w:highlight w:val="none"/>
          <w:lang w:val="en-US" w:eastAsia="zh-CN"/>
        </w:rPr>
      </w:pPr>
      <w:bookmarkStart w:id="0" w:name="_GoBack"/>
      <w:bookmarkEnd w:id="0"/>
      <w:r>
        <w:rPr>
          <w:rFonts w:hint="eastAsia" w:ascii="宋体" w:hAnsi="宋体" w:eastAsia="宋体" w:cs="宋体"/>
          <w:b/>
          <w:bCs/>
          <w:color w:val="auto"/>
          <w:sz w:val="24"/>
          <w:szCs w:val="24"/>
          <w:highlight w:val="none"/>
          <w:lang w:val="en-US" w:eastAsia="zh-CN"/>
        </w:rPr>
        <w:t>第四条 履约验收方案</w:t>
      </w:r>
    </w:p>
    <w:p w14:paraId="2EA2CF99">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（1）履约验收主体</w:t>
      </w:r>
    </w:p>
    <w:p w14:paraId="15C33C81">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sym w:font="Wingdings" w:char="00FE"/>
      </w:r>
      <w:r>
        <w:rPr>
          <w:rFonts w:hint="eastAsia" w:ascii="宋体" w:hAnsi="宋体" w:eastAsia="宋体" w:cs="宋体"/>
          <w:color w:val="auto"/>
          <w:sz w:val="24"/>
          <w:szCs w:val="24"/>
          <w:lang w:val="en-US" w:eastAsia="zh-CN"/>
        </w:rPr>
        <w:t>釆购人：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ab/>
      </w:r>
    </w:p>
    <w:p w14:paraId="16C16E97">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口采购代理机构：</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ab/>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ab/>
      </w:r>
    </w:p>
    <w:p w14:paraId="1EF0A3E9">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口本项目的其他供应商：</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ab/>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ab/>
      </w:r>
    </w:p>
    <w:p w14:paraId="74387854">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口第三方专业机构：</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ab/>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ab/>
      </w:r>
    </w:p>
    <w:p w14:paraId="770CD09C">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口专家：</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ab/>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ab/>
      </w:r>
    </w:p>
    <w:p w14:paraId="01FCBB51">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口服务对象：</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ab/>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ab/>
      </w:r>
    </w:p>
    <w:p w14:paraId="74DE4454">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□其他：</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ab/>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ab/>
      </w:r>
    </w:p>
    <w:p w14:paraId="68EE44FB">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（2）履约验收时间</w:t>
      </w:r>
    </w:p>
    <w:p w14:paraId="30533607">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shd w:val="clear" w:color="auto" w:fill="FFFFFF"/>
        </w:rPr>
        <w:t>供应商提出验收申请之日起5日内组织验收</w:t>
      </w:r>
      <w:r>
        <w:rPr>
          <w:rFonts w:hint="eastAsia" w:ascii="宋体" w:hAnsi="宋体" w:eastAsia="宋体" w:cs="宋体"/>
          <w:color w:val="auto"/>
          <w:sz w:val="24"/>
          <w:szCs w:val="24"/>
          <w:lang w:val="en-US" w:eastAsia="zh-CN"/>
        </w:rPr>
        <w:t>。</w:t>
      </w:r>
    </w:p>
    <w:p w14:paraId="3FF353C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shd w:val="clear" w:color="auto" w:fill="FFFFFF"/>
        </w:rPr>
        <w:t>履约验收程序：</w:t>
      </w:r>
      <w:r>
        <w:rPr>
          <w:rFonts w:hint="eastAsia" w:ascii="宋体" w:hAnsi="宋体" w:eastAsia="宋体" w:cs="宋体"/>
          <w:color w:val="auto"/>
          <w:sz w:val="24"/>
          <w:szCs w:val="24"/>
          <w:shd w:val="clear" w:color="auto" w:fill="FFFFFF"/>
          <w:lang w:val="en-US" w:eastAsia="zh-CN"/>
        </w:rPr>
        <w:t>一次性验收</w:t>
      </w:r>
    </w:p>
    <w:p w14:paraId="520DE8D9">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（4）履约验收方式</w:t>
      </w:r>
    </w:p>
    <w:p w14:paraId="6235B770">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Chars="0" w:firstLine="480" w:firstLineChars="200"/>
        <w:textAlignment w:val="auto"/>
        <w:rPr>
          <w:rFonts w:hint="eastAsia"/>
          <w:color w:val="auto"/>
          <w:szCs w:val="28"/>
          <w:lang w:val="en-US" w:eastAsia="zh-CN"/>
        </w:rPr>
      </w:pPr>
      <w:r>
        <w:rPr>
          <w:rFonts w:hint="eastAsia" w:ascii="宋体" w:hAnsi="宋体"/>
          <w:color w:val="auto"/>
          <w:szCs w:val="28"/>
          <w:lang w:val="en-US" w:eastAsia="zh-CN"/>
        </w:rPr>
        <w:t>本项目验收由</w:t>
      </w:r>
      <w:r>
        <w:rPr>
          <w:rFonts w:hint="eastAsia"/>
          <w:color w:val="auto"/>
          <w:szCs w:val="28"/>
          <w:lang w:val="en-US" w:eastAsia="zh-CN"/>
        </w:rPr>
        <w:t>采购人</w:t>
      </w:r>
      <w:r>
        <w:rPr>
          <w:rFonts w:hint="eastAsia" w:ascii="宋体" w:hAnsi="宋体"/>
          <w:color w:val="auto"/>
          <w:szCs w:val="28"/>
          <w:lang w:val="en-US" w:eastAsia="zh-CN"/>
        </w:rPr>
        <w:t>组织，</w:t>
      </w:r>
      <w:r>
        <w:rPr>
          <w:rFonts w:hint="eastAsia"/>
          <w:color w:val="auto"/>
          <w:szCs w:val="28"/>
          <w:lang w:val="en-US" w:eastAsia="zh-CN"/>
        </w:rPr>
        <w:t>供应商</w:t>
      </w:r>
      <w:r>
        <w:rPr>
          <w:rFonts w:hint="eastAsia" w:ascii="宋体" w:hAnsi="宋体"/>
          <w:color w:val="auto"/>
          <w:szCs w:val="28"/>
          <w:lang w:val="en-US" w:eastAsia="zh-CN"/>
        </w:rPr>
        <w:t>配合进行。验收时如发现所提交的成果不符合标准及合同规定之情形者，</w:t>
      </w:r>
      <w:r>
        <w:rPr>
          <w:rFonts w:hint="eastAsia"/>
          <w:color w:val="auto"/>
          <w:szCs w:val="28"/>
          <w:lang w:val="en-US" w:eastAsia="zh-CN"/>
        </w:rPr>
        <w:t>采购人</w:t>
      </w:r>
      <w:r>
        <w:rPr>
          <w:rFonts w:hint="eastAsia" w:ascii="宋体" w:hAnsi="宋体"/>
          <w:color w:val="auto"/>
          <w:szCs w:val="28"/>
          <w:lang w:val="en-US" w:eastAsia="zh-CN"/>
        </w:rPr>
        <w:t>应做出详尽的现场记录，或由双方签署备忘录，此现场记录或备忘录可用作补充、缺失和整改的有效证据，由此产生的时间延误与有关费用由</w:t>
      </w:r>
      <w:r>
        <w:rPr>
          <w:rFonts w:hint="eastAsia"/>
          <w:color w:val="auto"/>
          <w:szCs w:val="28"/>
          <w:lang w:val="en-US" w:eastAsia="zh-CN"/>
        </w:rPr>
        <w:t>供应商</w:t>
      </w:r>
      <w:r>
        <w:rPr>
          <w:rFonts w:hint="eastAsia" w:ascii="宋体" w:hAnsi="宋体"/>
          <w:color w:val="auto"/>
          <w:szCs w:val="28"/>
          <w:lang w:val="en-US" w:eastAsia="zh-CN"/>
        </w:rPr>
        <w:t>承担，验收期限相应顺延；验收合格，双方签署验收报告</w:t>
      </w:r>
      <w:r>
        <w:rPr>
          <w:rFonts w:hint="eastAsia"/>
          <w:color w:val="auto"/>
          <w:szCs w:val="28"/>
          <w:lang w:val="en-US" w:eastAsia="zh-CN"/>
        </w:rPr>
        <w:t>；</w:t>
      </w:r>
      <w:r>
        <w:rPr>
          <w:rFonts w:hint="eastAsia" w:ascii="宋体" w:hAnsi="宋体" w:eastAsia="宋体"/>
          <w:color w:val="auto"/>
          <w:szCs w:val="28"/>
          <w:lang w:val="en-US" w:eastAsia="zh-CN"/>
        </w:rPr>
        <w:t>供应商凭验收报告办理剩余采购资金支付</w:t>
      </w:r>
      <w:r>
        <w:rPr>
          <w:rFonts w:hint="eastAsia"/>
          <w:color w:val="auto"/>
          <w:szCs w:val="28"/>
          <w:lang w:val="en-US" w:eastAsia="zh-CN"/>
        </w:rPr>
        <w:t>。</w:t>
      </w:r>
      <w:r>
        <w:rPr>
          <w:rFonts w:hint="eastAsia" w:ascii="宋体" w:hAnsi="宋体" w:eastAsia="宋体"/>
          <w:color w:val="auto"/>
          <w:szCs w:val="28"/>
          <w:lang w:val="en-US" w:eastAsia="zh-CN"/>
        </w:rPr>
        <w:t>验收不合格且拒不整改的，将不予支付剩余采购资金。</w:t>
      </w:r>
    </w:p>
    <w:p w14:paraId="7330D0CC">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（5）履约验收内容</w:t>
      </w:r>
    </w:p>
    <w:p w14:paraId="0C23AA84">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采购文件所要求的所有技术</w:t>
      </w:r>
      <w:r>
        <w:rPr>
          <w:rFonts w:hint="eastAsia" w:cs="宋体"/>
          <w:color w:val="auto"/>
          <w:sz w:val="24"/>
          <w:szCs w:val="24"/>
          <w:lang w:val="en-US" w:eastAsia="zh-CN"/>
        </w:rPr>
        <w:t>、服务、</w:t>
      </w:r>
      <w:r>
        <w:rPr>
          <w:rFonts w:hint="eastAsia" w:ascii="宋体" w:hAnsi="宋体" w:eastAsia="宋体" w:cs="宋体"/>
          <w:color w:val="auto"/>
          <w:sz w:val="24"/>
          <w:szCs w:val="24"/>
          <w:lang w:val="en-US" w:eastAsia="zh-CN"/>
        </w:rPr>
        <w:t>商务要求以及供应商的</w:t>
      </w:r>
      <w:r>
        <w:rPr>
          <w:rFonts w:hint="eastAsia" w:cs="宋体"/>
          <w:color w:val="auto"/>
          <w:sz w:val="24"/>
          <w:szCs w:val="24"/>
          <w:lang w:val="en-US" w:eastAsia="zh-CN"/>
        </w:rPr>
        <w:t>响应</w:t>
      </w:r>
      <w:r>
        <w:rPr>
          <w:rFonts w:hint="eastAsia" w:ascii="宋体" w:hAnsi="宋体" w:eastAsia="宋体" w:cs="宋体"/>
          <w:color w:val="auto"/>
          <w:sz w:val="24"/>
          <w:szCs w:val="24"/>
          <w:lang w:val="en-US" w:eastAsia="zh-CN"/>
        </w:rPr>
        <w:t>文件所涵盖内容。</w:t>
      </w:r>
    </w:p>
    <w:p w14:paraId="68153B3A">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Chars="200"/>
        <w:textAlignment w:val="auto"/>
        <w:rPr>
          <w:rFonts w:hint="eastAsia" w:ascii="宋体" w:hAnsi="宋体" w:eastAsia="宋体" w:cs="宋体"/>
          <w:color w:val="auto"/>
          <w:sz w:val="24"/>
          <w:szCs w:val="24"/>
          <w:lang w:val="en-US" w:eastAsia="zh-CN"/>
        </w:rPr>
      </w:pPr>
      <w:r>
        <w:rPr>
          <w:rFonts w:hint="eastAsia" w:cs="宋体"/>
          <w:color w:val="auto"/>
          <w:sz w:val="24"/>
          <w:szCs w:val="24"/>
          <w:lang w:val="en-US" w:eastAsia="zh-CN"/>
        </w:rPr>
        <w:t>（6）</w:t>
      </w:r>
      <w:r>
        <w:rPr>
          <w:rFonts w:hint="eastAsia" w:ascii="宋体" w:hAnsi="宋体" w:eastAsia="宋体" w:cs="宋体"/>
          <w:color w:val="auto"/>
          <w:sz w:val="24"/>
          <w:szCs w:val="24"/>
          <w:lang w:val="en-US" w:eastAsia="zh-CN"/>
        </w:rPr>
        <w:t>技术履约验收内容</w:t>
      </w:r>
    </w:p>
    <w:p w14:paraId="1C693265">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color w:val="auto"/>
          <w:szCs w:val="28"/>
          <w:lang w:val="en-US" w:eastAsia="zh-CN"/>
        </w:rPr>
        <w:t>按国家有关规定以及</w:t>
      </w:r>
      <w:r>
        <w:rPr>
          <w:rFonts w:hint="eastAsia"/>
          <w:color w:val="auto"/>
          <w:szCs w:val="28"/>
          <w:lang w:val="en-US" w:eastAsia="zh-CN"/>
        </w:rPr>
        <w:t>采购</w:t>
      </w:r>
      <w:r>
        <w:rPr>
          <w:rFonts w:hint="eastAsia" w:ascii="宋体" w:hAnsi="宋体"/>
          <w:color w:val="auto"/>
          <w:szCs w:val="28"/>
          <w:lang w:val="en-US" w:eastAsia="zh-CN"/>
        </w:rPr>
        <w:t>文件</w:t>
      </w:r>
      <w:r>
        <w:rPr>
          <w:rFonts w:hint="eastAsia"/>
          <w:color w:val="auto"/>
          <w:szCs w:val="28"/>
          <w:lang w:val="en-US" w:eastAsia="zh-CN"/>
        </w:rPr>
        <w:t>的技术要求和服务</w:t>
      </w:r>
      <w:r>
        <w:rPr>
          <w:rFonts w:hint="eastAsia" w:ascii="宋体" w:hAnsi="宋体"/>
          <w:color w:val="auto"/>
          <w:szCs w:val="28"/>
          <w:lang w:val="en-US" w:eastAsia="zh-CN"/>
        </w:rPr>
        <w:t>要求</w:t>
      </w:r>
      <w:r>
        <w:rPr>
          <w:rFonts w:hint="eastAsia"/>
          <w:color w:val="auto"/>
          <w:szCs w:val="28"/>
          <w:lang w:val="en-US" w:eastAsia="zh-CN"/>
        </w:rPr>
        <w:t>(包括每一项技术、服务和商务要求的履约情况)</w:t>
      </w:r>
      <w:r>
        <w:rPr>
          <w:rFonts w:hint="eastAsia" w:ascii="宋体" w:hAnsi="宋体"/>
          <w:color w:val="auto"/>
          <w:szCs w:val="28"/>
          <w:lang w:val="en-US" w:eastAsia="zh-CN"/>
        </w:rPr>
        <w:t>和</w:t>
      </w:r>
      <w:r>
        <w:rPr>
          <w:rFonts w:hint="eastAsia"/>
          <w:color w:val="auto"/>
          <w:szCs w:val="28"/>
          <w:lang w:val="en-US" w:eastAsia="zh-CN"/>
        </w:rPr>
        <w:t>供应商</w:t>
      </w:r>
      <w:r>
        <w:rPr>
          <w:rFonts w:hint="eastAsia" w:ascii="宋体" w:hAnsi="宋体"/>
          <w:color w:val="auto"/>
          <w:szCs w:val="28"/>
          <w:lang w:val="en-US" w:eastAsia="zh-CN"/>
        </w:rPr>
        <w:t>的响应文件与合同约定标准进行验收；</w:t>
      </w:r>
      <w:r>
        <w:rPr>
          <w:rFonts w:hint="eastAsia"/>
          <w:color w:val="auto"/>
          <w:szCs w:val="28"/>
          <w:lang w:val="en-US" w:eastAsia="zh-CN"/>
        </w:rPr>
        <w:t>采购人</w:t>
      </w:r>
      <w:r>
        <w:rPr>
          <w:rFonts w:hint="eastAsia" w:ascii="宋体" w:hAnsi="宋体"/>
          <w:color w:val="auto"/>
          <w:szCs w:val="28"/>
          <w:lang w:val="en-US" w:eastAsia="zh-CN"/>
        </w:rPr>
        <w:t>与</w:t>
      </w:r>
      <w:r>
        <w:rPr>
          <w:rFonts w:hint="eastAsia"/>
          <w:color w:val="auto"/>
          <w:szCs w:val="28"/>
          <w:lang w:val="en-US" w:eastAsia="zh-CN"/>
        </w:rPr>
        <w:t>供应商</w:t>
      </w:r>
      <w:r>
        <w:rPr>
          <w:rFonts w:hint="eastAsia" w:ascii="宋体" w:hAnsi="宋体"/>
          <w:color w:val="auto"/>
          <w:szCs w:val="28"/>
          <w:lang w:val="en-US" w:eastAsia="zh-CN"/>
        </w:rPr>
        <w:t>双方如对</w:t>
      </w:r>
      <w:r>
        <w:rPr>
          <w:rFonts w:hint="eastAsia"/>
          <w:color w:val="auto"/>
          <w:szCs w:val="28"/>
          <w:lang w:val="en-US" w:eastAsia="zh-CN"/>
        </w:rPr>
        <w:t>技术要求和服务</w:t>
      </w:r>
      <w:r>
        <w:rPr>
          <w:rFonts w:hint="eastAsia" w:ascii="宋体" w:hAnsi="宋体"/>
          <w:color w:val="auto"/>
          <w:szCs w:val="28"/>
          <w:lang w:val="en-US" w:eastAsia="zh-CN"/>
        </w:rPr>
        <w:t>要求约定标准有异议的事项，由</w:t>
      </w:r>
      <w:r>
        <w:rPr>
          <w:rFonts w:hint="eastAsia"/>
          <w:color w:val="auto"/>
          <w:szCs w:val="28"/>
          <w:lang w:val="en-US" w:eastAsia="zh-CN"/>
        </w:rPr>
        <w:t>采购人</w:t>
      </w:r>
      <w:r>
        <w:rPr>
          <w:rFonts w:hint="eastAsia" w:ascii="宋体" w:hAnsi="宋体"/>
          <w:color w:val="auto"/>
          <w:szCs w:val="28"/>
          <w:lang w:val="en-US" w:eastAsia="zh-CN"/>
        </w:rPr>
        <w:t>在</w:t>
      </w:r>
      <w:r>
        <w:rPr>
          <w:rFonts w:hint="eastAsia"/>
          <w:color w:val="auto"/>
          <w:szCs w:val="28"/>
          <w:lang w:val="en-US" w:eastAsia="zh-CN"/>
        </w:rPr>
        <w:t>采购</w:t>
      </w:r>
      <w:r>
        <w:rPr>
          <w:rFonts w:hint="eastAsia" w:ascii="宋体" w:hAnsi="宋体"/>
          <w:color w:val="auto"/>
          <w:szCs w:val="28"/>
          <w:lang w:val="en-US" w:eastAsia="zh-CN"/>
        </w:rPr>
        <w:t>文件中按</w:t>
      </w:r>
      <w:r>
        <w:rPr>
          <w:rFonts w:hint="eastAsia"/>
          <w:color w:val="auto"/>
          <w:szCs w:val="28"/>
          <w:lang w:val="en-US" w:eastAsia="zh-CN"/>
        </w:rPr>
        <w:t>服务</w:t>
      </w:r>
      <w:r>
        <w:rPr>
          <w:rFonts w:hint="eastAsia" w:ascii="宋体" w:hAnsi="宋体"/>
          <w:color w:val="auto"/>
          <w:szCs w:val="28"/>
          <w:lang w:val="en-US" w:eastAsia="zh-CN"/>
        </w:rPr>
        <w:t>要求比较优胜的原则确定该项的约定标准进行验收。</w:t>
      </w:r>
    </w:p>
    <w:p w14:paraId="79AF7616">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Chars="200"/>
        <w:textAlignment w:val="auto"/>
        <w:rPr>
          <w:rFonts w:hint="eastAsia" w:ascii="宋体" w:hAnsi="宋体" w:eastAsia="宋体" w:cs="宋体"/>
          <w:color w:val="auto"/>
          <w:sz w:val="24"/>
          <w:szCs w:val="24"/>
          <w:lang w:val="en-US" w:eastAsia="zh-CN"/>
        </w:rPr>
      </w:pPr>
      <w:r>
        <w:rPr>
          <w:rFonts w:hint="eastAsia" w:cs="宋体"/>
          <w:color w:val="auto"/>
          <w:sz w:val="24"/>
          <w:szCs w:val="24"/>
          <w:lang w:val="en-US" w:eastAsia="zh-CN"/>
        </w:rPr>
        <w:t>（7）</w:t>
      </w:r>
      <w:r>
        <w:rPr>
          <w:rFonts w:hint="eastAsia" w:ascii="宋体" w:hAnsi="宋体" w:eastAsia="宋体" w:cs="宋体"/>
          <w:color w:val="auto"/>
          <w:sz w:val="24"/>
          <w:szCs w:val="24"/>
          <w:lang w:val="en-US" w:eastAsia="zh-CN"/>
        </w:rPr>
        <w:t>商务履约验收内容</w:t>
      </w:r>
    </w:p>
    <w:p w14:paraId="68C6AF7A">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color w:val="auto"/>
          <w:szCs w:val="28"/>
          <w:lang w:val="en-US" w:eastAsia="zh-CN"/>
        </w:rPr>
        <w:t>项目验收结果合格的，</w:t>
      </w:r>
      <w:r>
        <w:rPr>
          <w:rFonts w:hint="eastAsia"/>
          <w:color w:val="auto"/>
          <w:szCs w:val="28"/>
          <w:lang w:val="en-US" w:eastAsia="zh-CN"/>
        </w:rPr>
        <w:t>供应商</w:t>
      </w:r>
      <w:r>
        <w:rPr>
          <w:rFonts w:hint="eastAsia" w:ascii="宋体" w:hAnsi="宋体"/>
          <w:color w:val="auto"/>
          <w:szCs w:val="28"/>
          <w:lang w:val="en-US" w:eastAsia="zh-CN"/>
        </w:rPr>
        <w:t>凭验收报告办理剩余采购资金支付；验收不合格且拒不整改的，将不予支付剩余采购资金。</w:t>
      </w:r>
    </w:p>
    <w:p w14:paraId="094D37D4">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（8）履约验收标准</w:t>
      </w:r>
    </w:p>
    <w:p w14:paraId="1A53AFEF">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按国家有关规定以及采购文件的质量要求和技术指标(包括每一项技术和商务要求的履约情况)、供应商的投标文件及承诺与合同约定标准进行验收；双方如对质量要求和技术指标的约定标准有异议的事项，由采购人在投标文件中按质量要求和技术指标比较优胜的原则确定该项的约定标准进行验收。</w:t>
      </w:r>
    </w:p>
    <w:p w14:paraId="48154829">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（9）履约验收其他事项</w:t>
      </w:r>
    </w:p>
    <w:p w14:paraId="41709FBC">
      <w:pPr>
        <w:pStyle w:val="10"/>
        <w:pageBreakBefore w:val="0"/>
        <w:kinsoku/>
        <w:overflowPunct/>
        <w:bidi w:val="0"/>
        <w:spacing w:line="360" w:lineRule="auto"/>
        <w:ind w:leftChars="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其他未尽事宜应严格按照《财政部关于进一步加强政府采购需求和履约验收管理的指导意见》(财库〔2016〕205号)、《政府采购需求管理办法》（财库〔2021〕22号）和</w:t>
      </w:r>
      <w:r>
        <w:rPr>
          <w:rFonts w:hint="eastAsia" w:ascii="宋体" w:hAnsi="宋体" w:eastAsia="宋体" w:cs="宋体"/>
          <w:color w:val="auto"/>
          <w:sz w:val="24"/>
          <w:szCs w:val="24"/>
          <w:lang w:val="zh-CN"/>
        </w:rPr>
        <w:t>《</w:t>
      </w:r>
      <w:r>
        <w:rPr>
          <w:rFonts w:hint="eastAsia" w:ascii="宋体" w:hAnsi="宋体" w:eastAsia="宋体" w:cs="宋体"/>
          <w:color w:val="auto"/>
          <w:sz w:val="24"/>
          <w:szCs w:val="24"/>
        </w:rPr>
        <w:t>雅安市财政局关于规范政府采购履约验收工作的通知</w:t>
      </w:r>
      <w:r>
        <w:rPr>
          <w:rFonts w:hint="eastAsia" w:ascii="宋体" w:hAnsi="宋体" w:eastAsia="宋体" w:cs="宋体"/>
          <w:color w:val="auto"/>
          <w:sz w:val="24"/>
          <w:szCs w:val="24"/>
          <w:lang w:val="zh-CN"/>
        </w:rPr>
        <w:t>》（雅财采</w:t>
      </w:r>
      <w:r>
        <w:rPr>
          <w:rFonts w:hint="eastAsia" w:ascii="宋体" w:hAnsi="宋体" w:eastAsia="宋体" w:cs="宋体"/>
          <w:color w:val="auto"/>
          <w:sz w:val="24"/>
          <w:szCs w:val="24"/>
          <w:lang w:val="en-US" w:eastAsia="zh-CN"/>
        </w:rPr>
        <w:t>[2021]50号</w:t>
      </w:r>
      <w:r>
        <w:rPr>
          <w:rFonts w:hint="eastAsia" w:ascii="宋体" w:hAnsi="宋体" w:eastAsia="宋体" w:cs="宋体"/>
          <w:color w:val="auto"/>
          <w:sz w:val="24"/>
          <w:szCs w:val="24"/>
          <w:lang w:val="zh-CN"/>
        </w:rPr>
        <w:t>）</w:t>
      </w:r>
      <w:r>
        <w:rPr>
          <w:rFonts w:hint="eastAsia" w:ascii="宋体" w:hAnsi="宋体" w:eastAsia="宋体" w:cs="宋体"/>
          <w:color w:val="auto"/>
          <w:sz w:val="24"/>
          <w:szCs w:val="24"/>
          <w:lang w:val="en-US" w:eastAsia="zh-CN"/>
        </w:rPr>
        <w:t>及采购人相关要求进行验收。</w:t>
      </w:r>
    </w:p>
    <w:p w14:paraId="6E554FC5">
      <w:pPr>
        <w:pStyle w:val="9"/>
        <w:pageBreakBefore w:val="0"/>
        <w:kinsoku/>
        <w:overflowPunct/>
        <w:autoSpaceDE/>
        <w:autoSpaceDN/>
        <w:bidi w:val="0"/>
        <w:spacing w:line="360" w:lineRule="auto"/>
        <w:ind w:leftChars="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第五条 </w:t>
      </w:r>
      <w:r>
        <w:rPr>
          <w:rFonts w:hint="eastAsia" w:ascii="宋体" w:hAnsi="宋体" w:eastAsia="宋体" w:cs="宋体"/>
          <w:b/>
          <w:bCs/>
          <w:color w:val="auto"/>
          <w:sz w:val="24"/>
          <w:szCs w:val="24"/>
          <w:highlight w:val="none"/>
        </w:rPr>
        <w:t>付款方式</w:t>
      </w:r>
    </w:p>
    <w:p w14:paraId="47EC3E8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color w:val="auto"/>
          <w:sz w:val="24"/>
          <w:szCs w:val="24"/>
        </w:rPr>
      </w:pPr>
      <w:r>
        <w:rPr>
          <w:rFonts w:hint="eastAsia" w:ascii="宋体" w:hAnsi="宋体" w:eastAsia="宋体" w:cs="宋体"/>
          <w:color w:val="auto"/>
          <w:sz w:val="24"/>
          <w:szCs w:val="24"/>
          <w:shd w:val="clear" w:color="auto" w:fill="FFFFFF"/>
        </w:rPr>
        <w:t>1、付款条件说明：签订合同后，</w:t>
      </w:r>
      <w:r>
        <w:rPr>
          <w:rFonts w:hint="eastAsia" w:cs="宋体"/>
          <w:color w:val="auto"/>
          <w:sz w:val="24"/>
          <w:szCs w:val="24"/>
          <w:shd w:val="clear" w:color="auto" w:fill="FFFFFF"/>
          <w:lang w:val="en-US" w:eastAsia="zh-CN"/>
        </w:rPr>
        <w:t>成交供应商</w:t>
      </w:r>
      <w:r>
        <w:rPr>
          <w:color w:val="auto"/>
        </w:rPr>
        <w:t>提供合法有效的正式发票</w:t>
      </w:r>
      <w:r>
        <w:rPr>
          <w:rFonts w:hint="eastAsia"/>
          <w:color w:val="auto"/>
          <w:lang w:val="en-US" w:eastAsia="zh-CN"/>
        </w:rPr>
        <w:t>后，</w:t>
      </w:r>
      <w:r>
        <w:rPr>
          <w:rFonts w:hint="eastAsia" w:ascii="宋体" w:hAnsi="宋体" w:eastAsia="宋体" w:cs="宋体"/>
          <w:color w:val="auto"/>
          <w:sz w:val="24"/>
          <w:szCs w:val="24"/>
          <w:shd w:val="clear" w:color="auto" w:fill="FFFFFF"/>
        </w:rPr>
        <w:t>达到付款条件起</w:t>
      </w:r>
      <w:r>
        <w:rPr>
          <w:rFonts w:hint="eastAsia" w:ascii="宋体" w:hAnsi="宋体" w:cs="宋体"/>
          <w:color w:val="auto"/>
          <w:sz w:val="24"/>
          <w:szCs w:val="24"/>
          <w:shd w:val="clear" w:color="auto" w:fill="FFFFFF"/>
          <w:lang w:val="en-US" w:eastAsia="zh-CN"/>
        </w:rPr>
        <w:t xml:space="preserve"> </w:t>
      </w:r>
      <w:r>
        <w:rPr>
          <w:rFonts w:hint="eastAsia" w:cs="宋体"/>
          <w:color w:val="auto"/>
          <w:sz w:val="24"/>
          <w:szCs w:val="24"/>
          <w:shd w:val="clear" w:color="auto" w:fill="FFFFFF"/>
          <w:lang w:val="en-US" w:eastAsia="zh-CN"/>
        </w:rPr>
        <w:t>7</w:t>
      </w:r>
      <w:r>
        <w:rPr>
          <w:rFonts w:hint="eastAsia" w:ascii="宋体" w:hAnsi="宋体" w:cs="宋体"/>
          <w:color w:val="auto"/>
          <w:sz w:val="24"/>
          <w:szCs w:val="24"/>
          <w:shd w:val="clear" w:color="auto" w:fill="FFFFFF"/>
          <w:lang w:val="en-US" w:eastAsia="zh-CN"/>
        </w:rPr>
        <w:t>日内</w:t>
      </w:r>
      <w:r>
        <w:rPr>
          <w:rFonts w:hint="eastAsia" w:ascii="宋体" w:hAnsi="宋体" w:eastAsia="宋体" w:cs="宋体"/>
          <w:color w:val="auto"/>
          <w:sz w:val="24"/>
          <w:szCs w:val="24"/>
          <w:shd w:val="clear" w:color="auto" w:fill="FFFFFF"/>
        </w:rPr>
        <w:t>，支付</w:t>
      </w:r>
      <w:r>
        <w:rPr>
          <w:rFonts w:hint="eastAsia" w:ascii="宋体" w:hAnsi="宋体" w:cs="宋体"/>
          <w:color w:val="auto"/>
          <w:sz w:val="24"/>
          <w:szCs w:val="24"/>
          <w:shd w:val="clear" w:color="auto" w:fill="FFFFFF"/>
          <w:lang w:val="en-US" w:eastAsia="zh-CN"/>
        </w:rPr>
        <w:t>合同总金额</w:t>
      </w:r>
      <w:r>
        <w:rPr>
          <w:rFonts w:hint="eastAsia" w:ascii="宋体" w:hAnsi="宋体" w:eastAsia="宋体" w:cs="宋体"/>
          <w:color w:val="auto"/>
          <w:sz w:val="24"/>
          <w:szCs w:val="24"/>
          <w:shd w:val="clear" w:color="auto" w:fill="FFFFFF"/>
        </w:rPr>
        <w:t>的</w:t>
      </w:r>
      <w:r>
        <w:rPr>
          <w:rFonts w:hint="eastAsia" w:ascii="宋体" w:hAnsi="宋体" w:cs="宋体"/>
          <w:color w:val="auto"/>
          <w:sz w:val="24"/>
          <w:szCs w:val="24"/>
          <w:shd w:val="clear" w:color="auto" w:fill="FFFFFF"/>
          <w:lang w:val="en-US" w:eastAsia="zh-CN"/>
        </w:rPr>
        <w:t>40</w:t>
      </w:r>
      <w:r>
        <w:rPr>
          <w:rFonts w:hint="eastAsia" w:ascii="宋体" w:hAnsi="宋体" w:eastAsia="宋体" w:cs="宋体"/>
          <w:color w:val="auto"/>
          <w:sz w:val="24"/>
          <w:szCs w:val="24"/>
          <w:shd w:val="clear" w:color="auto" w:fill="FFFFFF"/>
        </w:rPr>
        <w:t>%。</w:t>
      </w:r>
    </w:p>
    <w:p w14:paraId="128114B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cs="宋体"/>
          <w:color w:val="auto"/>
          <w:sz w:val="24"/>
          <w:szCs w:val="24"/>
          <w:lang w:eastAsia="zh-CN"/>
        </w:rPr>
      </w:pPr>
      <w:r>
        <w:rPr>
          <w:rFonts w:hint="eastAsia" w:ascii="宋体" w:hAnsi="宋体" w:eastAsia="宋体" w:cs="宋体"/>
          <w:color w:val="auto"/>
          <w:sz w:val="24"/>
          <w:szCs w:val="24"/>
          <w:shd w:val="clear" w:color="auto" w:fill="FFFFFF"/>
        </w:rPr>
        <w:t>2、付款条件说明：合同</w:t>
      </w:r>
      <w:r>
        <w:rPr>
          <w:color w:val="auto"/>
        </w:rPr>
        <w:t>履约完成</w:t>
      </w:r>
      <w:r>
        <w:rPr>
          <w:rFonts w:hint="eastAsia"/>
          <w:color w:val="auto"/>
          <w:lang w:eastAsia="zh-CN"/>
        </w:rPr>
        <w:t>、</w:t>
      </w:r>
      <w:r>
        <w:rPr>
          <w:color w:val="auto"/>
        </w:rPr>
        <w:t>提交检测报告并验收合格后</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shd w:val="clear" w:color="auto" w:fill="FFFFFF"/>
        </w:rPr>
        <w:t>达到付款条件起</w:t>
      </w:r>
      <w:r>
        <w:rPr>
          <w:rFonts w:hint="eastAsia" w:ascii="宋体" w:hAnsi="宋体" w:cs="宋体"/>
          <w:color w:val="auto"/>
          <w:sz w:val="24"/>
          <w:szCs w:val="24"/>
          <w:shd w:val="clear" w:color="auto" w:fill="FFFFFF"/>
          <w:lang w:val="en-US" w:eastAsia="zh-CN"/>
        </w:rPr>
        <w:t xml:space="preserve"> 10日内</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shd w:val="clear" w:color="auto" w:fill="FFFFFF"/>
        </w:rPr>
        <w:t>支付合同总金额的</w:t>
      </w:r>
      <w:r>
        <w:rPr>
          <w:rFonts w:hint="eastAsia" w:ascii="宋体" w:hAnsi="宋体" w:cs="宋体"/>
          <w:color w:val="auto"/>
          <w:sz w:val="24"/>
          <w:szCs w:val="24"/>
          <w:shd w:val="clear" w:color="auto" w:fill="FFFFFF"/>
          <w:lang w:val="en-US" w:eastAsia="zh-CN"/>
        </w:rPr>
        <w:t>60</w:t>
      </w:r>
      <w:r>
        <w:rPr>
          <w:rFonts w:hint="eastAsia" w:ascii="宋体" w:hAnsi="宋体" w:eastAsia="宋体" w:cs="宋体"/>
          <w:color w:val="auto"/>
          <w:sz w:val="24"/>
          <w:szCs w:val="24"/>
          <w:shd w:val="clear" w:color="auto" w:fill="FFFFFF"/>
        </w:rPr>
        <w:t>%</w:t>
      </w:r>
      <w:r>
        <w:rPr>
          <w:rFonts w:hint="eastAsia" w:ascii="宋体" w:hAnsi="宋体" w:cs="宋体"/>
          <w:color w:val="auto"/>
          <w:sz w:val="24"/>
          <w:szCs w:val="24"/>
          <w:lang w:eastAsia="zh-CN"/>
        </w:rPr>
        <w:t>。</w:t>
      </w:r>
    </w:p>
    <w:p w14:paraId="7602B0EF">
      <w:pPr>
        <w:pStyle w:val="10"/>
        <w:pageBreakBefore w:val="0"/>
        <w:kinsoku/>
        <w:overflowPunct/>
        <w:bidi w:val="0"/>
        <w:spacing w:line="360" w:lineRule="auto"/>
        <w:ind w:leftChars="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第六条 </w:t>
      </w:r>
      <w:r>
        <w:rPr>
          <w:rFonts w:hint="eastAsia" w:ascii="宋体" w:hAnsi="宋体" w:eastAsia="宋体" w:cs="宋体"/>
          <w:b/>
          <w:bCs/>
          <w:color w:val="auto"/>
          <w:sz w:val="24"/>
          <w:szCs w:val="24"/>
          <w:highlight w:val="none"/>
        </w:rPr>
        <w:t>违约责任</w:t>
      </w:r>
    </w:p>
    <w:p w14:paraId="614DB6B0">
      <w:pPr>
        <w:pageBreakBefore w:val="0"/>
        <w:widowControl/>
        <w:kinsoku/>
        <w:overflowPunct/>
        <w:bidi w:val="0"/>
        <w:spacing w:line="360" w:lineRule="auto"/>
        <w:ind w:leftChars="0" w:firstLine="476" w:firstLineChars="20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1、供应商必须遵守采购合同并执行合同中的各项规定，保证采购合同的正常履行。</w:t>
      </w:r>
    </w:p>
    <w:p w14:paraId="7ECFFF0B">
      <w:pPr>
        <w:pageBreakBefore w:val="0"/>
        <w:widowControl/>
        <w:kinsoku/>
        <w:overflowPunct/>
        <w:bidi w:val="0"/>
        <w:spacing w:line="360" w:lineRule="auto"/>
        <w:ind w:leftChars="0" w:firstLine="476" w:firstLineChars="20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如因供应商工作人员在履行职务过程中的疏忽、失职、过错等故意或者过失原因给采购人造成损失或侵害，包括但不限于采购人本身的财产损失、由此而导致的采购对任何第三方的法律责任等，供应商对此均应承担全部的赔偿责任。</w:t>
      </w:r>
    </w:p>
    <w:p w14:paraId="2DC4F404">
      <w:pPr>
        <w:pageBreakBefore w:val="0"/>
        <w:widowControl/>
        <w:kinsoku/>
        <w:overflowPunct/>
        <w:bidi w:val="0"/>
        <w:spacing w:line="360" w:lineRule="auto"/>
        <w:ind w:leftChars="0" w:firstLine="476" w:firstLineChars="20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3、供应商必须遵守采购合同按时完成合同相关工作，若由于供应商原因导致合同迟延履行，供应商应承担采购合同中约定的违约金。</w:t>
      </w:r>
    </w:p>
    <w:p w14:paraId="7B673578">
      <w:pPr>
        <w:pageBreakBefore w:val="0"/>
        <w:widowControl/>
        <w:kinsoku/>
        <w:overflowPunct/>
        <w:bidi w:val="0"/>
        <w:spacing w:line="360" w:lineRule="auto"/>
        <w:ind w:leftChars="0" w:firstLine="476" w:firstLineChars="20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4、供应商应当遵守采购人的相关项目需求及相关技术、服务要求及实质性条款，若供应商未履行采购合同，采购人有权向供应商要求赔偿合同总价款20%的违约金，若造成相关损失的，采购人有权要求供应商承担所有赔偿责任。</w:t>
      </w:r>
    </w:p>
    <w:p w14:paraId="7EC87345">
      <w:pPr>
        <w:pageBreakBefore w:val="0"/>
        <w:widowControl/>
        <w:kinsoku/>
        <w:overflowPunct/>
        <w:bidi w:val="0"/>
        <w:spacing w:line="360" w:lineRule="auto"/>
        <w:ind w:leftChars="0" w:firstLine="476" w:firstLineChars="20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5、有下列情形之一的，当事人可解除合同：</w:t>
      </w:r>
    </w:p>
    <w:p w14:paraId="75A927B7">
      <w:pPr>
        <w:pageBreakBefore w:val="0"/>
        <w:widowControl/>
        <w:kinsoku/>
        <w:overflowPunct/>
        <w:bidi w:val="0"/>
        <w:spacing w:line="360" w:lineRule="auto"/>
        <w:ind w:leftChars="0" w:firstLine="476" w:firstLineChars="20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1）因不可抗力致使不能实现合同目的（同于非供应商或采购人原因，致使合同实质性条款无法实现的）；</w:t>
      </w:r>
    </w:p>
    <w:p w14:paraId="06D3CE3C">
      <w:pPr>
        <w:pageBreakBefore w:val="0"/>
        <w:widowControl/>
        <w:kinsoku/>
        <w:overflowPunct/>
        <w:bidi w:val="0"/>
        <w:spacing w:line="360" w:lineRule="auto"/>
        <w:ind w:leftChars="0" w:firstLine="476" w:firstLineChars="20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2）当事人一方迟延履行合同，经催告后在合理期限内仍未履行；</w:t>
      </w:r>
    </w:p>
    <w:p w14:paraId="3D808F22">
      <w:pPr>
        <w:pageBreakBefore w:val="0"/>
        <w:widowControl/>
        <w:kinsoku/>
        <w:overflowPunct/>
        <w:bidi w:val="0"/>
        <w:spacing w:line="360" w:lineRule="auto"/>
        <w:ind w:leftChars="0" w:firstLine="476" w:firstLineChars="20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3）当事人一方迟延履行合同或者有其他违约行为致使不能实现合同目的；</w:t>
      </w:r>
    </w:p>
    <w:p w14:paraId="147B5C75">
      <w:pPr>
        <w:pageBreakBefore w:val="0"/>
        <w:widowControl/>
        <w:kinsoku/>
        <w:overflowPunct/>
        <w:bidi w:val="0"/>
        <w:spacing w:line="360" w:lineRule="auto"/>
        <w:ind w:leftChars="0" w:firstLine="476" w:firstLineChars="20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4）法律规定的其他情形。</w:t>
      </w:r>
    </w:p>
    <w:p w14:paraId="7F5CD126">
      <w:pPr>
        <w:pStyle w:val="11"/>
        <w:keepNext w:val="0"/>
        <w:keepLines w:val="0"/>
        <w:pageBreakBefore w:val="0"/>
        <w:widowControl w:val="0"/>
        <w:numPr>
          <w:ilvl w:val="1"/>
          <w:numId w:val="0"/>
        </w:numPr>
        <w:kinsoku/>
        <w:overflowPunct/>
        <w:autoSpaceDE/>
        <w:autoSpaceDN/>
        <w:bidi w:val="0"/>
        <w:spacing w:line="360" w:lineRule="auto"/>
        <w:ind w:lef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第七条 保险</w:t>
      </w:r>
    </w:p>
    <w:p w14:paraId="659D7DE1">
      <w:pPr>
        <w:pStyle w:val="12"/>
        <w:pageBreakBefore w:val="0"/>
        <w:numPr>
          <w:ilvl w:val="4"/>
          <w:numId w:val="0"/>
        </w:numPr>
        <w:kinsoku/>
        <w:wordWrap/>
        <w:overflowPunct/>
        <w:topLinePunct w:val="0"/>
        <w:autoSpaceDE/>
        <w:autoSpaceDN/>
        <w:bidi w:val="0"/>
        <w:spacing w:before="0" w:beforeLines="0" w:after="0" w:afterLines="0" w:line="360" w:lineRule="auto"/>
        <w:ind w:leftChars="0" w:firstLine="480" w:firstLineChars="200"/>
        <w:textAlignment w:val="auto"/>
        <w:outlineLvl w:val="9"/>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1）乙方应当遵守国家有关消防、安全、生产操作、劳动保护等方面的规定，并根据自身实际情况和项目履约实际情况，购买涉及上述履约风险的对应保险，保险金额以抵消可能发生的事故因其发生所造成的财产、人身损失承担赔偿保险金责任，维护保险标的的安全。</w:t>
      </w:r>
    </w:p>
    <w:p w14:paraId="185342C9">
      <w:pPr>
        <w:pStyle w:val="12"/>
        <w:pageBreakBefore w:val="0"/>
        <w:numPr>
          <w:ilvl w:val="4"/>
          <w:numId w:val="0"/>
        </w:numPr>
        <w:kinsoku/>
        <w:wordWrap/>
        <w:overflowPunct/>
        <w:topLinePunct w:val="0"/>
        <w:autoSpaceDE/>
        <w:autoSpaceDN/>
        <w:bidi w:val="0"/>
        <w:spacing w:before="0" w:beforeLines="0" w:after="0" w:afterLines="0" w:line="360" w:lineRule="auto"/>
        <w:ind w:leftChars="0" w:firstLine="480" w:firstLineChars="200"/>
        <w:textAlignment w:val="auto"/>
        <w:outlineLvl w:val="9"/>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(2)乙方应为本项目提供履约的所有人员按照国家规定购买相关保险。</w:t>
      </w:r>
    </w:p>
    <w:p w14:paraId="73DB4DD1">
      <w:pPr>
        <w:pStyle w:val="9"/>
        <w:pageBreakBefore w:val="0"/>
        <w:kinsoku/>
        <w:overflowPunct/>
        <w:autoSpaceDE/>
        <w:autoSpaceDN/>
        <w:bidi w:val="0"/>
        <w:spacing w:line="360" w:lineRule="auto"/>
        <w:ind w:leftChars="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第八条 </w:t>
      </w:r>
      <w:r>
        <w:rPr>
          <w:rFonts w:hint="eastAsia" w:ascii="宋体" w:hAnsi="宋体" w:eastAsia="宋体" w:cs="宋体"/>
          <w:b/>
          <w:bCs/>
          <w:color w:val="auto"/>
          <w:sz w:val="24"/>
          <w:szCs w:val="24"/>
          <w:highlight w:val="none"/>
        </w:rPr>
        <w:t>争议解决办法</w:t>
      </w:r>
    </w:p>
    <w:p w14:paraId="7591E15D">
      <w:pPr>
        <w:pStyle w:val="9"/>
        <w:pageBreakBefore w:val="0"/>
        <w:kinsoku/>
        <w:overflowPunct/>
        <w:autoSpaceDE/>
        <w:autoSpaceDN/>
        <w:bidi w:val="0"/>
        <w:spacing w:line="360" w:lineRule="auto"/>
        <w:ind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合同履行期间，若双方发生争议，可协商或由有关部门调解解决，协商或调解不成的，由甲方所在地的人民法院依法处理。</w:t>
      </w:r>
    </w:p>
    <w:p w14:paraId="17EBD646">
      <w:pPr>
        <w:pStyle w:val="9"/>
        <w:pageBreakBefore w:val="0"/>
        <w:kinsoku/>
        <w:overflowPunct/>
        <w:autoSpaceDE/>
        <w:autoSpaceDN/>
        <w:bidi w:val="0"/>
        <w:spacing w:line="360" w:lineRule="auto"/>
        <w:ind w:leftChars="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第九条 </w:t>
      </w:r>
      <w:r>
        <w:rPr>
          <w:rFonts w:hint="eastAsia" w:ascii="宋体" w:hAnsi="宋体" w:eastAsia="宋体" w:cs="宋体"/>
          <w:b/>
          <w:bCs/>
          <w:color w:val="auto"/>
          <w:sz w:val="24"/>
          <w:szCs w:val="24"/>
          <w:highlight w:val="none"/>
        </w:rPr>
        <w:t>其他</w:t>
      </w:r>
    </w:p>
    <w:p w14:paraId="645884A4">
      <w:pPr>
        <w:pStyle w:val="9"/>
        <w:pageBreakBefore w:val="0"/>
        <w:kinsoku/>
        <w:overflowPunct/>
        <w:autoSpaceDE/>
        <w:autoSpaceDN/>
        <w:bidi w:val="0"/>
        <w:spacing w:line="360" w:lineRule="auto"/>
        <w:ind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如有未尽事宜，以招标文件及乙方投标文件响应内容为准。</w:t>
      </w:r>
    </w:p>
    <w:p w14:paraId="1787E002">
      <w:pPr>
        <w:pStyle w:val="9"/>
        <w:pageBreakBefore w:val="0"/>
        <w:kinsoku/>
        <w:overflowPunct/>
        <w:autoSpaceDE/>
        <w:autoSpaceDN/>
        <w:bidi w:val="0"/>
        <w:spacing w:line="360" w:lineRule="auto"/>
        <w:ind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lang w:val="en-US" w:eastAsia="zh-CN"/>
        </w:rPr>
        <w:t>xx</w:t>
      </w:r>
      <w:r>
        <w:rPr>
          <w:rFonts w:hint="eastAsia" w:ascii="宋体" w:hAnsi="宋体" w:eastAsia="宋体" w:cs="宋体"/>
          <w:color w:val="auto"/>
          <w:sz w:val="24"/>
          <w:szCs w:val="24"/>
          <w:highlight w:val="none"/>
        </w:rPr>
        <w:t>份，自双方签章之日起生效。甲方</w:t>
      </w:r>
      <w:r>
        <w:rPr>
          <w:rFonts w:hint="eastAsia" w:ascii="宋体" w:hAnsi="宋体" w:eastAsia="宋体" w:cs="宋体"/>
          <w:color w:val="auto"/>
          <w:sz w:val="24"/>
          <w:szCs w:val="24"/>
          <w:highlight w:val="none"/>
          <w:lang w:val="en-US" w:eastAsia="zh-CN"/>
        </w:rPr>
        <w:t>xx</w:t>
      </w:r>
      <w:r>
        <w:rPr>
          <w:rFonts w:hint="eastAsia" w:ascii="宋体" w:hAnsi="宋体" w:eastAsia="宋体" w:cs="宋体"/>
          <w:color w:val="auto"/>
          <w:sz w:val="24"/>
          <w:szCs w:val="24"/>
          <w:highlight w:val="none"/>
        </w:rPr>
        <w:t>份，乙方</w:t>
      </w:r>
      <w:r>
        <w:rPr>
          <w:rFonts w:hint="eastAsia" w:ascii="宋体" w:hAnsi="宋体" w:eastAsia="宋体" w:cs="宋体"/>
          <w:color w:val="auto"/>
          <w:sz w:val="24"/>
          <w:szCs w:val="24"/>
          <w:highlight w:val="none"/>
          <w:lang w:val="en-US" w:eastAsia="zh-CN"/>
        </w:rPr>
        <w:t>xx</w:t>
      </w:r>
      <w:r>
        <w:rPr>
          <w:rFonts w:hint="eastAsia" w:ascii="宋体" w:hAnsi="宋体" w:eastAsia="宋体" w:cs="宋体"/>
          <w:color w:val="auto"/>
          <w:sz w:val="24"/>
          <w:szCs w:val="24"/>
          <w:highlight w:val="none"/>
        </w:rPr>
        <w:t>份。</w:t>
      </w:r>
    </w:p>
    <w:tbl>
      <w:tblPr>
        <w:tblStyle w:val="5"/>
        <w:tblW w:w="9128" w:type="dxa"/>
        <w:tblInd w:w="108" w:type="dxa"/>
        <w:tblLayout w:type="fixed"/>
        <w:tblCellMar>
          <w:top w:w="0" w:type="dxa"/>
          <w:left w:w="108" w:type="dxa"/>
          <w:bottom w:w="0" w:type="dxa"/>
          <w:right w:w="108" w:type="dxa"/>
        </w:tblCellMar>
      </w:tblPr>
      <w:tblGrid>
        <w:gridCol w:w="4156"/>
        <w:gridCol w:w="4972"/>
      </w:tblGrid>
      <w:tr w14:paraId="68C51978">
        <w:tblPrEx>
          <w:tblCellMar>
            <w:top w:w="0" w:type="dxa"/>
            <w:left w:w="108" w:type="dxa"/>
            <w:bottom w:w="0" w:type="dxa"/>
            <w:right w:w="108" w:type="dxa"/>
          </w:tblCellMar>
        </w:tblPrEx>
        <w:tc>
          <w:tcPr>
            <w:tcW w:w="4156" w:type="dxa"/>
            <w:noWrap/>
            <w:vAlign w:val="top"/>
          </w:tcPr>
          <w:p w14:paraId="020ADD0F">
            <w:pPr>
              <w:widowControl/>
              <w:spacing w:line="400" w:lineRule="exact"/>
              <w:rPr>
                <w:color w:val="auto"/>
                <w:sz w:val="24"/>
                <w:highlight w:val="none"/>
              </w:rPr>
            </w:pPr>
            <w:r>
              <w:rPr>
                <w:rFonts w:hint="eastAsia"/>
                <w:color w:val="auto"/>
                <w:sz w:val="24"/>
                <w:highlight w:val="none"/>
              </w:rPr>
              <w:t>甲方：</w:t>
            </w:r>
            <w:r>
              <w:rPr>
                <w:rFonts w:hint="eastAsia"/>
                <w:color w:val="auto"/>
                <w:sz w:val="24"/>
                <w:highlight w:val="none"/>
              </w:rPr>
              <w:tab/>
            </w:r>
          </w:p>
        </w:tc>
        <w:tc>
          <w:tcPr>
            <w:tcW w:w="4972" w:type="dxa"/>
            <w:noWrap/>
            <w:vAlign w:val="top"/>
          </w:tcPr>
          <w:p w14:paraId="2DDF7139">
            <w:pPr>
              <w:widowControl/>
              <w:spacing w:line="400" w:lineRule="exact"/>
              <w:rPr>
                <w:color w:val="auto"/>
                <w:sz w:val="24"/>
                <w:highlight w:val="none"/>
              </w:rPr>
            </w:pPr>
            <w:r>
              <w:rPr>
                <w:rFonts w:hint="eastAsia"/>
                <w:color w:val="auto"/>
                <w:sz w:val="24"/>
                <w:highlight w:val="none"/>
              </w:rPr>
              <w:t>乙方：</w:t>
            </w:r>
          </w:p>
        </w:tc>
      </w:tr>
      <w:tr w14:paraId="212772AD">
        <w:tblPrEx>
          <w:tblCellMar>
            <w:top w:w="0" w:type="dxa"/>
            <w:left w:w="108" w:type="dxa"/>
            <w:bottom w:w="0" w:type="dxa"/>
            <w:right w:w="108" w:type="dxa"/>
          </w:tblCellMar>
        </w:tblPrEx>
        <w:tc>
          <w:tcPr>
            <w:tcW w:w="4156" w:type="dxa"/>
            <w:noWrap/>
            <w:vAlign w:val="top"/>
          </w:tcPr>
          <w:p w14:paraId="5685EC04">
            <w:pPr>
              <w:widowControl/>
              <w:spacing w:line="360" w:lineRule="auto"/>
              <w:rPr>
                <w:color w:val="auto"/>
                <w:sz w:val="24"/>
                <w:highlight w:val="none"/>
              </w:rPr>
            </w:pPr>
            <w:r>
              <w:rPr>
                <w:rFonts w:hint="eastAsia" w:ascii="宋体" w:hAnsi="宋体"/>
                <w:color w:val="auto"/>
                <w:kern w:val="0"/>
                <w:sz w:val="24"/>
                <w:highlight w:val="none"/>
              </w:rPr>
              <w:t>法定代表人/授权代表人：</w:t>
            </w:r>
          </w:p>
        </w:tc>
        <w:tc>
          <w:tcPr>
            <w:tcW w:w="4972" w:type="dxa"/>
            <w:noWrap/>
            <w:vAlign w:val="top"/>
          </w:tcPr>
          <w:p w14:paraId="791BE4BA">
            <w:pPr>
              <w:widowControl/>
              <w:spacing w:line="360" w:lineRule="auto"/>
              <w:rPr>
                <w:color w:val="auto"/>
                <w:sz w:val="24"/>
                <w:highlight w:val="none"/>
              </w:rPr>
            </w:pPr>
            <w:r>
              <w:rPr>
                <w:rFonts w:hint="eastAsia" w:ascii="宋体" w:hAnsi="宋体"/>
                <w:color w:val="auto"/>
                <w:kern w:val="0"/>
                <w:sz w:val="24"/>
                <w:highlight w:val="none"/>
              </w:rPr>
              <w:t>法定代表人：</w:t>
            </w:r>
          </w:p>
        </w:tc>
      </w:tr>
      <w:tr w14:paraId="6DCE7801">
        <w:tblPrEx>
          <w:tblCellMar>
            <w:top w:w="0" w:type="dxa"/>
            <w:left w:w="108" w:type="dxa"/>
            <w:bottom w:w="0" w:type="dxa"/>
            <w:right w:w="108" w:type="dxa"/>
          </w:tblCellMar>
        </w:tblPrEx>
        <w:tc>
          <w:tcPr>
            <w:tcW w:w="4156" w:type="dxa"/>
            <w:noWrap/>
            <w:vAlign w:val="top"/>
          </w:tcPr>
          <w:p w14:paraId="39D654EC">
            <w:pPr>
              <w:widowControl/>
              <w:spacing w:line="360" w:lineRule="auto"/>
              <w:rPr>
                <w:color w:val="auto"/>
                <w:sz w:val="24"/>
                <w:highlight w:val="none"/>
              </w:rPr>
            </w:pPr>
          </w:p>
        </w:tc>
        <w:tc>
          <w:tcPr>
            <w:tcW w:w="4972" w:type="dxa"/>
            <w:noWrap/>
            <w:vAlign w:val="top"/>
          </w:tcPr>
          <w:p w14:paraId="282271B8">
            <w:pPr>
              <w:widowControl/>
              <w:spacing w:line="360" w:lineRule="auto"/>
              <w:rPr>
                <w:color w:val="auto"/>
                <w:sz w:val="24"/>
                <w:highlight w:val="none"/>
              </w:rPr>
            </w:pPr>
            <w:r>
              <w:rPr>
                <w:rFonts w:hint="eastAsia" w:ascii="宋体" w:hAnsi="宋体"/>
                <w:color w:val="auto"/>
                <w:kern w:val="0"/>
                <w:sz w:val="24"/>
                <w:highlight w:val="none"/>
              </w:rPr>
              <w:t>授权代表人：</w:t>
            </w:r>
          </w:p>
        </w:tc>
      </w:tr>
      <w:tr w14:paraId="38F648EC">
        <w:tblPrEx>
          <w:tblCellMar>
            <w:top w:w="0" w:type="dxa"/>
            <w:left w:w="108" w:type="dxa"/>
            <w:bottom w:w="0" w:type="dxa"/>
            <w:right w:w="108" w:type="dxa"/>
          </w:tblCellMar>
        </w:tblPrEx>
        <w:tc>
          <w:tcPr>
            <w:tcW w:w="4156" w:type="dxa"/>
            <w:noWrap/>
            <w:vAlign w:val="top"/>
          </w:tcPr>
          <w:p w14:paraId="23DBA4BB">
            <w:pPr>
              <w:widowControl/>
              <w:spacing w:line="360" w:lineRule="auto"/>
              <w:rPr>
                <w:color w:val="auto"/>
                <w:sz w:val="24"/>
                <w:highlight w:val="none"/>
              </w:rPr>
            </w:pPr>
            <w:r>
              <w:rPr>
                <w:rFonts w:hint="eastAsia" w:ascii="宋体" w:hAnsi="宋体"/>
                <w:color w:val="auto"/>
                <w:kern w:val="0"/>
                <w:sz w:val="24"/>
                <w:highlight w:val="none"/>
              </w:rPr>
              <w:t>地   址：</w:t>
            </w:r>
          </w:p>
        </w:tc>
        <w:tc>
          <w:tcPr>
            <w:tcW w:w="4972" w:type="dxa"/>
            <w:noWrap/>
            <w:vAlign w:val="top"/>
          </w:tcPr>
          <w:p w14:paraId="4E94488E">
            <w:pPr>
              <w:widowControl/>
              <w:spacing w:line="360" w:lineRule="auto"/>
              <w:rPr>
                <w:color w:val="auto"/>
                <w:sz w:val="24"/>
                <w:highlight w:val="none"/>
              </w:rPr>
            </w:pPr>
            <w:r>
              <w:rPr>
                <w:rFonts w:hint="eastAsia" w:ascii="宋体" w:hAnsi="宋体"/>
                <w:color w:val="auto"/>
                <w:kern w:val="0"/>
                <w:sz w:val="24"/>
                <w:highlight w:val="none"/>
              </w:rPr>
              <w:t>地 址：</w:t>
            </w:r>
          </w:p>
        </w:tc>
      </w:tr>
      <w:tr w14:paraId="6338DAF3">
        <w:tblPrEx>
          <w:tblCellMar>
            <w:top w:w="0" w:type="dxa"/>
            <w:left w:w="108" w:type="dxa"/>
            <w:bottom w:w="0" w:type="dxa"/>
            <w:right w:w="108" w:type="dxa"/>
          </w:tblCellMar>
        </w:tblPrEx>
        <w:tc>
          <w:tcPr>
            <w:tcW w:w="4156" w:type="dxa"/>
            <w:noWrap/>
            <w:vAlign w:val="top"/>
          </w:tcPr>
          <w:p w14:paraId="259E0204">
            <w:pPr>
              <w:widowControl/>
              <w:spacing w:line="360" w:lineRule="auto"/>
              <w:rPr>
                <w:color w:val="auto"/>
                <w:sz w:val="24"/>
                <w:highlight w:val="none"/>
              </w:rPr>
            </w:pPr>
            <w:r>
              <w:rPr>
                <w:rFonts w:hint="eastAsia" w:ascii="宋体" w:hAnsi="宋体"/>
                <w:color w:val="auto"/>
                <w:kern w:val="0"/>
                <w:sz w:val="24"/>
                <w:highlight w:val="none"/>
              </w:rPr>
              <w:t>开户银行：</w:t>
            </w:r>
          </w:p>
        </w:tc>
        <w:tc>
          <w:tcPr>
            <w:tcW w:w="4972" w:type="dxa"/>
            <w:noWrap/>
            <w:vAlign w:val="top"/>
          </w:tcPr>
          <w:p w14:paraId="3A5E0155">
            <w:pPr>
              <w:widowControl/>
              <w:spacing w:line="360" w:lineRule="auto"/>
              <w:rPr>
                <w:color w:val="auto"/>
                <w:sz w:val="24"/>
                <w:highlight w:val="none"/>
              </w:rPr>
            </w:pPr>
            <w:r>
              <w:rPr>
                <w:rFonts w:hint="eastAsia" w:ascii="宋体" w:hAnsi="宋体"/>
                <w:color w:val="auto"/>
                <w:kern w:val="0"/>
                <w:sz w:val="24"/>
                <w:highlight w:val="none"/>
              </w:rPr>
              <w:t>开户银行：</w:t>
            </w:r>
          </w:p>
        </w:tc>
      </w:tr>
      <w:tr w14:paraId="6337B142">
        <w:tblPrEx>
          <w:tblCellMar>
            <w:top w:w="0" w:type="dxa"/>
            <w:left w:w="108" w:type="dxa"/>
            <w:bottom w:w="0" w:type="dxa"/>
            <w:right w:w="108" w:type="dxa"/>
          </w:tblCellMar>
        </w:tblPrEx>
        <w:tc>
          <w:tcPr>
            <w:tcW w:w="4156" w:type="dxa"/>
            <w:noWrap/>
            <w:vAlign w:val="top"/>
          </w:tcPr>
          <w:p w14:paraId="4EE8AC91">
            <w:pPr>
              <w:widowControl/>
              <w:spacing w:line="360" w:lineRule="auto"/>
              <w:rPr>
                <w:rFonts w:hint="eastAsia" w:eastAsia="宋体"/>
                <w:color w:val="auto"/>
                <w:sz w:val="24"/>
                <w:highlight w:val="none"/>
                <w:lang w:val="en-US" w:eastAsia="zh-CN"/>
              </w:rPr>
            </w:pPr>
            <w:r>
              <w:rPr>
                <w:rFonts w:hint="eastAsia"/>
                <w:color w:val="auto"/>
                <w:sz w:val="24"/>
                <w:highlight w:val="none"/>
                <w:lang w:val="en-US" w:eastAsia="zh-CN"/>
              </w:rPr>
              <w:t>账号</w:t>
            </w:r>
          </w:p>
        </w:tc>
        <w:tc>
          <w:tcPr>
            <w:tcW w:w="4972" w:type="dxa"/>
            <w:noWrap/>
            <w:vAlign w:val="top"/>
          </w:tcPr>
          <w:p w14:paraId="57A12128">
            <w:pPr>
              <w:widowControl/>
              <w:spacing w:line="360" w:lineRule="auto"/>
              <w:rPr>
                <w:rFonts w:hint="eastAsia" w:eastAsia="宋体"/>
                <w:color w:val="auto"/>
                <w:sz w:val="24"/>
                <w:highlight w:val="none"/>
                <w:lang w:val="en-US" w:eastAsia="zh-CN"/>
              </w:rPr>
            </w:pPr>
            <w:r>
              <w:rPr>
                <w:rFonts w:hint="eastAsia"/>
                <w:color w:val="auto"/>
                <w:sz w:val="24"/>
                <w:highlight w:val="none"/>
                <w:lang w:val="en-US" w:eastAsia="zh-CN"/>
              </w:rPr>
              <w:t>账号</w:t>
            </w:r>
          </w:p>
        </w:tc>
      </w:tr>
      <w:tr w14:paraId="055B1A9A">
        <w:tblPrEx>
          <w:tblCellMar>
            <w:top w:w="0" w:type="dxa"/>
            <w:left w:w="108" w:type="dxa"/>
            <w:bottom w:w="0" w:type="dxa"/>
            <w:right w:w="108" w:type="dxa"/>
          </w:tblCellMar>
        </w:tblPrEx>
        <w:tc>
          <w:tcPr>
            <w:tcW w:w="4156" w:type="dxa"/>
            <w:noWrap/>
            <w:vAlign w:val="top"/>
          </w:tcPr>
          <w:p w14:paraId="4ACD9BF3">
            <w:pPr>
              <w:widowControl/>
              <w:spacing w:line="360" w:lineRule="auto"/>
              <w:rPr>
                <w:color w:val="auto"/>
                <w:sz w:val="24"/>
                <w:highlight w:val="none"/>
              </w:rPr>
            </w:pPr>
            <w:r>
              <w:rPr>
                <w:rFonts w:hint="eastAsia" w:ascii="宋体" w:hAnsi="宋体"/>
                <w:color w:val="auto"/>
                <w:kern w:val="0"/>
                <w:sz w:val="24"/>
                <w:highlight w:val="none"/>
              </w:rPr>
              <w:t>电  话：</w:t>
            </w:r>
          </w:p>
        </w:tc>
        <w:tc>
          <w:tcPr>
            <w:tcW w:w="4972" w:type="dxa"/>
            <w:noWrap/>
            <w:vAlign w:val="top"/>
          </w:tcPr>
          <w:p w14:paraId="12BEE1D4">
            <w:pPr>
              <w:widowControl/>
              <w:spacing w:line="360" w:lineRule="auto"/>
              <w:rPr>
                <w:rFonts w:ascii="宋体" w:hAnsi="宋体"/>
                <w:color w:val="auto"/>
                <w:kern w:val="0"/>
                <w:sz w:val="24"/>
                <w:highlight w:val="none"/>
              </w:rPr>
            </w:pPr>
            <w:r>
              <w:rPr>
                <w:rFonts w:hint="eastAsia" w:ascii="宋体" w:hAnsi="宋体"/>
                <w:color w:val="auto"/>
                <w:kern w:val="0"/>
                <w:sz w:val="24"/>
                <w:highlight w:val="none"/>
              </w:rPr>
              <w:t>电    话：</w:t>
            </w:r>
          </w:p>
        </w:tc>
      </w:tr>
      <w:tr w14:paraId="7E3689EC">
        <w:tblPrEx>
          <w:tblCellMar>
            <w:top w:w="0" w:type="dxa"/>
            <w:left w:w="108" w:type="dxa"/>
            <w:bottom w:w="0" w:type="dxa"/>
            <w:right w:w="108" w:type="dxa"/>
          </w:tblCellMar>
        </w:tblPrEx>
        <w:tc>
          <w:tcPr>
            <w:tcW w:w="4156" w:type="dxa"/>
            <w:noWrap/>
            <w:vAlign w:val="top"/>
          </w:tcPr>
          <w:p w14:paraId="0EC2AA43">
            <w:pPr>
              <w:widowControl/>
              <w:spacing w:line="360" w:lineRule="auto"/>
              <w:rPr>
                <w:color w:val="auto"/>
                <w:sz w:val="24"/>
                <w:highlight w:val="none"/>
              </w:rPr>
            </w:pPr>
            <w:r>
              <w:rPr>
                <w:rFonts w:hint="eastAsia"/>
                <w:color w:val="auto"/>
                <w:kern w:val="0"/>
                <w:sz w:val="24"/>
                <w:highlight w:val="none"/>
              </w:rPr>
              <w:t>签约日期：    年    月    日</w:t>
            </w:r>
          </w:p>
        </w:tc>
        <w:tc>
          <w:tcPr>
            <w:tcW w:w="4972" w:type="dxa"/>
            <w:noWrap/>
            <w:vAlign w:val="top"/>
          </w:tcPr>
          <w:p w14:paraId="476BC5AA">
            <w:pPr>
              <w:widowControl/>
              <w:spacing w:line="360" w:lineRule="auto"/>
              <w:rPr>
                <w:rFonts w:ascii="宋体" w:hAnsi="宋体"/>
                <w:color w:val="auto"/>
                <w:kern w:val="0"/>
                <w:sz w:val="24"/>
                <w:highlight w:val="none"/>
              </w:rPr>
            </w:pPr>
            <w:r>
              <w:rPr>
                <w:rFonts w:hint="eastAsia"/>
                <w:color w:val="auto"/>
                <w:kern w:val="0"/>
                <w:sz w:val="24"/>
                <w:highlight w:val="none"/>
              </w:rPr>
              <w:t>签约日期：     年    月    日</w:t>
            </w:r>
          </w:p>
        </w:tc>
      </w:tr>
    </w:tbl>
    <w:p w14:paraId="17402815">
      <w:pPr>
        <w:pStyle w:val="10"/>
        <w:ind w:firstLine="482" w:firstLineChars="200"/>
        <w:rPr>
          <w:rFonts w:hint="eastAsia"/>
          <w:b/>
          <w:bCs/>
          <w:color w:val="auto"/>
          <w:highlight w:val="none"/>
          <w:lang w:val="en-US" w:eastAsia="zh-CN"/>
        </w:rPr>
      </w:pPr>
    </w:p>
    <w:p w14:paraId="60404F04"/>
    <w:sectPr>
      <w:footerReference r:id="rId6" w:type="first"/>
      <w:footerReference r:id="rId5" w:type="default"/>
      <w:pgSz w:w="11906" w:h="16838"/>
      <w:pgMar w:top="1440" w:right="1080" w:bottom="1440" w:left="1080" w:header="851" w:footer="992" w:gutter="0"/>
      <w:pgBorders>
        <w:top w:val="none" w:sz="0" w:space="0"/>
        <w:left w:val="none" w:sz="0" w:space="0"/>
        <w:bottom w:val="none" w:sz="0" w:space="0"/>
        <w:right w:val="none" w:sz="0" w:space="0"/>
      </w:pgBorders>
      <w:pgNumType w:fmt="decimal"/>
      <w:cols w:space="0" w:num="1"/>
      <w:titlePg/>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CFF7DF">
    <w:pPr>
      <w:pStyle w:val="3"/>
      <w:tabs>
        <w:tab w:val="center" w:pos="4153"/>
        <w:tab w:val="right" w:pos="8306"/>
        <w:tab w:val="clear" w:pos="0"/>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8A0B0D">
                          <w:pPr>
                            <w:pStyle w:val="3"/>
                          </w:pPr>
                          <w:r>
                            <w:fldChar w:fldCharType="begin"/>
                          </w:r>
                          <w:r>
                            <w:instrText xml:space="preserve"> PAGE  \* MERGEFORMAT </w:instrText>
                          </w:r>
                          <w:r>
                            <w:fldChar w:fldCharType="separate"/>
                          </w:r>
                          <w:r>
                            <w:t>28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708A0B0D">
                    <w:pPr>
                      <w:pStyle w:val="3"/>
                    </w:pPr>
                    <w:r>
                      <w:fldChar w:fldCharType="begin"/>
                    </w:r>
                    <w:r>
                      <w:instrText xml:space="preserve"> PAGE  \* MERGEFORMAT </w:instrText>
                    </w:r>
                    <w:r>
                      <w:fldChar w:fldCharType="separate"/>
                    </w:r>
                    <w:r>
                      <w:t>28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2FBF69">
    <w:pPr>
      <w:pStyle w:val="3"/>
      <w:tabs>
        <w:tab w:val="center" w:pos="4153"/>
        <w:tab w:val="right" w:pos="8306"/>
        <w:tab w:val="clear" w:pos="0"/>
      </w:tabs>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397C23">
                          <w:pPr>
                            <w:pStyle w:val="3"/>
                          </w:pPr>
                          <w:r>
                            <w:fldChar w:fldCharType="begin"/>
                          </w:r>
                          <w:r>
                            <w:instrText xml:space="preserve"> PAGE  \* MERGEFORMAT </w:instrText>
                          </w:r>
                          <w:r>
                            <w:fldChar w:fldCharType="separate"/>
                          </w:r>
                          <w:r>
                            <w:t>27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19397C23">
                    <w:pPr>
                      <w:pStyle w:val="3"/>
                    </w:pPr>
                    <w:r>
                      <w:fldChar w:fldCharType="begin"/>
                    </w:r>
                    <w:r>
                      <w:instrText xml:space="preserve"> PAGE  \* MERGEFORMAT </w:instrText>
                    </w:r>
                    <w:r>
                      <w:fldChar w:fldCharType="separate"/>
                    </w:r>
                    <w:r>
                      <w:t>27</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3B7C92"/>
    <w:multiLevelType w:val="singleLevel"/>
    <w:tmpl w:val="8F3B7C92"/>
    <w:lvl w:ilvl="0" w:tentative="0">
      <w:start w:val="3"/>
      <w:numFmt w:val="chineseCounting"/>
      <w:suff w:val="space"/>
      <w:lvlText w:val="第%1条"/>
      <w:lvlJc w:val="left"/>
      <w:rPr>
        <w:rFonts w:hint="eastAsia"/>
      </w:rPr>
    </w:lvl>
  </w:abstractNum>
  <w:abstractNum w:abstractNumId="1">
    <w:nsid w:val="B04D8E0A"/>
    <w:multiLevelType w:val="multilevel"/>
    <w:tmpl w:val="B04D8E0A"/>
    <w:lvl w:ilvl="0" w:tentative="0">
      <w:start w:val="1"/>
      <w:numFmt w:val="chineseCounting"/>
      <w:suff w:val="nothing"/>
      <w:lvlText w:val="第%1章 "/>
      <w:lvlJc w:val="left"/>
      <w:pPr>
        <w:tabs>
          <w:tab w:val="left" w:pos="0"/>
        </w:tabs>
        <w:ind w:left="0" w:firstLine="0"/>
      </w:pPr>
      <w:rPr>
        <w:rFonts w:hint="eastAsia" w:ascii="宋体" w:hAnsi="宋体" w:eastAsia="宋体" w:cs="宋体"/>
      </w:rPr>
    </w:lvl>
    <w:lvl w:ilvl="1" w:tentative="0">
      <w:start w:val="1"/>
      <w:numFmt w:val="chineseCounting"/>
      <w:pStyle w:val="11"/>
      <w:suff w:val="nothing"/>
      <w:lvlText w:val="%2、"/>
      <w:lvlJc w:val="left"/>
      <w:pPr>
        <w:ind w:left="0" w:firstLine="0"/>
      </w:pPr>
      <w:rPr>
        <w:rFonts w:hint="eastAsia" w:ascii="宋体" w:hAnsi="宋体" w:eastAsia="宋体" w:cs="宋体"/>
      </w:rPr>
    </w:lvl>
    <w:lvl w:ilvl="2" w:tentative="0">
      <w:start w:val="1"/>
      <w:numFmt w:val="chineseCounting"/>
      <w:suff w:val="nothing"/>
      <w:lvlText w:val="(%3)"/>
      <w:lvlJc w:val="left"/>
      <w:pPr>
        <w:tabs>
          <w:tab w:val="left" w:pos="0"/>
        </w:tabs>
        <w:ind w:left="0" w:firstLine="0"/>
      </w:pPr>
      <w:rPr>
        <w:rFonts w:hint="eastAsia" w:ascii="宋体" w:hAnsi="宋体" w:eastAsia="宋体" w:cs="宋体"/>
      </w:rPr>
    </w:lvl>
    <w:lvl w:ilvl="3" w:tentative="0">
      <w:start w:val="1"/>
      <w:numFmt w:val="decimal"/>
      <w:suff w:val="nothing"/>
      <w:lvlText w:val="%4."/>
      <w:lvlJc w:val="left"/>
      <w:pPr>
        <w:tabs>
          <w:tab w:val="left" w:pos="0"/>
        </w:tabs>
        <w:ind w:left="0" w:firstLine="0"/>
      </w:pPr>
      <w:rPr>
        <w:rFonts w:hint="eastAsia" w:ascii="宋体" w:hAnsi="宋体" w:eastAsia="宋体" w:cs="宋体"/>
      </w:rPr>
    </w:lvl>
    <w:lvl w:ilvl="4" w:tentative="0">
      <w:start w:val="1"/>
      <w:numFmt w:val="decimal"/>
      <w:suff w:val="nothing"/>
      <w:lvlText w:val="%4.%5"/>
      <w:lvlJc w:val="left"/>
      <w:pPr>
        <w:ind w:left="0" w:firstLine="0"/>
      </w:pPr>
      <w:rPr>
        <w:rFonts w:hint="eastAsia" w:ascii="宋体" w:hAnsi="宋体" w:eastAsia="宋体" w:cs="宋体"/>
      </w:rPr>
    </w:lvl>
    <w:lvl w:ilvl="5" w:tentative="0">
      <w:start w:val="1"/>
      <w:numFmt w:val="decimal"/>
      <w:suff w:val="nothing"/>
      <w:lvlText w:val="(%6)"/>
      <w:lvlJc w:val="left"/>
      <w:pPr>
        <w:ind w:left="0" w:firstLine="0"/>
      </w:pPr>
      <w:rPr>
        <w:rFonts w:hint="eastAsia" w:ascii="宋体" w:hAnsi="宋体" w:eastAsia="宋体" w:cs="宋体"/>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2">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12"/>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2D4A4E"/>
    <w:rsid w:val="2C752B50"/>
    <w:rsid w:val="2F807842"/>
    <w:rsid w:val="359D6D3A"/>
    <w:rsid w:val="43724C26"/>
    <w:rsid w:val="64487C27"/>
    <w:rsid w:val="697E40EB"/>
    <w:rsid w:val="6B3D3F79"/>
    <w:rsid w:val="76970511"/>
    <w:rsid w:val="76C412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adjustRightInd w:val="0"/>
      <w:snapToGrid w:val="0"/>
      <w:spacing w:line="440" w:lineRule="exact"/>
    </w:pPr>
    <w:rPr>
      <w:rFonts w:ascii="宋体" w:hAnsi="宋体" w:eastAsia="宋体" w:cstheme="minorBidi"/>
      <w:kern w:val="2"/>
      <w:sz w:val="24"/>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spacing w:line="240" w:lineRule="auto"/>
    </w:pPr>
    <w:rPr>
      <w:sz w:val="18"/>
      <w:szCs w:val="18"/>
    </w:rPr>
  </w:style>
  <w:style w:type="paragraph" w:styleId="4">
    <w:name w:val="Normal (Web)"/>
    <w:basedOn w:val="1"/>
    <w:qFormat/>
    <w:uiPriority w:val="99"/>
    <w:pPr>
      <w:widowControl/>
      <w:spacing w:before="100" w:beforeAutospacing="1" w:after="100" w:afterAutospacing="1" w:line="240" w:lineRule="auto"/>
    </w:pPr>
    <w:rPr>
      <w:rFonts w:cs="宋体"/>
      <w:kern w:val="0"/>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Body text|1"/>
    <w:basedOn w:val="1"/>
    <w:autoRedefine/>
    <w:qFormat/>
    <w:uiPriority w:val="0"/>
    <w:pPr>
      <w:spacing w:line="396" w:lineRule="auto"/>
      <w:ind w:firstLine="400"/>
    </w:pPr>
    <w:rPr>
      <w:rFonts w:cs="宋体"/>
      <w:i/>
      <w:iCs/>
      <w:sz w:val="30"/>
      <w:szCs w:val="30"/>
      <w:u w:val="single"/>
      <w:lang w:val="zh-TW" w:eastAsia="zh-TW" w:bidi="zh-TW"/>
    </w:rPr>
  </w:style>
  <w:style w:type="paragraph" w:customStyle="1" w:styleId="9">
    <w:name w:val="1公招正文"/>
    <w:basedOn w:val="1"/>
    <w:autoRedefine/>
    <w:qFormat/>
    <w:uiPriority w:val="0"/>
    <w:pPr>
      <w:spacing w:line="360" w:lineRule="auto"/>
      <w:ind w:firstLine="1044" w:firstLineChars="200"/>
      <w:jc w:val="left"/>
    </w:pPr>
    <w:rPr>
      <w:rFonts w:ascii="宋体" w:hAnsi="宋体"/>
      <w:sz w:val="24"/>
    </w:rPr>
  </w:style>
  <w:style w:type="paragraph" w:customStyle="1" w:styleId="10">
    <w:name w:val="Default"/>
    <w:autoRedefine/>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1">
    <w:name w:val="15、“一、”二级标题"/>
    <w:basedOn w:val="1"/>
    <w:autoRedefine/>
    <w:qFormat/>
    <w:uiPriority w:val="0"/>
    <w:pPr>
      <w:numPr>
        <w:ilvl w:val="1"/>
        <w:numId w:val="1"/>
      </w:numPr>
      <w:wordWrap w:val="0"/>
      <w:topLinePunct/>
      <w:ind w:firstLine="803" w:firstLineChars="200"/>
      <w:outlineLvl w:val="1"/>
    </w:pPr>
    <w:rPr>
      <w:b/>
    </w:rPr>
  </w:style>
  <w:style w:type="paragraph" w:customStyle="1" w:styleId="12">
    <w:name w:val="标题 5（有编号）（绿盟科技）"/>
    <w:basedOn w:val="13"/>
    <w:next w:val="15"/>
    <w:autoRedefine/>
    <w:qFormat/>
    <w:uiPriority w:val="0"/>
    <w:pPr>
      <w:keepNext/>
      <w:keepLines/>
      <w:numPr>
        <w:ilvl w:val="4"/>
        <w:numId w:val="2"/>
      </w:numPr>
      <w:tabs>
        <w:tab w:val="left" w:pos="0"/>
      </w:tabs>
      <w:spacing w:before="280" w:after="156" w:line="377" w:lineRule="auto"/>
      <w:outlineLvl w:val="4"/>
    </w:pPr>
    <w:rPr>
      <w:rFonts w:ascii="Arial" w:hAnsi="Arial" w:eastAsia="黑体"/>
      <w:b/>
      <w:kern w:val="0"/>
      <w:szCs w:val="28"/>
    </w:rPr>
  </w:style>
  <w:style w:type="paragraph" w:customStyle="1" w:styleId="13">
    <w:name w:val="正文1"/>
    <w:next w:val="14"/>
    <w:autoRedefine/>
    <w:qFormat/>
    <w:uiPriority w:val="0"/>
    <w:pPr>
      <w:widowControl w:val="0"/>
      <w:suppressAutoHyphens w:val="0"/>
      <w:bidi w:val="0"/>
      <w:spacing w:beforeLines="0" w:afterLines="0"/>
      <w:jc w:val="both"/>
    </w:pPr>
    <w:rPr>
      <w:rFonts w:ascii="Calibri" w:hAnsi="Calibri" w:eastAsia="宋体" w:cs="黑体"/>
      <w:color w:val="auto"/>
      <w:kern w:val="2"/>
      <w:sz w:val="21"/>
      <w:szCs w:val="22"/>
      <w:lang w:val="en-US" w:eastAsia="zh-CN" w:bidi="ar-SA"/>
    </w:rPr>
  </w:style>
  <w:style w:type="paragraph" w:customStyle="1" w:styleId="14">
    <w:name w:val="正文文本1"/>
    <w:basedOn w:val="13"/>
    <w:next w:val="13"/>
    <w:autoRedefine/>
    <w:qFormat/>
    <w:uiPriority w:val="0"/>
    <w:pPr>
      <w:spacing w:beforeLines="0" w:afterLines="50"/>
    </w:pPr>
  </w:style>
  <w:style w:type="paragraph" w:customStyle="1" w:styleId="15">
    <w:name w:val="正文（绿盟科技）"/>
    <w:next w:val="1"/>
    <w:autoRedefine/>
    <w:qFormat/>
    <w:uiPriority w:val="0"/>
    <w:pPr>
      <w:spacing w:line="300" w:lineRule="auto"/>
    </w:pPr>
    <w:rPr>
      <w:rFonts w:ascii="Arial" w:hAnsi="Arial" w:eastAsia="宋体" w:cs="黑体"/>
      <w:sz w:val="21"/>
      <w:szCs w:val="21"/>
      <w:lang w:val="en-US" w:eastAsia="zh-CN" w:bidi="ar-SA"/>
    </w:rPr>
  </w:style>
  <w:style w:type="paragraph" w:customStyle="1" w:styleId="16">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2108</Words>
  <Characters>2149</Characters>
  <Lines>0</Lines>
  <Paragraphs>0</Paragraphs>
  <TotalTime>0</TotalTime>
  <ScaleCrop>false</ScaleCrop>
  <LinksUpToDate>false</LinksUpToDate>
  <CharactersWithSpaces>2396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2025-04-01T03:23:00Z</dcterms:created>
  <dc:creator>Administrator</dc:creator>
  <cp:lastModifiedBy>项目部</cp:lastModifiedBy>
  <dcterms:modified xsi:type="dcterms:W3CDTF">2025-04-01T06:56:04Z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eyJoZGlkIjoiNjk4YTE4ZmQ1OWE5YmYwMTZhMTFlNjUyMjE4NTRmNjgiLCJ1c2VySWQiOiIxMjM1MzYwMDQ2In0=</vt:lpwstr>
  </property>
  <property fmtid="{D5CDD505-2E9C-101B-9397-08002B2CF9AE}" pid="4" name="ICV">
    <vt:lpwstr>ABC497ADC5DA49DF9CC1018BA8DE6B4F_12</vt:lpwstr>
  </property>
</Properties>
</file>