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东孚街道小散工程安全监管技术服务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CGXM-2025-350205-00093[2025]00053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[350205]HC[GK]2025011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厦门市海沧区人民政府东孚街道办事处</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厦门市华沧采购招标有限公司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厦门市华沧采购招标有限公司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东孚街道小散工程安全监管技术服务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CGXM-2025-350205-00093[2025]00053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[350205]HC[GK]2025011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中国（福建厦门）”网站（credit.xm.gov.cn）查询所有投标人的信用信息。2.截止时点：查询本项目投标截止时间点前三年内的信用信息。 3.查询记录和证据留存方式：资格审查小组将查询结果网页打印后随采购文件一并存档。4.信用信息的使用规则：（1）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小组查询结果为准。</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1.投标人需满足以下条件，否则投标无效：（1）本项目为专门面向中小企业采购，投标人【在货物采购项目中，指的是货物制造商，工程（服务）采购项目中，指的是工程（服务）承建方（承接方）】应符合财政部《关于印发中小企业划型标准规定的通知》（工信部联企业〔2011〕300号）确定的中型企业、小型企业或微型企业。投标人与大企业的负责人为同一人，或者与大企业存在直接控股、管理关系的除外。符合中小企业划分标准的个体工商户，视同中小企业。监狱企业、残疾人福利性单位视同小型、微型企业。（2）以联合体形式参加采购活动，投标人【在货物采购项目中，指的是货物制造商，工程（服务）采购项目中，指的是工程（服务）承建方（承接方）】各方均需为中小企业。 2.需提供的材料：投标人须按照本项目的项目属性（服务类）划分提供相对应的《中小企业声明函》（格式见招标文件第五章其他商务要求附件）。未按规定提供的（含项目属性格式套用错误的）将不被认定为中小企业，资格审查不通过。 3.特别说明：（1）中小企业划分标准文件依据：财政部《关于印发中小企业划型标准规定的通知》（工信部联企业〔2011〕300号）。（2）投标人应对其出具的《中小企业声明函》真实性、准确性负责。中标（成交）结果将同时公告中标人的《中小企业声明函》。若投标人出具的《中小企业声明函》内容不实的，属于提供虚假材料谋取中标、成交，依照《中华人民共和国政府采购法》等国家有关规定追究相应责任。（3）本项目所属行业为租赁和商务服务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厦门市海沧区人民政府东孚街道办事处</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厦门市海沧区东孚街道洪诗路98号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李慧荫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0592-6312651</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厦门市华沧采购招标有限公司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厦门市海沧区沧虹路95号工商银行八楼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361026</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林志羡、危青、刘瑞凤</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0592-6581388</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厦门市华沧采购招标有限公司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1,600,000.00</w:t>
      </w:r>
    </w:p>
    <w:p>
      <w:pPr>
        <w:pStyle w:val="null3"/>
        <w:jc w:val="left"/>
      </w:pPr>
      <w:r>
        <w:rPr>
          <w:rFonts w:ascii="仿宋_GB2312" w:hAnsi="仿宋_GB2312" w:cs="仿宋_GB2312" w:eastAsia="仿宋_GB2312"/>
        </w:rPr>
        <w:t>采购包最高限价（元）: 1,600,000.00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东孚街道小散工程安全监管技术服务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1,600,000.00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东孚街道小散工程安全监管技术服务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东孚街道小散工程安全监管技术服务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东孚街道小散工程安全监管技术服务</w:t>
            </w:r>
          </w:p>
        </w:tc>
        <w:tc>
          <w:tcPr>
            <w:tcW w:type="dxa" w:w="2076"/>
          </w:tcPr>
          <w:p>
            <w:pPr>
              <w:pStyle w:val="null3"/>
              <w:jc w:val="left"/>
            </w:pPr>
            <w:r>
              <w:rPr>
                <w:rFonts w:ascii="仿宋_GB2312" w:hAnsi="仿宋_GB2312" w:cs="仿宋_GB2312" w:eastAsia="仿宋_GB2312"/>
              </w:rPr>
              <w:t>东孚街道小散工程安全监管技术服务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a.评标结果按评审后得分由高到低顺序排列。得分相同的，按投标报价由低到高顺序排列；b.投标报价相同的，按技术项得分由高到低顺序排列；c.技术项得分相同的，按商务项得分由高到低顺序排列；d. 商务项得分还是相同的，采取随机抽取的方式确定。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厦门市华沧采购招标有限公司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厦门市海沧区财政局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本项目类别：服务类。②招标代理服务费收费标准：本项目的招标代理服务费按下列标准收取：以中标金额为基数，具体为：基数≤100万元部分，按1.5%计取；100万元＜基数≤500万元部分，按0.8%计取，500万元＜基数≤1000万元部分，按0.45%计取，分段累进计算。中标人在领取《中标通知书》前须将招标代理服务费缴至厦门市华沧采购招标有限公司账户（开户行：厦门银行银隆支行，开户名：厦门市华沧采购招标有限公司，账号：8751020109007675）。③本项目中标人可享受服务费下浮10%的优惠。</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针对投标人须知前附表表1序号9的补充说明：提交质疑须附上系统报名截图，来函件应为加盖投标人公章、留有联系方式的原件。代理机构地址和联系方式详见招标公告。2.友情提醒2.1网上报名：登录福建省政府采购网厦门分网http://www.ccgp-xiamen.gov.cn/→【服务专区】→下载【供应商操作手册】，按手册指引操作。2.2请投标人及时进行网上报名并提前办理CA。标人及时进行网上报名并提前办理CA。3.若投标人提供资信证明的，则须提供2024年1月1日以来开户银行出具的资信证明扫描件（若资信证明备注有效期的，必须在有效期内，否则为无效资信证明）。若投标人提供财务报告的，鉴于部分投标人经审计的上一年度的年度财务报告尚未完成编制，投标人选择提供2023年或2024年的经审计的年度财务报告均视为符合要求。</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第二章-投标人须知前附表（表1）序号11中“※若出现上述指定媒体信息不一致情形，应以中国政府采购网福建分网（福建省政府采购网）发布的为准。</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※若出现上述指定媒体信息不一致情形，应以中国政府采购网发布的为准。 后适用本项目的电子招标投标活动。</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本项目为专门面向中小企业采购项目，不再进行价格扣除。</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厦门市华沧采购招标有限公司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厦门市华沧采购招标有限公司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厦门市华沧采购招标有限公司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厦门市华沧采购招标有限公司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厦门市华沧采购招标有限公司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厦门市华沧采购招标有限公司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厦门市华沧采购招标有限公司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厦门市华沧采购招标有限公司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厦门市华沧采购招标有限公司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厦门市华沧采购招标有限公司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厦门市华沧采购招标有限公司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厦门市华沧采购招标有限公司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厦门市华沧采购招标有限公司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厦门市华沧采购招标有限公司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厦门市华沧采购招标有限公司</w:t>
      </w:r>
      <w:r>
        <w:rPr>
          <w:rFonts w:ascii="仿宋_GB2312" w:hAnsi="仿宋_GB2312" w:cs="仿宋_GB2312" w:eastAsia="仿宋_GB2312"/>
        </w:rPr>
        <w:t xml:space="preserve"> 提出询问， </w:t>
      </w:r>
      <w:r>
        <w:rPr>
          <w:rFonts w:ascii="仿宋_GB2312" w:hAnsi="仿宋_GB2312" w:cs="仿宋_GB2312" w:eastAsia="仿宋_GB2312"/>
        </w:rPr>
        <w:t>厦门市华沧采购招标有限公司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厦门市华沧采购招标有限公司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厦门市华沧采购招标有限公司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由厦门市华沧采购招标有限公司派出的工作人员至少1人，</w:t>
      </w:r>
      <w:r>
        <w:rPr>
          <w:rFonts w:ascii="仿宋_GB2312" w:hAnsi="仿宋_GB2312" w:cs="仿宋_GB2312" w:eastAsia="仿宋_GB2312"/>
        </w:rPr>
        <w:t>其余1人可为采购人代表或厦门市华沧采购招标有限公司的工作人员。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中国（福建厦门）”网站（credit.xm.gov.cn）查询所有投标人的信用信息。2.截止时点：查询本项目投标截止时间点前三年内的信用信息。 3.查询记录和证据留存方式：资格审查小组将查询结果网页打印后随采购文件一并存档。4.信用信息的使用规则：（1）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小组查询结果为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投标人需满足以下条件，否则投标无效：（1）本项目为专门面向中小企业采购，投标人【在货物采购项目中，指的是货物制造商，工程（服务）采购项目中，指的是工程（服务）承建方（承接方）】应符合财政部《关于印发中小企业划型标准规定的通知》（工信部联企业〔2011〕300号）确定的中型企业、小型企业或微型企业。投标人与大企业的负责人为同一人，或者与大企业存在直接控股、管理关系的除外。符合中小企业划分标准的个体工商户，视同中小企业。监狱企业、残疾人福利性单位视同小型、微型企业。（2）以联合体形式参加采购活动，投标人【在货物采购项目中，指的是货物制造商，工程（服务）采购项目中，指的是工程（服务）承建方（承接方）】各方均需为中小企业。 2.需提供的材料：投标人须按照本项目的项目属性（服务类）划分提供相对应的《中小企业声明函》（格式见招标文件第五章其他商务要求附件）。未按规定提供的（含项目属性格式套用错误的）将不被认定为中小企业，资格审查不通过。 3.特别说明：（1）中小企业划分标准文件依据：财政部《关于印发中小企业划型标准规定的通知》（工信部联企业〔2011〕300号）。（2）投标人应对其出具的《中小企业声明函》真实性、准确性负责。中标（成交）结果将同时公告中标人的《中小企业声明函》。若投标人出具的《中小企业声明函》内容不实的，属于提供虚假材料谋取中标、成交，依照《中华人民共和国政府采购法》等国家有关规定追究相应责任。（3）本项目所属行业为租赁和商务服务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厦门市华沧采购招标有限公司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厦门市华沧采购招标有限公司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厦门市华沧采购招标有限公司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厦门市华沧采购招标有限公司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对本项目安全生产监管能力、企业安全生产主体责任落实等内容的理解情况进行评价：①投标人有提供对安全生产监管能力、企业安全生产主体责任落实等内容的得2.7分；②在①的基础上，结合本项目实际可能发生的安全生产监管等能力体系完整、安全生产管理制度完善的得3分；③未提供方案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实施重点难点分析情况进行评价：①有结合本项目实际情况对本项目提供重点、难点分析，合理且符合实际情况的得2.7分，②在满足①的基础上，重点、难点分析较为全面、包含解决措施，符合本项目的实际情况且有利于项目顺利实施的得3分，③未提供或不可行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服务总体方案进行评价：①投标人提供的服务总体方案包含服务内容、服务人员考核计划等内容的得2.7分；②在①的基础上，服务内容细致全面、服务人员考核计划编制内容详细完整，编制清晰，方案符合实际情况能够调动人员工作积极性的得3分；③未提供方案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的特点提供防止人员流失措施、确保人员相对稳定的措施进行评价：①投标人提供的防止人员流失措施、确保人员相对稳定的措施内容包含薪酬激励、制度激励、情感激励等内容的得2.7分；②在①的基础上，措施内容完整、可操作性强，有效提升人员稳定性的得3分；③未提供方案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资料整理方案进行评价：①有提供资料的分类标准、分类标识方法、资料存储、归档案卷的质量要求等内容的得2.7分；②在①的基础上，资料整理方案细致完善，归档案卷的质量要求合理规范的得3分；③未提供方案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重大活动、突击检查服务保障措施进行评价：①投标人提供的措施内容包含重大活动、突击检查保障措施的得2.7分；②在①的基础上，重大活动、突击检查保障措施完整详细、针对性强、符合本项目要求的得3分；③未提供方案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与采购人的配合措施进行评价：①投标人提供的配合措施内容包含移交期间交接工作、内外协调工作、项目末期验收工作等内容的得2.8分；②在①的基础上，配合措施完善，有利于项目开展，提高工作效率的得3分；③未提供方案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应急处理演练方案进行评价：①应急处理演练方案内容包含指挥机构和职责、应急处置原则、事件类型和危害程度分析、应急物资与装备保障等的得2.8分；②在①的基础上，指挥机构和职责划分清晰、应急处置原则合理高效、事件类型和危害程度分析细致全面、应急物资与装备保障机制完善的得3分；③未提供方案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结合本项目提出管理服务的新思路进行评价：①方案包含实施科学化、规范化管理、开展安全风险防控主题宣传等的得1.8分；②在①的基础上，方案中针对本项目的新思路考虑全面、重点突出且方案合理可行，既务实又能体现创新的大思路，确保管理目标实现的得2分；③未提供方案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人员培训方案进行评价：①人员培训方案包含服务团队的培训人员、培训时间、培训计划、培训形式、培训预期效果等内容的得2.8分；②在①的基础上，培训人员符合本项目情况、培训时间合理、培训计划完整、培训形式多样的得3分；③未提供方案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保密措施进行评价：①保密措施内容详细、保密制度合理可行的得2.8分；②在①的基础上，保密措施全面且针对性强、保密制度执行与监督机制完善、符合本项目情况的得3分；③未提供方案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根据投标人提供的服务质量保障措施进行评价：每提供1条服务质量保障措施且具备详细实施细则的得1分，满分3分，未提供或措施与项目实际需求无关不得分。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根据磋商响应供应商提出可能出现的投诉情况，以及应对投诉处理解决方案进行评价，每提供一个可能出现的投诉情况及解决方案的得1分，满分3分。未提供或方案与项目实际需求无关不得分。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置的安全监管巡查车辆数量进行评价：车辆数量≥3辆的得3分，车辆数量为2辆的得2分，车辆数量为1辆的得1分。若为自有，投标人需提供投标人机动车有效行驶证扫描件及单位购车发票（发票上的购买人为投标人）并加盖投标人公章；若为租赁，投标人需提供租赁协议（租赁协议要涵盖本项目服务期）及行驶证有效扫描件并加盖投标人公章，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项目负责人具备一级注册建造师或注册监理工程师或高级工程师证（职称）的得3分，否则不得分。投标人需提供人员相关证书扫描件及自本项目投标截止之日的上一个月起算，往前追溯六个月内任一月份投标人为其缴纳的社保证明（投标当月新成立尚未缴纳社保的企业，或享受社保减免政策的企业，提供说明或社保减免证明，视为社保资料符合要求）并加盖投标人公章，其中注册建造师证书扫描件应为使用有效期内的注册建造师电子注册证书打印后由项目负责人在个人签名处手写签名后扫描（未由项目负责人本人手写签名或与签名图像笔迹不一致的，该电子注册证书无效），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的项目组成人员(项目负责人除外)中具有与本项目相关专业的中级（或以上）职称的，每提供一个得1.5分，满分3分，否则不得分。投标人应提供以上人员身份证、证书有效扫描件及自本项目投标截止之日的上一个月起算，往前追溯六个月内任一月份投标人单位缴交的社保缴纳证明（投标当月新成立尚未缴纳社保的企业，或享受社保减免政策的企业，提供说明或社保减免证明，视为社保资料符合要求）并加盖投标人公章，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投标人拟投入本项目的其他服务人员(项目负责人除外) 具有专职安全员证书的，每提供一个得1分，满分得3分。投标人应提供以上人员身份证、证书有效扫描件及自本项目投标截止之日的上一个月起算，往前追溯六个月内任一月份投标人单位缴交的社保缴纳证明（投标当月新成立尚未缴纳社保的企业，或享受社保减免政策的企业，提供说明或社保减免证明，视为社保资料符合要求）并加盖投标人公章，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投标人承诺提供的服务人员配合完成采购人临时交办的其他工作任务的得3分，投标人应提供承诺函（格式自拟）并加盖投标人公章，否则不得分。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投标人承诺在项目实施过程中严格遵守采购人的工作纪律和廉洁纪律得3分，投标人应提供承诺函（格式自拟）并加盖投标人公章，否则不得分。</w:t>
            </w:r>
          </w:p>
        </w:tc>
      </w:tr>
      <w:tr>
        <w:tc>
          <w:tcPr>
            <w:tcW w:type="dxa" w:w="3322"/>
          </w:tcPr>
          <w:p>
            <w:pPr>
              <w:pStyle w:val="null3"/>
              <w:jc w:val="both"/>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投标人承诺中标后为项目服务人员定期进行思想教育工作，及时处理项目组成人员违纪问题的得3分，投标人应提供承诺函（格式自拟）并加盖投标人公章，否则不得分。</w:t>
            </w:r>
          </w:p>
        </w:tc>
      </w:tr>
      <w:tr>
        <w:tc>
          <w:tcPr>
            <w:tcW w:type="dxa" w:w="3322"/>
          </w:tcPr>
          <w:p>
            <w:pPr>
              <w:pStyle w:val="null3"/>
              <w:jc w:val="both"/>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投标人承诺保持拟派上岗人员的稳定性，不随意调整上岗人员，确需调整的须经采购人同意的得3分，投标人应提供承诺函（格式自拟）并加盖投标人公章，否则不得分。</w:t>
            </w:r>
          </w:p>
        </w:tc>
      </w:tr>
      <w:tr>
        <w:tc>
          <w:tcPr>
            <w:tcW w:type="dxa" w:w="3322"/>
          </w:tcPr>
          <w:p>
            <w:pPr>
              <w:pStyle w:val="null3"/>
              <w:jc w:val="both"/>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投标人承诺中标后定期向采购人汇报工作进度，并按采购人要求调整工作计划的得3分，投标人应提供承诺函（格式自拟）并加盖投标人公章，否则不得分。</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投标人具有质量管理体系认证证书的得1分，投标人须提供有效期内的认证证书扫描件并承诺（格式自拟）可在全国认证认可信息公共服务平台（cx.cnca.cn）查询，否则不得分。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投标人具有环境管理体系认证证书的得1分，投标人须提供有效期内的认证证书扫描件并承诺（格式自拟）可在全国认证认可信息公共服务平台（cx.cnca.cn）查询，否则不得分。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投标人具有职业健康安全管理体系认证证书的得1分，投标人须提供有效期内的认证证书扫描件并承诺（格式自拟）可在全国认证认可信息公共服务平台（cx.cnca.cn）查询，否则不得分。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的员工管理规章制度情况进行评价：①管理规章制度内容包含公司组织架构图、组织管理原则、人事管理制度等的得2.8分；②在①的基础上，管理规章制度组织架构完整、组织管理原则细致全面、人事管理制度完善的得3分；③未提供方案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项目服务的时效性，投标人可提供厦门本地化服务的得3分，否则不得分。投标人可提供自身机构的营业执照副本扫描件，也可以提供在本地设立分公司等机构证明，或者承诺（格式自拟）中标后提供本地化服务。</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投标人承诺中标后为项目服务人员提供统一制服的得3分，投标人应提供承诺函（格式自拟）并加盖投标人公章，否则不得分。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投标人承诺中标后，在服务期内，对拟投入的所有服务人员安全负全部法律规定责任，若服务人员发生安全事故，承担法律规定责任的得2分，投标人应提供承诺函（格式自拟）并加盖投标人公章，否则不得分。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投标人承诺拟投入的所有服务人员应当勤勉、尽责地完成所有服务内容的得3分，投标人应提供承诺函（格式自拟）并加盖投标人公章，否则不得分。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投标人承诺在合同履行期间不因劳动纠纷而受到劳动行政部门的处罚的得2分，投标人应提供承诺函（格式自拟）并加盖投标人公章，否则不得分。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自2021年1月1日以来（以合同签订日期为准）承接的相关安全监管服务项目业绩进行评价：每提供一个项目得1分，满分3分。投标人须在投标文件中提供该业绩项目以下资料扫描件（原件备查）：①采购合同文本；②中标（成交）公告（提供相关网站中标或成交公告的下载网页及其网址）；③中标（成交）通知书；④能够证明该业绩项目已经采购人验收合格的相关证明文件。如未按以上要求提供该项业绩完整资料的，评标委员会对该项业绩将不予采信。（与序号11同一业绩不重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2021年1月1日以来（以合同签订日期为准）承接过的相关安全监管服务项目的服务质量获得用户好评的情况进行评价：每提供1份优秀或满意或好或综合得分90分及以上的好评证明得1分，满分3分。相同用户单位出具的只计算一份。投标人应提供采购合同、对应用户出具的好评盖章材料扫描件并加盖投标人公章，未提供的不得分。（与序号10同一业绩不重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根据《厦门市海沧区人民政府办公室关于印发海沧区小散工程和零星作业安全生产纳管实施细则的通知》（厦海政办规〔</w:t>
      </w:r>
      <w:r>
        <w:rPr>
          <w:rFonts w:ascii="仿宋_GB2312" w:hAnsi="仿宋_GB2312" w:cs="仿宋_GB2312" w:eastAsia="仿宋_GB2312"/>
          <w:sz w:val="24"/>
        </w:rPr>
        <w:t>2022〕2号）、《厦门市海沧区建设与交通局等五个部门关于全面加强农村自建房及小散工程纳管工作的通知》（厦海建交〔2022〕64 号）及《厦门市人民政府安全生产委员会关于印发小散工程和零星作业安全生产42条硬措施的通知》（厦安字〔2024〕17号）等文件精神</w:t>
      </w:r>
      <w:r>
        <w:rPr>
          <w:rFonts w:ascii="仿宋_GB2312" w:hAnsi="仿宋_GB2312" w:cs="仿宋_GB2312" w:eastAsia="仿宋_GB2312"/>
          <w:sz w:val="24"/>
        </w:rPr>
        <w:t>，本项目拟</w:t>
      </w:r>
      <w:r>
        <w:rPr>
          <w:rFonts w:ascii="仿宋_GB2312" w:hAnsi="仿宋_GB2312" w:cs="仿宋_GB2312" w:eastAsia="仿宋_GB2312"/>
          <w:sz w:val="24"/>
        </w:rPr>
        <w:t>购买</w:t>
      </w:r>
      <w:r>
        <w:rPr>
          <w:rFonts w:ascii="仿宋_GB2312" w:hAnsi="仿宋_GB2312" w:cs="仿宋_GB2312" w:eastAsia="仿宋_GB2312"/>
          <w:sz w:val="24"/>
        </w:rPr>
        <w:t>小散工程安全监管技术服务，组织实施街道辖区内农村建房</w:t>
      </w:r>
      <w:r>
        <w:rPr>
          <w:rFonts w:ascii="仿宋_GB2312" w:hAnsi="仿宋_GB2312" w:cs="仿宋_GB2312" w:eastAsia="仿宋_GB2312"/>
          <w:sz w:val="24"/>
        </w:rPr>
        <w:t>全过程监管</w:t>
      </w:r>
      <w:r>
        <w:rPr>
          <w:rFonts w:ascii="仿宋_GB2312" w:hAnsi="仿宋_GB2312" w:cs="仿宋_GB2312" w:eastAsia="仿宋_GB2312"/>
          <w:sz w:val="24"/>
        </w:rPr>
        <w:t>及小散工程和零星作业的安全生产管理工作，落实辖区农村建房及小散工程和零星作业安全生产全纳管和常态化监管。</w:t>
      </w:r>
    </w:p>
    <w:p>
      <w:pPr>
        <w:pStyle w:val="null3"/>
        <w:ind w:firstLine="480"/>
        <w:jc w:val="both"/>
      </w:pPr>
      <w:r>
        <w:rPr>
          <w:rFonts w:ascii="仿宋_GB2312" w:hAnsi="仿宋_GB2312" w:cs="仿宋_GB2312" w:eastAsia="仿宋_GB2312"/>
          <w:sz w:val="24"/>
        </w:rPr>
        <w:t>2.本项目服务期限为合同签订之日起1年，合同届满时，在预算资金有保障、服务价格不提高、经采购人考核合格的前提下，采购人可向</w:t>
      </w:r>
      <w:r>
        <w:rPr>
          <w:rFonts w:ascii="仿宋_GB2312" w:hAnsi="仿宋_GB2312" w:cs="仿宋_GB2312" w:eastAsia="仿宋_GB2312"/>
          <w:sz w:val="24"/>
        </w:rPr>
        <w:t>中标人</w:t>
      </w:r>
      <w:r>
        <w:rPr>
          <w:rFonts w:ascii="仿宋_GB2312" w:hAnsi="仿宋_GB2312" w:cs="仿宋_GB2312" w:eastAsia="仿宋_GB2312"/>
          <w:sz w:val="24"/>
        </w:rPr>
        <w:t>延续采购，原合同与延续合同的期限累计不得超过</w:t>
      </w:r>
      <w:r>
        <w:rPr>
          <w:rFonts w:ascii="仿宋_GB2312" w:hAnsi="仿宋_GB2312" w:cs="仿宋_GB2312" w:eastAsia="仿宋_GB2312"/>
          <w:sz w:val="24"/>
        </w:rPr>
        <w:t>3年。</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rPr>
        <w:t>（一）服务内容</w:t>
      </w:r>
    </w:p>
    <w:p>
      <w:pPr>
        <w:pStyle w:val="null3"/>
        <w:ind w:firstLine="480"/>
      </w:pPr>
      <w:r>
        <w:rPr>
          <w:rFonts w:ascii="仿宋_GB2312" w:hAnsi="仿宋_GB2312" w:cs="仿宋_GB2312" w:eastAsia="仿宋_GB2312"/>
          <w:sz w:val="24"/>
        </w:rPr>
        <w:t>1.巡查辖区内约36200户、2500个店面（存在动态新增）及农村在建房</w:t>
      </w:r>
      <w:r>
        <w:rPr>
          <w:rFonts w:ascii="仿宋_GB2312" w:hAnsi="仿宋_GB2312" w:cs="仿宋_GB2312" w:eastAsia="仿宋_GB2312"/>
          <w:sz w:val="24"/>
        </w:rPr>
        <w:t>全过程监管</w:t>
      </w:r>
      <w:r>
        <w:rPr>
          <w:rFonts w:ascii="仿宋_GB2312" w:hAnsi="仿宋_GB2312" w:cs="仿宋_GB2312" w:eastAsia="仿宋_GB2312"/>
          <w:sz w:val="24"/>
        </w:rPr>
        <w:t>，组织和指导委托的村（居）委会和物业服务单位信息登记工作，办理小散工程和零星作业信息登记，并收集汇总上报登记信息、日常安全巡查信息、</w:t>
      </w:r>
      <w:r>
        <w:rPr>
          <w:rFonts w:ascii="仿宋_GB2312" w:hAnsi="仿宋_GB2312" w:cs="仿宋_GB2312" w:eastAsia="仿宋_GB2312"/>
          <w:sz w:val="24"/>
        </w:rPr>
        <w:t>督促整改</w:t>
      </w:r>
      <w:r>
        <w:rPr>
          <w:rFonts w:ascii="仿宋_GB2312" w:hAnsi="仿宋_GB2312" w:cs="仿宋_GB2312" w:eastAsia="仿宋_GB2312"/>
          <w:sz w:val="24"/>
        </w:rPr>
        <w:t>，建立辖区内农村在建房及小散工程纳管和零星作业动态的管理台账，全面掌握辖区内农村在建房及小散工程纳管和零星作业动态。</w:t>
      </w:r>
    </w:p>
    <w:p>
      <w:pPr>
        <w:pStyle w:val="null3"/>
        <w:ind w:firstLine="480"/>
      </w:pPr>
      <w:r>
        <w:rPr>
          <w:rFonts w:ascii="仿宋_GB2312" w:hAnsi="仿宋_GB2312" w:cs="仿宋_GB2312" w:eastAsia="仿宋_GB2312"/>
          <w:sz w:val="24"/>
        </w:rPr>
        <w:t>2.督促指导委托的物业服务企业建立日常安全巡查制度，组织落实巡查要求和违法违规行为依法移送查处要求。</w:t>
      </w:r>
    </w:p>
    <w:p>
      <w:pPr>
        <w:pStyle w:val="null3"/>
        <w:ind w:firstLine="480"/>
      </w:pPr>
      <w:r>
        <w:rPr>
          <w:rFonts w:ascii="仿宋_GB2312" w:hAnsi="仿宋_GB2312" w:cs="仿宋_GB2312" w:eastAsia="仿宋_GB2312"/>
          <w:sz w:val="24"/>
        </w:rPr>
        <w:t>3.组织对发现的农村在建房及小散工程和零星作业安全隐患，以及违反文明施工、市容环境卫生法律、法规、规章规定的问题及时进行整治。</w:t>
      </w:r>
    </w:p>
    <w:p>
      <w:pPr>
        <w:pStyle w:val="null3"/>
        <w:ind w:firstLine="480"/>
      </w:pPr>
      <w:r>
        <w:rPr>
          <w:rFonts w:ascii="仿宋_GB2312" w:hAnsi="仿宋_GB2312" w:cs="仿宋_GB2312" w:eastAsia="仿宋_GB2312"/>
          <w:sz w:val="24"/>
        </w:rPr>
        <w:t>4.对属于授权范围内的执法事项，依法查农村在建房及小散工程和零星作业中存在的安全生产违法行为和其他违法行为；对授权范围以外的执法事项，及时协调区相关部门依法查处。</w:t>
      </w:r>
    </w:p>
    <w:p>
      <w:pPr>
        <w:pStyle w:val="null3"/>
        <w:ind w:firstLine="480"/>
      </w:pPr>
      <w:r>
        <w:rPr>
          <w:rFonts w:ascii="仿宋_GB2312" w:hAnsi="仿宋_GB2312" w:cs="仿宋_GB2312" w:eastAsia="仿宋_GB2312"/>
          <w:sz w:val="24"/>
        </w:rPr>
        <w:t>5.组织开展辖区农村在建房及小散工程和零星作业安全生产宣传教育培训工作，督促指导建设单位或者业主、生产经营单位依法履行安全生产主体责任。</w:t>
      </w:r>
    </w:p>
    <w:p>
      <w:pPr>
        <w:pStyle w:val="null3"/>
        <w:ind w:firstLine="480"/>
      </w:pPr>
      <w:r>
        <w:rPr>
          <w:rFonts w:ascii="仿宋_GB2312" w:hAnsi="仿宋_GB2312" w:cs="仿宋_GB2312" w:eastAsia="仿宋_GB2312"/>
          <w:sz w:val="24"/>
        </w:rPr>
        <w:t>6.受理有关农村在建房及小散工程和零星作业违法行为和安全隐患的投诉，及时组织核查处理。</w:t>
      </w:r>
    </w:p>
    <w:p>
      <w:pPr>
        <w:pStyle w:val="null3"/>
        <w:ind w:firstLine="480"/>
      </w:pPr>
      <w:r>
        <w:rPr>
          <w:rFonts w:ascii="仿宋_GB2312" w:hAnsi="仿宋_GB2312" w:cs="仿宋_GB2312" w:eastAsia="仿宋_GB2312"/>
          <w:sz w:val="24"/>
        </w:rPr>
        <w:t>7.纳管工作内容：农村在建房及小散工程和零星作业具体纳管工作包括“信息登记”“现场复核”“安全巡查”“执法处理”“完工核销”等内容。</w:t>
      </w:r>
    </w:p>
    <w:p>
      <w:pPr>
        <w:pStyle w:val="null3"/>
        <w:ind w:firstLine="480"/>
      </w:pPr>
      <w:r>
        <w:rPr>
          <w:rFonts w:ascii="仿宋_GB2312" w:hAnsi="仿宋_GB2312" w:cs="仿宋_GB2312" w:eastAsia="仿宋_GB2312"/>
          <w:sz w:val="24"/>
        </w:rPr>
        <w:t>7.1信息登记：小散工程和零星作业实施前，应协助建设单位或业主准备好相关材料，在村居指导下通过信息登记系统进行信息登记。对信息作形式审查，对提交的资料不齐全或者失效的，应当限期要求建设单位或业主补正；对不符合信息登记要求的，应一次性告知理由；对于符合条件的，核发《小散工程和零星作业安全生产信息登记受理回执》及《小散工程和零星作业安全风险告知书》《履行小散工程和零星作业施工作业安全责任承诺书》，建设单位或业主应将上述回执及承诺书、告知书张贴在小散工程或零星作业醒目位置；属于其他不符合信息登记规定情形的，依法告知并作出相应处理。</w:t>
      </w:r>
    </w:p>
    <w:p>
      <w:pPr>
        <w:pStyle w:val="null3"/>
        <w:ind w:firstLine="480"/>
      </w:pPr>
      <w:r>
        <w:rPr>
          <w:rFonts w:ascii="仿宋_GB2312" w:hAnsi="仿宋_GB2312" w:cs="仿宋_GB2312" w:eastAsia="仿宋_GB2312"/>
          <w:sz w:val="24"/>
        </w:rPr>
        <w:t>7.2现场复核：小散工程和零星作业完成信息登记后，组织专职安全监管员在五个工作日内对小散工程或零星作业的主体、时间、地点、内容等进行具体复核。对不符合要求的，应当要求建设单位或业主重新进行信息登记；对符合要求的，开展相应安全巡查。</w:t>
      </w:r>
    </w:p>
    <w:p>
      <w:pPr>
        <w:pStyle w:val="null3"/>
        <w:ind w:firstLine="480"/>
      </w:pPr>
      <w:r>
        <w:rPr>
          <w:rFonts w:ascii="仿宋_GB2312" w:hAnsi="仿宋_GB2312" w:cs="仿宋_GB2312" w:eastAsia="仿宋_GB2312"/>
          <w:sz w:val="24"/>
        </w:rPr>
        <w:t>7.3安全巡查：组织专职安全监管员按照网格化等有关工作要求，在村居范围内开展安全巡查工作。巡查发现未进行信息登记、擅自进行小散工程和零星作业建设的（重点巡查农村自建房和农村经营性自建房擅自改扩建、改变承重结构等影响房屋结构安全的），应立即制止及时督促指导其按规定办理信息登记，并通知相关单位；发现小散工程和零星作业未按照相关安全技术标准施工、作业，未采取必要安全防护措施的，应立即制止、督促整改，并按照项目类别进行分类处置；对拒不执行的，及时上报综合执法队。</w:t>
      </w:r>
    </w:p>
    <w:p>
      <w:pPr>
        <w:pStyle w:val="null3"/>
        <w:ind w:firstLine="480"/>
      </w:pPr>
      <w:r>
        <w:rPr>
          <w:rFonts w:ascii="仿宋_GB2312" w:hAnsi="仿宋_GB2312" w:cs="仿宋_GB2312" w:eastAsia="仿宋_GB2312"/>
          <w:sz w:val="24"/>
        </w:rPr>
        <w:t>7.4完工核销：小散工程和零星作业完工后及时将完工情况进行登记，并在信息系统中进行完工核销。</w:t>
      </w:r>
    </w:p>
    <w:p>
      <w:pPr>
        <w:pStyle w:val="null3"/>
        <w:ind w:firstLine="480"/>
      </w:pPr>
      <w:r>
        <w:rPr>
          <w:rFonts w:ascii="仿宋_GB2312" w:hAnsi="仿宋_GB2312" w:cs="仿宋_GB2312" w:eastAsia="仿宋_GB2312"/>
          <w:sz w:val="24"/>
        </w:rPr>
        <w:t>8.根据上级对农村自建房及小散工程纳管工作考核要求整理相关纳管材料，应对各级不定时抽查、调研、考核等。</w:t>
      </w:r>
    </w:p>
    <w:p>
      <w:pPr>
        <w:pStyle w:val="null3"/>
        <w:ind w:firstLine="480"/>
      </w:pPr>
      <w:r>
        <w:rPr>
          <w:rFonts w:ascii="仿宋_GB2312" w:hAnsi="仿宋_GB2312" w:cs="仿宋_GB2312" w:eastAsia="仿宋_GB2312"/>
          <w:sz w:val="24"/>
        </w:rPr>
        <w:t>9.完成采购人交办的其他工作任务。</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二）技术条件响应要求</w:t>
      </w:r>
    </w:p>
    <w:p>
      <w:pPr>
        <w:pStyle w:val="null3"/>
        <w:ind w:firstLine="480"/>
      </w:pPr>
      <w:r>
        <w:rPr>
          <w:rFonts w:ascii="仿宋_GB2312" w:hAnsi="仿宋_GB2312" w:cs="仿宋_GB2312" w:eastAsia="仿宋_GB2312"/>
          <w:sz w:val="24"/>
        </w:rPr>
        <w:t>1.投标人应根据技术条件要求及技术项评分条款进行响应，并按要求提供相应的佐证材料，未按要求提供的将可能导致不得分。</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提供对安全生产监管能力、企业安全生产主体责任落实等内容</w:t>
      </w:r>
      <w:r>
        <w:rPr>
          <w:rFonts w:ascii="仿宋_GB2312" w:hAnsi="仿宋_GB2312" w:cs="仿宋_GB2312" w:eastAsia="仿宋_GB2312"/>
          <w:sz w:val="24"/>
        </w:rPr>
        <w:t>。</w:t>
      </w:r>
      <w:r>
        <w:rPr>
          <w:rFonts w:ascii="仿宋_GB2312" w:hAnsi="仿宋_GB2312" w:cs="仿宋_GB2312" w:eastAsia="仿宋_GB2312"/>
          <w:sz w:val="24"/>
        </w:rPr>
        <w:t>针对本项目实施重点难点</w:t>
      </w:r>
      <w:r>
        <w:rPr>
          <w:rFonts w:ascii="仿宋_GB2312" w:hAnsi="仿宋_GB2312" w:cs="仿宋_GB2312" w:eastAsia="仿宋_GB2312"/>
          <w:sz w:val="24"/>
        </w:rPr>
        <w:t>进行</w:t>
      </w:r>
      <w:r>
        <w:rPr>
          <w:rFonts w:ascii="仿宋_GB2312" w:hAnsi="仿宋_GB2312" w:cs="仿宋_GB2312" w:eastAsia="仿宋_GB2312"/>
          <w:sz w:val="24"/>
        </w:rPr>
        <w:t>分析</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3.投标人应针对本项目提供以下方案或措施：</w:t>
      </w:r>
      <w:r>
        <w:rPr>
          <w:rFonts w:ascii="仿宋_GB2312" w:hAnsi="仿宋_GB2312" w:cs="仿宋_GB2312" w:eastAsia="仿宋_GB2312"/>
          <w:sz w:val="24"/>
        </w:rPr>
        <w:t>服务总体方案</w:t>
      </w:r>
      <w:r>
        <w:rPr>
          <w:rFonts w:ascii="仿宋_GB2312" w:hAnsi="仿宋_GB2312" w:cs="仿宋_GB2312" w:eastAsia="仿宋_GB2312"/>
          <w:sz w:val="24"/>
        </w:rPr>
        <w:t>、</w:t>
      </w:r>
      <w:r>
        <w:rPr>
          <w:rFonts w:ascii="仿宋_GB2312" w:hAnsi="仿宋_GB2312" w:cs="仿宋_GB2312" w:eastAsia="仿宋_GB2312"/>
          <w:sz w:val="24"/>
        </w:rPr>
        <w:t>防止人员流失措施、确保人员相对稳定的措施</w:t>
      </w:r>
      <w:r>
        <w:rPr>
          <w:rFonts w:ascii="仿宋_GB2312" w:hAnsi="仿宋_GB2312" w:cs="仿宋_GB2312" w:eastAsia="仿宋_GB2312"/>
          <w:sz w:val="24"/>
        </w:rPr>
        <w:t>、</w:t>
      </w:r>
      <w:r>
        <w:rPr>
          <w:rFonts w:ascii="仿宋_GB2312" w:hAnsi="仿宋_GB2312" w:cs="仿宋_GB2312" w:eastAsia="仿宋_GB2312"/>
          <w:sz w:val="24"/>
        </w:rPr>
        <w:t>资料整理方案</w:t>
      </w:r>
      <w:r>
        <w:rPr>
          <w:rFonts w:ascii="仿宋_GB2312" w:hAnsi="仿宋_GB2312" w:cs="仿宋_GB2312" w:eastAsia="仿宋_GB2312"/>
          <w:sz w:val="24"/>
        </w:rPr>
        <w:t>、</w:t>
      </w:r>
      <w:r>
        <w:rPr>
          <w:rFonts w:ascii="仿宋_GB2312" w:hAnsi="仿宋_GB2312" w:cs="仿宋_GB2312" w:eastAsia="仿宋_GB2312"/>
          <w:sz w:val="24"/>
        </w:rPr>
        <w:t>重大活动、突击检查服务保障措施</w:t>
      </w:r>
      <w:r>
        <w:rPr>
          <w:rFonts w:ascii="仿宋_GB2312" w:hAnsi="仿宋_GB2312" w:cs="仿宋_GB2312" w:eastAsia="仿宋_GB2312"/>
          <w:sz w:val="24"/>
        </w:rPr>
        <w:t>、</w:t>
      </w:r>
      <w:r>
        <w:rPr>
          <w:rFonts w:ascii="仿宋_GB2312" w:hAnsi="仿宋_GB2312" w:cs="仿宋_GB2312" w:eastAsia="仿宋_GB2312"/>
          <w:sz w:val="24"/>
        </w:rPr>
        <w:t>与采购人的配合措施</w:t>
      </w:r>
      <w:r>
        <w:rPr>
          <w:rFonts w:ascii="仿宋_GB2312" w:hAnsi="仿宋_GB2312" w:cs="仿宋_GB2312" w:eastAsia="仿宋_GB2312"/>
          <w:sz w:val="24"/>
        </w:rPr>
        <w:t>、</w:t>
      </w:r>
      <w:r>
        <w:rPr>
          <w:rFonts w:ascii="仿宋_GB2312" w:hAnsi="仿宋_GB2312" w:cs="仿宋_GB2312" w:eastAsia="仿宋_GB2312"/>
          <w:sz w:val="24"/>
        </w:rPr>
        <w:t>应急处理演练方案</w:t>
      </w:r>
      <w:r>
        <w:rPr>
          <w:rFonts w:ascii="仿宋_GB2312" w:hAnsi="仿宋_GB2312" w:cs="仿宋_GB2312" w:eastAsia="仿宋_GB2312"/>
          <w:sz w:val="24"/>
        </w:rPr>
        <w:t>、</w:t>
      </w:r>
      <w:r>
        <w:rPr>
          <w:rFonts w:ascii="仿宋_GB2312" w:hAnsi="仿宋_GB2312" w:cs="仿宋_GB2312" w:eastAsia="仿宋_GB2312"/>
          <w:sz w:val="24"/>
        </w:rPr>
        <w:t>管理服务的新思路</w:t>
      </w:r>
      <w:r>
        <w:rPr>
          <w:rFonts w:ascii="仿宋_GB2312" w:hAnsi="仿宋_GB2312" w:cs="仿宋_GB2312" w:eastAsia="仿宋_GB2312"/>
          <w:sz w:val="24"/>
        </w:rPr>
        <w:t>、</w:t>
      </w:r>
      <w:r>
        <w:rPr>
          <w:rFonts w:ascii="仿宋_GB2312" w:hAnsi="仿宋_GB2312" w:cs="仿宋_GB2312" w:eastAsia="仿宋_GB2312"/>
          <w:sz w:val="24"/>
        </w:rPr>
        <w:t>人员培训方案</w:t>
      </w:r>
      <w:r>
        <w:rPr>
          <w:rFonts w:ascii="仿宋_GB2312" w:hAnsi="仿宋_GB2312" w:cs="仿宋_GB2312" w:eastAsia="仿宋_GB2312"/>
          <w:sz w:val="24"/>
        </w:rPr>
        <w:t>、</w:t>
      </w:r>
      <w:r>
        <w:rPr>
          <w:rFonts w:ascii="仿宋_GB2312" w:hAnsi="仿宋_GB2312" w:cs="仿宋_GB2312" w:eastAsia="仿宋_GB2312"/>
          <w:sz w:val="24"/>
        </w:rPr>
        <w:t>保密措施</w:t>
      </w:r>
      <w:r>
        <w:rPr>
          <w:rFonts w:ascii="仿宋_GB2312" w:hAnsi="仿宋_GB2312" w:cs="仿宋_GB2312" w:eastAsia="仿宋_GB2312"/>
          <w:sz w:val="24"/>
        </w:rPr>
        <w:t>、</w:t>
      </w:r>
      <w:r>
        <w:rPr>
          <w:rFonts w:ascii="仿宋_GB2312" w:hAnsi="仿宋_GB2312" w:cs="仿宋_GB2312" w:eastAsia="仿宋_GB2312"/>
          <w:sz w:val="24"/>
        </w:rPr>
        <w:t>服务质量保障措施</w:t>
      </w:r>
      <w:r>
        <w:rPr>
          <w:rFonts w:ascii="仿宋_GB2312" w:hAnsi="仿宋_GB2312" w:cs="仿宋_GB2312" w:eastAsia="仿宋_GB2312"/>
          <w:sz w:val="24"/>
        </w:rPr>
        <w:t>、</w:t>
      </w:r>
      <w:r>
        <w:rPr>
          <w:rFonts w:ascii="仿宋_GB2312" w:hAnsi="仿宋_GB2312" w:cs="仿宋_GB2312" w:eastAsia="仿宋_GB2312"/>
          <w:sz w:val="24"/>
        </w:rPr>
        <w:t>应对投诉处理解决方案</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为本项目配置的安全监管巡查车辆</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投标人</w:t>
      </w:r>
      <w:r>
        <w:rPr>
          <w:rFonts w:ascii="仿宋_GB2312" w:hAnsi="仿宋_GB2312" w:cs="仿宋_GB2312" w:eastAsia="仿宋_GB2312"/>
          <w:sz w:val="24"/>
        </w:rPr>
        <w:t>拟投入本项目的项目负责人</w:t>
      </w:r>
      <w:r>
        <w:rPr>
          <w:rFonts w:ascii="仿宋_GB2312" w:hAnsi="仿宋_GB2312" w:cs="仿宋_GB2312" w:eastAsia="仿宋_GB2312"/>
          <w:sz w:val="24"/>
        </w:rPr>
        <w:t>应</w:t>
      </w:r>
      <w:r>
        <w:rPr>
          <w:rFonts w:ascii="仿宋_GB2312" w:hAnsi="仿宋_GB2312" w:cs="仿宋_GB2312" w:eastAsia="仿宋_GB2312"/>
          <w:sz w:val="24"/>
        </w:rPr>
        <w:t>具备一级注册建造师或注册监理工程师或高级（或以上）工程师证（职称）</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投标人</w:t>
      </w:r>
      <w:r>
        <w:rPr>
          <w:rFonts w:ascii="仿宋_GB2312" w:hAnsi="仿宋_GB2312" w:cs="仿宋_GB2312" w:eastAsia="仿宋_GB2312"/>
          <w:sz w:val="24"/>
        </w:rPr>
        <w:t>拟投入的本项目的其他服务人员中</w:t>
      </w:r>
      <w:r>
        <w:rPr>
          <w:rFonts w:ascii="仿宋_GB2312" w:hAnsi="仿宋_GB2312" w:cs="仿宋_GB2312" w:eastAsia="仿宋_GB2312"/>
          <w:sz w:val="24"/>
        </w:rPr>
        <w:t>应</w:t>
      </w:r>
      <w:r>
        <w:rPr>
          <w:rFonts w:ascii="仿宋_GB2312" w:hAnsi="仿宋_GB2312" w:cs="仿宋_GB2312" w:eastAsia="仿宋_GB2312"/>
          <w:sz w:val="24"/>
        </w:rPr>
        <w:t>具有与本项目相关专业的中级（或以上）职称</w:t>
      </w:r>
      <w:r>
        <w:rPr>
          <w:rFonts w:ascii="仿宋_GB2312" w:hAnsi="仿宋_GB2312" w:cs="仿宋_GB2312" w:eastAsia="仿宋_GB2312"/>
          <w:sz w:val="24"/>
        </w:rPr>
        <w:t>、</w:t>
      </w:r>
      <w:r>
        <w:rPr>
          <w:rFonts w:ascii="仿宋_GB2312" w:hAnsi="仿宋_GB2312" w:cs="仿宋_GB2312" w:eastAsia="仿宋_GB2312"/>
          <w:sz w:val="24"/>
        </w:rPr>
        <w:t>具有专职安全员证书</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承诺提供的服务人员配合完成采购人临时交办的其他工作任务</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承诺在项目实施过程中严格遵守采购人的工作纪律和廉洁纪律</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承诺中标后为项目</w:t>
      </w:r>
      <w:r>
        <w:rPr>
          <w:rFonts w:ascii="仿宋_GB2312" w:hAnsi="仿宋_GB2312" w:cs="仿宋_GB2312" w:eastAsia="仿宋_GB2312"/>
          <w:sz w:val="24"/>
        </w:rPr>
        <w:t>服务</w:t>
      </w:r>
      <w:r>
        <w:rPr>
          <w:rFonts w:ascii="仿宋_GB2312" w:hAnsi="仿宋_GB2312" w:cs="仿宋_GB2312" w:eastAsia="仿宋_GB2312"/>
          <w:sz w:val="24"/>
        </w:rPr>
        <w:t>人员定期进行思想教育工作，及时处理项目</w:t>
      </w:r>
      <w:r>
        <w:rPr>
          <w:rFonts w:ascii="仿宋_GB2312" w:hAnsi="仿宋_GB2312" w:cs="仿宋_GB2312" w:eastAsia="仿宋_GB2312"/>
          <w:sz w:val="24"/>
        </w:rPr>
        <w:t>服务</w:t>
      </w:r>
      <w:r>
        <w:rPr>
          <w:rFonts w:ascii="仿宋_GB2312" w:hAnsi="仿宋_GB2312" w:cs="仿宋_GB2312" w:eastAsia="仿宋_GB2312"/>
          <w:sz w:val="24"/>
        </w:rPr>
        <w:t>人员违纪问题</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承诺保持拟派上岗人员的稳定性，不随意调整上岗人员，确需调整的须经采购人同意</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11.</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承诺中标后定期向采购人汇报工作进度，并按采购人要求调整工作计划</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本项目服务期限为合同签订之日起1年，合同届满时，在预算资金有保障、服务价格不提高、经采购人考核合格的前提下，采购人可向中标人延续采购，原合同与延续合同的期限累计不得超过3年。</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福建省厦门市范围内采购人指定的地点。</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合同期满后且通过采购人考核。</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1、期次1，说明：按招标文件、投标文件、合同及相关管理规定进行验收。</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1、合同签订后，达到付款条件起7日内，支付合同总金额的100.00%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因系统格式固化不可更改，本表中序号6合同支付方式要求更改如下，并以此为准。本项目分三次支付款项：1.第一次付款：本合同签订后，在采购人收到中标人开具的与应付款等额正规发票后7个工作日内，采购人以银行转账方式支付中标人合同金额的30%。2.第二次付款：自合同签订之日起满半年后，在采购人收到项目中标人开具的与应付款等额正规发票后7个工作日内，采购人以银行转账方式支付中标人合同金额的50%。3.第三次付款：本项目合同金额的20%作为绩效目标考核资金，考核合格后，在采购人收到中标人开具的与应付款等额正规发票7个工作日内，采购人以银行转账支付中标人尾款20%。</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1.报价要求</w:t>
      </w:r>
    </w:p>
    <w:p>
      <w:pPr>
        <w:pStyle w:val="null3"/>
        <w:ind w:firstLine="480"/>
        <w:jc w:val="both"/>
      </w:pPr>
      <w:r>
        <w:rPr>
          <w:rFonts w:ascii="仿宋_GB2312" w:hAnsi="仿宋_GB2312" w:cs="仿宋_GB2312" w:eastAsia="仿宋_GB2312"/>
          <w:sz w:val="24"/>
        </w:rPr>
        <w:t>1.1本项目须列出各细项目单价及总价；报价为完成项目所有可能发生的一切费用，包括采购代理服务费、人工费、设备投入使用费、税金、人员保险、材料费、资料收集费、验收费、咨询费、培训费、管理费相关伴随服务等服务期间所可能发生的一切费用。</w:t>
      </w:r>
    </w:p>
    <w:p>
      <w:pPr>
        <w:pStyle w:val="null3"/>
        <w:ind w:firstLine="480"/>
        <w:jc w:val="both"/>
      </w:pPr>
      <w:r>
        <w:rPr>
          <w:rFonts w:ascii="仿宋_GB2312" w:hAnsi="仿宋_GB2312" w:cs="仿宋_GB2312" w:eastAsia="仿宋_GB2312"/>
          <w:sz w:val="24"/>
        </w:rPr>
        <w:t>1.2报价以人民币为货币单位，应分单价、小计和总价。若前后报价有出入，以报价一览表为准。</w:t>
      </w:r>
    </w:p>
    <w:p>
      <w:pPr>
        <w:pStyle w:val="null3"/>
        <w:ind w:firstLine="480"/>
        <w:jc w:val="both"/>
      </w:pPr>
      <w:r>
        <w:rPr>
          <w:rFonts w:ascii="仿宋_GB2312" w:hAnsi="仿宋_GB2312" w:cs="仿宋_GB2312" w:eastAsia="仿宋_GB2312"/>
          <w:sz w:val="24"/>
        </w:rPr>
        <w:t>1.3投标人单价报价中漏报、少报的费用，视为此项费用已隐含在投标报价中，中标后不得再向采购人收取任何费用。</w:t>
      </w:r>
    </w:p>
    <w:p>
      <w:pPr>
        <w:pStyle w:val="null3"/>
        <w:ind w:firstLine="480"/>
        <w:jc w:val="both"/>
      </w:pPr>
      <w:r>
        <w:rPr>
          <w:rFonts w:ascii="仿宋_GB2312" w:hAnsi="仿宋_GB2312" w:cs="仿宋_GB2312" w:eastAsia="仿宋_GB2312"/>
          <w:sz w:val="24"/>
        </w:rPr>
        <w:t>2.验收要求及标准</w:t>
      </w:r>
    </w:p>
    <w:p>
      <w:pPr>
        <w:pStyle w:val="null3"/>
        <w:ind w:firstLine="480"/>
        <w:jc w:val="both"/>
      </w:pPr>
      <w:r>
        <w:rPr>
          <w:rFonts w:ascii="仿宋_GB2312" w:hAnsi="仿宋_GB2312" w:cs="仿宋_GB2312" w:eastAsia="仿宋_GB2312"/>
          <w:sz w:val="24"/>
        </w:rPr>
        <w:t>2.1验收依据：招标文件、投标文件及国家有关的质量标准规定，均为验收依据。</w:t>
      </w:r>
    </w:p>
    <w:p>
      <w:pPr>
        <w:pStyle w:val="null3"/>
        <w:ind w:firstLine="480"/>
        <w:jc w:val="both"/>
      </w:pPr>
      <w:r>
        <w:rPr>
          <w:rFonts w:ascii="仿宋_GB2312" w:hAnsi="仿宋_GB2312" w:cs="仿宋_GB2312" w:eastAsia="仿宋_GB2312"/>
          <w:sz w:val="24"/>
        </w:rPr>
        <w:t>2.2中标人在服务内容完成之后，按照合同以及采购人需求，经采购人或由采购人组织相关部门进行验收。验收时中标人必须派代表参加。验收过程所发生的一切费用由中标人承担。</w:t>
      </w:r>
    </w:p>
    <w:p>
      <w:pPr>
        <w:pStyle w:val="null3"/>
        <w:ind w:firstLine="480"/>
        <w:jc w:val="both"/>
      </w:pPr>
      <w:r>
        <w:rPr>
          <w:rFonts w:ascii="仿宋_GB2312" w:hAnsi="仿宋_GB2312" w:cs="仿宋_GB2312" w:eastAsia="仿宋_GB2312"/>
          <w:sz w:val="24"/>
        </w:rPr>
        <w:t>3.违约责任</w:t>
      </w:r>
    </w:p>
    <w:p>
      <w:pPr>
        <w:pStyle w:val="null3"/>
        <w:ind w:firstLine="480"/>
        <w:jc w:val="both"/>
      </w:pPr>
      <w:r>
        <w:rPr>
          <w:rFonts w:ascii="仿宋_GB2312" w:hAnsi="仿宋_GB2312" w:cs="仿宋_GB2312" w:eastAsia="仿宋_GB2312"/>
          <w:sz w:val="24"/>
        </w:rPr>
        <w:t>3.1合同期满前，采购人将对中标人进行工作绩效考核，每发生1起重伤责任安全事故，扣除合同总金额用的0.5%，依次按起数累加；发生死亡1人责任生产安全事故的，扣除合同总金额的2%，发生死亡2人（含）以上责任生产安全事故的，扣除合同总金额的4%。</w:t>
      </w:r>
    </w:p>
    <w:p>
      <w:pPr>
        <w:pStyle w:val="null3"/>
        <w:ind w:firstLine="480"/>
        <w:jc w:val="both"/>
      </w:pPr>
      <w:r>
        <w:rPr>
          <w:rFonts w:ascii="仿宋_GB2312" w:hAnsi="仿宋_GB2312" w:cs="仿宋_GB2312" w:eastAsia="仿宋_GB2312"/>
          <w:sz w:val="24"/>
        </w:rPr>
        <w:t>3.2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both"/>
      </w:pPr>
      <w:r>
        <w:rPr>
          <w:rFonts w:ascii="仿宋_GB2312" w:hAnsi="仿宋_GB2312" w:cs="仿宋_GB2312" w:eastAsia="仿宋_GB2312"/>
          <w:sz w:val="24"/>
        </w:rPr>
        <w:t>3.3在明确违约责任后，中标人应在接到书面通知书起七天内支付违约金、赔偿金等。</w:t>
      </w:r>
    </w:p>
    <w:p>
      <w:pPr>
        <w:pStyle w:val="null3"/>
        <w:ind w:firstLine="480"/>
        <w:jc w:val="both"/>
      </w:pPr>
      <w:r>
        <w:rPr>
          <w:rFonts w:ascii="仿宋_GB2312" w:hAnsi="仿宋_GB2312" w:cs="仿宋_GB2312" w:eastAsia="仿宋_GB2312"/>
          <w:sz w:val="24"/>
        </w:rPr>
        <w:t>3.4中标人未按照协议约定的时间及服务量开展服务的，每逾期一日，应按合同金额的每日千分之三向采购人支付违约金；自逾期超过30日起，采购人有权单方面解除协议并有权要求中标人支付合同金额的20%作为违约金。</w:t>
      </w:r>
    </w:p>
    <w:p>
      <w:pPr>
        <w:pStyle w:val="null3"/>
        <w:ind w:firstLine="480"/>
        <w:jc w:val="both"/>
      </w:pPr>
      <w:r>
        <w:rPr>
          <w:rFonts w:ascii="仿宋_GB2312" w:hAnsi="仿宋_GB2312" w:cs="仿宋_GB2312" w:eastAsia="仿宋_GB2312"/>
          <w:sz w:val="24"/>
        </w:rPr>
        <w:t>4.其他商务响应要求</w:t>
      </w:r>
    </w:p>
    <w:p>
      <w:pPr>
        <w:pStyle w:val="null3"/>
        <w:ind w:firstLine="480"/>
        <w:jc w:val="both"/>
      </w:pPr>
      <w:r>
        <w:rPr>
          <w:rFonts w:ascii="仿宋_GB2312" w:hAnsi="仿宋_GB2312" w:cs="仿宋_GB2312" w:eastAsia="仿宋_GB2312"/>
          <w:sz w:val="24"/>
        </w:rPr>
        <w:t>4.1投标人应尽可能提供其具有质量管理体系认证证书、环境管理体系认证证书、职业健康安全管理体系认证证书的证明材料。</w:t>
      </w:r>
    </w:p>
    <w:p>
      <w:pPr>
        <w:pStyle w:val="null3"/>
        <w:ind w:firstLine="480"/>
        <w:jc w:val="both"/>
      </w:pPr>
      <w:r>
        <w:rPr>
          <w:rFonts w:ascii="仿宋_GB2312" w:hAnsi="仿宋_GB2312" w:cs="仿宋_GB2312" w:eastAsia="仿宋_GB2312"/>
          <w:sz w:val="24"/>
        </w:rPr>
        <w:t>4.2投标人应提供员工管理规章制度情况。</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为保障项目服务的时效性，</w:t>
      </w:r>
      <w:r>
        <w:rPr>
          <w:rFonts w:ascii="仿宋_GB2312" w:hAnsi="仿宋_GB2312" w:cs="仿宋_GB2312" w:eastAsia="仿宋_GB2312"/>
          <w:sz w:val="24"/>
        </w:rPr>
        <w:t>投标人应</w:t>
      </w:r>
      <w:r>
        <w:rPr>
          <w:rFonts w:ascii="仿宋_GB2312" w:hAnsi="仿宋_GB2312" w:cs="仿宋_GB2312" w:eastAsia="仿宋_GB2312"/>
          <w:sz w:val="24"/>
        </w:rPr>
        <w:t>可提供厦门本地化服务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4.4</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承诺中标后为项目组成人员提供统一制服</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4.5</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承诺中标后，在服务期内，对拟投入的所有服务人员安全负全部法律规定责任，若服务人员发生安全事故，承担法律规定责任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4.6</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承诺拟投入的所有服务人员应当勤勉、尽责地完成所有服务内容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4.7</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承诺在合同履行期间不因劳动纠纷而受到劳动行政部门的处罚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4.8投标人应尽可能提供其自2021年1月1日以来（以合同签订日期为准）承接的相关安全监管服务项目业绩及用户好评的证明材料。</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合同签订</w:t>
      </w:r>
    </w:p>
    <w:p>
      <w:pPr>
        <w:pStyle w:val="null3"/>
        <w:ind w:firstLine="480"/>
        <w:jc w:val="left"/>
      </w:pPr>
      <w:r>
        <w:rPr>
          <w:rFonts w:ascii="仿宋_GB2312" w:hAnsi="仿宋_GB2312" w:cs="仿宋_GB2312" w:eastAsia="仿宋_GB2312"/>
          <w:sz w:val="24"/>
        </w:rPr>
        <w:t>中标人接到《中标通知书》后2个工作日内，持《中标通知书》与采购人联系合同签订等相关事宜。招标文件条款、投标人的投标文件内容均为合同签订的基础。中标人如未在规定时间内签订合同的，视为自动放弃中标资格，且应承担因违约造成的采购人的损失</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《关于虚假投标的风险提示》</w:t>
      </w:r>
    </w:p>
    <w:p>
      <w:pPr>
        <w:pStyle w:val="null3"/>
        <w:ind w:firstLine="480"/>
        <w:jc w:val="left"/>
      </w:pPr>
      <w:r>
        <w:rPr>
          <w:rFonts w:ascii="仿宋_GB2312" w:hAnsi="仿宋_GB2312" w:cs="仿宋_GB2312" w:eastAsia="仿宋_GB2312"/>
          <w:sz w:val="24"/>
        </w:rPr>
        <w:t>《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辅助执法力度。相关行政处罚案件，供应商可登陆中国政府采购网的“政府采购严重违法失信行为记录名单”查询，望引以为戒</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b/>
        </w:rPr>
        <w:t>7.相关附件</w:t>
      </w:r>
    </w:p>
    <w:p>
      <w:pPr>
        <w:pStyle w:val="null3"/>
        <w:ind w:firstLine="480"/>
        <w:jc w:val="left"/>
      </w:pPr>
      <w:r>
        <w:rPr>
          <w:rFonts w:ascii="仿宋_GB2312" w:hAnsi="仿宋_GB2312" w:cs="仿宋_GB2312" w:eastAsia="仿宋_GB2312"/>
          <w:sz w:val="24"/>
          <w:b/>
        </w:rPr>
        <w:t>附件1：中小企业声明函</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82"/>
              <w:jc w:val="center"/>
            </w:pPr>
            <w:r>
              <w:rPr>
                <w:rFonts w:ascii="仿宋_GB2312" w:hAnsi="仿宋_GB2312" w:cs="仿宋_GB2312" w:eastAsia="仿宋_GB2312"/>
                <w:sz w:val="24"/>
                <w:b/>
              </w:rPr>
              <w:t>中小企业声明函（服务）</w:t>
            </w:r>
          </w:p>
          <w:p>
            <w:pPr>
              <w:pStyle w:val="null3"/>
              <w:ind w:firstLine="482"/>
              <w:jc w:val="left"/>
            </w:pPr>
            <w:r>
              <w:rPr>
                <w:rFonts w:ascii="仿宋_GB2312" w:hAnsi="仿宋_GB2312" w:cs="仿宋_GB2312" w:eastAsia="仿宋_GB2312"/>
                <w:sz w:val="24"/>
                <w:b/>
              </w:rPr>
              <w:t xml:space="preserve">  本公司（联合体）郑重声明，根据《政府采购促进中小企业发展管理办法》（财库﹝2020﹞46号）的规定，本公司（联合体）参加</w:t>
            </w:r>
            <w:r>
              <w:rPr>
                <w:rFonts w:ascii="仿宋_GB2312" w:hAnsi="仿宋_GB2312" w:cs="仿宋_GB2312" w:eastAsia="仿宋_GB2312"/>
                <w:sz w:val="24"/>
                <w:b/>
                <w:u w:val="single"/>
              </w:rPr>
              <w:t>（</w:t>
            </w:r>
            <w:r>
              <w:rPr>
                <w:rFonts w:ascii="仿宋_GB2312" w:hAnsi="仿宋_GB2312" w:cs="仿宋_GB2312" w:eastAsia="仿宋_GB2312"/>
                <w:sz w:val="24"/>
                <w:b/>
                <w:u w:val="single"/>
              </w:rPr>
              <w:t>厦门市海沧区人民政府东孚街道办事处</w:t>
            </w:r>
            <w:r>
              <w:rPr>
                <w:rFonts w:ascii="仿宋_GB2312" w:hAnsi="仿宋_GB2312" w:cs="仿宋_GB2312" w:eastAsia="仿宋_GB2312"/>
                <w:sz w:val="24"/>
                <w:b/>
                <w:u w:val="single"/>
              </w:rPr>
              <w:t>）</w:t>
            </w:r>
            <w:r>
              <w:rPr>
                <w:rFonts w:ascii="仿宋_GB2312" w:hAnsi="仿宋_GB2312" w:cs="仿宋_GB2312" w:eastAsia="仿宋_GB2312"/>
                <w:sz w:val="24"/>
                <w:b/>
              </w:rPr>
              <w:t>的</w:t>
            </w:r>
            <w:r>
              <w:rPr>
                <w:rFonts w:ascii="仿宋_GB2312" w:hAnsi="仿宋_GB2312" w:cs="仿宋_GB2312" w:eastAsia="仿宋_GB2312"/>
                <w:sz w:val="24"/>
                <w:b/>
                <w:u w:val="single"/>
              </w:rPr>
              <w:t>（</w:t>
            </w:r>
            <w:r>
              <w:rPr>
                <w:rFonts w:ascii="仿宋_GB2312" w:hAnsi="仿宋_GB2312" w:cs="仿宋_GB2312" w:eastAsia="仿宋_GB2312"/>
                <w:sz w:val="24"/>
                <w:b/>
                <w:u w:val="single"/>
              </w:rPr>
              <w:t>东孚街道小散工程安全监管技术服务</w:t>
            </w:r>
            <w:r>
              <w:rPr>
                <w:rFonts w:ascii="仿宋_GB2312" w:hAnsi="仿宋_GB2312" w:cs="仿宋_GB2312" w:eastAsia="仿宋_GB2312"/>
                <w:sz w:val="24"/>
                <w:b/>
                <w:u w:val="single"/>
              </w:rPr>
              <w:t>）</w:t>
            </w:r>
            <w:r>
              <w:rPr>
                <w:rFonts w:ascii="仿宋_GB2312" w:hAnsi="仿宋_GB2312" w:cs="仿宋_GB2312" w:eastAsia="仿宋_GB2312"/>
                <w:sz w:val="24"/>
                <w:b/>
              </w:rPr>
              <w:t>采购活动，服务全部由符合政策要求的中小企业承接。相关企业的具体情况如下：</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u w:val="single"/>
              </w:rPr>
              <w:t>（</w:t>
            </w:r>
            <w:r>
              <w:rPr>
                <w:rFonts w:ascii="仿宋_GB2312" w:hAnsi="仿宋_GB2312" w:cs="仿宋_GB2312" w:eastAsia="仿宋_GB2312"/>
                <w:sz w:val="24"/>
                <w:u w:val="single"/>
              </w:rPr>
              <w:t>东孚街道小散工程安全监管技术服务</w:t>
            </w:r>
            <w:r>
              <w:rPr>
                <w:rFonts w:ascii="仿宋_GB2312" w:hAnsi="仿宋_GB2312" w:cs="仿宋_GB2312" w:eastAsia="仿宋_GB2312"/>
                <w:sz w:val="24"/>
                <w:u w:val="single"/>
              </w:rPr>
              <w:t>）</w:t>
            </w:r>
            <w:r>
              <w:rPr>
                <w:rFonts w:ascii="仿宋_GB2312" w:hAnsi="仿宋_GB2312" w:cs="仿宋_GB2312" w:eastAsia="仿宋_GB2312"/>
                <w:sz w:val="24"/>
              </w:rPr>
              <w:t>，属于</w:t>
            </w:r>
            <w:r>
              <w:rPr>
                <w:rFonts w:ascii="仿宋_GB2312" w:hAnsi="仿宋_GB2312" w:cs="仿宋_GB2312" w:eastAsia="仿宋_GB2312"/>
                <w:sz w:val="24"/>
                <w:u w:val="single"/>
              </w:rPr>
              <w:t>（</w:t>
            </w:r>
            <w:r>
              <w:rPr>
                <w:rFonts w:ascii="仿宋_GB2312" w:hAnsi="仿宋_GB2312" w:cs="仿宋_GB2312" w:eastAsia="仿宋_GB2312"/>
                <w:sz w:val="24"/>
                <w:u w:val="single"/>
              </w:rPr>
              <w:t>租赁和商务服务业</w:t>
            </w:r>
            <w:r>
              <w:rPr>
                <w:rFonts w:ascii="仿宋_GB2312" w:hAnsi="仿宋_GB2312" w:cs="仿宋_GB2312" w:eastAsia="仿宋_GB2312"/>
                <w:sz w:val="24"/>
                <w:u w:val="single"/>
              </w:rPr>
              <w:t>）行业</w:t>
            </w:r>
            <w:r>
              <w:rPr>
                <w:rFonts w:ascii="仿宋_GB2312" w:hAnsi="仿宋_GB2312" w:cs="仿宋_GB2312" w:eastAsia="仿宋_GB2312"/>
                <w:sz w:val="24"/>
              </w:rPr>
              <w:t>；承接企业为</w:t>
            </w:r>
            <w:r>
              <w:rPr>
                <w:rFonts w:ascii="仿宋_GB2312" w:hAnsi="仿宋_GB2312" w:cs="仿宋_GB2312" w:eastAsia="仿宋_GB2312"/>
                <w:sz w:val="24"/>
                <w:u w:val="single"/>
              </w:rPr>
              <w:t>（企业名称）</w:t>
            </w:r>
            <w:r>
              <w:rPr>
                <w:rFonts w:ascii="仿宋_GB2312" w:hAnsi="仿宋_GB2312" w:cs="仿宋_GB2312" w:eastAsia="仿宋_GB2312"/>
                <w:sz w:val="24"/>
              </w:rPr>
              <w:t>，从业人员</w:t>
            </w:r>
            <w:r>
              <w:rPr>
                <w:rFonts w:ascii="仿宋_GB2312" w:hAnsi="仿宋_GB2312" w:cs="仿宋_GB2312" w:eastAsia="仿宋_GB2312"/>
                <w:sz w:val="19"/>
                <w:u w:val="single"/>
              </w:rPr>
              <w:t xml:space="preserve">   </w:t>
            </w:r>
            <w:r>
              <w:rPr>
                <w:rFonts w:ascii="仿宋_GB2312" w:hAnsi="仿宋_GB2312" w:cs="仿宋_GB2312" w:eastAsia="仿宋_GB2312"/>
                <w:sz w:val="24"/>
              </w:rPr>
              <w:t>人，营业收入为</w:t>
            </w:r>
            <w:r>
              <w:rPr>
                <w:rFonts w:ascii="仿宋_GB2312" w:hAnsi="仿宋_GB2312" w:cs="仿宋_GB2312" w:eastAsia="仿宋_GB2312"/>
                <w:sz w:val="19"/>
                <w:u w:val="single"/>
              </w:rPr>
              <w:t xml:space="preserve">   </w:t>
            </w:r>
            <w:r>
              <w:rPr>
                <w:rFonts w:ascii="仿宋_GB2312" w:hAnsi="仿宋_GB2312" w:cs="仿宋_GB2312" w:eastAsia="仿宋_GB2312"/>
                <w:sz w:val="24"/>
              </w:rPr>
              <w:t>万元，资产总额为</w:t>
            </w:r>
            <w:r>
              <w:rPr>
                <w:rFonts w:ascii="仿宋_GB2312" w:hAnsi="仿宋_GB2312" w:cs="仿宋_GB2312" w:eastAsia="仿宋_GB2312"/>
                <w:sz w:val="19"/>
                <w:u w:val="single"/>
              </w:rPr>
              <w:t xml:space="preserve">   </w:t>
            </w:r>
            <w:r>
              <w:rPr>
                <w:rFonts w:ascii="仿宋_GB2312" w:hAnsi="仿宋_GB2312" w:cs="仿宋_GB2312" w:eastAsia="仿宋_GB2312"/>
                <w:sz w:val="24"/>
              </w:rPr>
              <w:t>万元，属于</w:t>
            </w:r>
            <w:r>
              <w:rPr>
                <w:rFonts w:ascii="仿宋_GB2312" w:hAnsi="仿宋_GB2312" w:cs="仿宋_GB2312" w:eastAsia="仿宋_GB2312"/>
                <w:sz w:val="24"/>
                <w:u w:val="single"/>
              </w:rPr>
              <w:t>（填写中型企业、小型企业、微型企业之一）</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以上企业，不属于大企业的分支机构，不存在控股股东为大企业的情形，也不存在与大企业的负责人为同一人的情形。</w:t>
            </w:r>
          </w:p>
          <w:p>
            <w:pPr>
              <w:pStyle w:val="null3"/>
              <w:ind w:firstLine="480"/>
              <w:jc w:val="both"/>
            </w:pPr>
            <w:r>
              <w:rPr>
                <w:rFonts w:ascii="仿宋_GB2312" w:hAnsi="仿宋_GB2312" w:cs="仿宋_GB2312" w:eastAsia="仿宋_GB2312"/>
                <w:sz w:val="24"/>
              </w:rPr>
              <w:t>本企业对上述声明内容的真实性负责。如有虚假，将依法承担相应责任。</w:t>
            </w:r>
          </w:p>
          <w:p>
            <w:pPr>
              <w:pStyle w:val="null3"/>
              <w:ind w:firstLine="480"/>
              <w:jc w:val="both"/>
            </w:pPr>
            <w:r>
              <w:rPr>
                <w:rFonts w:ascii="仿宋_GB2312" w:hAnsi="仿宋_GB2312" w:cs="仿宋_GB2312" w:eastAsia="仿宋_GB2312"/>
                <w:sz w:val="24"/>
              </w:rPr>
              <w:t>企业名称（盖章）：</w:t>
            </w:r>
          </w:p>
          <w:p>
            <w:pPr>
              <w:pStyle w:val="null3"/>
              <w:ind w:firstLine="480"/>
              <w:jc w:val="both"/>
            </w:pPr>
            <w:r>
              <w:rPr>
                <w:rFonts w:ascii="仿宋_GB2312" w:hAnsi="仿宋_GB2312" w:cs="仿宋_GB2312" w:eastAsia="仿宋_GB2312"/>
                <w:sz w:val="24"/>
              </w:rPr>
              <w:t>日期：</w:t>
            </w:r>
          </w:p>
          <w:p>
            <w:pPr>
              <w:pStyle w:val="null3"/>
              <w:ind w:firstLine="480"/>
              <w:jc w:val="both"/>
            </w:pPr>
            <w:r>
              <w:rPr>
                <w:rFonts w:ascii="仿宋_GB2312" w:hAnsi="仿宋_GB2312" w:cs="仿宋_GB2312" w:eastAsia="仿宋_GB2312"/>
                <w:sz w:val="24"/>
              </w:rPr>
              <w:t>※注意：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租赁和商务服务业</w:t>
            </w:r>
            <w:r>
              <w:rPr>
                <w:rFonts w:ascii="仿宋_GB2312" w:hAnsi="仿宋_GB2312" w:cs="仿宋_GB2312" w:eastAsia="仿宋_GB2312"/>
                <w:sz w:val="24"/>
              </w:rPr>
              <w:t>”行业的划型标准：工信部联企业〔2011〕300号。</w:t>
            </w:r>
          </w:p>
          <w:p>
            <w:pPr>
              <w:pStyle w:val="null3"/>
              <w:ind w:firstLine="480"/>
              <w:jc w:val="both"/>
            </w:pPr>
            <w:r>
              <w:rPr>
                <w:rFonts w:ascii="仿宋_GB2312" w:hAnsi="仿宋_GB2312" w:cs="仿宋_GB2312" w:eastAsia="仿宋_GB2312"/>
                <w:sz w:val="24"/>
              </w:rPr>
              <w:t>2.从业人员、营业收入、资产总额填报上一年度数据，无上一年度数据的新成立企业可不填报。</w:t>
            </w:r>
          </w:p>
          <w:p>
            <w:pPr>
              <w:pStyle w:val="null3"/>
              <w:ind w:firstLine="480"/>
              <w:jc w:val="both"/>
            </w:pPr>
            <w:r>
              <w:rPr>
                <w:rFonts w:ascii="仿宋_GB2312" w:hAnsi="仿宋_GB2312" w:cs="仿宋_GB2312" w:eastAsia="仿宋_GB2312"/>
                <w:sz w:val="24"/>
              </w:rPr>
              <w:t>3.投标人应当对其出具的《中小企业声明函》真实性负责，投标人出具的《中小企业声明函》内容不实的，属于提供虚假材料谋取中标。在实际操作中，投标人希望获得中小企业政策支持的，应从制造商处获得充分、准确的信息。对相关制造商信息了解不充分，或者不能确定相关信息真实、准确的，不建议出具《中小企业声明函》。</w:t>
            </w:r>
          </w:p>
          <w:p>
            <w:pPr>
              <w:pStyle w:val="null3"/>
              <w:ind w:firstLine="480"/>
              <w:jc w:val="both"/>
            </w:pPr>
            <w:r>
              <w:rPr>
                <w:rFonts w:ascii="仿宋_GB2312" w:hAnsi="仿宋_GB2312" w:cs="仿宋_GB2312" w:eastAsia="仿宋_GB2312"/>
                <w:sz w:val="24"/>
              </w:rPr>
              <w:t>4.投标人应当按照招标文件中明确的采购标的对应行业出具《中小企业声明函》，而不是按照投标人的经营范围或者货物制造商（工程承建商、服务承接商）的经营范围出具《中小企业声明函》。</w:t>
            </w:r>
          </w:p>
          <w:p>
            <w:pPr>
              <w:pStyle w:val="null3"/>
              <w:ind w:firstLine="482"/>
              <w:jc w:val="both"/>
            </w:pPr>
            <w:r>
              <w:rPr>
                <w:rFonts w:ascii="仿宋_GB2312" w:hAnsi="仿宋_GB2312" w:cs="仿宋_GB2312" w:eastAsia="仿宋_GB2312"/>
                <w:sz w:val="24"/>
              </w:rPr>
              <w:t>5.本声明函格式与第七章投标文件格式中的《中小企业声明函》格式不一致，投标人应按本声明函格式进行填报，否则，其提供的中小企业声明将被判定为无效声明函，由此造成的不利后果由投标人自行承担（涉及资格的按无效投标处理；涉及价格评审优惠的，不予认定）。</w:t>
            </w:r>
          </w:p>
        </w:tc>
      </w:tr>
    </w:tbl>
    <w:p>
      <w:pPr>
        <w:pStyle w:val="null3"/>
        <w:ind w:firstLine="480"/>
        <w:jc w:val="both"/>
      </w:pPr>
      <w:r>
        <w:rPr>
          <w:rFonts w:ascii="仿宋_GB2312" w:hAnsi="仿宋_GB2312" w:cs="仿宋_GB2312" w:eastAsia="仿宋_GB2312"/>
          <w:sz w:val="24"/>
          <w:b/>
        </w:rPr>
        <w:t>附件2：关于串标情形及后果的告知函</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关于串标情形及后果的告知函</w:t>
            </w:r>
          </w:p>
          <w:p>
            <w:pPr>
              <w:pStyle w:val="null3"/>
              <w:ind w:firstLine="480"/>
              <w:jc w:val="both"/>
            </w:pPr>
            <w:r>
              <w:rPr>
                <w:rFonts w:ascii="仿宋_GB2312" w:hAnsi="仿宋_GB2312" w:cs="仿宋_GB2312" w:eastAsia="仿宋_GB2312"/>
                <w:sz w:val="24"/>
              </w:rPr>
              <w:t>致各投标人：</w:t>
            </w:r>
          </w:p>
          <w:p>
            <w:pPr>
              <w:pStyle w:val="null3"/>
              <w:ind w:firstLine="480"/>
              <w:jc w:val="both"/>
            </w:pPr>
            <w:r>
              <w:rPr>
                <w:rFonts w:ascii="仿宋_GB2312" w:hAnsi="仿宋_GB2312" w:cs="仿宋_GB2312" w:eastAsia="仿宋_GB2312"/>
                <w:sz w:val="24"/>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ind w:firstLine="480"/>
              <w:jc w:val="both"/>
            </w:pPr>
            <w:r>
              <w:rPr>
                <w:rFonts w:ascii="仿宋_GB2312" w:hAnsi="仿宋_GB2312" w:cs="仿宋_GB2312" w:eastAsia="仿宋_GB2312"/>
                <w:sz w:val="24"/>
              </w:rPr>
              <w:t>一、恶意串通情形</w:t>
            </w:r>
          </w:p>
          <w:p>
            <w:pPr>
              <w:pStyle w:val="null3"/>
              <w:ind w:firstLine="480"/>
              <w:jc w:val="both"/>
            </w:pPr>
            <w:r>
              <w:rPr>
                <w:rFonts w:ascii="仿宋_GB2312" w:hAnsi="仿宋_GB2312" w:cs="仿宋_GB2312" w:eastAsia="仿宋_GB2312"/>
                <w:sz w:val="24"/>
              </w:rPr>
              <w:t>《政府采购法实施条例》第七十四条：有下列情形之一的，属于恶意串通：</w:t>
            </w:r>
          </w:p>
          <w:p>
            <w:pPr>
              <w:pStyle w:val="null3"/>
              <w:ind w:firstLine="480"/>
              <w:jc w:val="both"/>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ind w:firstLine="480"/>
              <w:jc w:val="both"/>
            </w:pPr>
            <w:r>
              <w:rPr>
                <w:rFonts w:ascii="仿宋_GB2312" w:hAnsi="仿宋_GB2312" w:cs="仿宋_GB2312" w:eastAsia="仿宋_GB2312"/>
                <w:sz w:val="24"/>
              </w:rPr>
              <w:t>（二）供应商按照采购人或者采购代理机构的授意撤换、修改投标文件或者响应文件。</w:t>
            </w:r>
          </w:p>
          <w:p>
            <w:pPr>
              <w:pStyle w:val="null3"/>
              <w:ind w:firstLine="480"/>
              <w:jc w:val="both"/>
            </w:pPr>
            <w:r>
              <w:rPr>
                <w:rFonts w:ascii="仿宋_GB2312" w:hAnsi="仿宋_GB2312" w:cs="仿宋_GB2312" w:eastAsia="仿宋_GB2312"/>
                <w:sz w:val="24"/>
              </w:rPr>
              <w:t>（三）供应商之间协商报价、技术方案等投标文件或者响应文件的实质性内容。</w:t>
            </w:r>
          </w:p>
          <w:p>
            <w:pPr>
              <w:pStyle w:val="null3"/>
              <w:ind w:firstLine="480"/>
              <w:jc w:val="both"/>
            </w:pPr>
            <w:r>
              <w:rPr>
                <w:rFonts w:ascii="仿宋_GB2312" w:hAnsi="仿宋_GB2312" w:cs="仿宋_GB2312" w:eastAsia="仿宋_GB2312"/>
                <w:sz w:val="24"/>
              </w:rPr>
              <w:t>（四）属于同一集团、协会、商会等组织成员的供应商按照该组织要求协同参加政府采购活动。</w:t>
            </w:r>
          </w:p>
          <w:p>
            <w:pPr>
              <w:pStyle w:val="null3"/>
              <w:ind w:firstLine="480"/>
              <w:jc w:val="both"/>
            </w:pPr>
            <w:r>
              <w:rPr>
                <w:rFonts w:ascii="仿宋_GB2312" w:hAnsi="仿宋_GB2312" w:cs="仿宋_GB2312" w:eastAsia="仿宋_GB2312"/>
                <w:sz w:val="24"/>
              </w:rPr>
              <w:t>（五）供应商之间事先约定由某一特定供应商中标、成交。</w:t>
            </w:r>
          </w:p>
          <w:p>
            <w:pPr>
              <w:pStyle w:val="null3"/>
              <w:ind w:firstLine="480"/>
              <w:jc w:val="both"/>
            </w:pPr>
            <w:r>
              <w:rPr>
                <w:rFonts w:ascii="仿宋_GB2312" w:hAnsi="仿宋_GB2312" w:cs="仿宋_GB2312" w:eastAsia="仿宋_GB2312"/>
                <w:sz w:val="24"/>
              </w:rPr>
              <w:t>（六）供应商之间商定部分供应商放弃参加政府采购活动或者放弃中标、成交。</w:t>
            </w:r>
          </w:p>
          <w:p>
            <w:pPr>
              <w:pStyle w:val="null3"/>
              <w:ind w:firstLine="480"/>
              <w:jc w:val="both"/>
            </w:pPr>
            <w:r>
              <w:rPr>
                <w:rFonts w:ascii="仿宋_GB2312" w:hAnsi="仿宋_GB2312" w:cs="仿宋_GB2312" w:eastAsia="仿宋_GB2312"/>
                <w:sz w:val="24"/>
              </w:rPr>
              <w:t>（七）供应商与采购人或者采购代理机构之间、供应商相互之间，为谋求特定供应商中标、成交或者排斥其他供应商的其他串通行为。</w:t>
            </w:r>
          </w:p>
          <w:p>
            <w:pPr>
              <w:pStyle w:val="null3"/>
              <w:ind w:firstLine="480"/>
              <w:jc w:val="both"/>
            </w:pPr>
            <w:r>
              <w:rPr>
                <w:rFonts w:ascii="仿宋_GB2312" w:hAnsi="仿宋_GB2312" w:cs="仿宋_GB2312" w:eastAsia="仿宋_GB2312"/>
                <w:sz w:val="24"/>
              </w:rPr>
              <w:t>二、视为串通情形</w:t>
            </w:r>
          </w:p>
          <w:p>
            <w:pPr>
              <w:pStyle w:val="null3"/>
              <w:ind w:firstLine="480"/>
              <w:jc w:val="both"/>
            </w:pPr>
            <w:r>
              <w:rPr>
                <w:rFonts w:ascii="仿宋_GB2312" w:hAnsi="仿宋_GB2312" w:cs="仿宋_GB2312" w:eastAsia="仿宋_GB2312"/>
                <w:sz w:val="24"/>
              </w:rPr>
              <w:t>《政府采购货物和服务招标投标管理办法》（财政部令第87号）第三十七条：有下列情形之一的，视为投标人串通投标，其投标无效：</w:t>
            </w:r>
          </w:p>
          <w:p>
            <w:pPr>
              <w:pStyle w:val="null3"/>
              <w:ind w:firstLine="480"/>
              <w:jc w:val="both"/>
            </w:pPr>
            <w:r>
              <w:rPr>
                <w:rFonts w:ascii="仿宋_GB2312" w:hAnsi="仿宋_GB2312" w:cs="仿宋_GB2312" w:eastAsia="仿宋_GB2312"/>
                <w:sz w:val="24"/>
              </w:rPr>
              <w:t>（一）不同投标人的投标文件由同一单位或者个人编制。</w:t>
            </w:r>
          </w:p>
          <w:p>
            <w:pPr>
              <w:pStyle w:val="null3"/>
              <w:ind w:firstLine="480"/>
              <w:jc w:val="both"/>
            </w:pPr>
            <w:r>
              <w:rPr>
                <w:rFonts w:ascii="仿宋_GB2312" w:hAnsi="仿宋_GB2312" w:cs="仿宋_GB2312" w:eastAsia="仿宋_GB2312"/>
                <w:sz w:val="24"/>
              </w:rPr>
              <w:t>（二）不同投标人委托同一单位或者个人办理投标事宜。</w:t>
            </w:r>
          </w:p>
          <w:p>
            <w:pPr>
              <w:pStyle w:val="null3"/>
              <w:ind w:firstLine="480"/>
              <w:jc w:val="both"/>
            </w:pPr>
            <w:r>
              <w:rPr>
                <w:rFonts w:ascii="仿宋_GB2312" w:hAnsi="仿宋_GB2312" w:cs="仿宋_GB2312" w:eastAsia="仿宋_GB2312"/>
                <w:sz w:val="24"/>
              </w:rPr>
              <w:t>（三）不同投标人的投标文件载明的项目管理成员或者联系人员为同一人。</w:t>
            </w:r>
          </w:p>
          <w:p>
            <w:pPr>
              <w:pStyle w:val="null3"/>
              <w:ind w:firstLine="480"/>
              <w:jc w:val="both"/>
            </w:pPr>
            <w:r>
              <w:rPr>
                <w:rFonts w:ascii="仿宋_GB2312" w:hAnsi="仿宋_GB2312" w:cs="仿宋_GB2312" w:eastAsia="仿宋_GB2312"/>
                <w:sz w:val="24"/>
              </w:rPr>
              <w:t>（四）不同投标人的投标文件异常一致或者投标报价呈规律性差异。</w:t>
            </w:r>
          </w:p>
          <w:p>
            <w:pPr>
              <w:pStyle w:val="null3"/>
              <w:ind w:firstLine="480"/>
              <w:jc w:val="both"/>
            </w:pPr>
            <w:r>
              <w:rPr>
                <w:rFonts w:ascii="仿宋_GB2312" w:hAnsi="仿宋_GB2312" w:cs="仿宋_GB2312" w:eastAsia="仿宋_GB2312"/>
                <w:sz w:val="24"/>
              </w:rPr>
              <w:t>（五）不同投标人的投标文件相互混装。</w:t>
            </w:r>
          </w:p>
          <w:p>
            <w:pPr>
              <w:pStyle w:val="null3"/>
              <w:ind w:firstLine="480"/>
              <w:jc w:val="both"/>
            </w:pPr>
            <w:r>
              <w:rPr>
                <w:rFonts w:ascii="仿宋_GB2312" w:hAnsi="仿宋_GB2312" w:cs="仿宋_GB2312" w:eastAsia="仿宋_GB2312"/>
                <w:sz w:val="24"/>
              </w:rPr>
              <w:t>（六）不同投标人的投标保证金从同一单位或者个人的账户转出。</w:t>
            </w:r>
          </w:p>
          <w:p>
            <w:pPr>
              <w:pStyle w:val="null3"/>
              <w:ind w:firstLine="480"/>
              <w:jc w:val="both"/>
            </w:pPr>
            <w:r>
              <w:rPr>
                <w:rFonts w:ascii="仿宋_GB2312" w:hAnsi="仿宋_GB2312" w:cs="仿宋_GB2312" w:eastAsia="仿宋_GB2312"/>
                <w:sz w:val="24"/>
              </w:rPr>
              <w:t>《福建省财政厅关于电子化政府采购项目中视为串标情形认定与处理的指导意见》（闽财购〔2018〕30号）</w:t>
            </w:r>
          </w:p>
          <w:p>
            <w:pPr>
              <w:pStyle w:val="null3"/>
              <w:ind w:firstLine="480"/>
              <w:jc w:val="both"/>
            </w:pPr>
            <w:r>
              <w:rPr>
                <w:rFonts w:ascii="仿宋_GB2312" w:hAnsi="仿宋_GB2312" w:cs="仿宋_GB2312" w:eastAsia="仿宋_GB2312"/>
                <w:sz w:val="24"/>
              </w:rPr>
              <w:t>（一）电子化招标项目视为串通情形的认定</w:t>
            </w:r>
          </w:p>
          <w:p>
            <w:pPr>
              <w:pStyle w:val="null3"/>
              <w:ind w:firstLine="480"/>
              <w:jc w:val="both"/>
            </w:pPr>
            <w:r>
              <w:rPr>
                <w:rFonts w:ascii="仿宋_GB2312" w:hAnsi="仿宋_GB2312" w:cs="仿宋_GB2312" w:eastAsia="仿宋_GB2312"/>
                <w:sz w:val="24"/>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480"/>
              <w:jc w:val="both"/>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ind w:firstLine="480"/>
              <w:jc w:val="both"/>
            </w:pP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jc w:val="both"/>
            </w:pP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jc w:val="both"/>
            </w:pP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0"/>
              <w:jc w:val="both"/>
            </w:pPr>
            <w:r>
              <w:rPr>
                <w:rFonts w:ascii="仿宋_GB2312" w:hAnsi="仿宋_GB2312" w:cs="仿宋_GB2312" w:eastAsia="仿宋_GB2312"/>
                <w:sz w:val="24"/>
              </w:rPr>
              <w:t>（二）电子化非招标项目视为串通情形的认定</w:t>
            </w:r>
          </w:p>
          <w:p>
            <w:pPr>
              <w:pStyle w:val="null3"/>
              <w:ind w:firstLine="480"/>
              <w:jc w:val="both"/>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供应商与采购人或者采购代理机构之间、供应商相互之间，为谋求特定供应商中标、成交或者排斥其他供 应商的其他串通行为”。</w:t>
            </w:r>
          </w:p>
          <w:p>
            <w:pPr>
              <w:pStyle w:val="null3"/>
              <w:ind w:firstLine="480"/>
              <w:jc w:val="both"/>
            </w:pPr>
            <w:r>
              <w:rPr>
                <w:rFonts w:ascii="仿宋_GB2312" w:hAnsi="仿宋_GB2312" w:cs="仿宋_GB2312" w:eastAsia="仿宋_GB2312"/>
                <w:sz w:val="24"/>
              </w:rPr>
              <w:t>三、供应商需承担的后果</w:t>
            </w:r>
          </w:p>
          <w:p>
            <w:pPr>
              <w:pStyle w:val="null3"/>
              <w:ind w:firstLine="480"/>
              <w:jc w:val="both"/>
            </w:pPr>
            <w:r>
              <w:rPr>
                <w:rFonts w:ascii="仿宋_GB2312" w:hAnsi="仿宋_GB2312" w:cs="仿宋_GB2312" w:eastAsia="仿宋_GB2312"/>
                <w:sz w:val="24"/>
              </w:rPr>
              <w:t>1.《政府采购法》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（三）与采购人、其他供应商或者采购代理机构恶意串通的。 供 应商有前款第（一）至（五）项情形之一的，中标、成交无效。</w:t>
            </w:r>
          </w:p>
          <w:p>
            <w:pPr>
              <w:pStyle w:val="null3"/>
              <w:ind w:firstLine="480"/>
              <w:jc w:val="both"/>
            </w:pPr>
            <w:r>
              <w:rPr>
                <w:rFonts w:ascii="仿宋_GB2312" w:hAnsi="仿宋_GB2312" w:cs="仿宋_GB2312" w:eastAsia="仿宋_GB2312"/>
                <w:sz w:val="24"/>
              </w:rPr>
              <w:t>2.《政府采购非招标采购方式管理办法》（财政部令第74号）第二十条：有下列情形之一的，保证金不予退还： （四）供 应商与采购人、其他供 应商或者采购代理机构恶意串通的。</w:t>
            </w:r>
          </w:p>
          <w:p>
            <w:pPr>
              <w:pStyle w:val="null3"/>
              <w:ind w:firstLine="480"/>
              <w:jc w:val="both"/>
            </w:pPr>
            <w:r>
              <w:rPr>
                <w:rFonts w:ascii="仿宋_GB2312" w:hAnsi="仿宋_GB2312" w:cs="仿宋_GB2312" w:eastAsia="仿宋_GB2312"/>
                <w:sz w:val="24"/>
              </w:rPr>
              <w:t>3.《政府采购竞争性磋商采购方式管理暂行办法》（财库〔2014〕214号）第三十一条：有下列情形之一的，磋商保证金不予退还： （四）供应商与采购人、其他供 应商或者采购代理机构恶意串通的。</w:t>
            </w:r>
          </w:p>
          <w:p>
            <w:pPr>
              <w:pStyle w:val="null3"/>
              <w:ind w:firstLine="380"/>
              <w:jc w:val="both"/>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2.1本项目支持供应商办理政府采购合同融资（即政采贷），具体相关政策详见《关于促进中小企业政府采购合同融资健康开展的通知》（闽财购函〔2019〕16 号）和《关于印发&lt;福建省支持中小企业政府采购合同融资暂行办法&gt;的通知（闽财购〔2018〕7 号）。办理渠道及政策查询网址： http://120.35.30.176/zcdproject/home/。 2.2关于开标： （1）本项目采用“远程开标”，投标人可到开标现场，也可不到开标现场，由投标人自行决定。 （2）投标人不到开标现场的，请在福建省政府采购网厦门分网“服务专区/下载专区/资料下载”中，下载《远程开标操作手册》，在开标时自行登录采购系统，线上观看开标过程，并按要求在开标时段对投标文件进行远程解密、远程签章。 （3）投标人应确保自身设施、设备、网络状况良好，提前了解熟悉远程开标流程，因投标人自身原因造成无法正常观看开标过程、远程解密或签章的，后果由投标人自行承担。 （4）在规定的时间内正确提交电子投标文件的投标人在开标时将由系统判断签到情况，具体信息以福建省政府采购网上公开信息系统所示为准。 （5）投标人应在远程解密开启后在规定时间（30分钟）内使用CA数字证书（应与投标文件加密时所用CA证书一致）进行投标文件的解密操作，逾期未解密的视为放弃投标。 （6）唱标结束后，投标人可对开标结果进行签章，并在远程签章开放后5分钟内完成，逾期未签章的视同认可开标结果。 （7）开、评标期间，投标人代表应保证采购系统中预留的联系方式畅通，以便随时接收并答复评标委员会发起的澄清等事项。 （8）在操作过程中如有疑问请咨询技术人员（400-1612-666、0592-2858142）或采购代理机构工作人员。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[350205]HC[GK]2025011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东孚街道小散工程安全监管技术服务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1(东孚街道小散工程安全监管技术服务)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东孚街道小散工程安全监管技术服务</w:t>
            </w:r>
          </w:p>
        </w:tc>
        <w:tc>
          <w:tcPr>
            <w:tcW w:type="dxa" w:w="1661"/>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[350205]HC[GK]2025011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东孚街道小散工程安全监管技术服务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东孚街道小散工程安全监管技术服务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东孚街道小散工程安全监管技术服务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东孚街道小散工程安全监管技术服务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