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79F6F4">
      <w:pPr>
        <w:tabs>
          <w:tab w:val="left" w:pos="315"/>
          <w:tab w:val="left" w:pos="8820"/>
        </w:tabs>
        <w:spacing w:before="312" w:beforeLines="100" w:after="156" w:afterLines="50" w:line="500" w:lineRule="exact"/>
        <w:ind w:right="267" w:rightChars="127"/>
        <w:jc w:val="center"/>
        <w:rPr>
          <w:rFonts w:hint="eastAsia" w:ascii="宋体" w:hAnsi="宋体" w:eastAsia="宋体"/>
          <w:b/>
          <w:bCs/>
          <w:sz w:val="52"/>
          <w:szCs w:val="52"/>
        </w:rPr>
      </w:pPr>
    </w:p>
    <w:p w14:paraId="550625FF">
      <w:pPr>
        <w:tabs>
          <w:tab w:val="left" w:pos="315"/>
          <w:tab w:val="left" w:pos="8820"/>
        </w:tabs>
        <w:spacing w:before="312" w:beforeLines="100" w:after="156" w:afterLines="50" w:line="500" w:lineRule="exact"/>
        <w:ind w:right="267" w:rightChars="127"/>
        <w:jc w:val="center"/>
        <w:rPr>
          <w:rFonts w:hint="eastAsia" w:ascii="宋体" w:hAnsi="宋体" w:eastAsia="宋体"/>
          <w:b/>
          <w:bCs/>
          <w:sz w:val="52"/>
          <w:szCs w:val="52"/>
        </w:rPr>
      </w:pPr>
    </w:p>
    <w:p w14:paraId="6376F8D2">
      <w:pPr>
        <w:tabs>
          <w:tab w:val="left" w:pos="315"/>
          <w:tab w:val="left" w:pos="8820"/>
        </w:tabs>
        <w:spacing w:before="312" w:beforeLines="100" w:after="156" w:afterLines="50" w:line="500" w:lineRule="exact"/>
        <w:ind w:right="267" w:rightChars="127"/>
        <w:jc w:val="center"/>
        <w:rPr>
          <w:rFonts w:hint="eastAsia" w:ascii="宋体" w:hAnsi="宋体" w:eastAsia="宋体"/>
          <w:b/>
          <w:bCs/>
          <w:sz w:val="52"/>
          <w:szCs w:val="52"/>
        </w:rPr>
      </w:pPr>
      <w:bookmarkStart w:id="0" w:name="_Hlk9544796"/>
      <w:r>
        <w:rPr>
          <w:rFonts w:hint="eastAsia" w:ascii="宋体" w:hAnsi="宋体" w:eastAsia="宋体"/>
          <w:b/>
          <w:bCs/>
          <w:sz w:val="52"/>
          <w:szCs w:val="52"/>
        </w:rPr>
        <w:t>安徽省政府采购项目</w:t>
      </w:r>
    </w:p>
    <w:p w14:paraId="33B0DA78">
      <w:pPr>
        <w:tabs>
          <w:tab w:val="left" w:pos="315"/>
          <w:tab w:val="left" w:pos="8820"/>
        </w:tabs>
        <w:spacing w:before="312" w:beforeLines="100" w:after="156" w:afterLines="50" w:line="500" w:lineRule="exact"/>
        <w:ind w:right="267" w:rightChars="127"/>
        <w:jc w:val="center"/>
        <w:rPr>
          <w:rFonts w:hint="eastAsia" w:ascii="宋体" w:hAnsi="宋体" w:eastAsia="宋体"/>
          <w:b/>
          <w:bCs/>
          <w:sz w:val="52"/>
          <w:szCs w:val="52"/>
        </w:rPr>
      </w:pPr>
      <w:r>
        <w:rPr>
          <w:rFonts w:hint="eastAsia" w:ascii="宋体" w:hAnsi="宋体" w:eastAsia="宋体"/>
          <w:b/>
          <w:bCs/>
          <w:sz w:val="52"/>
          <w:szCs w:val="52"/>
        </w:rPr>
        <w:t>公开招标文件示范文本</w:t>
      </w:r>
      <w:bookmarkEnd w:id="0"/>
      <w:r>
        <w:rPr>
          <w:rFonts w:hint="eastAsia" w:ascii="宋体" w:hAnsi="宋体" w:eastAsia="宋体"/>
          <w:b/>
          <w:bCs/>
          <w:sz w:val="52"/>
          <w:szCs w:val="52"/>
        </w:rPr>
        <w:t>（货物类）</w:t>
      </w:r>
    </w:p>
    <w:p w14:paraId="40C12344">
      <w:pPr>
        <w:tabs>
          <w:tab w:val="left" w:pos="315"/>
          <w:tab w:val="left" w:pos="8820"/>
        </w:tabs>
        <w:spacing w:before="240" w:beforeLines="100" w:after="120" w:afterLines="50" w:line="500" w:lineRule="exact"/>
        <w:ind w:right="267" w:rightChars="127"/>
        <w:jc w:val="center"/>
        <w:rPr>
          <w:b/>
          <w:bCs/>
          <w:color w:val="auto"/>
          <w:sz w:val="52"/>
          <w:szCs w:val="52"/>
          <w:highlight w:val="none"/>
        </w:rPr>
      </w:pPr>
      <w:r>
        <w:rPr>
          <w:rFonts w:hint="eastAsia"/>
          <w:b/>
          <w:bCs/>
          <w:color w:val="auto"/>
          <w:sz w:val="52"/>
          <w:szCs w:val="52"/>
          <w:highlight w:val="none"/>
        </w:rPr>
        <w:t>（</w:t>
      </w:r>
      <w:r>
        <w:rPr>
          <w:rFonts w:hint="eastAsia"/>
          <w:b/>
          <w:bCs/>
          <w:color w:val="auto"/>
          <w:sz w:val="52"/>
          <w:szCs w:val="52"/>
          <w:highlight w:val="none"/>
          <w:lang w:val="en-US" w:eastAsia="zh-CN"/>
        </w:rPr>
        <w:t>2024版本</w:t>
      </w:r>
      <w:r>
        <w:rPr>
          <w:rFonts w:hint="eastAsia"/>
          <w:b/>
          <w:bCs/>
          <w:color w:val="auto"/>
          <w:sz w:val="52"/>
          <w:szCs w:val="52"/>
          <w:highlight w:val="none"/>
        </w:rPr>
        <w:t>）</w:t>
      </w:r>
    </w:p>
    <w:p w14:paraId="79A4FDF4">
      <w:pPr>
        <w:tabs>
          <w:tab w:val="left" w:pos="315"/>
          <w:tab w:val="left" w:pos="8820"/>
        </w:tabs>
        <w:spacing w:before="312" w:beforeLines="100" w:after="156" w:afterLines="50" w:line="500" w:lineRule="exact"/>
        <w:ind w:right="267" w:rightChars="127"/>
        <w:jc w:val="center"/>
        <w:rPr>
          <w:rFonts w:hint="eastAsia" w:ascii="宋体" w:hAnsi="宋体" w:eastAsia="宋体"/>
          <w:b/>
          <w:bCs/>
          <w:sz w:val="44"/>
          <w:szCs w:val="44"/>
        </w:rPr>
      </w:pPr>
    </w:p>
    <w:p w14:paraId="6AC4519F">
      <w:pPr>
        <w:tabs>
          <w:tab w:val="left" w:pos="315"/>
          <w:tab w:val="left" w:pos="8820"/>
        </w:tabs>
        <w:spacing w:before="312" w:beforeLines="100" w:after="156" w:afterLines="50" w:line="500" w:lineRule="exact"/>
        <w:ind w:right="267" w:rightChars="127"/>
        <w:jc w:val="center"/>
        <w:rPr>
          <w:rFonts w:hint="eastAsia" w:ascii="宋体" w:hAnsi="宋体" w:eastAsia="宋体"/>
          <w:b/>
          <w:bCs/>
          <w:sz w:val="44"/>
          <w:szCs w:val="44"/>
        </w:rPr>
      </w:pPr>
    </w:p>
    <w:p w14:paraId="3C4F5DD0">
      <w:pPr>
        <w:tabs>
          <w:tab w:val="left" w:pos="315"/>
          <w:tab w:val="left" w:pos="8820"/>
        </w:tabs>
        <w:spacing w:before="312" w:beforeLines="100" w:after="156" w:afterLines="50" w:line="500" w:lineRule="exact"/>
        <w:ind w:right="267" w:rightChars="127"/>
        <w:jc w:val="center"/>
        <w:rPr>
          <w:rFonts w:hint="eastAsia" w:ascii="宋体" w:hAnsi="宋体" w:eastAsia="宋体"/>
          <w:b/>
          <w:bCs/>
          <w:sz w:val="44"/>
          <w:szCs w:val="44"/>
        </w:rPr>
      </w:pPr>
    </w:p>
    <w:p w14:paraId="6C89FB03">
      <w:pPr>
        <w:tabs>
          <w:tab w:val="left" w:pos="315"/>
          <w:tab w:val="left" w:pos="8820"/>
        </w:tabs>
        <w:spacing w:before="312" w:beforeLines="100" w:after="156" w:afterLines="50" w:line="500" w:lineRule="exact"/>
        <w:ind w:right="267" w:rightChars="127"/>
        <w:jc w:val="center"/>
        <w:rPr>
          <w:rFonts w:hint="eastAsia" w:ascii="宋体" w:hAnsi="宋体" w:eastAsia="宋体"/>
          <w:b/>
          <w:bCs/>
          <w:sz w:val="44"/>
          <w:szCs w:val="44"/>
        </w:rPr>
      </w:pPr>
    </w:p>
    <w:p w14:paraId="4B626B37">
      <w:pPr>
        <w:tabs>
          <w:tab w:val="left" w:pos="315"/>
          <w:tab w:val="left" w:pos="8820"/>
        </w:tabs>
        <w:spacing w:before="312" w:beforeLines="100" w:after="156" w:afterLines="50" w:line="500" w:lineRule="exact"/>
        <w:ind w:right="267" w:rightChars="127"/>
        <w:jc w:val="center"/>
        <w:rPr>
          <w:rFonts w:hint="eastAsia" w:ascii="宋体" w:hAnsi="宋体" w:eastAsia="宋体"/>
          <w:b/>
          <w:bCs/>
          <w:sz w:val="44"/>
          <w:szCs w:val="44"/>
        </w:rPr>
      </w:pPr>
    </w:p>
    <w:p w14:paraId="67B2F564">
      <w:pPr>
        <w:tabs>
          <w:tab w:val="left" w:pos="315"/>
          <w:tab w:val="left" w:pos="8820"/>
        </w:tabs>
        <w:spacing w:before="312" w:beforeLines="100" w:after="156" w:afterLines="50" w:line="500" w:lineRule="exact"/>
        <w:ind w:right="267" w:rightChars="127"/>
        <w:jc w:val="center"/>
        <w:rPr>
          <w:rFonts w:hint="eastAsia" w:ascii="宋体" w:hAnsi="宋体" w:eastAsia="宋体"/>
          <w:b/>
          <w:bCs/>
          <w:sz w:val="44"/>
          <w:szCs w:val="44"/>
        </w:rPr>
      </w:pPr>
    </w:p>
    <w:p w14:paraId="515873DD">
      <w:pPr>
        <w:tabs>
          <w:tab w:val="left" w:pos="2410"/>
        </w:tabs>
        <w:autoSpaceDE w:val="0"/>
        <w:autoSpaceDN w:val="0"/>
        <w:adjustRightInd w:val="0"/>
        <w:snapToGrid w:val="0"/>
        <w:spacing w:line="360" w:lineRule="auto"/>
        <w:ind w:firstLine="723" w:firstLineChars="200"/>
        <w:rPr>
          <w:rFonts w:hint="eastAsia"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lang w:eastAsia="zh-CN"/>
        </w:rPr>
        <w:t>安徽省淝河监狱生命探测仪采购项目</w:t>
      </w:r>
    </w:p>
    <w:p w14:paraId="5744C0F8">
      <w:pPr>
        <w:tabs>
          <w:tab w:val="left" w:pos="2410"/>
        </w:tabs>
        <w:autoSpaceDE w:val="0"/>
        <w:autoSpaceDN w:val="0"/>
        <w:adjustRightInd w:val="0"/>
        <w:snapToGrid w:val="0"/>
        <w:spacing w:line="360" w:lineRule="auto"/>
        <w:ind w:firstLine="723" w:firstLineChars="200"/>
        <w:rPr>
          <w:rFonts w:hint="eastAsia"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lang w:eastAsia="zh-CN"/>
        </w:rPr>
        <w:t>FS34000120252213号</w:t>
      </w:r>
      <w:r>
        <w:rPr>
          <w:rFonts w:hint="eastAsia" w:ascii="宋体" w:hAnsi="宋体" w:eastAsia="宋体"/>
          <w:b/>
          <w:color w:val="auto"/>
          <w:spacing w:val="20"/>
          <w:kern w:val="0"/>
          <w:sz w:val="32"/>
          <w:szCs w:val="32"/>
          <w:highlight w:val="none"/>
        </w:rPr>
        <w:t>/</w:t>
      </w:r>
      <w:r>
        <w:rPr>
          <w:rFonts w:hint="eastAsia" w:ascii="宋体" w:hAnsi="宋体" w:eastAsia="宋体"/>
          <w:b/>
          <w:color w:val="auto"/>
          <w:spacing w:val="20"/>
          <w:kern w:val="0"/>
          <w:sz w:val="32"/>
          <w:szCs w:val="32"/>
          <w:highlight w:val="none"/>
          <w:lang w:eastAsia="zh-CN"/>
        </w:rPr>
        <w:t>DCZX2025-AH-045</w:t>
      </w:r>
    </w:p>
    <w:p w14:paraId="272DCE22">
      <w:pPr>
        <w:tabs>
          <w:tab w:val="left" w:pos="2410"/>
        </w:tabs>
        <w:autoSpaceDE w:val="0"/>
        <w:autoSpaceDN w:val="0"/>
        <w:adjustRightInd w:val="0"/>
        <w:snapToGrid w:val="0"/>
        <w:spacing w:line="360" w:lineRule="auto"/>
        <w:ind w:firstLine="723" w:firstLineChars="200"/>
        <w:rPr>
          <w:rFonts w:hint="eastAsia"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lang w:eastAsia="zh-CN"/>
        </w:rPr>
        <w:t>安徽省淝河监狱</w:t>
      </w:r>
    </w:p>
    <w:p w14:paraId="5F718E34">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lang w:val="en-US" w:eastAsia="zh-CN"/>
        </w:rPr>
        <w:t>大成工程咨询有限公司</w:t>
      </w:r>
    </w:p>
    <w:p w14:paraId="7FEC1707">
      <w:pPr>
        <w:tabs>
          <w:tab w:val="left" w:pos="315"/>
          <w:tab w:val="left" w:pos="8820"/>
        </w:tabs>
        <w:spacing w:before="312" w:beforeLines="100" w:after="156" w:afterLines="50" w:line="500" w:lineRule="exact"/>
        <w:ind w:right="267" w:rightChars="127"/>
        <w:jc w:val="center"/>
        <w:rPr>
          <w:rFonts w:hint="eastAsia" w:ascii="宋体" w:hAnsi="宋体" w:eastAsia="宋体"/>
          <w:b/>
          <w:bCs/>
          <w:sz w:val="44"/>
          <w:szCs w:val="44"/>
        </w:rPr>
      </w:pPr>
    </w:p>
    <w:p w14:paraId="17B32C6B">
      <w:pPr>
        <w:tabs>
          <w:tab w:val="left" w:pos="2410"/>
        </w:tabs>
        <w:autoSpaceDE w:val="0"/>
        <w:autoSpaceDN w:val="0"/>
        <w:adjustRightInd w:val="0"/>
        <w:snapToGrid w:val="0"/>
        <w:spacing w:line="360" w:lineRule="auto"/>
        <w:jc w:val="center"/>
        <w:rPr>
          <w:rFonts w:hint="eastAsia" w:ascii="宋体" w:hAnsi="宋体" w:eastAsia="宋体"/>
          <w:b/>
          <w:sz w:val="36"/>
        </w:rPr>
      </w:pPr>
      <w:r>
        <w:rPr>
          <w:rFonts w:hint="eastAsia" w:ascii="宋体" w:hAnsi="宋体" w:eastAsia="宋体"/>
          <w:b/>
          <w:color w:val="auto"/>
          <w:sz w:val="36"/>
          <w:highlight w:val="none"/>
          <w:u w:val="none"/>
          <w:lang w:val="en-US" w:eastAsia="zh-CN"/>
        </w:rPr>
        <w:t>2025</w:t>
      </w:r>
      <w:r>
        <w:rPr>
          <w:rFonts w:hint="eastAsia" w:ascii="宋体" w:hAnsi="宋体" w:eastAsia="宋体"/>
          <w:b/>
          <w:color w:val="auto"/>
          <w:sz w:val="36"/>
          <w:highlight w:val="none"/>
        </w:rPr>
        <w:t>年</w:t>
      </w:r>
      <w:r>
        <w:rPr>
          <w:rFonts w:hint="eastAsia" w:ascii="宋体" w:hAnsi="宋体" w:eastAsia="宋体"/>
          <w:b/>
          <w:color w:val="auto"/>
          <w:sz w:val="36"/>
          <w:highlight w:val="none"/>
          <w:u w:val="none"/>
          <w:lang w:val="en-US" w:eastAsia="zh-CN"/>
        </w:rPr>
        <w:t>4</w:t>
      </w:r>
      <w:r>
        <w:rPr>
          <w:rFonts w:hint="eastAsia" w:ascii="宋体" w:hAnsi="宋体" w:eastAsia="宋体"/>
          <w:b/>
          <w:color w:val="auto"/>
          <w:sz w:val="36"/>
          <w:highlight w:val="none"/>
        </w:rPr>
        <w:t>月</w:t>
      </w:r>
      <w:r>
        <w:rPr>
          <w:rFonts w:ascii="宋体" w:hAnsi="宋体" w:eastAsia="宋体"/>
          <w:b/>
          <w:sz w:val="36"/>
        </w:rPr>
        <w:br w:type="page"/>
      </w:r>
    </w:p>
    <w:p w14:paraId="5E5C3A10">
      <w:pPr>
        <w:tabs>
          <w:tab w:val="left" w:pos="2410"/>
        </w:tabs>
        <w:autoSpaceDE w:val="0"/>
        <w:autoSpaceDN w:val="0"/>
        <w:adjustRightInd w:val="0"/>
        <w:snapToGrid w:val="0"/>
        <w:spacing w:line="360" w:lineRule="auto"/>
        <w:jc w:val="center"/>
        <w:rPr>
          <w:rFonts w:hint="eastAsia" w:ascii="宋体" w:hAnsi="宋体" w:eastAsia="宋体"/>
          <w:b/>
          <w:sz w:val="28"/>
        </w:rPr>
      </w:pPr>
      <w:r>
        <w:rPr>
          <w:rFonts w:hint="eastAsia" w:ascii="宋体" w:hAnsi="宋体" w:eastAsia="宋体"/>
          <w:b/>
          <w:sz w:val="28"/>
        </w:rPr>
        <w:t>目  录</w:t>
      </w:r>
    </w:p>
    <w:p w14:paraId="364C8EE7">
      <w:pPr>
        <w:pStyle w:val="20"/>
        <w:tabs>
          <w:tab w:val="right" w:leader="dot" w:pos="8306"/>
        </w:tabs>
      </w:pPr>
      <w:r>
        <w:rPr>
          <w:rFonts w:asciiTheme="minorEastAsia" w:hAnsiTheme="minorEastAsia"/>
          <w:b/>
          <w:sz w:val="24"/>
          <w:szCs w:val="24"/>
        </w:rPr>
        <w:fldChar w:fldCharType="begin"/>
      </w:r>
      <w:r>
        <w:rPr>
          <w:rFonts w:asciiTheme="minorEastAsia" w:hAnsiTheme="minorEastAsia"/>
          <w:b/>
          <w:sz w:val="24"/>
          <w:szCs w:val="24"/>
        </w:rPr>
        <w:instrText xml:space="preserve"> </w:instrText>
      </w:r>
      <w:r>
        <w:rPr>
          <w:rFonts w:hint="eastAsia" w:asciiTheme="minorEastAsia" w:hAnsiTheme="minorEastAsia"/>
          <w:b/>
          <w:sz w:val="24"/>
          <w:szCs w:val="24"/>
        </w:rPr>
        <w:instrText xml:space="preserve">TOC \o "1-2" \h \z \u</w:instrText>
      </w:r>
      <w:r>
        <w:rPr>
          <w:rFonts w:asciiTheme="minorEastAsia" w:hAnsiTheme="minorEastAsia"/>
          <w:b/>
          <w:sz w:val="24"/>
          <w:szCs w:val="24"/>
        </w:rPr>
        <w:instrText xml:space="preserve"> </w:instrText>
      </w:r>
      <w:r>
        <w:rPr>
          <w:rFonts w:asciiTheme="minorEastAsia" w:hAnsiTheme="minorEastAsia"/>
          <w:b/>
          <w:sz w:val="24"/>
          <w:szCs w:val="24"/>
        </w:rPr>
        <w:fldChar w:fldCharType="separate"/>
      </w:r>
      <w:r>
        <w:fldChar w:fldCharType="begin"/>
      </w:r>
      <w:r>
        <w:instrText xml:space="preserve"> HYPERLINK \l "_Toc23443" </w:instrText>
      </w:r>
      <w:r>
        <w:fldChar w:fldCharType="separate"/>
      </w:r>
      <w:r>
        <w:rPr>
          <w:rFonts w:hint="eastAsia" w:asciiTheme="minorEastAsia" w:hAnsiTheme="minorEastAsia"/>
        </w:rPr>
        <w:t xml:space="preserve">第一章 </w:t>
      </w:r>
      <w:r>
        <w:rPr>
          <w:rFonts w:asciiTheme="minorEastAsia" w:hAnsiTheme="minorEastAsia"/>
        </w:rPr>
        <w:t xml:space="preserve"> 投标邀请</w:t>
      </w:r>
      <w:r>
        <w:tab/>
      </w:r>
      <w:r>
        <w:fldChar w:fldCharType="begin"/>
      </w:r>
      <w:r>
        <w:instrText xml:space="preserve"> PAGEREF _Toc23443 \h </w:instrText>
      </w:r>
      <w:r>
        <w:fldChar w:fldCharType="separate"/>
      </w:r>
      <w:r>
        <w:t>1</w:t>
      </w:r>
      <w:r>
        <w:fldChar w:fldCharType="end"/>
      </w:r>
      <w:r>
        <w:fldChar w:fldCharType="end"/>
      </w:r>
    </w:p>
    <w:p w14:paraId="702980A7">
      <w:pPr>
        <w:pStyle w:val="20"/>
        <w:tabs>
          <w:tab w:val="right" w:leader="dot" w:pos="8306"/>
        </w:tabs>
      </w:pPr>
      <w:r>
        <w:fldChar w:fldCharType="begin"/>
      </w:r>
      <w:r>
        <w:instrText xml:space="preserve"> HYPERLINK \l "_Toc31935" </w:instrText>
      </w:r>
      <w:r>
        <w:fldChar w:fldCharType="separate"/>
      </w:r>
      <w:r>
        <w:rPr>
          <w:rFonts w:hint="eastAsia" w:asciiTheme="minorEastAsia" w:hAnsiTheme="minorEastAsia"/>
        </w:rPr>
        <w:t>第二章</w:t>
      </w:r>
      <w:r>
        <w:rPr>
          <w:rFonts w:asciiTheme="minorEastAsia" w:hAnsiTheme="minorEastAsia"/>
        </w:rPr>
        <w:t xml:space="preserve"> </w:t>
      </w:r>
      <w:r>
        <w:rPr>
          <w:rFonts w:hint="eastAsia" w:asciiTheme="minorEastAsia" w:hAnsiTheme="minorEastAsia"/>
        </w:rPr>
        <w:t xml:space="preserve"> </w:t>
      </w:r>
      <w:r>
        <w:rPr>
          <w:rFonts w:asciiTheme="minorEastAsia" w:hAnsiTheme="minorEastAsia"/>
        </w:rPr>
        <w:t>投标人须知</w:t>
      </w:r>
      <w:r>
        <w:tab/>
      </w:r>
      <w:r>
        <w:fldChar w:fldCharType="begin"/>
      </w:r>
      <w:r>
        <w:instrText xml:space="preserve"> PAGEREF _Toc31935 \h </w:instrText>
      </w:r>
      <w:r>
        <w:fldChar w:fldCharType="separate"/>
      </w:r>
      <w:r>
        <w:t>4</w:t>
      </w:r>
      <w:r>
        <w:fldChar w:fldCharType="end"/>
      </w:r>
      <w:r>
        <w:fldChar w:fldCharType="end"/>
      </w:r>
    </w:p>
    <w:p w14:paraId="3F1E45A6">
      <w:pPr>
        <w:pStyle w:val="20"/>
        <w:tabs>
          <w:tab w:val="right" w:leader="dot" w:pos="8306"/>
        </w:tabs>
      </w:pPr>
      <w:r>
        <w:fldChar w:fldCharType="begin"/>
      </w:r>
      <w:r>
        <w:instrText xml:space="preserve"> HYPERLINK \l "_Toc10891" </w:instrText>
      </w:r>
      <w:r>
        <w:fldChar w:fldCharType="separate"/>
      </w:r>
      <w:r>
        <w:rPr>
          <w:rFonts w:hint="eastAsia" w:asciiTheme="minorEastAsia" w:hAnsiTheme="minorEastAsia"/>
        </w:rPr>
        <w:t>第三章  采购需求</w:t>
      </w:r>
      <w:r>
        <w:tab/>
      </w:r>
      <w:r>
        <w:fldChar w:fldCharType="begin"/>
      </w:r>
      <w:r>
        <w:instrText xml:space="preserve"> PAGEREF _Toc10891 \h </w:instrText>
      </w:r>
      <w:r>
        <w:fldChar w:fldCharType="separate"/>
      </w:r>
      <w:r>
        <w:t>20</w:t>
      </w:r>
      <w:r>
        <w:fldChar w:fldCharType="end"/>
      </w:r>
      <w:r>
        <w:fldChar w:fldCharType="end"/>
      </w:r>
    </w:p>
    <w:p w14:paraId="01C2B0AD">
      <w:pPr>
        <w:pStyle w:val="20"/>
        <w:tabs>
          <w:tab w:val="right" w:leader="dot" w:pos="8306"/>
        </w:tabs>
      </w:pPr>
      <w:r>
        <w:fldChar w:fldCharType="begin"/>
      </w:r>
      <w:r>
        <w:instrText xml:space="preserve"> HYPERLINK \l "_Toc16417" </w:instrText>
      </w:r>
      <w:r>
        <w:fldChar w:fldCharType="separate"/>
      </w:r>
      <w:r>
        <w:rPr>
          <w:rFonts w:hint="eastAsia" w:asciiTheme="minorEastAsia" w:hAnsiTheme="minorEastAsia"/>
        </w:rPr>
        <w:t>第四章  评标方法和标准（综合评分法）</w:t>
      </w:r>
      <w:r>
        <w:tab/>
      </w:r>
      <w:r>
        <w:fldChar w:fldCharType="begin"/>
      </w:r>
      <w:r>
        <w:instrText xml:space="preserve"> PAGEREF _Toc16417 \h </w:instrText>
      </w:r>
      <w:r>
        <w:fldChar w:fldCharType="separate"/>
      </w:r>
      <w:r>
        <w:t>29</w:t>
      </w:r>
      <w:r>
        <w:fldChar w:fldCharType="end"/>
      </w:r>
      <w:r>
        <w:fldChar w:fldCharType="end"/>
      </w:r>
    </w:p>
    <w:p w14:paraId="250DD905">
      <w:pPr>
        <w:pStyle w:val="20"/>
        <w:tabs>
          <w:tab w:val="right" w:leader="dot" w:pos="8306"/>
        </w:tabs>
      </w:pPr>
      <w:r>
        <w:fldChar w:fldCharType="begin"/>
      </w:r>
      <w:r>
        <w:instrText xml:space="preserve"> HYPERLINK \l "_Toc4682" </w:instrText>
      </w:r>
      <w:r>
        <w:fldChar w:fldCharType="separate"/>
      </w:r>
      <w:r>
        <w:rPr>
          <w:rFonts w:hint="eastAsia" w:asciiTheme="minorEastAsia" w:hAnsiTheme="minorEastAsia"/>
        </w:rPr>
        <w:t xml:space="preserve">第五章  </w:t>
      </w:r>
      <w:r>
        <w:rPr>
          <w:rFonts w:asciiTheme="minorEastAsia" w:hAnsiTheme="minorEastAsia"/>
        </w:rPr>
        <w:t>政府采购合同</w:t>
      </w:r>
      <w:r>
        <w:tab/>
      </w:r>
      <w:r>
        <w:fldChar w:fldCharType="begin"/>
      </w:r>
      <w:r>
        <w:instrText xml:space="preserve"> PAGEREF _Toc4682 \h </w:instrText>
      </w:r>
      <w:r>
        <w:fldChar w:fldCharType="separate"/>
      </w:r>
      <w:r>
        <w:t>36</w:t>
      </w:r>
      <w:r>
        <w:fldChar w:fldCharType="end"/>
      </w:r>
      <w:r>
        <w:fldChar w:fldCharType="end"/>
      </w:r>
    </w:p>
    <w:p w14:paraId="18A40DD4">
      <w:pPr>
        <w:pStyle w:val="20"/>
        <w:tabs>
          <w:tab w:val="right" w:leader="dot" w:pos="8306"/>
        </w:tabs>
      </w:pPr>
      <w:r>
        <w:fldChar w:fldCharType="begin"/>
      </w:r>
      <w:r>
        <w:instrText xml:space="preserve"> HYPERLINK \l "_Toc22492" </w:instrText>
      </w:r>
      <w:r>
        <w:fldChar w:fldCharType="separate"/>
      </w:r>
      <w:r>
        <w:rPr>
          <w:rFonts w:hint="eastAsia" w:asciiTheme="minorEastAsia" w:hAnsiTheme="minorEastAsia"/>
        </w:rPr>
        <w:t>第六章  投标文件格式</w:t>
      </w:r>
      <w:r>
        <w:tab/>
      </w:r>
      <w:r>
        <w:fldChar w:fldCharType="begin"/>
      </w:r>
      <w:r>
        <w:instrText xml:space="preserve"> PAGEREF _Toc22492 \h </w:instrText>
      </w:r>
      <w:r>
        <w:fldChar w:fldCharType="separate"/>
      </w:r>
      <w:r>
        <w:t>57</w:t>
      </w:r>
      <w:r>
        <w:fldChar w:fldCharType="end"/>
      </w:r>
      <w:r>
        <w:fldChar w:fldCharType="end"/>
      </w:r>
    </w:p>
    <w:p w14:paraId="68F32988">
      <w:pPr>
        <w:pStyle w:val="20"/>
        <w:tabs>
          <w:tab w:val="right" w:leader="dot" w:pos="8306"/>
        </w:tabs>
      </w:pPr>
      <w:r>
        <w:fldChar w:fldCharType="begin"/>
      </w:r>
      <w:r>
        <w:instrText xml:space="preserve"> HYPERLINK \l "_Toc18131" </w:instrText>
      </w:r>
      <w:r>
        <w:fldChar w:fldCharType="separate"/>
      </w:r>
      <w:r>
        <w:rPr>
          <w:rFonts w:hint="eastAsia" w:asciiTheme="minorEastAsia" w:hAnsiTheme="minorEastAsia"/>
        </w:rPr>
        <w:t>第七章</w:t>
      </w:r>
      <w:r>
        <w:rPr>
          <w:rFonts w:hint="eastAsia" w:ascii="宋体" w:hAnsi="宋体" w:eastAsia="宋体"/>
          <w:bCs/>
        </w:rPr>
        <w:t xml:space="preserve">  政府采购</w:t>
      </w:r>
      <w:r>
        <w:rPr>
          <w:rFonts w:hint="eastAsia" w:asciiTheme="minorEastAsia" w:hAnsiTheme="minorEastAsia"/>
        </w:rPr>
        <w:t>供应</w:t>
      </w:r>
      <w:r>
        <w:rPr>
          <w:rFonts w:hint="eastAsia" w:ascii="宋体" w:hAnsi="宋体" w:eastAsia="宋体"/>
          <w:bCs/>
        </w:rPr>
        <w:t>商询问函和质疑函范本</w:t>
      </w:r>
      <w:r>
        <w:tab/>
      </w:r>
      <w:r>
        <w:rPr>
          <w:rFonts w:hint="eastAsia"/>
        </w:rPr>
        <w:t>9</w:t>
      </w:r>
      <w:r>
        <w:rPr>
          <w:rFonts w:hint="eastAsia"/>
        </w:rPr>
        <w:fldChar w:fldCharType="end"/>
      </w:r>
      <w:r>
        <w:rPr>
          <w:rFonts w:hint="eastAsia" w:asciiTheme="minorEastAsia" w:hAnsiTheme="minorEastAsia"/>
          <w:szCs w:val="24"/>
        </w:rPr>
        <w:t>1</w:t>
      </w:r>
    </w:p>
    <w:p w14:paraId="4FCFF91E">
      <w:pPr>
        <w:spacing w:line="360" w:lineRule="auto"/>
        <w:rPr>
          <w:rFonts w:hint="eastAsia" w:asciiTheme="minorEastAsia" w:hAnsiTheme="minorEastAsia" w:eastAsiaTheme="minorEastAsia"/>
          <w:b/>
          <w:sz w:val="32"/>
        </w:rPr>
      </w:pPr>
      <w:r>
        <w:rPr>
          <w:rFonts w:asciiTheme="minorEastAsia" w:hAnsiTheme="minorEastAsia" w:eastAsiaTheme="minorEastAsia"/>
          <w:szCs w:val="24"/>
        </w:rPr>
        <w:fldChar w:fldCharType="end"/>
      </w:r>
    </w:p>
    <w:p w14:paraId="3658C1BB">
      <w:pPr>
        <w:pStyle w:val="10"/>
        <w:rPr>
          <w:rFonts w:hint="eastAsia"/>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14:paraId="7F0EE7E6">
      <w:pPr>
        <w:spacing w:line="360" w:lineRule="auto"/>
        <w:jc w:val="center"/>
        <w:outlineLvl w:val="0"/>
        <w:rPr>
          <w:rFonts w:hint="eastAsia" w:asciiTheme="minorEastAsia" w:hAnsiTheme="minorEastAsia" w:eastAsiaTheme="minorEastAsia"/>
          <w:b/>
          <w:sz w:val="28"/>
        </w:rPr>
      </w:pPr>
      <w:bookmarkStart w:id="1" w:name="_Toc23443"/>
      <w:r>
        <w:rPr>
          <w:rFonts w:hint="eastAsia" w:asciiTheme="minorEastAsia" w:hAnsiTheme="minorEastAsia" w:eastAsiaTheme="minorEastAsia"/>
          <w:b/>
          <w:sz w:val="28"/>
        </w:rPr>
        <w:t xml:space="preserve">第一章 </w:t>
      </w:r>
      <w:r>
        <w:rPr>
          <w:rFonts w:asciiTheme="minorEastAsia" w:hAnsiTheme="minorEastAsia" w:eastAsiaTheme="minorEastAsia"/>
          <w:b/>
          <w:sz w:val="28"/>
        </w:rPr>
        <w:t xml:space="preserve"> 投标邀请</w:t>
      </w:r>
      <w:bookmarkEnd w:id="1"/>
    </w:p>
    <w:p w14:paraId="7A354204">
      <w:pPr>
        <w:pBdr>
          <w:top w:val="single" w:color="auto" w:sz="4" w:space="0"/>
          <w:left w:val="single" w:color="auto" w:sz="4" w:space="0"/>
          <w:bottom w:val="single" w:color="auto" w:sz="4" w:space="0"/>
          <w:right w:val="single" w:color="auto" w:sz="4" w:space="0"/>
        </w:pBdr>
        <w:spacing w:line="360" w:lineRule="auto"/>
        <w:ind w:firstLine="435"/>
        <w:rPr>
          <w:rFonts w:hint="eastAsia" w:asciiTheme="minorEastAsia" w:hAnsiTheme="minorEastAsia" w:eastAsiaTheme="minorEastAsia"/>
          <w:color w:val="auto"/>
          <w:sz w:val="24"/>
          <w:highlight w:val="none"/>
        </w:rPr>
      </w:pPr>
      <w:bookmarkStart w:id="2" w:name="_Toc1215"/>
      <w:r>
        <w:rPr>
          <w:rFonts w:hint="eastAsia" w:asciiTheme="minorEastAsia" w:hAnsiTheme="minorEastAsia" w:eastAsiaTheme="minorEastAsia"/>
          <w:color w:val="auto"/>
          <w:sz w:val="24"/>
          <w:highlight w:val="none"/>
        </w:rPr>
        <w:t>项目概况</w:t>
      </w:r>
    </w:p>
    <w:p w14:paraId="167294E1">
      <w:pPr>
        <w:pBdr>
          <w:top w:val="single" w:color="auto" w:sz="4" w:space="0"/>
          <w:left w:val="single" w:color="auto" w:sz="4" w:space="0"/>
          <w:bottom w:val="single" w:color="auto" w:sz="4" w:space="0"/>
          <w:right w:val="single" w:color="auto" w:sz="4" w:space="0"/>
        </w:pBd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安徽省淝河监狱生命探测仪采购项目</w:t>
      </w:r>
      <w:r>
        <w:rPr>
          <w:rFonts w:hint="eastAsia" w:asciiTheme="minorEastAsia" w:hAnsiTheme="minorEastAsia" w:eastAsiaTheme="minorEastAsia"/>
          <w:color w:val="auto"/>
          <w:sz w:val="24"/>
          <w:highlight w:val="none"/>
        </w:rPr>
        <w:t>的潜在投标人应在“徽采云”电子交易系统获取招标文件，并于202</w:t>
      </w:r>
      <w:r>
        <w:rPr>
          <w:rFonts w:hint="eastAsia" w:asciiTheme="minorEastAsia" w:hAnsiTheme="minorEastAsia" w:eastAsiaTheme="minorEastAsia"/>
          <w:color w:val="auto"/>
          <w:sz w:val="24"/>
          <w:highlight w:val="none"/>
          <w:lang w:val="en-US" w:eastAsia="zh-CN"/>
        </w:rPr>
        <w:t>5</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lang w:val="en-US" w:eastAsia="zh-CN"/>
        </w:rPr>
        <w:t>05</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lang w:val="en-US" w:eastAsia="zh-CN"/>
        </w:rPr>
        <w:t>19</w:t>
      </w:r>
      <w:r>
        <w:rPr>
          <w:rFonts w:hint="eastAsia" w:asciiTheme="minorEastAsia" w:hAnsiTheme="minorEastAsia" w:eastAsiaTheme="minorEastAsia"/>
          <w:color w:val="auto"/>
          <w:sz w:val="24"/>
          <w:highlight w:val="none"/>
        </w:rPr>
        <w:t>日</w:t>
      </w:r>
      <w:r>
        <w:rPr>
          <w:rFonts w:hint="eastAsia" w:asciiTheme="minorEastAsia" w:hAnsiTheme="minorEastAsia" w:eastAsiaTheme="minorEastAsia"/>
          <w:color w:val="auto"/>
          <w:sz w:val="24"/>
          <w:highlight w:val="none"/>
          <w:lang w:val="en-US" w:eastAsia="zh-CN"/>
        </w:rPr>
        <w:t>09</w:t>
      </w:r>
      <w:r>
        <w:rPr>
          <w:rFonts w:hint="eastAsia" w:asciiTheme="minorEastAsia" w:hAnsiTheme="minorEastAsia" w:eastAsiaTheme="minorEastAsia"/>
          <w:color w:val="auto"/>
          <w:sz w:val="24"/>
          <w:highlight w:val="none"/>
        </w:rPr>
        <w:t>点</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0分（北京时间）前递交投标文件。</w:t>
      </w:r>
    </w:p>
    <w:bookmarkEnd w:id="2"/>
    <w:p w14:paraId="29449673">
      <w:pPr>
        <w:spacing w:line="360" w:lineRule="auto"/>
        <w:ind w:firstLine="437"/>
        <w:outlineLvl w:val="1"/>
        <w:rPr>
          <w:rFonts w:hint="eastAsia" w:ascii="宋体" w:hAnsi="宋体" w:eastAsia="宋体"/>
          <w:b/>
          <w:bCs/>
          <w:color w:val="auto"/>
          <w:sz w:val="24"/>
          <w:szCs w:val="18"/>
          <w:highlight w:val="none"/>
        </w:rPr>
      </w:pPr>
      <w:bookmarkStart w:id="3" w:name="_Toc58430305"/>
      <w:bookmarkEnd w:id="3"/>
      <w:bookmarkStart w:id="4" w:name="_Toc35393790"/>
      <w:bookmarkEnd w:id="4"/>
      <w:bookmarkStart w:id="5" w:name="_Toc35393621"/>
      <w:bookmarkEnd w:id="5"/>
      <w:bookmarkStart w:id="6" w:name="_Toc28359079"/>
      <w:bookmarkEnd w:id="6"/>
      <w:bookmarkStart w:id="7" w:name="_Toc28359002"/>
      <w:bookmarkEnd w:id="7"/>
      <w:bookmarkStart w:id="8" w:name="_Toc1381"/>
      <w:bookmarkStart w:id="9" w:name="_Toc5842"/>
      <w:r>
        <w:rPr>
          <w:rFonts w:hint="eastAsia" w:ascii="宋体" w:hAnsi="宋体" w:eastAsia="宋体"/>
          <w:b/>
          <w:bCs/>
          <w:color w:val="auto"/>
          <w:sz w:val="24"/>
          <w:szCs w:val="18"/>
          <w:highlight w:val="none"/>
        </w:rPr>
        <w:t>一、</w:t>
      </w:r>
      <w:bookmarkEnd w:id="8"/>
      <w:r>
        <w:rPr>
          <w:rFonts w:hint="eastAsia" w:ascii="宋体" w:hAnsi="宋体" w:eastAsia="宋体"/>
          <w:b/>
          <w:bCs/>
          <w:color w:val="auto"/>
          <w:sz w:val="24"/>
          <w:szCs w:val="18"/>
          <w:highlight w:val="none"/>
        </w:rPr>
        <w:t>项目基本情况</w:t>
      </w:r>
      <w:bookmarkEnd w:id="9"/>
    </w:p>
    <w:p w14:paraId="3161AA3E">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rPr>
        <w:t>项目编号：</w:t>
      </w:r>
      <w:r>
        <w:rPr>
          <w:rFonts w:hint="eastAsia" w:asciiTheme="minorEastAsia" w:hAnsiTheme="minorEastAsia" w:eastAsiaTheme="minorEastAsia"/>
          <w:color w:val="auto"/>
          <w:sz w:val="24"/>
          <w:highlight w:val="none"/>
          <w:lang w:eastAsia="zh-CN"/>
        </w:rPr>
        <w:t>FS34000120252213号</w:t>
      </w:r>
      <w:r>
        <w:rPr>
          <w:rFonts w:hint="eastAsia" w:asciiTheme="minorEastAsia" w:hAnsiTheme="minorEastAsia" w:eastAsiaTheme="minorEastAsia"/>
          <w:color w:val="auto"/>
          <w:sz w:val="24"/>
          <w:highlight w:val="none"/>
          <w:lang w:val="en-US" w:eastAsia="zh-CN"/>
        </w:rPr>
        <w:t>/DCZX2025-AH-045</w:t>
      </w:r>
    </w:p>
    <w:p w14:paraId="6E93CCAA">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项目名称：</w:t>
      </w:r>
      <w:r>
        <w:rPr>
          <w:rFonts w:hint="eastAsia" w:asciiTheme="minorEastAsia" w:hAnsiTheme="minorEastAsia" w:eastAsiaTheme="minorEastAsia"/>
          <w:color w:val="auto"/>
          <w:sz w:val="24"/>
          <w:highlight w:val="none"/>
          <w:lang w:eastAsia="zh-CN"/>
        </w:rPr>
        <w:t>安徽省淝河监狱生命探测仪采购项目</w:t>
      </w:r>
    </w:p>
    <w:p w14:paraId="33D54CC9">
      <w:pPr>
        <w:spacing w:line="360" w:lineRule="auto"/>
        <w:ind w:firstLine="435"/>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rPr>
        <w:t>预算金额</w:t>
      </w:r>
      <w:r>
        <w:rPr>
          <w:rFonts w:hint="eastAsia" w:asciiTheme="minorEastAsia" w:hAnsiTheme="minorEastAsia" w:eastAsiaTheme="minorEastAsia"/>
          <w:color w:val="auto"/>
          <w:sz w:val="24"/>
          <w:highlight w:val="none"/>
          <w:lang w:eastAsia="zh-CN"/>
        </w:rPr>
        <w:t>（元）</w:t>
      </w:r>
      <w:r>
        <w:rPr>
          <w:rFonts w:hint="eastAsia" w:asciiTheme="minorEastAsia" w:hAnsiTheme="minorEastAsia" w:eastAsiaTheme="minorEastAsia"/>
          <w:color w:val="auto"/>
          <w:sz w:val="24"/>
          <w:highlight w:val="none"/>
        </w:rPr>
        <w:t>：</w:t>
      </w:r>
      <w:r>
        <w:rPr>
          <w:rFonts w:hint="eastAsia" w:ascii="宋体" w:hAnsi="宋体" w:eastAsia="宋体" w:cs="宋体"/>
          <w:color w:val="000000"/>
          <w:sz w:val="24"/>
          <w:szCs w:val="24"/>
          <w:lang w:val="en-US" w:eastAsia="zh-CN" w:bidi="ar"/>
        </w:rPr>
        <w:t>650000.00</w:t>
      </w:r>
    </w:p>
    <w:p w14:paraId="33B2B3FB">
      <w:pPr>
        <w:spacing w:line="360" w:lineRule="auto"/>
        <w:ind w:firstLine="435"/>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rPr>
        <w:t>最高限价</w:t>
      </w:r>
      <w:r>
        <w:rPr>
          <w:rFonts w:hint="eastAsia" w:asciiTheme="minorEastAsia" w:hAnsiTheme="minorEastAsia" w:eastAsiaTheme="minorEastAsia"/>
          <w:color w:val="auto"/>
          <w:sz w:val="24"/>
          <w:highlight w:val="none"/>
          <w:lang w:eastAsia="zh-CN"/>
        </w:rPr>
        <w:t>（元）</w:t>
      </w:r>
      <w:r>
        <w:rPr>
          <w:rFonts w:hint="eastAsia" w:asciiTheme="minorEastAsia" w:hAnsiTheme="minorEastAsia" w:eastAsiaTheme="minorEastAsia"/>
          <w:color w:val="auto"/>
          <w:sz w:val="24"/>
          <w:highlight w:val="none"/>
        </w:rPr>
        <w:t>：</w:t>
      </w:r>
      <w:r>
        <w:rPr>
          <w:rFonts w:hint="eastAsia" w:ascii="宋体" w:hAnsi="宋体" w:eastAsia="宋体" w:cs="宋体"/>
          <w:color w:val="000000"/>
          <w:sz w:val="24"/>
          <w:szCs w:val="24"/>
          <w:lang w:val="en-US" w:eastAsia="zh-CN" w:bidi="ar"/>
        </w:rPr>
        <w:t>650000.00</w:t>
      </w:r>
    </w:p>
    <w:p w14:paraId="5842398F">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采购需求：</w:t>
      </w:r>
      <w:r>
        <w:rPr>
          <w:rFonts w:hint="eastAsia" w:asciiTheme="minorEastAsia" w:hAnsiTheme="minorEastAsia" w:eastAsiaTheme="minorEastAsia"/>
          <w:color w:val="auto"/>
          <w:sz w:val="24"/>
          <w:highlight w:val="none"/>
          <w:lang w:eastAsia="zh-CN"/>
        </w:rPr>
        <w:t>拟为安徽省淝河监狱</w:t>
      </w:r>
      <w:r>
        <w:rPr>
          <w:rFonts w:hint="eastAsia" w:asciiTheme="minorEastAsia" w:hAnsiTheme="minorEastAsia" w:eastAsiaTheme="minorEastAsia"/>
          <w:color w:val="auto"/>
          <w:sz w:val="24"/>
          <w:highlight w:val="none"/>
        </w:rPr>
        <w:t>生命探测仪进行采购</w:t>
      </w:r>
      <w:r>
        <w:rPr>
          <w:rFonts w:hint="eastAsia" w:ascii="宋体" w:hAnsi="宋体" w:eastAsia="宋体" w:cs="宋体"/>
          <w:color w:val="000000"/>
          <w:sz w:val="24"/>
          <w:szCs w:val="24"/>
          <w:lang w:eastAsia="zh-CN" w:bidi="ar"/>
        </w:rPr>
        <w:t>，</w:t>
      </w:r>
      <w:r>
        <w:rPr>
          <w:rFonts w:hint="eastAsia" w:ascii="宋体" w:hAnsi="宋体" w:eastAsia="宋体" w:cs="宋体"/>
          <w:color w:val="000000"/>
          <w:sz w:val="24"/>
          <w:szCs w:val="24"/>
          <w:lang w:val="en-US" w:eastAsia="zh-CN" w:bidi="ar"/>
        </w:rPr>
        <w:t>具体详见采购需求</w:t>
      </w:r>
      <w:r>
        <w:rPr>
          <w:rFonts w:hint="eastAsia" w:ascii="宋体" w:hAnsi="宋体" w:eastAsia="宋体" w:cs="宋体"/>
          <w:color w:val="000000"/>
          <w:sz w:val="24"/>
          <w:szCs w:val="24"/>
          <w:lang w:bidi="ar"/>
        </w:rPr>
        <w:t>。</w:t>
      </w:r>
    </w:p>
    <w:p w14:paraId="250F3C00">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合同履行期限：</w:t>
      </w:r>
      <w:r>
        <w:rPr>
          <w:rFonts w:hint="eastAsia" w:ascii="宋体" w:hAnsi="宋体" w:eastAsia="宋体"/>
          <w:b w:val="0"/>
          <w:bCs w:val="0"/>
          <w:sz w:val="24"/>
          <w:szCs w:val="18"/>
          <w:lang w:eastAsia="zh-CN"/>
        </w:rPr>
        <w:t>合同签订之日起按采购人要求开始供货，15个日历天内供货、安装调试完毕，并交付采购人验收、使用</w:t>
      </w:r>
      <w:r>
        <w:rPr>
          <w:rFonts w:hint="eastAsia" w:ascii="宋体" w:hAnsi="宋体" w:eastAsia="宋体" w:cs="宋体"/>
          <w:sz w:val="24"/>
          <w:szCs w:val="24"/>
        </w:rPr>
        <w:t>。</w:t>
      </w:r>
    </w:p>
    <w:p w14:paraId="354BDBB6">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w:t>
      </w:r>
      <w:r>
        <w:rPr>
          <w:rFonts w:hint="eastAsia" w:asciiTheme="minorEastAsia" w:hAnsiTheme="minorEastAsia" w:eastAsiaTheme="minorEastAsia"/>
          <w:color w:val="auto"/>
          <w:sz w:val="24"/>
          <w:highlight w:val="none"/>
          <w:lang w:val="en-US" w:eastAsia="zh-CN"/>
        </w:rPr>
        <w:t>不</w:t>
      </w:r>
      <w:r>
        <w:rPr>
          <w:rFonts w:hint="eastAsia" w:asciiTheme="minorEastAsia" w:hAnsiTheme="minorEastAsia" w:eastAsiaTheme="minorEastAsia"/>
          <w:color w:val="auto"/>
          <w:sz w:val="24"/>
          <w:highlight w:val="none"/>
        </w:rPr>
        <w:t>接受联合体投标。</w:t>
      </w:r>
    </w:p>
    <w:p w14:paraId="277BC747">
      <w:pPr>
        <w:spacing w:line="360" w:lineRule="auto"/>
        <w:ind w:firstLine="437"/>
        <w:outlineLvl w:val="1"/>
        <w:rPr>
          <w:rFonts w:hint="eastAsia" w:ascii="宋体" w:hAnsi="宋体" w:eastAsia="宋体"/>
          <w:b/>
          <w:bCs/>
          <w:color w:val="auto"/>
          <w:sz w:val="24"/>
          <w:szCs w:val="18"/>
          <w:highlight w:val="none"/>
        </w:rPr>
      </w:pPr>
      <w:bookmarkStart w:id="10" w:name="_Toc13530"/>
      <w:bookmarkStart w:id="11" w:name="_Toc26178"/>
      <w:r>
        <w:rPr>
          <w:rFonts w:hint="eastAsia" w:ascii="宋体" w:hAnsi="宋体" w:eastAsia="宋体"/>
          <w:b/>
          <w:bCs/>
          <w:color w:val="auto"/>
          <w:sz w:val="24"/>
          <w:szCs w:val="18"/>
          <w:highlight w:val="none"/>
        </w:rPr>
        <w:t>二、</w:t>
      </w:r>
      <w:bookmarkEnd w:id="10"/>
      <w:r>
        <w:rPr>
          <w:rFonts w:hint="eastAsia" w:ascii="宋体" w:hAnsi="宋体" w:eastAsia="宋体"/>
          <w:b/>
          <w:bCs/>
          <w:color w:val="auto"/>
          <w:sz w:val="24"/>
          <w:szCs w:val="18"/>
          <w:highlight w:val="none"/>
        </w:rPr>
        <w:t>申请人的资格要求</w:t>
      </w:r>
      <w:bookmarkEnd w:id="11"/>
    </w:p>
    <w:p w14:paraId="6B571D4E">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1.满足《中华人民共和国政府采购法》第二十二条规定；</w:t>
      </w:r>
    </w:p>
    <w:p w14:paraId="426C6D95">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rPr>
        <w:t>2.落实政府采购政策需满足的资格要求：</w:t>
      </w:r>
      <w:r>
        <w:rPr>
          <w:rFonts w:hint="eastAsia" w:asciiTheme="minorEastAsia" w:hAnsiTheme="minorEastAsia" w:eastAsiaTheme="minorEastAsia"/>
          <w:color w:val="auto"/>
          <w:sz w:val="24"/>
          <w:highlight w:val="none"/>
          <w:lang w:val="en-US" w:eastAsia="zh-CN"/>
        </w:rPr>
        <w:t>无；</w:t>
      </w:r>
    </w:p>
    <w:p w14:paraId="7BF64850">
      <w:pPr>
        <w:spacing w:line="360" w:lineRule="auto"/>
        <w:ind w:firstLine="435"/>
        <w:outlineLvl w:val="9"/>
        <w:rPr>
          <w:rFonts w:hint="eastAsia"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rPr>
        <w:t>3.本项目的特定资格要求：</w:t>
      </w:r>
    </w:p>
    <w:p w14:paraId="1FC497DD">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3.1信誉要求：</w:t>
      </w:r>
    </w:p>
    <w:p w14:paraId="46155D02">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截至提交投标文件截止时间，投标人（不含其不具备独立承担民事责任能力的分支机构）存在下列有效情形之一的，其投标文件按无效处理。</w:t>
      </w:r>
    </w:p>
    <w:p w14:paraId="24205B6C">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（1）被人民法院列入失信被执行人；</w:t>
      </w:r>
    </w:p>
    <w:p w14:paraId="7EDF7C3A">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（2）单位、法定代表人或拟派项目经理（项目负责人）被人民检察院列入行贿犯罪档案；</w:t>
      </w:r>
    </w:p>
    <w:p w14:paraId="3FC8B388">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（3）被税务部门列入重大税收违法案件当事人名单；</w:t>
      </w:r>
    </w:p>
    <w:p w14:paraId="0653B5B0">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（4）被政府采购监管部门列入政府采购严重违法失信行为记录名单。</w:t>
      </w:r>
    </w:p>
    <w:p w14:paraId="48E7F395">
      <w:pPr>
        <w:spacing w:line="360" w:lineRule="auto"/>
        <w:ind w:firstLine="435"/>
        <w:outlineLvl w:val="9"/>
        <w:rPr>
          <w:rFonts w:hint="default" w:asciiTheme="minorEastAsia" w:hAnsiTheme="minorEastAsia" w:eastAsiaTheme="minorEastAsia"/>
          <w:color w:val="auto"/>
          <w:sz w:val="24"/>
          <w:highlight w:val="none"/>
          <w:lang w:val="en-US" w:eastAsia="zh-CN"/>
        </w:rPr>
      </w:pPr>
      <w:r>
        <w:rPr>
          <w:rFonts w:hint="default" w:asciiTheme="minorEastAsia" w:hAnsiTheme="minorEastAsia" w:eastAsiaTheme="minorEastAsia"/>
          <w:color w:val="auto"/>
          <w:sz w:val="24"/>
          <w:highlight w:val="none"/>
          <w:lang w:val="en-US" w:eastAsia="zh-CN"/>
        </w:rPr>
        <w:t>注：“有效”是指“情形”规定的程度、起止期间处于有效状态。 </w:t>
      </w:r>
    </w:p>
    <w:p w14:paraId="306704D4">
      <w:pPr>
        <w:spacing w:line="360" w:lineRule="auto"/>
        <w:ind w:firstLine="437"/>
        <w:outlineLvl w:val="1"/>
        <w:rPr>
          <w:rFonts w:hint="eastAsia" w:ascii="宋体" w:hAnsi="宋体" w:eastAsia="宋体"/>
          <w:b/>
          <w:bCs/>
          <w:color w:val="auto"/>
          <w:sz w:val="24"/>
          <w:szCs w:val="18"/>
          <w:highlight w:val="none"/>
        </w:rPr>
      </w:pPr>
      <w:bookmarkStart w:id="12" w:name="_Toc30110"/>
      <w:bookmarkStart w:id="13" w:name="_Toc32089"/>
      <w:r>
        <w:rPr>
          <w:rFonts w:hint="eastAsia" w:ascii="宋体" w:hAnsi="宋体" w:eastAsia="宋体"/>
          <w:b/>
          <w:bCs/>
          <w:color w:val="auto"/>
          <w:sz w:val="24"/>
          <w:szCs w:val="18"/>
          <w:highlight w:val="none"/>
        </w:rPr>
        <w:t>三、</w:t>
      </w:r>
      <w:bookmarkEnd w:id="12"/>
      <w:r>
        <w:rPr>
          <w:rFonts w:hint="eastAsia" w:ascii="宋体" w:hAnsi="宋体" w:eastAsia="宋体"/>
          <w:b/>
          <w:bCs/>
          <w:color w:val="auto"/>
          <w:sz w:val="24"/>
          <w:szCs w:val="18"/>
          <w:highlight w:val="none"/>
        </w:rPr>
        <w:t>获取招标文件</w:t>
      </w:r>
      <w:bookmarkEnd w:id="13"/>
    </w:p>
    <w:p w14:paraId="00CFA251">
      <w:pPr>
        <w:keepNext w:val="0"/>
        <w:keepLines w:val="0"/>
        <w:pageBreakBefore w:val="0"/>
        <w:widowControl w:val="0"/>
        <w:kinsoku/>
        <w:wordWrap/>
        <w:overflowPunct/>
        <w:topLinePunct w:val="0"/>
        <w:autoSpaceDE/>
        <w:autoSpaceDN/>
        <w:bidi w:val="0"/>
        <w:adjustRightInd/>
        <w:snapToGrid/>
        <w:spacing w:line="360" w:lineRule="auto"/>
        <w:ind w:firstLine="437"/>
        <w:textAlignment w:val="auto"/>
        <w:rPr>
          <w:rFonts w:hint="eastAsia" w:asciiTheme="minorEastAsia" w:hAnsiTheme="minorEastAsia" w:eastAsiaTheme="minorEastAsia" w:cstheme="minorEastAsia"/>
          <w:i/>
          <w:iCs/>
          <w:sz w:val="24"/>
          <w:szCs w:val="24"/>
        </w:rPr>
      </w:pPr>
      <w:bookmarkStart w:id="14" w:name="_Toc7957"/>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lang w:val="en-US" w:eastAsia="zh-CN"/>
        </w:rPr>
        <w:t>2025</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lang w:val="en-US" w:eastAsia="zh-CN"/>
        </w:rPr>
        <w:t>04</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lang w:val="en-US" w:eastAsia="zh-CN"/>
        </w:rPr>
        <w:t>27</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lang w:val="en-US" w:eastAsia="zh-CN"/>
        </w:rPr>
        <w:t>2025</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lang w:val="en-US" w:eastAsia="zh-CN"/>
        </w:rPr>
        <w:t>05</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lang w:val="en-US" w:eastAsia="zh-CN"/>
        </w:rPr>
        <w:t xml:space="preserve">07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lang w:val="en-US" w:eastAsia="zh-CN"/>
        </w:rPr>
        <w:t>09</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lang w:val="en-US" w:eastAsia="zh-CN"/>
        </w:rPr>
        <w:t>00</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lang w:val="en-US" w:eastAsia="zh-CN"/>
        </w:rPr>
        <w:t>17</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lang w:val="en-US" w:eastAsia="zh-CN"/>
        </w:rPr>
        <w:t>00</w:t>
      </w:r>
      <w:r>
        <w:rPr>
          <w:rFonts w:hint="eastAsia" w:asciiTheme="minorEastAsia" w:hAnsiTheme="minorEastAsia" w:eastAsiaTheme="minorEastAsia" w:cstheme="minorEastAsia"/>
          <w:i/>
          <w:iCs/>
          <w:sz w:val="24"/>
          <w:szCs w:val="24"/>
        </w:rPr>
        <w:t>（北京时间，法定节假日除外）</w:t>
      </w:r>
    </w:p>
    <w:p w14:paraId="10EF0206">
      <w:pPr>
        <w:keepNext w:val="0"/>
        <w:keepLines w:val="0"/>
        <w:pageBreakBefore w:val="0"/>
        <w:widowControl w:val="0"/>
        <w:kinsoku/>
        <w:wordWrap/>
        <w:overflowPunct/>
        <w:topLinePunct w:val="0"/>
        <w:autoSpaceDE/>
        <w:autoSpaceDN/>
        <w:bidi w:val="0"/>
        <w:adjustRightInd/>
        <w:snapToGrid/>
        <w:spacing w:line="360" w:lineRule="auto"/>
        <w:ind w:firstLine="437"/>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sz w:val="24"/>
          <w:szCs w:val="24"/>
          <w:highlight w:val="none"/>
        </w:rPr>
        <w:t>“徽采云”电子交易系统</w:t>
      </w:r>
    </w:p>
    <w:p w14:paraId="4D39FB58">
      <w:pPr>
        <w:keepNext w:val="0"/>
        <w:keepLines w:val="0"/>
        <w:pageBreakBefore w:val="0"/>
        <w:widowControl w:val="0"/>
        <w:kinsoku/>
        <w:wordWrap/>
        <w:overflowPunct/>
        <w:topLinePunct w:val="0"/>
        <w:autoSpaceDE/>
        <w:autoSpaceDN/>
        <w:bidi w:val="0"/>
        <w:adjustRightInd/>
        <w:snapToGrid/>
        <w:spacing w:line="360" w:lineRule="auto"/>
        <w:ind w:firstLine="437"/>
        <w:textAlignment w:val="auto"/>
        <w:rPr>
          <w:rFonts w:hint="eastAsia" w:ascii="宋体" w:hAnsi="宋体" w:eastAsia="宋体"/>
          <w:sz w:val="24"/>
          <w:szCs w:val="24"/>
          <w:highlight w:val="none"/>
        </w:rPr>
      </w:pPr>
      <w:r>
        <w:rPr>
          <w:rFonts w:hint="eastAsia" w:asciiTheme="minorEastAsia" w:hAnsiTheme="minorEastAsia" w:eastAsiaTheme="minorEastAsia" w:cstheme="minorEastAsia"/>
          <w:sz w:val="24"/>
          <w:szCs w:val="24"/>
        </w:rPr>
        <w:t>方式：</w:t>
      </w:r>
      <w:r>
        <w:rPr>
          <w:rFonts w:hint="eastAsia" w:ascii="宋体" w:hAnsi="宋体" w:eastAsia="宋体"/>
          <w:sz w:val="24"/>
          <w:szCs w:val="24"/>
          <w:highlight w:val="none"/>
        </w:rPr>
        <w:t>供应商登录“徽采云”电子交易系统在线获取采购文件</w:t>
      </w:r>
    </w:p>
    <w:p w14:paraId="560240B6">
      <w:pPr>
        <w:keepNext w:val="0"/>
        <w:keepLines w:val="0"/>
        <w:pageBreakBefore w:val="0"/>
        <w:widowControl w:val="0"/>
        <w:kinsoku/>
        <w:wordWrap/>
        <w:overflowPunct/>
        <w:topLinePunct w:val="0"/>
        <w:autoSpaceDE/>
        <w:autoSpaceDN/>
        <w:bidi w:val="0"/>
        <w:adjustRightInd/>
        <w:snapToGrid/>
        <w:spacing w:line="360" w:lineRule="auto"/>
        <w:ind w:firstLine="437"/>
        <w:textAlignment w:val="auto"/>
        <w:rPr>
          <w:rFonts w:hint="eastAsia" w:eastAsia="宋体" w:asciiTheme="minorEastAsia" w:hAnsiTheme="minorEastAsia" w:cstheme="minorEastAsia"/>
          <w:sz w:val="24"/>
          <w:szCs w:val="24"/>
          <w:u w:val="single"/>
          <w:lang w:eastAsia="zh-CN"/>
        </w:rPr>
      </w:pPr>
      <w:r>
        <w:rPr>
          <w:rFonts w:hint="eastAsia" w:ascii="宋体" w:hAnsi="宋体" w:eastAsia="宋体" w:cs="宋体"/>
          <w:color w:val="000000"/>
          <w:sz w:val="24"/>
          <w:szCs w:val="24"/>
          <w:lang w:bidi="ar"/>
        </w:rPr>
        <w:t>售价：</w:t>
      </w:r>
      <w:r>
        <w:rPr>
          <w:rFonts w:hint="eastAsia" w:ascii="宋体" w:hAnsi="宋体" w:eastAsia="宋体" w:cs="宋体"/>
          <w:color w:val="000000"/>
          <w:sz w:val="24"/>
          <w:szCs w:val="24"/>
          <w:lang w:eastAsia="zh-CN" w:bidi="ar"/>
        </w:rPr>
        <w:t>免费</w:t>
      </w:r>
    </w:p>
    <w:p w14:paraId="380E153B">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5" w:name="_Toc19726"/>
      <w:r>
        <w:rPr>
          <w:rFonts w:hint="eastAsia" w:ascii="宋体" w:hAnsi="宋体" w:eastAsia="宋体"/>
          <w:b/>
          <w:bCs/>
          <w:color w:val="auto"/>
          <w:sz w:val="24"/>
          <w:szCs w:val="18"/>
          <w:highlight w:val="none"/>
        </w:rPr>
        <w:t>四、</w:t>
      </w:r>
      <w:bookmarkEnd w:id="14"/>
      <w:r>
        <w:rPr>
          <w:rFonts w:hint="eastAsia" w:ascii="宋体" w:hAnsi="宋体" w:eastAsia="宋体"/>
          <w:b/>
          <w:bCs/>
          <w:color w:val="auto"/>
          <w:sz w:val="24"/>
          <w:szCs w:val="18"/>
          <w:highlight w:val="none"/>
        </w:rPr>
        <w:t>提交投标文件截止时间、开标时间和地点</w:t>
      </w:r>
      <w:bookmarkEnd w:id="15"/>
    </w:p>
    <w:p w14:paraId="25A5B14E">
      <w:pPr>
        <w:keepNext w:val="0"/>
        <w:keepLines w:val="0"/>
        <w:pageBreakBefore w:val="0"/>
        <w:widowControl w:val="0"/>
        <w:kinsoku/>
        <w:wordWrap/>
        <w:overflowPunct/>
        <w:topLinePunct w:val="0"/>
        <w:autoSpaceDE/>
        <w:autoSpaceDN/>
        <w:bidi w:val="0"/>
        <w:adjustRightInd/>
        <w:snapToGrid/>
        <w:spacing w:line="360" w:lineRule="auto"/>
        <w:ind w:firstLine="437"/>
        <w:textAlignment w:val="auto"/>
        <w:rPr>
          <w:rFonts w:hint="eastAsia" w:asciiTheme="minorEastAsia" w:hAnsiTheme="minorEastAsia" w:eastAsiaTheme="minorEastAsia" w:cstheme="minorEastAsia"/>
          <w:sz w:val="24"/>
          <w:szCs w:val="24"/>
        </w:rPr>
      </w:pPr>
      <w:bookmarkStart w:id="16" w:name="_Toc5082"/>
      <w:r>
        <w:rPr>
          <w:rFonts w:hint="eastAsia" w:asciiTheme="minorEastAsia" w:hAnsiTheme="minorEastAsia" w:eastAsiaTheme="minorEastAsia" w:cstheme="minorEastAsia"/>
          <w:sz w:val="24"/>
          <w:szCs w:val="24"/>
        </w:rPr>
        <w:t>提交投标文件截止时间（开标时间）：</w:t>
      </w:r>
      <w:r>
        <w:rPr>
          <w:rFonts w:hint="eastAsia" w:asciiTheme="minorEastAsia" w:hAnsiTheme="minorEastAsia" w:eastAsiaTheme="minorEastAsia" w:cstheme="minorEastAsia"/>
          <w:sz w:val="24"/>
          <w:szCs w:val="24"/>
          <w:lang w:val="en-US" w:eastAsia="zh-CN"/>
        </w:rPr>
        <w:t>2025</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05</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19</w:t>
      </w:r>
      <w:r>
        <w:rPr>
          <w:rFonts w:hint="eastAsia" w:asciiTheme="minorEastAsia" w:hAnsiTheme="minorEastAsia" w:eastAsiaTheme="minorEastAsia" w:cstheme="minorEastAsia"/>
          <w:sz w:val="24"/>
          <w:szCs w:val="24"/>
        </w:rPr>
        <w:t>日</w:t>
      </w:r>
      <w:r>
        <w:rPr>
          <w:rFonts w:hint="eastAsia" w:asciiTheme="minorEastAsia" w:hAnsiTheme="minorEastAsia" w:eastAsiaTheme="minorEastAsia" w:cstheme="minorEastAsia"/>
          <w:sz w:val="24"/>
          <w:szCs w:val="24"/>
          <w:lang w:val="en-US" w:eastAsia="zh-CN"/>
        </w:rPr>
        <w:t>09</w:t>
      </w:r>
      <w:r>
        <w:rPr>
          <w:rFonts w:hint="eastAsia" w:asciiTheme="minorEastAsia" w:hAnsiTheme="minorEastAsia" w:eastAsiaTheme="minorEastAsia" w:cstheme="minorEastAsia"/>
          <w:sz w:val="24"/>
          <w:szCs w:val="24"/>
        </w:rPr>
        <w:t>点</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rPr>
        <w:t>分（北京时间）</w:t>
      </w:r>
    </w:p>
    <w:p w14:paraId="2EA4FF2B">
      <w:pPr>
        <w:keepNext w:val="0"/>
        <w:keepLines w:val="0"/>
        <w:pageBreakBefore w:val="0"/>
        <w:widowControl w:val="0"/>
        <w:kinsoku/>
        <w:wordWrap/>
        <w:overflowPunct/>
        <w:topLinePunct w:val="0"/>
        <w:autoSpaceDE/>
        <w:autoSpaceDN/>
        <w:bidi w:val="0"/>
        <w:adjustRightInd/>
        <w:snapToGrid/>
        <w:spacing w:line="360" w:lineRule="auto"/>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提交投标文件地点（开标地点）：“徽采云”电子交易系统</w:t>
      </w:r>
    </w:p>
    <w:p w14:paraId="0FB12A58">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7" w:name="_Toc28531"/>
      <w:r>
        <w:rPr>
          <w:rFonts w:hint="eastAsia" w:ascii="宋体" w:hAnsi="宋体" w:eastAsia="宋体"/>
          <w:b/>
          <w:bCs/>
          <w:color w:val="auto"/>
          <w:sz w:val="24"/>
          <w:szCs w:val="18"/>
          <w:highlight w:val="none"/>
        </w:rPr>
        <w:t>五、</w:t>
      </w:r>
      <w:bookmarkEnd w:id="16"/>
      <w:r>
        <w:rPr>
          <w:rFonts w:hint="eastAsia" w:ascii="宋体" w:hAnsi="宋体" w:eastAsia="宋体"/>
          <w:b/>
          <w:bCs/>
          <w:color w:val="auto"/>
          <w:sz w:val="24"/>
          <w:szCs w:val="18"/>
          <w:highlight w:val="none"/>
        </w:rPr>
        <w:t>公告期限</w:t>
      </w:r>
      <w:bookmarkEnd w:id="17"/>
    </w:p>
    <w:p w14:paraId="71DC3B7C">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color w:val="auto"/>
          <w:sz w:val="24"/>
          <w:szCs w:val="18"/>
          <w:highlight w:val="none"/>
        </w:rPr>
      </w:pPr>
      <w:r>
        <w:rPr>
          <w:rFonts w:hint="eastAsia" w:ascii="宋体" w:hAnsi="宋体" w:eastAsia="宋体"/>
          <w:b w:val="0"/>
          <w:bCs w:val="0"/>
          <w:color w:val="auto"/>
          <w:sz w:val="24"/>
          <w:szCs w:val="18"/>
          <w:highlight w:val="none"/>
        </w:rPr>
        <w:t>自本公告发布之日起5个工作日。</w:t>
      </w:r>
    </w:p>
    <w:p w14:paraId="349DCDA3">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8" w:name="_Toc35393795"/>
      <w:bookmarkStart w:id="19" w:name="_Toc8807"/>
      <w:bookmarkStart w:id="20" w:name="_Toc35393626"/>
      <w:r>
        <w:rPr>
          <w:rFonts w:hint="eastAsia" w:ascii="宋体" w:hAnsi="宋体" w:eastAsia="宋体"/>
          <w:b/>
          <w:bCs/>
          <w:color w:val="auto"/>
          <w:sz w:val="24"/>
          <w:szCs w:val="18"/>
          <w:highlight w:val="none"/>
        </w:rPr>
        <w:t>六、其他补充事宜</w:t>
      </w:r>
      <w:bookmarkEnd w:id="18"/>
      <w:bookmarkEnd w:id="19"/>
      <w:bookmarkEnd w:id="20"/>
    </w:p>
    <w:p w14:paraId="3239D69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hAnsi="宋体" w:eastAsia="宋体"/>
          <w:sz w:val="24"/>
          <w:szCs w:val="24"/>
        </w:rPr>
      </w:pPr>
      <w:bookmarkStart w:id="21" w:name="_Toc7265"/>
      <w:bookmarkStart w:id="22" w:name="_Toc3854"/>
      <w:r>
        <w:rPr>
          <w:rFonts w:hint="eastAsia" w:ascii="宋体" w:hAnsi="宋体" w:eastAsia="宋体"/>
          <w:sz w:val="24"/>
          <w:szCs w:val="24"/>
        </w:rPr>
        <w:t>1.本项目落实节能环保、中小微型企业扶持等相关政府采购政策。</w:t>
      </w:r>
    </w:p>
    <w:p w14:paraId="2EA4FF3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hAnsi="宋体" w:eastAsia="宋体"/>
          <w:sz w:val="24"/>
          <w:szCs w:val="24"/>
        </w:rPr>
      </w:pPr>
      <w:r>
        <w:rPr>
          <w:rFonts w:hint="eastAsia" w:ascii="宋体" w:hAnsi="宋体" w:eastAsia="宋体"/>
          <w:sz w:val="24"/>
          <w:szCs w:val="24"/>
        </w:rPr>
        <w:t>2.本次招标公告在安徽省政府采购网发布。</w:t>
      </w:r>
    </w:p>
    <w:p w14:paraId="2EA4FF3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hAnsi="宋体" w:eastAsia="宋体"/>
          <w:sz w:val="24"/>
          <w:szCs w:val="24"/>
        </w:rPr>
      </w:pPr>
      <w:r>
        <w:rPr>
          <w:rFonts w:hint="eastAsia" w:ascii="宋体" w:hAnsi="宋体" w:eastAsia="宋体"/>
          <w:sz w:val="24"/>
          <w:szCs w:val="24"/>
        </w:rPr>
        <w:t>3.投标文件的提交要求:供应商应当在投标文件提交截止时间前通过“徽采云”电子交易系统上传加密的电子投标文件，未在投标文件提交截止时间前完成上传的，视为逾期送达，拒绝接收。</w:t>
      </w:r>
    </w:p>
    <w:p w14:paraId="2EA4FF3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hAnsi="宋体" w:eastAsia="宋体"/>
          <w:sz w:val="24"/>
          <w:szCs w:val="24"/>
        </w:rPr>
      </w:pPr>
      <w:r>
        <w:rPr>
          <w:rFonts w:hint="eastAsia" w:ascii="宋体" w:hAnsi="宋体" w:eastAsia="宋体"/>
          <w:sz w:val="24"/>
          <w:szCs w:val="24"/>
        </w:rPr>
        <w:t>4.电子招投标的说明</w:t>
      </w:r>
    </w:p>
    <w:p w14:paraId="2EA4FF3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hAnsi="宋体" w:eastAsia="宋体"/>
          <w:sz w:val="24"/>
          <w:szCs w:val="24"/>
        </w:rPr>
      </w:pPr>
      <w:r>
        <w:rPr>
          <w:rFonts w:hint="eastAsia" w:ascii="宋体" w:hAnsi="宋体" w:eastAsia="宋体"/>
          <w:sz w:val="24"/>
          <w:szCs w:val="24"/>
        </w:rPr>
        <w:t>4.1电子招投标：本项目以数据电文形式，依托“徽采云”电子交易系统进行招投标活动；</w:t>
      </w:r>
    </w:p>
    <w:p w14:paraId="2EA4FF34">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ascii="宋体" w:hAnsi="宋体" w:eastAsia="宋体"/>
          <w:sz w:val="24"/>
          <w:szCs w:val="24"/>
        </w:rPr>
      </w:pPr>
      <w:r>
        <w:rPr>
          <w:rFonts w:hint="eastAsia" w:ascii="宋体" w:hAnsi="宋体" w:eastAsia="宋体"/>
          <w:sz w:val="24"/>
          <w:szCs w:val="24"/>
        </w:rPr>
        <w:t>4.2投标准备：注册账号--详情参见“徽采云”平台供应商注册与配置手册“第2章入驻操作流程”（https://sitecdn.zcycdn.com/f2e-assets/a2d7b18f-adb6-47d9-8fb3-cb8632b8fffc.pdf?utm=a0017.b1884.cl28.topic.1a7c2150533811ed990f05d85dda49f6）；申领CA数字证书---申领流程详见“安徽省政府采购网-下载专区-其他-供应商CA驱动下载-安徽省各市CA办理服务指南（已有安徽CA和翔晟CA无需重复申领）；安装“徽采云”投标客户端----前往“安徽省政府采购网-下载专区-电子交易系统专区”进行下载并安装（http://www.ccgp-anhui.gov.cn/anhuiCategory15/anhuiCategory119/9396667.html）；</w:t>
      </w:r>
    </w:p>
    <w:p w14:paraId="2EA4FF3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hAnsi="宋体" w:eastAsia="宋体"/>
          <w:sz w:val="24"/>
          <w:szCs w:val="24"/>
        </w:rPr>
      </w:pPr>
      <w:r>
        <w:rPr>
          <w:rFonts w:hint="eastAsia" w:ascii="宋体" w:hAnsi="宋体" w:eastAsia="宋体"/>
          <w:sz w:val="24"/>
          <w:szCs w:val="24"/>
        </w:rPr>
        <w:t>4.3招标文件的获取：使用CA登录“徽采云”电子交易系统；进入“项目采购”应用，在获取采购文件菜单中选择项目，获取招标文件；</w:t>
      </w:r>
    </w:p>
    <w:p w14:paraId="2EA4FF3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hAnsi="宋体" w:eastAsia="宋体"/>
          <w:sz w:val="24"/>
          <w:szCs w:val="24"/>
        </w:rPr>
      </w:pPr>
      <w:r>
        <w:rPr>
          <w:rFonts w:hint="eastAsia" w:ascii="宋体" w:hAnsi="宋体" w:eastAsia="宋体"/>
          <w:sz w:val="24"/>
          <w:szCs w:val="24"/>
        </w:rPr>
        <w:t>4.4投标文件的制作：在“徽采云投标客户端”中完成“填写基本信息”、“制作和导入投标（响应）文件”、“标书关联”、“标书检查”、“电子签名”、“生成电子标书”等操作；</w:t>
      </w:r>
    </w:p>
    <w:p w14:paraId="2EA4FF3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hAnsi="宋体" w:eastAsia="宋体"/>
          <w:sz w:val="24"/>
          <w:szCs w:val="24"/>
        </w:rPr>
      </w:pPr>
      <w:r>
        <w:rPr>
          <w:rFonts w:hint="eastAsia" w:ascii="宋体" w:hAnsi="宋体" w:eastAsia="宋体"/>
          <w:sz w:val="24"/>
          <w:szCs w:val="24"/>
        </w:rPr>
        <w:t>4.5投标文件的上传：使用CA登录“徽采云”电子交易系统；进入“项目采购”应用，在投标文件上传菜单中选择项目，上传加密的投标文件（*.jmbs）；</w:t>
      </w:r>
    </w:p>
    <w:p w14:paraId="2EA4FF3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hAnsi="宋体" w:eastAsia="宋体"/>
          <w:sz w:val="24"/>
          <w:szCs w:val="24"/>
        </w:rPr>
      </w:pPr>
      <w:r>
        <w:rPr>
          <w:rFonts w:hint="eastAsia" w:ascii="宋体" w:hAnsi="宋体" w:eastAsia="宋体"/>
          <w:sz w:val="24"/>
          <w:szCs w:val="24"/>
        </w:rPr>
        <w:t>4.6投标文件的解密：投标人按照系统提示和磋商文件规定,在规定时间内完成在线解密；</w:t>
      </w:r>
    </w:p>
    <w:p w14:paraId="2EA4FF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hAnsi="宋体" w:eastAsia="宋体"/>
          <w:sz w:val="24"/>
          <w:szCs w:val="24"/>
        </w:rPr>
      </w:pPr>
      <w:r>
        <w:rPr>
          <w:rFonts w:hint="eastAsia" w:ascii="宋体" w:hAnsi="宋体" w:eastAsia="宋体"/>
          <w:sz w:val="24"/>
          <w:szCs w:val="24"/>
        </w:rPr>
        <w:t>4.7“徽采云”电子交易系统具体操作指南：详见安徽省政府采购网-徽采学院-电子交易系统学习专题-供应商-操作手册。</w:t>
      </w:r>
      <w:r>
        <w:rPr>
          <w:rFonts w:ascii="宋体" w:hAnsi="宋体" w:eastAsia="宋体" w:cs="Calibri"/>
          <w:sz w:val="24"/>
          <w:szCs w:val="24"/>
        </w:rPr>
        <w:t> </w:t>
      </w:r>
    </w:p>
    <w:p w14:paraId="2EA4FF3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sz w:val="24"/>
          <w:szCs w:val="24"/>
        </w:rPr>
      </w:pPr>
      <w:r>
        <w:rPr>
          <w:rFonts w:hint="eastAsia" w:ascii="宋体" w:hAnsi="宋体" w:eastAsia="宋体"/>
          <w:sz w:val="24"/>
          <w:szCs w:val="24"/>
        </w:rPr>
        <w:t>4.8 CA问题联系电话：安徽CA 400-880-4959；翔晟CA 0551-68105136。</w:t>
      </w:r>
    </w:p>
    <w:p w14:paraId="5B8DEEC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sz w:val="24"/>
          <w:szCs w:val="24"/>
        </w:rPr>
      </w:pPr>
      <w:r>
        <w:rPr>
          <w:rFonts w:hint="eastAsia" w:ascii="宋体" w:hAnsi="宋体" w:eastAsia="宋体"/>
          <w:sz w:val="24"/>
          <w:szCs w:val="24"/>
          <w:lang w:val="en-US" w:eastAsia="zh-CN"/>
        </w:rPr>
        <w:t>5.</w:t>
      </w:r>
      <w:r>
        <w:rPr>
          <w:rFonts w:hint="eastAsia" w:ascii="宋体" w:hAnsi="宋体" w:eastAsia="宋体"/>
          <w:sz w:val="24"/>
          <w:szCs w:val="24"/>
        </w:rPr>
        <w:t>本项目符合财政部、工业和信息化部制定的《政府采购促进中小企业发展管理办法》第六条第二款第3项之规定，为非专门面向中小企业采购项目。具体原因如下：按照本办法规定预留采购份额无法确保充分供应、充分竞争，可能影响政府采购目标实现。如对此项内容有疑问，可通过采购文件约定的方式进行质疑。 </w:t>
      </w:r>
    </w:p>
    <w:p w14:paraId="7C5D8683">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r>
        <w:rPr>
          <w:rFonts w:hint="eastAsia" w:ascii="宋体" w:hAnsi="宋体" w:eastAsia="宋体"/>
          <w:b/>
          <w:bCs/>
          <w:color w:val="auto"/>
          <w:sz w:val="24"/>
          <w:szCs w:val="18"/>
          <w:highlight w:val="none"/>
        </w:rPr>
        <w:t>七、</w:t>
      </w:r>
      <w:bookmarkEnd w:id="21"/>
      <w:r>
        <w:rPr>
          <w:rFonts w:hint="eastAsia" w:ascii="宋体" w:hAnsi="宋体" w:eastAsia="宋体"/>
          <w:b/>
          <w:bCs/>
          <w:color w:val="auto"/>
          <w:sz w:val="24"/>
          <w:szCs w:val="18"/>
          <w:highlight w:val="none"/>
        </w:rPr>
        <w:t>对本次招标提出询问，请按以下方式联系</w:t>
      </w:r>
      <w:bookmarkEnd w:id="22"/>
    </w:p>
    <w:p w14:paraId="07123D19">
      <w:pPr>
        <w:keepNext w:val="0"/>
        <w:keepLines w:val="0"/>
        <w:pageBreakBefore w:val="0"/>
        <w:widowControl w:val="0"/>
        <w:kinsoku/>
        <w:wordWrap/>
        <w:overflowPunct/>
        <w:topLinePunct w:val="0"/>
        <w:autoSpaceDE/>
        <w:autoSpaceDN/>
        <w:bidi w:val="0"/>
        <w:adjustRightInd/>
        <w:snapToGrid/>
        <w:spacing w:line="360" w:lineRule="auto"/>
        <w:ind w:firstLine="437" w:firstLineChars="0"/>
        <w:textAlignment w:val="auto"/>
        <w:outlineLvl w:val="9"/>
        <w:rPr>
          <w:rFonts w:hint="eastAsia" w:ascii="宋体" w:hAnsi="宋体" w:eastAsia="宋体"/>
          <w:sz w:val="24"/>
          <w:szCs w:val="18"/>
        </w:rPr>
      </w:pPr>
      <w:r>
        <w:rPr>
          <w:rFonts w:hint="eastAsia" w:ascii="宋体" w:hAnsi="宋体" w:eastAsia="宋体"/>
          <w:sz w:val="24"/>
          <w:szCs w:val="18"/>
        </w:rPr>
        <w:t>1.采购人信息</w:t>
      </w:r>
    </w:p>
    <w:p w14:paraId="6EF92E58">
      <w:pPr>
        <w:keepNext w:val="0"/>
        <w:keepLines w:val="0"/>
        <w:pageBreakBefore w:val="0"/>
        <w:widowControl w:val="0"/>
        <w:kinsoku/>
        <w:wordWrap/>
        <w:overflowPunct/>
        <w:topLinePunct w:val="0"/>
        <w:autoSpaceDE/>
        <w:autoSpaceDN/>
        <w:bidi w:val="0"/>
        <w:adjustRightInd/>
        <w:snapToGrid/>
        <w:spacing w:line="360" w:lineRule="auto"/>
        <w:ind w:firstLine="437" w:firstLineChars="0"/>
        <w:textAlignment w:val="auto"/>
        <w:outlineLvl w:val="9"/>
        <w:rPr>
          <w:rFonts w:hint="eastAsia" w:ascii="宋体" w:hAnsi="宋体" w:eastAsia="宋体"/>
          <w:sz w:val="24"/>
          <w:szCs w:val="18"/>
        </w:rPr>
      </w:pPr>
      <w:r>
        <w:rPr>
          <w:rFonts w:hint="eastAsia" w:ascii="宋体" w:hAnsi="宋体" w:eastAsia="宋体"/>
          <w:sz w:val="24"/>
          <w:szCs w:val="18"/>
        </w:rPr>
        <w:t>名    称：</w:t>
      </w:r>
      <w:r>
        <w:rPr>
          <w:rFonts w:hint="eastAsia" w:ascii="宋体" w:hAnsi="宋体" w:eastAsia="宋体"/>
          <w:sz w:val="24"/>
          <w:szCs w:val="18"/>
          <w:lang w:eastAsia="zh-CN"/>
        </w:rPr>
        <w:t>安徽省淝河监狱</w:t>
      </w:r>
      <w:r>
        <w:rPr>
          <w:rFonts w:hint="eastAsia" w:ascii="宋体" w:hAnsi="宋体" w:eastAsia="宋体"/>
          <w:sz w:val="24"/>
          <w:szCs w:val="18"/>
        </w:rPr>
        <w:t> </w:t>
      </w:r>
    </w:p>
    <w:p w14:paraId="35244749">
      <w:pPr>
        <w:keepNext w:val="0"/>
        <w:keepLines w:val="0"/>
        <w:pageBreakBefore w:val="0"/>
        <w:widowControl w:val="0"/>
        <w:kinsoku/>
        <w:wordWrap/>
        <w:overflowPunct/>
        <w:topLinePunct w:val="0"/>
        <w:autoSpaceDE/>
        <w:autoSpaceDN/>
        <w:bidi w:val="0"/>
        <w:adjustRightInd/>
        <w:snapToGrid/>
        <w:spacing w:line="360" w:lineRule="auto"/>
        <w:ind w:firstLine="437" w:firstLineChars="0"/>
        <w:textAlignment w:val="auto"/>
        <w:outlineLvl w:val="9"/>
        <w:rPr>
          <w:rFonts w:hint="eastAsia" w:ascii="宋体" w:hAnsi="宋体" w:eastAsia="宋体"/>
          <w:sz w:val="24"/>
          <w:szCs w:val="18"/>
        </w:rPr>
      </w:pPr>
      <w:r>
        <w:rPr>
          <w:rFonts w:hint="eastAsia" w:ascii="宋体" w:hAnsi="宋体" w:eastAsia="宋体"/>
          <w:sz w:val="24"/>
          <w:szCs w:val="18"/>
        </w:rPr>
        <w:t>地    址：安徽省合肥市</w:t>
      </w:r>
      <w:r>
        <w:rPr>
          <w:rFonts w:hint="eastAsia" w:ascii="宋体" w:hAnsi="宋体" w:eastAsia="宋体"/>
          <w:sz w:val="24"/>
          <w:szCs w:val="18"/>
          <w:lang w:eastAsia="zh-CN"/>
        </w:rPr>
        <w:t>境内</w:t>
      </w:r>
      <w:r>
        <w:rPr>
          <w:rFonts w:hint="eastAsia" w:ascii="宋体" w:hAnsi="宋体" w:eastAsia="宋体"/>
          <w:sz w:val="24"/>
          <w:szCs w:val="18"/>
        </w:rPr>
        <w:t> </w:t>
      </w:r>
    </w:p>
    <w:p w14:paraId="36F32A7B">
      <w:pPr>
        <w:keepNext w:val="0"/>
        <w:keepLines w:val="0"/>
        <w:pageBreakBefore w:val="0"/>
        <w:widowControl w:val="0"/>
        <w:kinsoku/>
        <w:wordWrap/>
        <w:overflowPunct/>
        <w:topLinePunct w:val="0"/>
        <w:autoSpaceDE/>
        <w:autoSpaceDN/>
        <w:bidi w:val="0"/>
        <w:adjustRightInd/>
        <w:snapToGrid/>
        <w:spacing w:line="360" w:lineRule="auto"/>
        <w:ind w:firstLine="437" w:firstLineChars="0"/>
        <w:textAlignment w:val="auto"/>
        <w:outlineLvl w:val="9"/>
        <w:rPr>
          <w:rFonts w:hint="eastAsia" w:ascii="宋体" w:hAnsi="宋体" w:eastAsia="宋体"/>
          <w:sz w:val="24"/>
          <w:szCs w:val="18"/>
        </w:rPr>
      </w:pPr>
      <w:r>
        <w:rPr>
          <w:rFonts w:hint="eastAsia" w:ascii="宋体" w:hAnsi="宋体" w:eastAsia="宋体"/>
          <w:sz w:val="24"/>
          <w:szCs w:val="18"/>
        </w:rPr>
        <w:t>联 系 方 式：</w:t>
      </w:r>
      <w:r>
        <w:rPr>
          <w:rFonts w:hint="eastAsia" w:ascii="宋体" w:hAnsi="宋体" w:eastAsia="宋体"/>
          <w:sz w:val="24"/>
          <w:szCs w:val="18"/>
          <w:lang w:eastAsia="zh-CN"/>
        </w:rPr>
        <w:t>高工</w:t>
      </w:r>
      <w:r>
        <w:rPr>
          <w:rFonts w:hint="eastAsia" w:ascii="宋体" w:hAnsi="宋体" w:eastAsia="宋体"/>
          <w:sz w:val="24"/>
          <w:szCs w:val="18"/>
          <w:lang w:val="en-US" w:eastAsia="zh-CN"/>
        </w:rPr>
        <w:t xml:space="preserve"> 0551-66981267 </w:t>
      </w:r>
      <w:r>
        <w:rPr>
          <w:rFonts w:hint="eastAsia" w:ascii="宋体" w:hAnsi="宋体" w:eastAsia="宋体"/>
          <w:sz w:val="24"/>
          <w:szCs w:val="18"/>
        </w:rPr>
        <w:t xml:space="preserve"> </w:t>
      </w:r>
    </w:p>
    <w:p w14:paraId="3B880F04">
      <w:pPr>
        <w:keepNext w:val="0"/>
        <w:keepLines w:val="0"/>
        <w:pageBreakBefore w:val="0"/>
        <w:widowControl w:val="0"/>
        <w:kinsoku/>
        <w:wordWrap/>
        <w:overflowPunct/>
        <w:topLinePunct w:val="0"/>
        <w:autoSpaceDE/>
        <w:autoSpaceDN/>
        <w:bidi w:val="0"/>
        <w:adjustRightInd/>
        <w:snapToGrid/>
        <w:spacing w:line="360" w:lineRule="auto"/>
        <w:ind w:firstLine="437" w:firstLineChars="0"/>
        <w:textAlignment w:val="auto"/>
        <w:outlineLvl w:val="9"/>
        <w:rPr>
          <w:rFonts w:hint="eastAsia" w:ascii="宋体" w:hAnsi="宋体" w:eastAsia="宋体"/>
          <w:sz w:val="24"/>
          <w:szCs w:val="18"/>
        </w:rPr>
      </w:pPr>
      <w:r>
        <w:rPr>
          <w:rFonts w:hint="eastAsia" w:ascii="宋体" w:hAnsi="宋体" w:eastAsia="宋体"/>
          <w:sz w:val="24"/>
          <w:szCs w:val="18"/>
        </w:rPr>
        <w:t>2.采购代理机构信息</w:t>
      </w:r>
    </w:p>
    <w:p w14:paraId="740B3286">
      <w:pPr>
        <w:keepNext w:val="0"/>
        <w:keepLines w:val="0"/>
        <w:pageBreakBefore w:val="0"/>
        <w:widowControl w:val="0"/>
        <w:kinsoku/>
        <w:wordWrap/>
        <w:overflowPunct/>
        <w:topLinePunct w:val="0"/>
        <w:autoSpaceDE/>
        <w:autoSpaceDN/>
        <w:bidi w:val="0"/>
        <w:adjustRightInd/>
        <w:snapToGrid/>
        <w:spacing w:line="360" w:lineRule="auto"/>
        <w:ind w:firstLine="437" w:firstLineChars="0"/>
        <w:textAlignment w:val="auto"/>
        <w:outlineLvl w:val="9"/>
        <w:rPr>
          <w:rFonts w:hint="eastAsia" w:ascii="宋体" w:hAnsi="宋体" w:eastAsia="宋体"/>
          <w:sz w:val="24"/>
          <w:szCs w:val="18"/>
        </w:rPr>
      </w:pPr>
      <w:r>
        <w:rPr>
          <w:rFonts w:hint="eastAsia" w:ascii="宋体" w:hAnsi="宋体" w:eastAsia="宋体"/>
          <w:sz w:val="24"/>
          <w:szCs w:val="18"/>
        </w:rPr>
        <w:t>名    称：大成工程咨询有限公司 </w:t>
      </w:r>
    </w:p>
    <w:p w14:paraId="13607365">
      <w:pPr>
        <w:keepNext w:val="0"/>
        <w:keepLines w:val="0"/>
        <w:pageBreakBefore w:val="0"/>
        <w:widowControl w:val="0"/>
        <w:kinsoku/>
        <w:wordWrap/>
        <w:overflowPunct/>
        <w:topLinePunct w:val="0"/>
        <w:autoSpaceDE/>
        <w:autoSpaceDN/>
        <w:bidi w:val="0"/>
        <w:adjustRightInd/>
        <w:snapToGrid/>
        <w:spacing w:line="360" w:lineRule="auto"/>
        <w:ind w:firstLine="437" w:firstLineChars="0"/>
        <w:textAlignment w:val="auto"/>
        <w:outlineLvl w:val="9"/>
        <w:rPr>
          <w:rFonts w:hint="eastAsia" w:ascii="宋体" w:hAnsi="宋体" w:eastAsia="宋体"/>
          <w:sz w:val="24"/>
          <w:szCs w:val="18"/>
        </w:rPr>
      </w:pPr>
      <w:r>
        <w:rPr>
          <w:rFonts w:hint="eastAsia" w:ascii="宋体" w:hAnsi="宋体" w:eastAsia="宋体"/>
          <w:sz w:val="24"/>
          <w:szCs w:val="18"/>
        </w:rPr>
        <w:t>地    址：合肥市滨湖新区徽州大道与扬子江路交口合肥金融港A5栋</w:t>
      </w:r>
      <w:r>
        <w:rPr>
          <w:rFonts w:hint="eastAsia" w:ascii="宋体" w:hAnsi="宋体" w:eastAsia="宋体"/>
          <w:sz w:val="24"/>
          <w:szCs w:val="18"/>
          <w:lang w:val="en-US" w:eastAsia="zh-CN"/>
        </w:rPr>
        <w:t>9</w:t>
      </w:r>
      <w:r>
        <w:rPr>
          <w:rFonts w:hint="eastAsia" w:ascii="宋体" w:hAnsi="宋体" w:eastAsia="宋体"/>
          <w:sz w:val="24"/>
          <w:szCs w:val="18"/>
        </w:rPr>
        <w:t>楼 </w:t>
      </w:r>
    </w:p>
    <w:p w14:paraId="40B0F936">
      <w:pPr>
        <w:keepNext w:val="0"/>
        <w:keepLines w:val="0"/>
        <w:pageBreakBefore w:val="0"/>
        <w:widowControl w:val="0"/>
        <w:kinsoku/>
        <w:wordWrap/>
        <w:overflowPunct/>
        <w:topLinePunct w:val="0"/>
        <w:autoSpaceDE/>
        <w:autoSpaceDN/>
        <w:bidi w:val="0"/>
        <w:adjustRightInd/>
        <w:snapToGrid/>
        <w:spacing w:line="360" w:lineRule="auto"/>
        <w:ind w:firstLine="437" w:firstLineChars="0"/>
        <w:textAlignment w:val="auto"/>
        <w:outlineLvl w:val="9"/>
        <w:rPr>
          <w:rFonts w:hint="eastAsia" w:ascii="宋体" w:hAnsi="宋体" w:eastAsia="宋体"/>
          <w:sz w:val="24"/>
          <w:szCs w:val="18"/>
        </w:rPr>
      </w:pPr>
      <w:r>
        <w:rPr>
          <w:rFonts w:hint="eastAsia" w:ascii="宋体" w:hAnsi="宋体" w:eastAsia="宋体"/>
          <w:sz w:val="24"/>
          <w:szCs w:val="18"/>
        </w:rPr>
        <w:t>联系方式：</w:t>
      </w:r>
      <w:r>
        <w:rPr>
          <w:rFonts w:hint="eastAsia" w:ascii="宋体" w:hAnsi="宋体" w:eastAsia="宋体"/>
          <w:sz w:val="24"/>
          <w:szCs w:val="18"/>
          <w:lang w:eastAsia="zh-CN"/>
        </w:rPr>
        <w:t>宋工/刘工</w:t>
      </w:r>
      <w:r>
        <w:rPr>
          <w:rFonts w:hint="eastAsia" w:ascii="宋体" w:hAnsi="宋体" w:eastAsia="宋体"/>
          <w:sz w:val="24"/>
          <w:szCs w:val="18"/>
          <w:lang w:val="en-US" w:eastAsia="zh-CN"/>
        </w:rPr>
        <w:t xml:space="preserve"> </w:t>
      </w:r>
      <w:r>
        <w:rPr>
          <w:rFonts w:hint="eastAsia" w:ascii="宋体" w:hAnsi="宋体" w:eastAsia="宋体"/>
          <w:sz w:val="24"/>
          <w:szCs w:val="18"/>
          <w:lang w:eastAsia="zh-CN"/>
        </w:rPr>
        <w:t>18956009907</w:t>
      </w:r>
      <w:r>
        <w:rPr>
          <w:rFonts w:hint="eastAsia" w:ascii="宋体" w:hAnsi="宋体" w:eastAsia="宋体"/>
          <w:sz w:val="24"/>
          <w:szCs w:val="18"/>
          <w:lang w:val="en-US" w:eastAsia="zh-CN"/>
        </w:rPr>
        <w:t>/</w:t>
      </w:r>
      <w:r>
        <w:rPr>
          <w:rFonts w:hint="eastAsia" w:ascii="宋体" w:hAnsi="宋体" w:eastAsia="宋体"/>
          <w:sz w:val="24"/>
          <w:szCs w:val="18"/>
        </w:rPr>
        <w:t xml:space="preserve">18955170287 </w:t>
      </w:r>
    </w:p>
    <w:p w14:paraId="059192C7">
      <w:pPr>
        <w:keepNext w:val="0"/>
        <w:keepLines w:val="0"/>
        <w:pageBreakBefore w:val="0"/>
        <w:widowControl w:val="0"/>
        <w:kinsoku/>
        <w:wordWrap/>
        <w:overflowPunct/>
        <w:topLinePunct w:val="0"/>
        <w:autoSpaceDE/>
        <w:autoSpaceDN/>
        <w:bidi w:val="0"/>
        <w:adjustRightInd/>
        <w:snapToGrid/>
        <w:spacing w:line="360" w:lineRule="auto"/>
        <w:ind w:firstLine="437" w:firstLineChars="0"/>
        <w:textAlignment w:val="auto"/>
        <w:outlineLvl w:val="9"/>
        <w:rPr>
          <w:rFonts w:hint="eastAsia" w:ascii="宋体" w:hAnsi="宋体" w:eastAsia="宋体"/>
          <w:sz w:val="24"/>
          <w:szCs w:val="18"/>
        </w:rPr>
      </w:pPr>
      <w:r>
        <w:rPr>
          <w:rFonts w:hint="eastAsia" w:ascii="宋体" w:hAnsi="宋体" w:eastAsia="宋体"/>
          <w:sz w:val="24"/>
          <w:szCs w:val="18"/>
        </w:rPr>
        <w:t>3.项目联系方式</w:t>
      </w:r>
    </w:p>
    <w:p w14:paraId="72A2D9A8">
      <w:pPr>
        <w:keepNext w:val="0"/>
        <w:keepLines w:val="0"/>
        <w:pageBreakBefore w:val="0"/>
        <w:widowControl w:val="0"/>
        <w:kinsoku/>
        <w:wordWrap/>
        <w:overflowPunct/>
        <w:topLinePunct w:val="0"/>
        <w:autoSpaceDE/>
        <w:autoSpaceDN/>
        <w:bidi w:val="0"/>
        <w:adjustRightInd/>
        <w:snapToGrid/>
        <w:spacing w:line="360" w:lineRule="auto"/>
        <w:ind w:firstLine="437" w:firstLineChars="0"/>
        <w:textAlignment w:val="auto"/>
        <w:outlineLvl w:val="9"/>
        <w:rPr>
          <w:rFonts w:hint="eastAsia" w:ascii="宋体" w:hAnsi="宋体" w:eastAsia="宋体"/>
          <w:sz w:val="24"/>
          <w:szCs w:val="18"/>
        </w:rPr>
      </w:pPr>
      <w:r>
        <w:rPr>
          <w:rFonts w:hint="eastAsia" w:ascii="宋体" w:hAnsi="宋体" w:eastAsia="宋体"/>
          <w:sz w:val="24"/>
          <w:szCs w:val="18"/>
        </w:rPr>
        <w:t>项目联系人：</w:t>
      </w:r>
      <w:r>
        <w:rPr>
          <w:rFonts w:hint="eastAsia" w:ascii="宋体" w:hAnsi="宋体" w:eastAsia="宋体"/>
          <w:sz w:val="24"/>
          <w:szCs w:val="18"/>
          <w:lang w:eastAsia="zh-CN"/>
        </w:rPr>
        <w:t>宋工/刘工</w:t>
      </w:r>
      <w:r>
        <w:rPr>
          <w:rFonts w:hint="eastAsia" w:ascii="宋体" w:hAnsi="宋体" w:eastAsia="宋体"/>
          <w:sz w:val="24"/>
          <w:szCs w:val="18"/>
        </w:rPr>
        <w:t> </w:t>
      </w:r>
    </w:p>
    <w:p w14:paraId="7A9C2A39">
      <w:pPr>
        <w:keepNext w:val="0"/>
        <w:keepLines w:val="0"/>
        <w:pageBreakBefore w:val="0"/>
        <w:widowControl w:val="0"/>
        <w:kinsoku/>
        <w:wordWrap/>
        <w:overflowPunct/>
        <w:topLinePunct w:val="0"/>
        <w:autoSpaceDE/>
        <w:autoSpaceDN/>
        <w:bidi w:val="0"/>
        <w:adjustRightInd/>
        <w:snapToGrid/>
        <w:spacing w:line="360" w:lineRule="auto"/>
        <w:ind w:firstLine="437" w:firstLineChars="0"/>
        <w:textAlignment w:val="auto"/>
        <w:outlineLvl w:val="9"/>
        <w:rPr>
          <w:rFonts w:hint="eastAsia" w:ascii="宋体" w:hAnsi="宋体" w:eastAsia="宋体"/>
          <w:sz w:val="24"/>
          <w:szCs w:val="18"/>
        </w:rPr>
      </w:pPr>
      <w:r>
        <w:rPr>
          <w:rFonts w:hint="eastAsia" w:ascii="宋体" w:hAnsi="宋体" w:eastAsia="宋体"/>
          <w:sz w:val="24"/>
          <w:szCs w:val="18"/>
        </w:rPr>
        <w:t>电    话：</w:t>
      </w:r>
      <w:r>
        <w:rPr>
          <w:rFonts w:hint="eastAsia" w:ascii="宋体" w:hAnsi="宋体" w:eastAsia="宋体"/>
          <w:sz w:val="24"/>
          <w:szCs w:val="18"/>
          <w:lang w:eastAsia="zh-CN"/>
        </w:rPr>
        <w:t>18956009907</w:t>
      </w:r>
      <w:r>
        <w:rPr>
          <w:rFonts w:hint="eastAsia" w:ascii="宋体" w:hAnsi="宋体" w:eastAsia="宋体"/>
          <w:sz w:val="24"/>
          <w:szCs w:val="18"/>
          <w:lang w:val="en-US" w:eastAsia="zh-CN"/>
        </w:rPr>
        <w:t>/</w:t>
      </w:r>
      <w:r>
        <w:rPr>
          <w:rFonts w:hint="eastAsia" w:ascii="宋体" w:hAnsi="宋体" w:eastAsia="宋体"/>
          <w:sz w:val="24"/>
          <w:szCs w:val="18"/>
        </w:rPr>
        <w:t>18955170287  </w:t>
      </w:r>
    </w:p>
    <w:p w14:paraId="00215DA5">
      <w:pPr>
        <w:spacing w:line="360" w:lineRule="auto"/>
        <w:ind w:firstLine="435"/>
        <w:rPr>
          <w:rFonts w:ascii="宋体" w:hAnsi="宋体" w:eastAsia="宋体"/>
          <w:color w:val="auto"/>
          <w:sz w:val="24"/>
          <w:szCs w:val="18"/>
          <w:highlight w:val="none"/>
          <w:u w:val="single"/>
        </w:rPr>
      </w:pPr>
    </w:p>
    <w:p w14:paraId="20FA79E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sz w:val="24"/>
          <w:szCs w:val="18"/>
        </w:rPr>
      </w:pPr>
      <w:r>
        <w:rPr>
          <w:rFonts w:ascii="宋体" w:hAnsi="宋体" w:eastAsia="宋体"/>
          <w:sz w:val="24"/>
          <w:szCs w:val="18"/>
        </w:rPr>
        <w:t xml:space="preserve"> </w:t>
      </w:r>
    </w:p>
    <w:p w14:paraId="3426EB8C">
      <w:pPr>
        <w:widowControl/>
        <w:jc w:val="left"/>
        <w:rPr>
          <w:rFonts w:hint="eastAsia" w:ascii="宋体" w:hAnsi="宋体" w:eastAsia="宋体"/>
          <w:sz w:val="24"/>
          <w:szCs w:val="18"/>
        </w:rPr>
      </w:pPr>
      <w:r>
        <w:rPr>
          <w:rFonts w:ascii="宋体" w:hAnsi="宋体" w:eastAsia="宋体"/>
          <w:sz w:val="24"/>
          <w:szCs w:val="18"/>
        </w:rPr>
        <w:br w:type="page"/>
      </w:r>
    </w:p>
    <w:p w14:paraId="73F36CEA">
      <w:pPr>
        <w:spacing w:line="360" w:lineRule="auto"/>
        <w:jc w:val="center"/>
        <w:outlineLvl w:val="0"/>
        <w:rPr>
          <w:rFonts w:hint="eastAsia" w:asciiTheme="minorEastAsia" w:hAnsiTheme="minorEastAsia" w:eastAsiaTheme="minorEastAsia"/>
          <w:b/>
          <w:sz w:val="28"/>
        </w:rPr>
      </w:pPr>
      <w:bookmarkStart w:id="23" w:name="_Toc31935"/>
      <w:r>
        <w:rPr>
          <w:rFonts w:hint="eastAsia" w:asciiTheme="minorEastAsia" w:hAnsiTheme="minorEastAsia" w:eastAsiaTheme="minorEastAsia"/>
          <w:b/>
          <w:sz w:val="28"/>
        </w:rPr>
        <w:t>第二章</w:t>
      </w:r>
      <w:r>
        <w:rPr>
          <w:rFonts w:asciiTheme="minorEastAsia" w:hAnsiTheme="minorEastAsia" w:eastAsiaTheme="minorEastAsia"/>
          <w:b/>
          <w:sz w:val="28"/>
        </w:rPr>
        <w:t xml:space="preserve"> </w:t>
      </w:r>
      <w:r>
        <w:rPr>
          <w:rFonts w:hint="eastAsia" w:asciiTheme="minorEastAsia" w:hAnsiTheme="minorEastAsia" w:eastAsiaTheme="minorEastAsia"/>
          <w:b/>
          <w:sz w:val="28"/>
        </w:rPr>
        <w:t xml:space="preserve"> </w:t>
      </w:r>
      <w:r>
        <w:rPr>
          <w:rFonts w:asciiTheme="minorEastAsia" w:hAnsiTheme="minorEastAsia" w:eastAsiaTheme="minorEastAsia"/>
          <w:b/>
          <w:sz w:val="28"/>
        </w:rPr>
        <w:t>投标人须知</w:t>
      </w:r>
      <w:bookmarkEnd w:id="23"/>
    </w:p>
    <w:p w14:paraId="588D3512">
      <w:pPr>
        <w:spacing w:line="360" w:lineRule="auto"/>
        <w:jc w:val="center"/>
        <w:outlineLvl w:val="1"/>
        <w:rPr>
          <w:rFonts w:hint="eastAsia" w:asciiTheme="minorEastAsia" w:hAnsiTheme="minorEastAsia" w:eastAsiaTheme="minorEastAsia"/>
          <w:b/>
          <w:sz w:val="24"/>
        </w:rPr>
      </w:pPr>
      <w:bookmarkStart w:id="24" w:name="_Toc3114"/>
      <w:bookmarkStart w:id="25" w:name="_Toc7178"/>
      <w:r>
        <w:rPr>
          <w:rFonts w:hint="eastAsia" w:asciiTheme="minorEastAsia" w:hAnsiTheme="minorEastAsia" w:eastAsiaTheme="minorEastAsia"/>
          <w:b/>
          <w:sz w:val="24"/>
        </w:rPr>
        <w:t>一、</w:t>
      </w:r>
      <w:r>
        <w:rPr>
          <w:rFonts w:asciiTheme="minorEastAsia" w:hAnsiTheme="minorEastAsia" w:eastAsiaTheme="minorEastAsia"/>
          <w:b/>
          <w:sz w:val="24"/>
        </w:rPr>
        <w:t>投标人须知前附表</w:t>
      </w:r>
      <w:bookmarkEnd w:id="24"/>
      <w:bookmarkEnd w:id="25"/>
    </w:p>
    <w:p w14:paraId="64AF4FA6">
      <w:pPr>
        <w:spacing w:line="360" w:lineRule="auto"/>
        <w:ind w:firstLine="435"/>
        <w:rPr>
          <w:rFonts w:hint="eastAsia" w:ascii="宋体" w:hAnsi="宋体" w:eastAsia="宋体"/>
          <w:sz w:val="24"/>
          <w:szCs w:val="18"/>
        </w:rPr>
      </w:pPr>
      <w:r>
        <w:rPr>
          <w:rFonts w:hint="eastAsia" w:ascii="宋体" w:hAnsi="宋体" w:eastAsia="宋体"/>
          <w:b/>
          <w:bCs/>
          <w:sz w:val="24"/>
          <w:szCs w:val="18"/>
        </w:rPr>
        <w:t>注：</w:t>
      </w:r>
      <w:r>
        <w:rPr>
          <w:rFonts w:hint="eastAsia" w:ascii="宋体" w:hAnsi="宋体" w:eastAsia="宋体"/>
          <w:sz w:val="24"/>
          <w:szCs w:val="18"/>
        </w:rPr>
        <w:t>本表是本项目的具体要求，是对投标人须知的具体补充和修改，如有不一致，以本表为准。</w:t>
      </w:r>
    </w:p>
    <w:tbl>
      <w:tblPr>
        <w:tblStyle w:val="28"/>
        <w:tblW w:w="50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2376"/>
        <w:gridCol w:w="6567"/>
      </w:tblGrid>
      <w:tr w14:paraId="302F7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00F06363">
            <w:pPr>
              <w:pStyle w:val="48"/>
              <w:widowControl w:val="0"/>
              <w:spacing w:before="0" w:beforeAutospacing="0" w:after="0" w:afterAutospacing="0"/>
              <w:rPr>
                <w:rFonts w:hint="eastAsia" w:ascii="宋体" w:hAnsi="宋体" w:eastAsia="宋体" w:cs="宋体"/>
                <w:bCs w:val="0"/>
                <w:kern w:val="2"/>
                <w:sz w:val="24"/>
                <w:szCs w:val="24"/>
              </w:rPr>
            </w:pPr>
            <w:r>
              <w:rPr>
                <w:rFonts w:hint="eastAsia" w:ascii="宋体" w:hAnsi="宋体" w:eastAsia="宋体" w:cs="宋体"/>
                <w:bCs w:val="0"/>
                <w:kern w:val="2"/>
                <w:sz w:val="24"/>
                <w:szCs w:val="24"/>
              </w:rPr>
              <w:t>条款号</w:t>
            </w:r>
          </w:p>
        </w:tc>
        <w:tc>
          <w:tcPr>
            <w:tcW w:w="1174" w:type="pct"/>
            <w:vAlign w:val="center"/>
          </w:tcPr>
          <w:p w14:paraId="55E8DE0F">
            <w:pPr>
              <w:pStyle w:val="48"/>
              <w:widowControl w:val="0"/>
              <w:spacing w:before="0" w:beforeAutospacing="0" w:after="0" w:afterAutospacing="0"/>
              <w:rPr>
                <w:rFonts w:hint="eastAsia" w:ascii="宋体" w:hAnsi="宋体" w:eastAsia="宋体" w:cs="宋体"/>
                <w:bCs w:val="0"/>
                <w:kern w:val="2"/>
                <w:sz w:val="24"/>
                <w:szCs w:val="24"/>
              </w:rPr>
            </w:pPr>
            <w:r>
              <w:rPr>
                <w:rFonts w:hint="eastAsia" w:ascii="宋体" w:hAnsi="宋体" w:eastAsia="宋体" w:cs="宋体"/>
                <w:bCs w:val="0"/>
                <w:kern w:val="2"/>
                <w:sz w:val="24"/>
                <w:szCs w:val="24"/>
              </w:rPr>
              <w:t>条款名称</w:t>
            </w:r>
          </w:p>
        </w:tc>
        <w:tc>
          <w:tcPr>
            <w:tcW w:w="3244" w:type="pct"/>
            <w:vAlign w:val="center"/>
          </w:tcPr>
          <w:p w14:paraId="10909CEB">
            <w:pPr>
              <w:pStyle w:val="48"/>
              <w:widowControl w:val="0"/>
              <w:spacing w:before="0" w:beforeAutospacing="0" w:after="0" w:afterAutospacing="0"/>
              <w:rPr>
                <w:rFonts w:hint="eastAsia" w:ascii="宋体" w:hAnsi="宋体" w:eastAsia="宋体" w:cs="宋体"/>
                <w:bCs w:val="0"/>
                <w:kern w:val="2"/>
                <w:sz w:val="24"/>
                <w:szCs w:val="24"/>
              </w:rPr>
            </w:pPr>
            <w:r>
              <w:rPr>
                <w:rFonts w:hint="eastAsia" w:ascii="宋体" w:hAnsi="宋体" w:eastAsia="宋体" w:cs="宋体"/>
                <w:bCs w:val="0"/>
                <w:kern w:val="2"/>
                <w:sz w:val="24"/>
                <w:szCs w:val="24"/>
              </w:rPr>
              <w:t>内容、说明与要求</w:t>
            </w:r>
          </w:p>
        </w:tc>
      </w:tr>
      <w:tr w14:paraId="6C38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7E27EB72">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5.2</w:t>
            </w:r>
          </w:p>
        </w:tc>
        <w:tc>
          <w:tcPr>
            <w:tcW w:w="1174" w:type="pct"/>
            <w:vAlign w:val="center"/>
          </w:tcPr>
          <w:p w14:paraId="0816B586">
            <w:pPr>
              <w:pStyle w:val="48"/>
              <w:widowControl w:val="0"/>
              <w:spacing w:before="0" w:beforeAutospacing="0" w:after="0" w:afterAutospacing="0" w:line="360" w:lineRule="auto"/>
              <w:jc w:val="left"/>
              <w:rPr>
                <w:rFonts w:hint="eastAsia" w:ascii="宋体" w:hAnsi="宋体" w:eastAsia="宋体" w:cs="宋体"/>
                <w:b w:val="0"/>
                <w:sz w:val="24"/>
                <w:szCs w:val="24"/>
              </w:rPr>
            </w:pPr>
            <w:r>
              <w:rPr>
                <w:rFonts w:hint="eastAsia" w:ascii="宋体" w:hAnsi="宋体" w:eastAsia="宋体" w:cs="宋体"/>
                <w:b w:val="0"/>
                <w:sz w:val="24"/>
                <w:szCs w:val="24"/>
              </w:rPr>
              <w:t>现场考察或标前答疑会</w:t>
            </w:r>
          </w:p>
        </w:tc>
        <w:tc>
          <w:tcPr>
            <w:tcW w:w="3244" w:type="pct"/>
            <w:vAlign w:val="center"/>
          </w:tcPr>
          <w:p w14:paraId="481F37A8">
            <w:pPr>
              <w:autoSpaceDE w:val="0"/>
              <w:autoSpaceDN w:val="0"/>
              <w:spacing w:line="480" w:lineRule="exact"/>
              <w:jc w:val="left"/>
              <w:rPr>
                <w:rFonts w:hint="eastAsia" w:ascii="宋体" w:hAnsi="宋体" w:eastAsia="宋体" w:cs="宋体"/>
                <w:b w:val="0"/>
                <w:bCs/>
                <w:kern w:val="0"/>
                <w:sz w:val="24"/>
                <w:szCs w:val="24"/>
                <w:lang w:val="en-US" w:eastAsia="zh-CN" w:bidi="ar-SA"/>
              </w:rPr>
            </w:pPr>
            <w:r>
              <w:rPr>
                <w:rFonts w:hint="eastAsia" w:ascii="宋体" w:hAnsi="宋体" w:eastAsia="宋体" w:cs="宋体"/>
                <w:bCs/>
                <w:sz w:val="24"/>
                <w:szCs w:val="24"/>
              </w:rPr>
              <w:t>☑</w:t>
            </w:r>
            <w:r>
              <w:rPr>
                <w:rFonts w:hint="eastAsia" w:ascii="宋体" w:hAnsi="宋体" w:eastAsia="宋体" w:cs="宋体"/>
                <w:sz w:val="24"/>
                <w:szCs w:val="24"/>
              </w:rPr>
              <w:t>不组织或不召开</w:t>
            </w:r>
          </w:p>
          <w:p w14:paraId="6BCA18E5">
            <w:pPr>
              <w:autoSpaceDE w:val="0"/>
              <w:autoSpaceDN w:val="0"/>
              <w:spacing w:line="480" w:lineRule="exact"/>
              <w:jc w:val="left"/>
              <w:rPr>
                <w:rFonts w:hint="eastAsia" w:ascii="宋体" w:hAnsi="宋体" w:eastAsia="宋体" w:cs="宋体"/>
                <w:b w:val="0"/>
                <w:bCs/>
                <w:kern w:val="0"/>
                <w:sz w:val="24"/>
                <w:szCs w:val="24"/>
                <w:lang w:val="en-US" w:eastAsia="zh-CN" w:bidi="ar-SA"/>
              </w:rPr>
            </w:pPr>
            <w:r>
              <w:rPr>
                <w:rFonts w:hint="eastAsia" w:ascii="宋体" w:hAnsi="宋体" w:eastAsia="宋体" w:cs="宋体"/>
                <w:b w:val="0"/>
                <w:bCs/>
                <w:kern w:val="0"/>
                <w:sz w:val="24"/>
                <w:szCs w:val="24"/>
                <w:lang w:val="en-US" w:eastAsia="zh-CN" w:bidi="ar-SA"/>
              </w:rPr>
              <w:t>为了准确掌握实际情况,投标人须认真考察项目现场，使自己熟悉现场的位置、周围环境，确定项目范围和现有条件。若被确定为中标人后不得以“未踏勘”、“踏勘失误”等任何理由提出变更增项。现场踏勘须遵守采购人相关规定。中标人不得以不完全了解现场状况而向采购人提出额外的付款或延长工期的索赔，对此采购人将不作任何考虑并承担任何责任。一切后果均由中标人承担。投标人现场考察发生的费用自理。</w:t>
            </w:r>
          </w:p>
          <w:p w14:paraId="1336EA48">
            <w:pPr>
              <w:spacing w:line="360" w:lineRule="auto"/>
              <w:rPr>
                <w:rFonts w:hint="eastAsia" w:ascii="宋体" w:hAnsi="宋体" w:eastAsia="宋体" w:cs="宋体"/>
                <w:b w:val="0"/>
                <w:sz w:val="24"/>
                <w:szCs w:val="24"/>
                <w:lang w:eastAsia="zh-CN"/>
              </w:rPr>
            </w:pPr>
            <w:r>
              <w:rPr>
                <w:rFonts w:hint="eastAsia" w:ascii="宋体" w:hAnsi="宋体" w:eastAsia="宋体" w:cs="宋体"/>
                <w:b w:val="0"/>
                <w:bCs/>
                <w:kern w:val="0"/>
                <w:sz w:val="24"/>
                <w:szCs w:val="24"/>
                <w:lang w:val="en-US" w:eastAsia="zh-CN" w:bidi="ar-SA"/>
              </w:rPr>
              <w:t>现场联系人：张主任   联系电话:0551-66981336</w:t>
            </w:r>
          </w:p>
        </w:tc>
      </w:tr>
      <w:tr w14:paraId="2831A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03893476">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6.1</w:t>
            </w:r>
          </w:p>
        </w:tc>
        <w:tc>
          <w:tcPr>
            <w:tcW w:w="1174" w:type="pct"/>
            <w:vAlign w:val="center"/>
          </w:tcPr>
          <w:p w14:paraId="22D8F904">
            <w:pPr>
              <w:pStyle w:val="48"/>
              <w:widowControl w:val="0"/>
              <w:spacing w:before="0" w:beforeAutospacing="0" w:after="0" w:afterAutospacing="0"/>
              <w:jc w:val="left"/>
              <w:rPr>
                <w:rFonts w:hint="eastAsia" w:ascii="宋体" w:hAnsi="宋体" w:eastAsia="宋体" w:cs="宋体"/>
                <w:b w:val="0"/>
                <w:sz w:val="24"/>
                <w:szCs w:val="24"/>
              </w:rPr>
            </w:pPr>
            <w:r>
              <w:rPr>
                <w:rFonts w:hint="eastAsia" w:ascii="宋体" w:hAnsi="宋体" w:eastAsia="宋体" w:cs="宋体"/>
                <w:b w:val="0"/>
                <w:sz w:val="24"/>
                <w:szCs w:val="24"/>
              </w:rPr>
              <w:t>网上询问截止时间</w:t>
            </w:r>
          </w:p>
        </w:tc>
        <w:tc>
          <w:tcPr>
            <w:tcW w:w="3244" w:type="pct"/>
            <w:vAlign w:val="center"/>
          </w:tcPr>
          <w:p w14:paraId="510BC63E">
            <w:pPr>
              <w:pStyle w:val="48"/>
              <w:widowControl w:val="0"/>
              <w:spacing w:before="0" w:beforeAutospacing="0" w:after="0" w:afterAutospacing="0"/>
              <w:jc w:val="both"/>
              <w:rPr>
                <w:rFonts w:hint="eastAsia" w:ascii="宋体" w:hAnsi="宋体" w:eastAsia="宋体" w:cs="宋体"/>
                <w:b w:val="0"/>
                <w:sz w:val="24"/>
                <w:szCs w:val="24"/>
              </w:rPr>
            </w:pPr>
            <w:r>
              <w:rPr>
                <w:rFonts w:hint="eastAsia" w:ascii="宋体" w:hAnsi="宋体" w:eastAsia="宋体" w:cs="宋体"/>
                <w:b w:val="0"/>
                <w:sz w:val="24"/>
                <w:szCs w:val="24"/>
                <w:u w:val="single"/>
              </w:rPr>
              <w:t xml:space="preserve"> 202</w:t>
            </w:r>
            <w:r>
              <w:rPr>
                <w:rFonts w:hint="eastAsia" w:ascii="宋体" w:hAnsi="宋体" w:eastAsia="宋体" w:cs="宋体"/>
                <w:b w:val="0"/>
                <w:sz w:val="24"/>
                <w:szCs w:val="24"/>
                <w:u w:val="single"/>
                <w:lang w:val="en-US" w:eastAsia="zh-CN"/>
              </w:rPr>
              <w:t>5</w:t>
            </w:r>
            <w:r>
              <w:rPr>
                <w:rFonts w:hint="eastAsia" w:ascii="宋体" w:hAnsi="宋体" w:eastAsia="宋体" w:cs="宋体"/>
                <w:b w:val="0"/>
                <w:sz w:val="24"/>
                <w:szCs w:val="24"/>
              </w:rPr>
              <w:t>年</w:t>
            </w:r>
            <w:r>
              <w:rPr>
                <w:rFonts w:hint="eastAsia" w:ascii="宋体" w:hAnsi="宋体" w:eastAsia="宋体" w:cs="宋体"/>
                <w:b w:val="0"/>
                <w:sz w:val="24"/>
                <w:szCs w:val="24"/>
                <w:u w:val="single"/>
                <w:lang w:val="en-US" w:eastAsia="zh-CN"/>
              </w:rPr>
              <w:t>05</w:t>
            </w:r>
            <w:r>
              <w:rPr>
                <w:rFonts w:hint="eastAsia" w:ascii="宋体" w:hAnsi="宋体" w:eastAsia="宋体" w:cs="宋体"/>
                <w:b w:val="0"/>
                <w:sz w:val="24"/>
                <w:szCs w:val="24"/>
              </w:rPr>
              <w:t>月</w:t>
            </w:r>
            <w:r>
              <w:rPr>
                <w:rFonts w:hint="eastAsia" w:ascii="宋体" w:hAnsi="宋体" w:eastAsia="宋体" w:cs="宋体"/>
                <w:b w:val="0"/>
                <w:sz w:val="24"/>
                <w:szCs w:val="24"/>
                <w:u w:val="single"/>
                <w:lang w:val="en-US" w:eastAsia="zh-CN"/>
              </w:rPr>
              <w:t xml:space="preserve"> 09</w:t>
            </w:r>
            <w:r>
              <w:rPr>
                <w:rFonts w:hint="eastAsia" w:ascii="宋体" w:hAnsi="宋体" w:eastAsia="宋体" w:cs="宋体"/>
                <w:b w:val="0"/>
                <w:sz w:val="24"/>
                <w:szCs w:val="24"/>
              </w:rPr>
              <w:t>日</w:t>
            </w:r>
            <w:r>
              <w:rPr>
                <w:rFonts w:hint="eastAsia" w:ascii="宋体" w:hAnsi="宋体" w:eastAsia="宋体" w:cs="宋体"/>
                <w:b w:val="0"/>
                <w:sz w:val="24"/>
                <w:szCs w:val="24"/>
                <w:u w:val="single"/>
              </w:rPr>
              <w:t>17</w:t>
            </w:r>
            <w:r>
              <w:rPr>
                <w:rFonts w:hint="eastAsia" w:ascii="宋体" w:hAnsi="宋体" w:eastAsia="宋体" w:cs="宋体"/>
                <w:b w:val="0"/>
                <w:sz w:val="24"/>
                <w:szCs w:val="24"/>
              </w:rPr>
              <w:t>时</w:t>
            </w:r>
            <w:r>
              <w:rPr>
                <w:rFonts w:hint="eastAsia" w:ascii="宋体" w:hAnsi="宋体" w:eastAsia="宋体" w:cs="宋体"/>
                <w:b w:val="0"/>
                <w:sz w:val="24"/>
                <w:szCs w:val="24"/>
                <w:u w:val="single"/>
                <w:lang w:val="en-US" w:eastAsia="zh-CN"/>
              </w:rPr>
              <w:t>0</w:t>
            </w:r>
            <w:r>
              <w:rPr>
                <w:rFonts w:hint="eastAsia" w:ascii="宋体" w:hAnsi="宋体" w:eastAsia="宋体" w:cs="宋体"/>
                <w:b w:val="0"/>
                <w:sz w:val="24"/>
                <w:szCs w:val="24"/>
                <w:u w:val="single"/>
              </w:rPr>
              <w:t>0</w:t>
            </w:r>
            <w:r>
              <w:rPr>
                <w:rFonts w:hint="eastAsia" w:ascii="宋体" w:hAnsi="宋体" w:eastAsia="宋体" w:cs="宋体"/>
                <w:b w:val="0"/>
                <w:sz w:val="24"/>
                <w:szCs w:val="24"/>
              </w:rPr>
              <w:t>分</w:t>
            </w:r>
          </w:p>
        </w:tc>
      </w:tr>
      <w:tr w14:paraId="1ACB0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35D6A2D1">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7.1</w:t>
            </w:r>
          </w:p>
        </w:tc>
        <w:tc>
          <w:tcPr>
            <w:tcW w:w="1174" w:type="pct"/>
            <w:vAlign w:val="center"/>
          </w:tcPr>
          <w:p w14:paraId="7FFF69E2">
            <w:pPr>
              <w:pStyle w:val="48"/>
              <w:widowControl w:val="0"/>
              <w:spacing w:before="0" w:beforeAutospacing="0" w:after="0" w:afterAutospacing="0"/>
              <w:jc w:val="left"/>
              <w:rPr>
                <w:rFonts w:hint="eastAsia" w:ascii="宋体" w:hAnsi="宋体" w:eastAsia="宋体" w:cs="宋体"/>
                <w:b w:val="0"/>
                <w:sz w:val="24"/>
                <w:szCs w:val="24"/>
              </w:rPr>
            </w:pPr>
            <w:r>
              <w:rPr>
                <w:rFonts w:hint="eastAsia" w:ascii="宋体" w:hAnsi="宋体" w:eastAsia="宋体" w:cs="宋体"/>
                <w:b w:val="0"/>
                <w:sz w:val="24"/>
                <w:szCs w:val="24"/>
              </w:rPr>
              <w:t>包别划分</w:t>
            </w:r>
          </w:p>
        </w:tc>
        <w:tc>
          <w:tcPr>
            <w:tcW w:w="3244" w:type="pct"/>
            <w:vAlign w:val="center"/>
          </w:tcPr>
          <w:p w14:paraId="51353FE3">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sz w:val="24"/>
                <w:szCs w:val="24"/>
              </w:rPr>
              <w:t xml:space="preserve">不分包     </w:t>
            </w:r>
            <w:r>
              <w:rPr>
                <w:rFonts w:hint="eastAsia" w:ascii="宋体" w:hAnsi="宋体" w:eastAsia="宋体" w:cs="宋体"/>
                <w:b w:val="0"/>
                <w:sz w:val="24"/>
                <w:szCs w:val="24"/>
                <w:lang w:eastAsia="zh-CN"/>
              </w:rPr>
              <w:t>□</w:t>
            </w:r>
            <w:r>
              <w:rPr>
                <w:rFonts w:hint="eastAsia" w:ascii="宋体" w:hAnsi="宋体" w:eastAsia="宋体" w:cs="宋体"/>
                <w:b w:val="0"/>
                <w:sz w:val="24"/>
                <w:szCs w:val="24"/>
              </w:rPr>
              <w:t>分为</w:t>
            </w:r>
            <w:r>
              <w:rPr>
                <w:rFonts w:hint="eastAsia" w:ascii="宋体" w:hAnsi="宋体" w:eastAsia="宋体" w:cs="宋体"/>
                <w:b w:val="0"/>
                <w:sz w:val="24"/>
                <w:szCs w:val="24"/>
                <w:lang w:val="en-US" w:eastAsia="zh-CN"/>
              </w:rPr>
              <w:t xml:space="preserve">  </w:t>
            </w:r>
            <w:r>
              <w:rPr>
                <w:rFonts w:hint="eastAsia" w:ascii="宋体" w:hAnsi="宋体" w:eastAsia="宋体" w:cs="宋体"/>
                <w:b w:val="0"/>
                <w:sz w:val="24"/>
                <w:szCs w:val="24"/>
              </w:rPr>
              <w:t>个包</w:t>
            </w:r>
          </w:p>
          <w:p w14:paraId="10BC22D4">
            <w:pPr>
              <w:pStyle w:val="48"/>
              <w:widowControl w:val="0"/>
              <w:spacing w:before="0" w:beforeAutospacing="0" w:after="0" w:afterAutospacing="0"/>
              <w:jc w:val="both"/>
              <w:rPr>
                <w:rFonts w:hint="eastAsia" w:ascii="宋体" w:hAnsi="宋体" w:eastAsia="宋体" w:cs="宋体"/>
                <w:b w:val="0"/>
                <w:sz w:val="24"/>
                <w:szCs w:val="24"/>
                <w:u w:val="single"/>
                <w:lang w:val="en-US"/>
              </w:rPr>
            </w:pPr>
            <w:r>
              <w:rPr>
                <w:rFonts w:hint="eastAsia" w:ascii="宋体" w:hAnsi="宋体" w:eastAsia="宋体" w:cs="宋体"/>
                <w:b w:val="0"/>
                <w:sz w:val="24"/>
                <w:szCs w:val="24"/>
              </w:rPr>
              <w:t>投标人对多个包进行投标的中标包数规定：</w:t>
            </w:r>
            <w:r>
              <w:rPr>
                <w:rFonts w:hint="eastAsia" w:ascii="宋体" w:hAnsi="宋体" w:eastAsia="宋体" w:cs="宋体"/>
                <w:b w:val="0"/>
                <w:bCs w:val="0"/>
                <w:sz w:val="24"/>
                <w:szCs w:val="24"/>
                <w:u w:val="single"/>
                <w:lang w:val="en-US" w:eastAsia="zh-CN"/>
              </w:rPr>
              <w:t xml:space="preserve">   </w:t>
            </w:r>
          </w:p>
        </w:tc>
      </w:tr>
      <w:tr w14:paraId="4EBD5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0F0C63E2">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10.1</w:t>
            </w:r>
          </w:p>
        </w:tc>
        <w:tc>
          <w:tcPr>
            <w:tcW w:w="1174" w:type="pct"/>
            <w:vAlign w:val="center"/>
          </w:tcPr>
          <w:p w14:paraId="2D41F03B">
            <w:pPr>
              <w:pStyle w:val="48"/>
              <w:widowControl w:val="0"/>
              <w:spacing w:before="0" w:beforeAutospacing="0" w:after="0" w:afterAutospacing="0" w:line="360" w:lineRule="auto"/>
              <w:jc w:val="left"/>
              <w:rPr>
                <w:rFonts w:hint="eastAsia" w:ascii="宋体" w:hAnsi="宋体" w:eastAsia="宋体" w:cs="宋体"/>
                <w:b w:val="0"/>
                <w:sz w:val="24"/>
                <w:szCs w:val="24"/>
              </w:rPr>
            </w:pPr>
            <w:r>
              <w:rPr>
                <w:rFonts w:hint="eastAsia" w:ascii="宋体" w:hAnsi="宋体" w:eastAsia="宋体" w:cs="宋体"/>
                <w:b w:val="0"/>
                <w:sz w:val="24"/>
                <w:szCs w:val="24"/>
              </w:rPr>
              <w:t>投标保证金</w:t>
            </w:r>
          </w:p>
        </w:tc>
        <w:tc>
          <w:tcPr>
            <w:tcW w:w="3244" w:type="pct"/>
            <w:vAlign w:val="center"/>
          </w:tcPr>
          <w:p w14:paraId="19C03123">
            <w:pPr>
              <w:spacing w:line="360" w:lineRule="auto"/>
              <w:rPr>
                <w:rFonts w:hint="eastAsia" w:ascii="宋体" w:hAnsi="宋体" w:eastAsia="宋体" w:cs="宋体"/>
                <w:sz w:val="24"/>
                <w:szCs w:val="24"/>
              </w:rPr>
            </w:pPr>
            <w:r>
              <w:rPr>
                <w:rFonts w:hint="eastAsia" w:ascii="宋体" w:hAnsi="宋体" w:eastAsia="宋体" w:cs="宋体"/>
                <w:bCs/>
                <w:kern w:val="0"/>
                <w:sz w:val="24"/>
                <w:szCs w:val="24"/>
              </w:rPr>
              <w:t>不收取</w:t>
            </w:r>
          </w:p>
        </w:tc>
      </w:tr>
      <w:tr w14:paraId="548CE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2FF806ED">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11.1</w:t>
            </w:r>
          </w:p>
        </w:tc>
        <w:tc>
          <w:tcPr>
            <w:tcW w:w="1174" w:type="pct"/>
            <w:vAlign w:val="center"/>
          </w:tcPr>
          <w:p w14:paraId="60AE4385">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投标有效期</w:t>
            </w:r>
          </w:p>
        </w:tc>
        <w:tc>
          <w:tcPr>
            <w:tcW w:w="3244" w:type="pct"/>
            <w:vAlign w:val="center"/>
          </w:tcPr>
          <w:p w14:paraId="01986B84">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u w:val="single"/>
              </w:rPr>
              <w:t xml:space="preserve"> 90</w:t>
            </w:r>
            <w:r>
              <w:rPr>
                <w:rFonts w:hint="eastAsia" w:ascii="宋体" w:hAnsi="宋体" w:eastAsia="宋体" w:cs="宋体"/>
                <w:b w:val="0"/>
                <w:sz w:val="24"/>
                <w:szCs w:val="24"/>
              </w:rPr>
              <w:t>日历日</w:t>
            </w:r>
          </w:p>
        </w:tc>
      </w:tr>
      <w:tr w14:paraId="2D8E7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45C80CE7">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13.1</w:t>
            </w:r>
          </w:p>
        </w:tc>
        <w:tc>
          <w:tcPr>
            <w:tcW w:w="1174" w:type="pct"/>
            <w:vAlign w:val="center"/>
          </w:tcPr>
          <w:p w14:paraId="62CC1BC6">
            <w:pPr>
              <w:pStyle w:val="48"/>
              <w:widowControl w:val="0"/>
              <w:spacing w:before="0" w:beforeAutospacing="0" w:after="0" w:afterAutospacing="0" w:line="360" w:lineRule="auto"/>
              <w:jc w:val="both"/>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投标文件解密时间</w:t>
            </w:r>
          </w:p>
        </w:tc>
        <w:tc>
          <w:tcPr>
            <w:tcW w:w="3244" w:type="pct"/>
            <w:vAlign w:val="center"/>
          </w:tcPr>
          <w:p w14:paraId="4C2E96F6">
            <w:pPr>
              <w:pStyle w:val="48"/>
              <w:widowControl w:val="0"/>
              <w:spacing w:before="0" w:beforeAutospacing="0" w:after="0" w:afterAutospacing="0" w:line="360" w:lineRule="auto"/>
              <w:jc w:val="both"/>
              <w:rPr>
                <w:rFonts w:hint="eastAsia" w:ascii="宋体" w:hAnsi="宋体" w:eastAsia="宋体" w:cs="宋体"/>
                <w:b w:val="0"/>
                <w:sz w:val="24"/>
                <w:szCs w:val="24"/>
                <w:highlight w:val="none"/>
                <w:u w:val="single"/>
              </w:rPr>
            </w:pPr>
            <w:r>
              <w:rPr>
                <w:rFonts w:hint="eastAsia" w:ascii="宋体" w:hAnsi="宋体" w:eastAsia="宋体" w:cs="宋体"/>
                <w:b w:val="0"/>
                <w:sz w:val="24"/>
                <w:szCs w:val="24"/>
                <w:highlight w:val="none"/>
              </w:rPr>
              <w:t>投标截止时间后</w:t>
            </w:r>
            <w:r>
              <w:rPr>
                <w:rFonts w:hint="eastAsia" w:ascii="宋体" w:hAnsi="宋体" w:eastAsia="宋体" w:cs="宋体"/>
                <w:b w:val="0"/>
                <w:sz w:val="24"/>
                <w:szCs w:val="24"/>
                <w:highlight w:val="none"/>
                <w:u w:val="single"/>
                <w:lang w:val="en-US" w:eastAsia="zh-CN"/>
              </w:rPr>
              <w:t>60</w:t>
            </w:r>
            <w:r>
              <w:rPr>
                <w:rFonts w:hint="eastAsia" w:ascii="宋体" w:hAnsi="宋体" w:eastAsia="宋体" w:cs="宋体"/>
                <w:b w:val="0"/>
                <w:sz w:val="24"/>
                <w:szCs w:val="24"/>
                <w:highlight w:val="none"/>
              </w:rPr>
              <w:t>分钟内</w:t>
            </w:r>
          </w:p>
        </w:tc>
      </w:tr>
      <w:tr w14:paraId="73CD1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52E786FC">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highlight w:val="yellow"/>
              </w:rPr>
            </w:pPr>
            <w:r>
              <w:rPr>
                <w:rFonts w:hint="eastAsia" w:ascii="宋体" w:hAnsi="宋体" w:eastAsia="宋体" w:cs="宋体"/>
                <w:bCs/>
                <w:kern w:val="2"/>
                <w:sz w:val="24"/>
                <w:szCs w:val="24"/>
                <w:highlight w:val="none"/>
              </w:rPr>
              <w:t>14.1</w:t>
            </w:r>
          </w:p>
        </w:tc>
        <w:tc>
          <w:tcPr>
            <w:tcW w:w="1174" w:type="pct"/>
            <w:vAlign w:val="center"/>
          </w:tcPr>
          <w:p w14:paraId="5B690B0F">
            <w:pPr>
              <w:pStyle w:val="48"/>
              <w:widowControl w:val="0"/>
              <w:spacing w:before="0" w:beforeAutospacing="0" w:after="0" w:afterAutospacing="0" w:line="360" w:lineRule="auto"/>
              <w:jc w:val="both"/>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资格审查</w:t>
            </w:r>
          </w:p>
        </w:tc>
        <w:tc>
          <w:tcPr>
            <w:tcW w:w="3244" w:type="pct"/>
            <w:vAlign w:val="center"/>
          </w:tcPr>
          <w:p w14:paraId="0043E846">
            <w:pPr>
              <w:pStyle w:val="48"/>
              <w:widowControl w:val="0"/>
              <w:spacing w:before="0" w:beforeAutospacing="0" w:after="0" w:afterAutospacing="0" w:line="360" w:lineRule="auto"/>
              <w:jc w:val="both"/>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☑采购人审查</w:t>
            </w:r>
          </w:p>
          <w:p w14:paraId="1E94A80D">
            <w:pPr>
              <w:pStyle w:val="48"/>
              <w:widowControl w:val="0"/>
              <w:spacing w:before="0" w:beforeAutospacing="0" w:after="0" w:afterAutospacing="0" w:line="360" w:lineRule="auto"/>
              <w:jc w:val="both"/>
              <w:rPr>
                <w:rFonts w:hint="eastAsia" w:ascii="宋体" w:hAnsi="宋体" w:eastAsia="宋体" w:cs="宋体"/>
                <w:b w:val="0"/>
                <w:sz w:val="24"/>
                <w:szCs w:val="24"/>
                <w:highlight w:val="none"/>
                <w:u w:val="single"/>
              </w:rPr>
            </w:pPr>
            <w:r>
              <w:rPr>
                <w:rFonts w:hint="eastAsia" w:ascii="宋体" w:hAnsi="宋体" w:eastAsia="宋体" w:cs="宋体"/>
                <w:b w:val="0"/>
                <w:bCs w:val="0"/>
                <w:sz w:val="24"/>
                <w:szCs w:val="24"/>
                <w:highlight w:val="none"/>
              </w:rPr>
              <w:t>□采购人出具委托函委托采购代理机构进行审查</w:t>
            </w:r>
          </w:p>
        </w:tc>
      </w:tr>
      <w:tr w14:paraId="0303F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4CC159BB">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17.2</w:t>
            </w:r>
          </w:p>
        </w:tc>
        <w:tc>
          <w:tcPr>
            <w:tcW w:w="1174" w:type="pct"/>
            <w:vAlign w:val="center"/>
          </w:tcPr>
          <w:p w14:paraId="44CC5B6F">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评标方法</w:t>
            </w:r>
          </w:p>
        </w:tc>
        <w:tc>
          <w:tcPr>
            <w:tcW w:w="3244" w:type="pct"/>
            <w:vAlign w:val="center"/>
          </w:tcPr>
          <w:p w14:paraId="0F739E92">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bCs w:val="0"/>
                <w:sz w:val="24"/>
                <w:szCs w:val="24"/>
              </w:rPr>
              <w:t>□</w:t>
            </w:r>
            <w:r>
              <w:rPr>
                <w:rFonts w:hint="eastAsia" w:ascii="宋体" w:hAnsi="宋体" w:eastAsia="宋体" w:cs="宋体"/>
                <w:b w:val="0"/>
                <w:sz w:val="24"/>
                <w:szCs w:val="24"/>
              </w:rPr>
              <w:t>最低评标价法</w:t>
            </w:r>
          </w:p>
          <w:p w14:paraId="5B0494B9">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bCs w:val="0"/>
                <w:sz w:val="24"/>
                <w:szCs w:val="24"/>
              </w:rPr>
              <w:t>☑</w:t>
            </w:r>
            <w:r>
              <w:rPr>
                <w:rFonts w:hint="eastAsia" w:ascii="宋体" w:hAnsi="宋体" w:eastAsia="宋体" w:cs="宋体"/>
                <w:b w:val="0"/>
                <w:sz w:val="24"/>
                <w:szCs w:val="24"/>
              </w:rPr>
              <w:t>综合评分法</w:t>
            </w:r>
          </w:p>
        </w:tc>
      </w:tr>
      <w:tr w14:paraId="723C2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4ADDC391">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17.3</w:t>
            </w:r>
          </w:p>
        </w:tc>
        <w:tc>
          <w:tcPr>
            <w:tcW w:w="1174" w:type="pct"/>
            <w:vAlign w:val="center"/>
          </w:tcPr>
          <w:p w14:paraId="4408B9E7">
            <w:pPr>
              <w:pStyle w:val="48"/>
              <w:widowControl w:val="0"/>
              <w:spacing w:before="0" w:beforeAutospacing="0" w:after="0" w:afterAutospacing="0" w:line="360" w:lineRule="auto"/>
              <w:jc w:val="both"/>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报价扣除</w:t>
            </w:r>
          </w:p>
          <w:p w14:paraId="44714995">
            <w:pPr>
              <w:pStyle w:val="48"/>
              <w:widowControl w:val="0"/>
              <w:spacing w:before="0" w:beforeAutospacing="0" w:after="0" w:afterAutospacing="0" w:line="360" w:lineRule="auto"/>
              <w:jc w:val="both"/>
              <w:rPr>
                <w:rFonts w:hint="eastAsia" w:ascii="宋体" w:hAnsi="宋体" w:eastAsia="宋体" w:cs="宋体"/>
                <w:b w:val="0"/>
                <w:i/>
                <w:sz w:val="24"/>
                <w:szCs w:val="24"/>
                <w:highlight w:val="none"/>
              </w:rPr>
            </w:pPr>
            <w:r>
              <w:rPr>
                <w:rFonts w:hint="eastAsia" w:ascii="宋体" w:hAnsi="宋体" w:eastAsia="宋体" w:cs="宋体"/>
                <w:b w:val="0"/>
                <w:i/>
                <w:sz w:val="24"/>
                <w:szCs w:val="24"/>
                <w:highlight w:val="none"/>
              </w:rPr>
              <w:t>（非专门面向中小企业采购项目适用）</w:t>
            </w:r>
          </w:p>
        </w:tc>
        <w:tc>
          <w:tcPr>
            <w:tcW w:w="3244" w:type="pct"/>
            <w:vAlign w:val="center"/>
          </w:tcPr>
          <w:p w14:paraId="142F1770">
            <w:pPr>
              <w:pStyle w:val="48"/>
              <w:widowControl w:val="0"/>
              <w:spacing w:before="0" w:beforeAutospacing="0" w:after="0" w:afterAutospacing="0" w:line="360" w:lineRule="auto"/>
              <w:jc w:val="both"/>
              <w:rPr>
                <w:rFonts w:hint="eastAsia" w:ascii="宋体" w:hAnsi="宋体" w:eastAsia="宋体" w:cs="宋体"/>
                <w:b w:val="0"/>
                <w:sz w:val="24"/>
                <w:szCs w:val="24"/>
                <w:highlight w:val="none"/>
                <w:u w:val="single"/>
              </w:rPr>
            </w:pPr>
            <w:r>
              <w:rPr>
                <w:rFonts w:hint="eastAsia" w:ascii="宋体" w:hAnsi="宋体" w:eastAsia="宋体" w:cs="宋体"/>
                <w:b w:val="0"/>
                <w:sz w:val="24"/>
                <w:szCs w:val="24"/>
                <w:highlight w:val="none"/>
              </w:rPr>
              <w:t>（1）小型和微型企业价格扣除：</w:t>
            </w:r>
            <w:r>
              <w:rPr>
                <w:rFonts w:hint="eastAsia" w:ascii="宋体" w:hAnsi="宋体" w:eastAsia="宋体" w:cs="宋体"/>
                <w:b w:val="0"/>
                <w:sz w:val="24"/>
                <w:szCs w:val="24"/>
                <w:highlight w:val="none"/>
                <w:u w:val="single"/>
                <w:lang w:val="en-US" w:eastAsia="zh-CN"/>
              </w:rPr>
              <w:t>对小型和微型企业产品的价格给予10%的扣除后参与评审；其评审价=投标报价*90%</w:t>
            </w:r>
            <w:r>
              <w:rPr>
                <w:rFonts w:hint="eastAsia" w:ascii="宋体" w:hAnsi="宋体" w:eastAsia="宋体" w:cs="宋体"/>
                <w:b w:val="0"/>
                <w:sz w:val="24"/>
                <w:szCs w:val="24"/>
                <w:highlight w:val="none"/>
                <w:u w:val="single"/>
              </w:rPr>
              <w:t>。</w:t>
            </w:r>
          </w:p>
          <w:p w14:paraId="750AD022">
            <w:pPr>
              <w:pStyle w:val="48"/>
              <w:widowControl w:val="0"/>
              <w:spacing w:before="0" w:beforeAutospacing="0" w:after="0" w:afterAutospacing="0" w:line="360" w:lineRule="auto"/>
              <w:jc w:val="both"/>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（2）监狱企业价格扣除：同小型和微型企业。</w:t>
            </w:r>
          </w:p>
          <w:p w14:paraId="778D16F4">
            <w:pPr>
              <w:pStyle w:val="48"/>
              <w:widowControl w:val="0"/>
              <w:spacing w:before="0" w:beforeAutospacing="0" w:after="0" w:afterAutospacing="0" w:line="360" w:lineRule="auto"/>
              <w:jc w:val="both"/>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（3）残疾人福利性单位价格扣除：同小型和微型企业。</w:t>
            </w:r>
          </w:p>
          <w:p w14:paraId="3C6FE767">
            <w:pPr>
              <w:pStyle w:val="48"/>
              <w:widowControl w:val="0"/>
              <w:spacing w:before="0" w:beforeAutospacing="0" w:after="0" w:afterAutospacing="0" w:line="360" w:lineRule="auto"/>
              <w:jc w:val="both"/>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（4）符合条件的联合体价格扣除：</w:t>
            </w:r>
            <w:r>
              <w:rPr>
                <w:rFonts w:hint="eastAsia" w:ascii="宋体" w:hAnsi="宋体" w:eastAsia="宋体" w:cs="宋体"/>
                <w:b w:val="0"/>
                <w:sz w:val="24"/>
                <w:szCs w:val="24"/>
                <w:highlight w:val="none"/>
                <w:u w:val="single"/>
              </w:rPr>
              <w:t xml:space="preserve">  /  </w:t>
            </w:r>
            <w:r>
              <w:rPr>
                <w:rFonts w:hint="eastAsia" w:ascii="宋体" w:hAnsi="宋体" w:eastAsia="宋体" w:cs="宋体"/>
                <w:b w:val="0"/>
                <w:sz w:val="24"/>
                <w:szCs w:val="24"/>
                <w:highlight w:val="none"/>
              </w:rPr>
              <w:t>。</w:t>
            </w:r>
          </w:p>
          <w:p w14:paraId="34F95B61">
            <w:pPr>
              <w:pStyle w:val="48"/>
              <w:widowControl w:val="0"/>
              <w:spacing w:before="0" w:beforeAutospacing="0" w:after="0" w:afterAutospacing="0" w:line="360" w:lineRule="auto"/>
              <w:jc w:val="both"/>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（5）符合条件的向小微企业分包的大中型企业价格扣除：</w:t>
            </w:r>
            <w:r>
              <w:rPr>
                <w:rFonts w:hint="eastAsia" w:ascii="宋体" w:hAnsi="宋体" w:eastAsia="宋体" w:cs="宋体"/>
                <w:b w:val="0"/>
                <w:sz w:val="24"/>
                <w:szCs w:val="24"/>
                <w:highlight w:val="none"/>
                <w:u w:val="single"/>
              </w:rPr>
              <w:t xml:space="preserve"> / </w:t>
            </w:r>
            <w:r>
              <w:rPr>
                <w:rFonts w:hint="eastAsia" w:ascii="宋体" w:hAnsi="宋体" w:eastAsia="宋体" w:cs="宋体"/>
                <w:b w:val="0"/>
                <w:sz w:val="24"/>
                <w:szCs w:val="24"/>
                <w:highlight w:val="none"/>
              </w:rPr>
              <w:t>。</w:t>
            </w:r>
            <w:r>
              <w:rPr>
                <w:rFonts w:hint="eastAsia" w:ascii="宋体" w:hAnsi="宋体" w:eastAsia="宋体" w:cs="宋体"/>
                <w:b w:val="0"/>
                <w:i/>
                <w:sz w:val="24"/>
                <w:szCs w:val="24"/>
                <w:highlight w:val="none"/>
              </w:rPr>
              <w:t>（允许大中型企业向小微企业分包的项目适用）</w:t>
            </w:r>
          </w:p>
        </w:tc>
      </w:tr>
      <w:tr w14:paraId="2F82E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0D080EEA">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21.1</w:t>
            </w:r>
          </w:p>
        </w:tc>
        <w:tc>
          <w:tcPr>
            <w:tcW w:w="1174" w:type="pct"/>
            <w:vAlign w:val="center"/>
          </w:tcPr>
          <w:p w14:paraId="0685C9DB">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评标委员会推荐中标候选人的数量</w:t>
            </w:r>
          </w:p>
        </w:tc>
        <w:tc>
          <w:tcPr>
            <w:tcW w:w="3244" w:type="pct"/>
            <w:vAlign w:val="center"/>
          </w:tcPr>
          <w:p w14:paraId="639D288F">
            <w:pPr>
              <w:pStyle w:val="48"/>
              <w:widowControl w:val="0"/>
              <w:spacing w:before="0" w:beforeAutospacing="0" w:after="0" w:afterAutospacing="0" w:line="360" w:lineRule="auto"/>
              <w:jc w:val="both"/>
              <w:rPr>
                <w:rFonts w:hint="eastAsia" w:ascii="宋体" w:hAnsi="宋体" w:eastAsia="宋体" w:cs="宋体"/>
                <w:b w:val="0"/>
                <w:sz w:val="24"/>
                <w:szCs w:val="24"/>
                <w:u w:val="single"/>
              </w:rPr>
            </w:pPr>
            <w:r>
              <w:rPr>
                <w:rFonts w:hint="eastAsia" w:ascii="宋体" w:hAnsi="宋体" w:eastAsia="宋体" w:cs="宋体"/>
                <w:b w:val="0"/>
                <w:sz w:val="24"/>
                <w:szCs w:val="24"/>
                <w:u w:val="single"/>
                <w:lang w:val="en-US" w:eastAsia="zh-CN"/>
              </w:rPr>
              <w:t>1-</w:t>
            </w:r>
            <w:r>
              <w:rPr>
                <w:rFonts w:hint="eastAsia" w:ascii="宋体" w:hAnsi="宋体" w:eastAsia="宋体" w:cs="宋体"/>
                <w:b w:val="0"/>
                <w:sz w:val="24"/>
                <w:szCs w:val="24"/>
                <w:u w:val="single"/>
              </w:rPr>
              <w:t>3家</w:t>
            </w:r>
          </w:p>
        </w:tc>
      </w:tr>
      <w:tr w14:paraId="1F0A1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50A673BF">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21.2</w:t>
            </w:r>
          </w:p>
        </w:tc>
        <w:tc>
          <w:tcPr>
            <w:tcW w:w="1174" w:type="pct"/>
            <w:vAlign w:val="center"/>
          </w:tcPr>
          <w:p w14:paraId="1742F9B6">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确定中标人</w:t>
            </w:r>
          </w:p>
        </w:tc>
        <w:tc>
          <w:tcPr>
            <w:tcW w:w="3244" w:type="pct"/>
            <w:vAlign w:val="center"/>
          </w:tcPr>
          <w:p w14:paraId="47F5E9B2">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sym w:font="Wingdings" w:char="00A8"/>
            </w:r>
            <w:r>
              <w:rPr>
                <w:rFonts w:hint="eastAsia" w:ascii="宋体" w:hAnsi="宋体" w:eastAsia="宋体" w:cs="宋体"/>
                <w:kern w:val="0"/>
                <w:sz w:val="24"/>
                <w:szCs w:val="24"/>
              </w:rPr>
              <w:t>采购人委托评标委员会确定</w:t>
            </w:r>
          </w:p>
          <w:p w14:paraId="60BE2B40">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bCs w:val="0"/>
                <w:kern w:val="2"/>
                <w:sz w:val="24"/>
                <w:szCs w:val="24"/>
                <w:highlight w:val="none"/>
                <w:lang w:eastAsia="zh-CN"/>
              </w:rPr>
              <w:t>☑</w:t>
            </w:r>
            <w:r>
              <w:rPr>
                <w:rFonts w:hint="eastAsia" w:ascii="宋体" w:hAnsi="宋体" w:eastAsia="宋体" w:cs="宋体"/>
                <w:b w:val="0"/>
                <w:bCs w:val="0"/>
                <w:kern w:val="2"/>
                <w:sz w:val="24"/>
                <w:szCs w:val="24"/>
                <w:highlight w:val="none"/>
              </w:rPr>
              <w:t>采购人确定</w:t>
            </w:r>
          </w:p>
        </w:tc>
      </w:tr>
      <w:tr w14:paraId="02468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30A519AC">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23.3</w:t>
            </w:r>
          </w:p>
        </w:tc>
        <w:tc>
          <w:tcPr>
            <w:tcW w:w="1174" w:type="pct"/>
            <w:vAlign w:val="center"/>
          </w:tcPr>
          <w:p w14:paraId="0B586D35">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随中标结果公告同时公告的内容</w:t>
            </w:r>
          </w:p>
        </w:tc>
        <w:tc>
          <w:tcPr>
            <w:tcW w:w="3244" w:type="pct"/>
            <w:vAlign w:val="center"/>
          </w:tcPr>
          <w:p w14:paraId="0588A3E1">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（1）中小企业声明函；</w:t>
            </w:r>
            <w:r>
              <w:rPr>
                <w:rFonts w:hint="eastAsia" w:ascii="宋体" w:hAnsi="宋体" w:eastAsia="宋体" w:cs="宋体"/>
                <w:b w:val="0"/>
                <w:i/>
                <w:iCs/>
                <w:sz w:val="24"/>
                <w:szCs w:val="24"/>
              </w:rPr>
              <w:t>（如有）</w:t>
            </w:r>
          </w:p>
          <w:p w14:paraId="0460B38B">
            <w:pPr>
              <w:pStyle w:val="48"/>
              <w:widowControl w:val="0"/>
              <w:spacing w:before="0" w:beforeAutospacing="0" w:after="0" w:afterAutospacing="0" w:line="360" w:lineRule="auto"/>
              <w:jc w:val="both"/>
              <w:rPr>
                <w:rFonts w:hint="eastAsia" w:ascii="宋体" w:hAnsi="宋体" w:eastAsia="宋体" w:cs="宋体"/>
                <w:b w:val="0"/>
                <w:i/>
                <w:sz w:val="24"/>
                <w:szCs w:val="24"/>
              </w:rPr>
            </w:pPr>
            <w:r>
              <w:rPr>
                <w:rFonts w:hint="eastAsia" w:ascii="宋体" w:hAnsi="宋体" w:eastAsia="宋体" w:cs="宋体"/>
                <w:b w:val="0"/>
                <w:sz w:val="24"/>
                <w:szCs w:val="24"/>
              </w:rPr>
              <w:t>（2）残疾人福利性单位声明函；</w:t>
            </w:r>
            <w:r>
              <w:rPr>
                <w:rFonts w:hint="eastAsia" w:ascii="宋体" w:hAnsi="宋体" w:eastAsia="宋体" w:cs="宋体"/>
                <w:b w:val="0"/>
                <w:i/>
                <w:iCs/>
                <w:sz w:val="24"/>
                <w:szCs w:val="24"/>
              </w:rPr>
              <w:t>（如有）</w:t>
            </w:r>
          </w:p>
          <w:p w14:paraId="0F5AEF50">
            <w:pPr>
              <w:pStyle w:val="48"/>
              <w:widowControl w:val="0"/>
              <w:spacing w:before="0" w:beforeAutospacing="0" w:after="0" w:afterAutospacing="0" w:line="360" w:lineRule="auto"/>
              <w:jc w:val="both"/>
              <w:rPr>
                <w:rFonts w:hint="eastAsia" w:ascii="宋体" w:hAnsi="宋体" w:eastAsia="宋体" w:cs="宋体"/>
                <w:b w:val="0"/>
                <w:i/>
                <w:iCs/>
                <w:sz w:val="24"/>
                <w:szCs w:val="24"/>
              </w:rPr>
            </w:pPr>
            <w:r>
              <w:rPr>
                <w:rFonts w:hint="eastAsia" w:ascii="宋体" w:hAnsi="宋体" w:eastAsia="宋体" w:cs="宋体"/>
                <w:b w:val="0"/>
                <w:sz w:val="24"/>
                <w:szCs w:val="24"/>
              </w:rPr>
              <w:t>（3）中标（成交）供应商的评审总得分</w:t>
            </w:r>
            <w:r>
              <w:rPr>
                <w:rFonts w:hint="eastAsia" w:ascii="宋体" w:hAnsi="宋体" w:eastAsia="宋体" w:cs="宋体"/>
                <w:b w:val="0"/>
                <w:i/>
                <w:iCs/>
                <w:sz w:val="24"/>
                <w:szCs w:val="24"/>
              </w:rPr>
              <w:t>（适用综合评分法）</w:t>
            </w:r>
          </w:p>
          <w:p w14:paraId="33DBFB42">
            <w:pPr>
              <w:pStyle w:val="48"/>
              <w:widowControl w:val="0"/>
              <w:spacing w:before="0" w:beforeAutospacing="0" w:after="0" w:afterAutospacing="0" w:line="360" w:lineRule="auto"/>
              <w:jc w:val="both"/>
              <w:rPr>
                <w:rFonts w:hint="eastAsia" w:ascii="宋体" w:hAnsi="宋体" w:eastAsia="宋体" w:cs="宋体"/>
                <w:b w:val="0"/>
                <w:bCs w:val="0"/>
                <w:sz w:val="24"/>
                <w:szCs w:val="24"/>
              </w:rPr>
            </w:pPr>
            <w:r>
              <w:rPr>
                <w:rFonts w:hint="eastAsia" w:ascii="宋体" w:hAnsi="宋体" w:eastAsia="宋体" w:cs="宋体"/>
                <w:b w:val="0"/>
                <w:sz w:val="24"/>
                <w:szCs w:val="24"/>
              </w:rPr>
              <w:t>（4）投标人业绩；</w:t>
            </w:r>
            <w:r>
              <w:rPr>
                <w:rFonts w:hint="eastAsia" w:ascii="宋体" w:hAnsi="宋体" w:eastAsia="宋体" w:cs="宋体"/>
                <w:b w:val="0"/>
                <w:i/>
                <w:iCs/>
                <w:sz w:val="24"/>
                <w:szCs w:val="24"/>
              </w:rPr>
              <w:t>（如有）</w:t>
            </w:r>
            <w:r>
              <w:rPr>
                <w:rFonts w:hint="eastAsia" w:ascii="宋体" w:hAnsi="宋体" w:eastAsia="宋体" w:cs="宋体"/>
                <w:b w:val="0"/>
                <w:sz w:val="24"/>
                <w:szCs w:val="24"/>
              </w:rPr>
              <w:t xml:space="preserve">   </w:t>
            </w:r>
          </w:p>
        </w:tc>
      </w:tr>
      <w:tr w14:paraId="43771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0BB8A96F">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24.1</w:t>
            </w:r>
          </w:p>
        </w:tc>
        <w:tc>
          <w:tcPr>
            <w:tcW w:w="1174" w:type="pct"/>
            <w:vAlign w:val="center"/>
          </w:tcPr>
          <w:p w14:paraId="046C410A">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中标通知书发出的形式</w:t>
            </w:r>
          </w:p>
        </w:tc>
        <w:tc>
          <w:tcPr>
            <w:tcW w:w="3244" w:type="pct"/>
            <w:vAlign w:val="center"/>
          </w:tcPr>
          <w:p w14:paraId="03D6B1A9">
            <w:pPr>
              <w:pStyle w:val="48"/>
              <w:widowControl w:val="0"/>
              <w:spacing w:before="0" w:beforeAutospacing="0" w:after="0" w:afterAutospacing="0" w:line="360" w:lineRule="auto"/>
              <w:jc w:val="both"/>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 xml:space="preserve">书面     </w:t>
            </w:r>
            <w:r>
              <w:rPr>
                <w:rFonts w:hint="eastAsia" w:ascii="宋体" w:hAnsi="宋体" w:eastAsia="宋体" w:cs="宋体"/>
                <w:b w:val="0"/>
                <w:bCs w:val="0"/>
                <w:sz w:val="24"/>
                <w:szCs w:val="24"/>
              </w:rPr>
              <w:sym w:font="Wingdings" w:char="00A8"/>
            </w:r>
            <w:r>
              <w:rPr>
                <w:rFonts w:hint="eastAsia" w:ascii="宋体" w:hAnsi="宋体" w:eastAsia="宋体" w:cs="宋体"/>
                <w:b w:val="0"/>
                <w:bCs w:val="0"/>
                <w:sz w:val="24"/>
                <w:szCs w:val="24"/>
              </w:rPr>
              <w:t>数据电文</w:t>
            </w:r>
          </w:p>
        </w:tc>
      </w:tr>
      <w:tr w14:paraId="23C9A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1F959B80">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25.1</w:t>
            </w:r>
          </w:p>
        </w:tc>
        <w:tc>
          <w:tcPr>
            <w:tcW w:w="1174" w:type="pct"/>
            <w:vAlign w:val="center"/>
          </w:tcPr>
          <w:p w14:paraId="138C0C1A">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告知招标结果的形式</w:t>
            </w:r>
          </w:p>
        </w:tc>
        <w:tc>
          <w:tcPr>
            <w:tcW w:w="3244" w:type="pct"/>
            <w:vAlign w:val="center"/>
          </w:tcPr>
          <w:p w14:paraId="4D37ECB2">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sym w:font="Wingdings" w:char="00FE"/>
            </w:r>
            <w:r>
              <w:rPr>
                <w:rFonts w:hint="eastAsia" w:ascii="宋体" w:hAnsi="宋体" w:eastAsia="宋体" w:cs="宋体"/>
                <w:kern w:val="0"/>
                <w:sz w:val="24"/>
                <w:szCs w:val="24"/>
              </w:rPr>
              <w:t>投标人自行登录电子</w:t>
            </w:r>
            <w:r>
              <w:rPr>
                <w:rFonts w:hint="eastAsia" w:ascii="宋体" w:hAnsi="宋体" w:eastAsia="宋体" w:cs="宋体"/>
                <w:sz w:val="24"/>
                <w:szCs w:val="24"/>
              </w:rPr>
              <w:t>交易</w:t>
            </w:r>
            <w:r>
              <w:rPr>
                <w:rFonts w:hint="eastAsia" w:ascii="宋体" w:hAnsi="宋体" w:eastAsia="宋体" w:cs="宋体"/>
                <w:kern w:val="0"/>
                <w:sz w:val="24"/>
                <w:szCs w:val="24"/>
              </w:rPr>
              <w:t>系统查看</w:t>
            </w:r>
          </w:p>
          <w:p w14:paraId="29BD5CF7">
            <w:pPr>
              <w:pStyle w:val="48"/>
              <w:widowControl w:val="0"/>
              <w:spacing w:before="0" w:beforeAutospacing="0" w:after="0" w:afterAutospacing="0" w:line="360" w:lineRule="auto"/>
              <w:jc w:val="both"/>
              <w:rPr>
                <w:rFonts w:hint="eastAsia" w:ascii="宋体" w:hAnsi="宋体" w:eastAsia="宋体" w:cs="宋体"/>
                <w:b w:val="0"/>
                <w:bCs w:val="0"/>
                <w:kern w:val="2"/>
                <w:sz w:val="24"/>
                <w:szCs w:val="24"/>
              </w:rPr>
            </w:pPr>
            <w:r>
              <w:rPr>
                <w:rFonts w:hint="eastAsia" w:ascii="宋体" w:hAnsi="宋体" w:eastAsia="宋体" w:cs="宋体"/>
                <w:b w:val="0"/>
                <w:bCs w:val="0"/>
                <w:kern w:val="2"/>
                <w:sz w:val="24"/>
                <w:szCs w:val="24"/>
              </w:rPr>
              <w:t>□评标现场告知</w:t>
            </w:r>
          </w:p>
        </w:tc>
      </w:tr>
      <w:tr w14:paraId="23735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1C9294D4">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26.1</w:t>
            </w:r>
          </w:p>
        </w:tc>
        <w:tc>
          <w:tcPr>
            <w:tcW w:w="1174" w:type="pct"/>
            <w:vAlign w:val="center"/>
          </w:tcPr>
          <w:p w14:paraId="1F3218A6">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履约保证金</w:t>
            </w:r>
          </w:p>
        </w:tc>
        <w:tc>
          <w:tcPr>
            <w:tcW w:w="3244" w:type="pct"/>
          </w:tcPr>
          <w:p w14:paraId="6DF74EEE">
            <w:pPr>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（1）金额：</w:t>
            </w:r>
          </w:p>
          <w:p w14:paraId="31530D85">
            <w:pPr>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免收</w:t>
            </w:r>
          </w:p>
          <w:p w14:paraId="6D128993">
            <w:pPr>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合同价的</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u w:val="single"/>
                <w:lang w:val="en-US" w:eastAsia="zh-CN"/>
              </w:rPr>
              <w:t>2.5</w:t>
            </w:r>
            <w:r>
              <w:rPr>
                <w:rFonts w:hint="eastAsia" w:ascii="宋体" w:hAnsi="宋体" w:eastAsia="宋体" w:cs="宋体"/>
                <w:bCs/>
                <w:kern w:val="0"/>
                <w:sz w:val="24"/>
                <w:szCs w:val="24"/>
              </w:rPr>
              <w:t>%</w:t>
            </w:r>
          </w:p>
          <w:p w14:paraId="39CA7C42">
            <w:pPr>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□定额收取：人民币</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元</w:t>
            </w:r>
          </w:p>
          <w:p w14:paraId="27595AB4">
            <w:pPr>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（2）支付方式：</w:t>
            </w:r>
          </w:p>
          <w:p w14:paraId="6BC97093">
            <w:pPr>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sym w:font="Wingdings" w:char="00FE"/>
            </w:r>
            <w:r>
              <w:rPr>
                <w:rFonts w:hint="eastAsia" w:ascii="宋体" w:hAnsi="宋体" w:eastAsia="宋体" w:cs="宋体"/>
                <w:bCs/>
                <w:kern w:val="0"/>
                <w:sz w:val="24"/>
                <w:szCs w:val="24"/>
              </w:rPr>
              <w:t xml:space="preserve">转账/电汇 </w:t>
            </w:r>
            <w:r>
              <w:rPr>
                <w:rFonts w:hint="eastAsia" w:ascii="宋体" w:hAnsi="宋体" w:eastAsia="宋体" w:cs="宋体"/>
                <w:bCs/>
                <w:kern w:val="0"/>
                <w:sz w:val="24"/>
                <w:szCs w:val="24"/>
              </w:rPr>
              <w:sym w:font="Wingdings" w:char="00FE"/>
            </w:r>
            <w:r>
              <w:rPr>
                <w:rFonts w:hint="eastAsia" w:ascii="宋体" w:hAnsi="宋体" w:eastAsia="宋体" w:cs="宋体"/>
                <w:bCs/>
                <w:kern w:val="0"/>
                <w:sz w:val="24"/>
                <w:szCs w:val="24"/>
              </w:rPr>
              <w:t xml:space="preserve">支票 </w:t>
            </w:r>
            <w:r>
              <w:rPr>
                <w:rFonts w:hint="eastAsia" w:ascii="宋体" w:hAnsi="宋体" w:eastAsia="宋体" w:cs="宋体"/>
                <w:bCs/>
                <w:kern w:val="0"/>
                <w:sz w:val="24"/>
                <w:szCs w:val="24"/>
              </w:rPr>
              <w:sym w:font="Wingdings" w:char="00FE"/>
            </w:r>
            <w:r>
              <w:rPr>
                <w:rFonts w:hint="eastAsia" w:ascii="宋体" w:hAnsi="宋体" w:eastAsia="宋体" w:cs="宋体"/>
                <w:bCs/>
                <w:kern w:val="0"/>
                <w:sz w:val="24"/>
                <w:szCs w:val="24"/>
              </w:rPr>
              <w:t xml:space="preserve">汇票 </w:t>
            </w:r>
            <w:r>
              <w:rPr>
                <w:rFonts w:hint="eastAsia" w:ascii="宋体" w:hAnsi="宋体" w:eastAsia="宋体" w:cs="宋体"/>
                <w:bCs/>
                <w:kern w:val="0"/>
                <w:sz w:val="24"/>
                <w:szCs w:val="24"/>
              </w:rPr>
              <w:sym w:font="Wingdings" w:char="00FE"/>
            </w:r>
            <w:r>
              <w:rPr>
                <w:rFonts w:hint="eastAsia" w:ascii="宋体" w:hAnsi="宋体" w:eastAsia="宋体" w:cs="宋体"/>
                <w:bCs/>
                <w:kern w:val="0"/>
                <w:sz w:val="24"/>
                <w:szCs w:val="24"/>
              </w:rPr>
              <w:t xml:space="preserve">本票 </w:t>
            </w:r>
            <w:r>
              <w:rPr>
                <w:rFonts w:hint="eastAsia" w:ascii="宋体" w:hAnsi="宋体" w:eastAsia="宋体" w:cs="宋体"/>
                <w:bCs/>
                <w:kern w:val="0"/>
                <w:sz w:val="24"/>
                <w:szCs w:val="24"/>
              </w:rPr>
              <w:sym w:font="Wingdings" w:char="00FE"/>
            </w:r>
            <w:r>
              <w:rPr>
                <w:rFonts w:hint="eastAsia" w:ascii="宋体" w:hAnsi="宋体" w:eastAsia="宋体" w:cs="宋体"/>
                <w:bCs/>
                <w:kern w:val="0"/>
                <w:sz w:val="24"/>
                <w:szCs w:val="24"/>
              </w:rPr>
              <w:t xml:space="preserve">保险 </w:t>
            </w:r>
            <w:r>
              <w:rPr>
                <w:rFonts w:hint="eastAsia" w:ascii="宋体" w:hAnsi="宋体" w:eastAsia="宋体" w:cs="宋体"/>
                <w:bCs/>
                <w:kern w:val="0"/>
                <w:sz w:val="24"/>
                <w:szCs w:val="24"/>
              </w:rPr>
              <w:sym w:font="Wingdings" w:char="00FE"/>
            </w:r>
            <w:r>
              <w:rPr>
                <w:rFonts w:hint="eastAsia" w:ascii="宋体" w:hAnsi="宋体" w:eastAsia="宋体" w:cs="宋体"/>
                <w:bCs/>
                <w:kern w:val="0"/>
                <w:sz w:val="24"/>
                <w:szCs w:val="24"/>
              </w:rPr>
              <w:t>保函</w:t>
            </w:r>
          </w:p>
          <w:p w14:paraId="31C1A981">
            <w:pPr>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（3）收取单位：</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u w:val="single"/>
                <w:lang w:val="en-US" w:eastAsia="zh-CN"/>
              </w:rPr>
              <w:t>采购人</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 xml:space="preserve">              </w:t>
            </w:r>
          </w:p>
          <w:p w14:paraId="32EA4D95">
            <w:pPr>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（4）收取账号：</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u w:val="single"/>
                <w:lang w:val="en-US" w:eastAsia="zh-CN"/>
              </w:rPr>
              <w:t>中标后提供</w:t>
            </w:r>
            <w:r>
              <w:rPr>
                <w:rFonts w:hint="eastAsia" w:ascii="宋体" w:hAnsi="宋体" w:eastAsia="宋体" w:cs="宋体"/>
                <w:bCs/>
                <w:kern w:val="0"/>
                <w:sz w:val="24"/>
                <w:szCs w:val="24"/>
                <w:u w:val="single"/>
              </w:rPr>
              <w:t xml:space="preserve">   </w:t>
            </w:r>
          </w:p>
          <w:p w14:paraId="184D0208">
            <w:pPr>
              <w:spacing w:line="360" w:lineRule="auto"/>
              <w:rPr>
                <w:rFonts w:hint="eastAsia" w:ascii="宋体" w:hAnsi="宋体" w:eastAsia="宋体" w:cs="宋体"/>
                <w:sz w:val="24"/>
                <w:szCs w:val="24"/>
                <w:highlight w:val="none"/>
                <w:u w:val="single"/>
              </w:rPr>
            </w:pPr>
            <w:r>
              <w:rPr>
                <w:rFonts w:hint="eastAsia" w:ascii="宋体" w:hAnsi="宋体" w:eastAsia="宋体" w:cs="宋体"/>
                <w:bCs/>
                <w:kern w:val="0"/>
                <w:sz w:val="24"/>
                <w:szCs w:val="24"/>
              </w:rPr>
              <w:t>（5）</w:t>
            </w:r>
            <w:r>
              <w:rPr>
                <w:rFonts w:hint="eastAsia" w:ascii="宋体" w:hAnsi="宋体" w:eastAsia="宋体" w:cs="宋体"/>
                <w:sz w:val="24"/>
                <w:szCs w:val="24"/>
              </w:rPr>
              <w:t>退还时间：</w:t>
            </w:r>
            <w:r>
              <w:rPr>
                <w:rFonts w:hint="eastAsia" w:ascii="宋体" w:hAnsi="宋体" w:eastAsia="宋体" w:cs="宋体"/>
                <w:sz w:val="24"/>
                <w:szCs w:val="24"/>
                <w:u w:val="single"/>
                <w:lang w:eastAsia="zh-CN"/>
              </w:rPr>
              <w:t>项目验收结束后</w:t>
            </w:r>
            <w:r>
              <w:rPr>
                <w:rFonts w:hint="eastAsia" w:ascii="宋体" w:hAnsi="宋体" w:eastAsia="宋体" w:cs="宋体"/>
                <w:sz w:val="24"/>
                <w:szCs w:val="24"/>
                <w:highlight w:val="none"/>
                <w:u w:val="single"/>
                <w:lang w:val="en-US" w:eastAsia="zh-CN"/>
              </w:rPr>
              <w:t>。</w:t>
            </w:r>
          </w:p>
          <w:p w14:paraId="6FC8ECF3">
            <w:pPr>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注意事项：</w:t>
            </w:r>
          </w:p>
          <w:p w14:paraId="7A8A75C4">
            <w:pPr>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（1）以上各类机构出具的以担保函、保证保险承担责任的方式均须满足无条件见索即付条件。</w:t>
            </w:r>
          </w:p>
          <w:p w14:paraId="0EE632DD">
            <w:pPr>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（2）以担保函、保证保险形式缴纳履约保证金的，受益人和收取单位须为采购人。</w:t>
            </w:r>
          </w:p>
        </w:tc>
      </w:tr>
      <w:tr w14:paraId="3B194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16619870">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27.1</w:t>
            </w:r>
          </w:p>
        </w:tc>
        <w:tc>
          <w:tcPr>
            <w:tcW w:w="1174" w:type="pct"/>
            <w:vAlign w:val="center"/>
          </w:tcPr>
          <w:p w14:paraId="6B580D1E">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签订合同和合同公告时间</w:t>
            </w:r>
          </w:p>
        </w:tc>
        <w:tc>
          <w:tcPr>
            <w:tcW w:w="3244" w:type="pct"/>
          </w:tcPr>
          <w:p w14:paraId="5D50365F">
            <w:pPr>
              <w:pStyle w:val="23"/>
              <w:widowControl/>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（1）采购人与中标人应当自发出中标通知书之日起7个工作日内签订合同，采购合同签订之日起2个工作日内完成政府采购合同公开。</w:t>
            </w:r>
          </w:p>
          <w:p w14:paraId="7A0EC8D1">
            <w:pPr>
              <w:pStyle w:val="23"/>
              <w:widowControl/>
              <w:spacing w:before="0" w:beforeAutospacing="0" w:after="0" w:afterAutospacing="0" w:line="360" w:lineRule="auto"/>
              <w:rPr>
                <w:rFonts w:hint="eastAsia" w:ascii="宋体" w:hAnsi="宋体" w:eastAsia="宋体" w:cs="宋体"/>
                <w:b/>
                <w:bCs/>
                <w:sz w:val="24"/>
                <w:szCs w:val="24"/>
              </w:rPr>
            </w:pPr>
            <w:r>
              <w:rPr>
                <w:rFonts w:hint="eastAsia" w:ascii="宋体" w:hAnsi="宋体" w:eastAsia="宋体" w:cs="宋体"/>
                <w:sz w:val="24"/>
                <w:szCs w:val="24"/>
              </w:rPr>
              <w:t>（2）采购人与中标人不得擅自变更合同，依照政府采购法确需变更政府采购合同内容的，采购人应当自合同变更之日起2个工作日内在安徽省政府采购网发布政府采购合同变更公告，但涉及国家秘密、商业秘密的信息和其他依法不得公开的信息除外。</w:t>
            </w:r>
          </w:p>
        </w:tc>
      </w:tr>
      <w:tr w14:paraId="36E0E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36BBB7C5">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28.1</w:t>
            </w:r>
          </w:p>
        </w:tc>
        <w:tc>
          <w:tcPr>
            <w:tcW w:w="1174" w:type="pct"/>
            <w:vAlign w:val="center"/>
          </w:tcPr>
          <w:p w14:paraId="4E413F2E">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代理费用</w:t>
            </w:r>
          </w:p>
        </w:tc>
        <w:tc>
          <w:tcPr>
            <w:tcW w:w="3244" w:type="pct"/>
            <w:vAlign w:val="center"/>
          </w:tcPr>
          <w:p w14:paraId="21F0F452">
            <w:pPr>
              <w:spacing w:before="39" w:line="360" w:lineRule="auto"/>
              <w:rPr>
                <w:rFonts w:hint="eastAsia" w:ascii="宋体" w:hAnsi="宋体" w:eastAsia="宋体" w:cs="宋体"/>
                <w:sz w:val="24"/>
                <w:szCs w:val="24"/>
              </w:rPr>
            </w:pPr>
            <w:r>
              <w:rPr>
                <w:rFonts w:hint="eastAsia" w:ascii="宋体" w:hAnsi="宋体" w:eastAsia="宋体" w:cs="宋体"/>
                <w:bCs/>
                <w:kern w:val="0"/>
                <w:sz w:val="24"/>
                <w:szCs w:val="24"/>
              </w:rPr>
              <w:t>（1）收费对象</w:t>
            </w:r>
            <w:r>
              <w:rPr>
                <w:rFonts w:hint="eastAsia" w:ascii="宋体" w:hAnsi="宋体" w:eastAsia="宋体" w:cs="宋体"/>
                <w:spacing w:val="-12"/>
                <w:sz w:val="24"/>
                <w:szCs w:val="24"/>
              </w:rPr>
              <w:t>：</w:t>
            </w:r>
            <w:r>
              <w:rPr>
                <w:rFonts w:hint="eastAsia" w:ascii="宋体" w:hAnsi="宋体" w:eastAsia="宋体" w:cs="宋体"/>
                <w:bCs/>
                <w:kern w:val="0"/>
                <w:sz w:val="24"/>
                <w:szCs w:val="24"/>
              </w:rPr>
              <w:sym w:font="Wingdings" w:char="00A8"/>
            </w:r>
            <w:r>
              <w:rPr>
                <w:rFonts w:hint="eastAsia" w:ascii="宋体" w:hAnsi="宋体" w:eastAsia="宋体" w:cs="宋体"/>
                <w:spacing w:val="14"/>
                <w:sz w:val="24"/>
                <w:szCs w:val="24"/>
              </w:rPr>
              <w:t xml:space="preserve">采购人   </w:t>
            </w:r>
            <w:r>
              <w:rPr>
                <w:rFonts w:hint="eastAsia" w:ascii="宋体" w:hAnsi="宋体" w:eastAsia="宋体" w:cs="宋体"/>
                <w:bCs/>
                <w:kern w:val="0"/>
                <w:sz w:val="24"/>
                <w:szCs w:val="24"/>
              </w:rPr>
              <w:sym w:font="Wingdings" w:char="00FE"/>
            </w:r>
            <w:r>
              <w:rPr>
                <w:rFonts w:hint="eastAsia" w:ascii="宋体" w:hAnsi="宋体" w:eastAsia="宋体" w:cs="宋体"/>
                <w:spacing w:val="14"/>
                <w:sz w:val="24"/>
                <w:szCs w:val="24"/>
              </w:rPr>
              <w:t>中标人</w:t>
            </w:r>
          </w:p>
          <w:p w14:paraId="6D154966">
            <w:pPr>
              <w:spacing w:before="24"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（2）收取方式</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中标人在领取中标通知书时，一次性支付给代理公司。</w:t>
            </w:r>
            <w:r>
              <w:rPr>
                <w:rFonts w:hint="eastAsia" w:ascii="宋体" w:hAnsi="宋体" w:eastAsia="宋体" w:cs="宋体"/>
                <w:sz w:val="24"/>
                <w:szCs w:val="24"/>
                <w:u w:val="single"/>
              </w:rPr>
              <w:t xml:space="preserve"> </w:t>
            </w:r>
          </w:p>
          <w:p w14:paraId="52408327">
            <w:pPr>
              <w:pStyle w:val="48"/>
              <w:widowControl w:val="0"/>
              <w:spacing w:before="0" w:beforeAutospacing="0" w:after="0" w:afterAutospacing="0" w:line="360" w:lineRule="auto"/>
              <w:jc w:val="both"/>
              <w:rPr>
                <w:rFonts w:hint="eastAsia" w:ascii="宋体" w:hAnsi="宋体" w:eastAsia="宋体" w:cs="宋体"/>
                <w:b w:val="0"/>
                <w:sz w:val="24"/>
                <w:szCs w:val="24"/>
                <w:u w:val="single"/>
                <w:lang w:val="en-US" w:eastAsia="zh-CN"/>
              </w:rPr>
            </w:pPr>
            <w:r>
              <w:rPr>
                <w:rFonts w:hint="eastAsia" w:ascii="宋体" w:hAnsi="宋体" w:eastAsia="宋体" w:cs="宋体"/>
                <w:b w:val="0"/>
                <w:bCs w:val="0"/>
                <w:sz w:val="24"/>
                <w:szCs w:val="24"/>
              </w:rPr>
              <w:t>（3）</w:t>
            </w:r>
            <w:r>
              <w:rPr>
                <w:rFonts w:hint="eastAsia" w:ascii="宋体" w:hAnsi="宋体" w:eastAsia="宋体" w:cs="宋体"/>
                <w:b w:val="0"/>
                <w:sz w:val="24"/>
                <w:szCs w:val="24"/>
                <w:u w:val="single"/>
                <w:lang w:val="en-US" w:eastAsia="zh-CN"/>
              </w:rPr>
              <w:t xml:space="preserve">收费标准：参照发改办价格〔2003〕857 号文件、计价格〔2002〕1980 号文件规定“货物”收费标准的70%计取， </w:t>
            </w:r>
          </w:p>
          <w:p w14:paraId="3D85D8BE">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u w:val="single"/>
                <w:lang w:val="en-US" w:eastAsia="zh-CN"/>
              </w:rPr>
              <w:t>不足4000元的，按4000元收取，投标人在报价单中不单列，包含在总价中。</w:t>
            </w:r>
          </w:p>
          <w:p w14:paraId="3B3DCD78">
            <w:pPr>
              <w:pStyle w:val="48"/>
              <w:widowControl w:val="0"/>
              <w:spacing w:before="0" w:beforeAutospacing="0" w:after="0" w:afterAutospacing="0" w:line="360" w:lineRule="auto"/>
              <w:jc w:val="both"/>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（4）支付方式：</w:t>
            </w:r>
            <w:r>
              <w:rPr>
                <w:rFonts w:hint="eastAsia" w:ascii="宋体" w:hAnsi="宋体" w:eastAsia="宋体" w:cs="宋体"/>
                <w:b w:val="0"/>
                <w:sz w:val="24"/>
                <w:szCs w:val="24"/>
                <w:u w:val="single"/>
                <w:lang w:val="en-US" w:eastAsia="zh-CN"/>
              </w:rPr>
              <w:t>☑转账/电汇</w:t>
            </w:r>
          </w:p>
          <w:p w14:paraId="4DCBB986">
            <w:pPr>
              <w:pStyle w:val="48"/>
              <w:widowControl w:val="0"/>
              <w:spacing w:before="0" w:beforeAutospacing="0" w:after="0" w:afterAutospacing="0" w:line="360" w:lineRule="auto"/>
              <w:jc w:val="both"/>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（5）收取单位：</w:t>
            </w:r>
            <w:r>
              <w:rPr>
                <w:rFonts w:hint="eastAsia" w:ascii="宋体" w:hAnsi="宋体" w:eastAsia="宋体" w:cs="宋体"/>
                <w:b w:val="0"/>
                <w:sz w:val="24"/>
                <w:szCs w:val="24"/>
                <w:u w:val="single"/>
                <w:lang w:val="en-US" w:eastAsia="zh-CN"/>
              </w:rPr>
              <w:t>大成工程咨询有限公司</w:t>
            </w:r>
          </w:p>
          <w:p w14:paraId="782DABDD">
            <w:pPr>
              <w:pStyle w:val="48"/>
              <w:widowControl w:val="0"/>
              <w:spacing w:before="0" w:beforeAutospacing="0" w:after="0" w:afterAutospacing="0" w:line="360" w:lineRule="auto"/>
              <w:jc w:val="both"/>
              <w:rPr>
                <w:rFonts w:hint="eastAsia" w:ascii="宋体" w:hAnsi="宋体" w:eastAsia="宋体" w:cs="宋体"/>
                <w:b w:val="0"/>
                <w:sz w:val="24"/>
                <w:szCs w:val="24"/>
                <w:highlight w:val="yellow"/>
              </w:rPr>
            </w:pPr>
            <w:r>
              <w:rPr>
                <w:rFonts w:hint="eastAsia" w:ascii="宋体" w:hAnsi="宋体" w:eastAsia="宋体" w:cs="宋体"/>
                <w:b w:val="0"/>
                <w:sz w:val="24"/>
                <w:szCs w:val="24"/>
                <w:lang w:val="en-US" w:eastAsia="zh-CN"/>
              </w:rPr>
              <w:t>（6）缴纳单位：</w:t>
            </w:r>
            <w:r>
              <w:rPr>
                <w:rFonts w:hint="eastAsia" w:ascii="宋体" w:hAnsi="宋体" w:eastAsia="宋体" w:cs="宋体"/>
                <w:b w:val="0"/>
                <w:sz w:val="24"/>
                <w:szCs w:val="24"/>
                <w:u w:val="single"/>
                <w:lang w:val="en-US" w:eastAsia="zh-CN"/>
              </w:rPr>
              <w:t>本项目中标人</w:t>
            </w:r>
          </w:p>
        </w:tc>
      </w:tr>
      <w:tr w14:paraId="0B68B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2205CC87">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31.3</w:t>
            </w:r>
          </w:p>
        </w:tc>
        <w:tc>
          <w:tcPr>
            <w:tcW w:w="1174" w:type="pct"/>
            <w:vAlign w:val="center"/>
          </w:tcPr>
          <w:p w14:paraId="599A1631">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质疑函递交方式、接收部门、联系电话和通讯地址</w:t>
            </w:r>
          </w:p>
        </w:tc>
        <w:tc>
          <w:tcPr>
            <w:tcW w:w="3244" w:type="pct"/>
            <w:vAlign w:val="center"/>
          </w:tcPr>
          <w:p w14:paraId="3E5582AC">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递交方式：</w:t>
            </w:r>
            <w:r>
              <w:rPr>
                <w:rFonts w:hint="eastAsia" w:ascii="宋体" w:hAnsi="宋体" w:eastAsia="宋体" w:cs="宋体"/>
                <w:b w:val="0"/>
                <w:sz w:val="24"/>
                <w:szCs w:val="24"/>
                <w:u w:val="single"/>
              </w:rPr>
              <w:t>书面形式</w:t>
            </w:r>
            <w:r>
              <w:rPr>
                <w:rFonts w:hint="eastAsia" w:ascii="宋体" w:hAnsi="宋体" w:eastAsia="宋体" w:cs="宋体"/>
                <w:b w:val="0"/>
                <w:sz w:val="24"/>
                <w:szCs w:val="24"/>
              </w:rPr>
              <w:t xml:space="preserve">  </w:t>
            </w:r>
          </w:p>
          <w:p w14:paraId="2E085EBF">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接收部门：</w:t>
            </w:r>
            <w:r>
              <w:rPr>
                <w:rFonts w:hint="eastAsia" w:ascii="宋体" w:hAnsi="宋体" w:eastAsia="宋体" w:cs="宋体"/>
                <w:b w:val="0"/>
                <w:sz w:val="24"/>
                <w:szCs w:val="24"/>
                <w:u w:val="single"/>
                <w:lang w:eastAsia="zh-CN"/>
              </w:rPr>
              <w:t>大成工程咨询有限公司</w:t>
            </w:r>
            <w:r>
              <w:rPr>
                <w:rFonts w:hint="eastAsia" w:ascii="宋体" w:hAnsi="宋体" w:eastAsia="宋体" w:cs="宋体"/>
                <w:b w:val="0"/>
                <w:sz w:val="24"/>
                <w:szCs w:val="24"/>
                <w:u w:val="single"/>
              </w:rPr>
              <w:t xml:space="preserve">  </w:t>
            </w:r>
          </w:p>
          <w:p w14:paraId="39FF91D7">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联系电话：</w:t>
            </w:r>
            <w:r>
              <w:rPr>
                <w:rFonts w:hint="eastAsia" w:ascii="宋体" w:hAnsi="宋体" w:eastAsia="宋体" w:cs="宋体"/>
                <w:b w:val="0"/>
                <w:sz w:val="24"/>
                <w:szCs w:val="24"/>
                <w:u w:val="single"/>
                <w:lang w:val="en-US" w:eastAsia="zh-CN"/>
              </w:rPr>
              <w:t>18956009907</w:t>
            </w:r>
            <w:r>
              <w:rPr>
                <w:rFonts w:hint="eastAsia" w:ascii="宋体" w:hAnsi="宋体" w:eastAsia="宋体" w:cs="宋体"/>
                <w:b w:val="0"/>
                <w:sz w:val="24"/>
                <w:szCs w:val="24"/>
                <w:u w:val="single"/>
              </w:rPr>
              <w:t xml:space="preserve">、18955170287  </w:t>
            </w:r>
          </w:p>
          <w:p w14:paraId="29575D94">
            <w:pPr>
              <w:pStyle w:val="48"/>
              <w:widowControl w:val="0"/>
              <w:spacing w:before="0" w:beforeAutospacing="0" w:after="0" w:afterAutospacing="0" w:line="360" w:lineRule="auto"/>
              <w:jc w:val="both"/>
              <w:rPr>
                <w:rFonts w:hint="eastAsia" w:ascii="宋体" w:hAnsi="宋体" w:eastAsia="宋体" w:cs="宋体"/>
                <w:b w:val="0"/>
                <w:sz w:val="24"/>
                <w:szCs w:val="24"/>
                <w:lang w:val="en-US"/>
              </w:rPr>
            </w:pPr>
            <w:r>
              <w:rPr>
                <w:rFonts w:hint="eastAsia" w:ascii="宋体" w:hAnsi="宋体" w:eastAsia="宋体" w:cs="宋体"/>
                <w:b w:val="0"/>
                <w:sz w:val="24"/>
                <w:szCs w:val="24"/>
              </w:rPr>
              <w:t>通讯地址：</w:t>
            </w:r>
            <w:r>
              <w:rPr>
                <w:rFonts w:hint="eastAsia" w:ascii="宋体" w:hAnsi="宋体" w:eastAsia="宋体" w:cs="宋体"/>
                <w:b w:val="0"/>
                <w:sz w:val="24"/>
                <w:szCs w:val="24"/>
                <w:u w:val="single"/>
                <w:lang w:val="en-US" w:eastAsia="zh-CN"/>
              </w:rPr>
              <w:t>合肥市滨湖新区徽州大道与扬子江路交口合肥金融港A5栋906</w:t>
            </w:r>
          </w:p>
        </w:tc>
      </w:tr>
      <w:tr w14:paraId="62316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1" w:type="pct"/>
            <w:vAlign w:val="center"/>
          </w:tcPr>
          <w:p w14:paraId="5D4A48CF">
            <w:pPr>
              <w:pStyle w:val="49"/>
              <w:pBdr>
                <w:bottom w:val="none" w:color="auto" w:sz="0" w:space="0"/>
              </w:pBdr>
              <w:tabs>
                <w:tab w:val="clear" w:pos="4153"/>
                <w:tab w:val="clear" w:pos="8306"/>
              </w:tabs>
              <w:adjustRightInd/>
              <w:spacing w:line="240" w:lineRule="auto"/>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32</w:t>
            </w:r>
          </w:p>
        </w:tc>
        <w:tc>
          <w:tcPr>
            <w:tcW w:w="1174" w:type="pct"/>
            <w:vAlign w:val="center"/>
          </w:tcPr>
          <w:p w14:paraId="26C82497">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其他内容</w:t>
            </w:r>
          </w:p>
        </w:tc>
        <w:tc>
          <w:tcPr>
            <w:tcW w:w="3244" w:type="pct"/>
            <w:vAlign w:val="center"/>
          </w:tcPr>
          <w:p w14:paraId="4877F512">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1、解释权：</w:t>
            </w:r>
          </w:p>
          <w:p w14:paraId="3D4DEF2A">
            <w:pPr>
              <w:spacing w:line="360" w:lineRule="auto"/>
              <w:rPr>
                <w:rFonts w:hint="eastAsia" w:ascii="宋体" w:hAnsi="宋体" w:eastAsia="宋体" w:cs="宋体"/>
                <w:bCs/>
                <w:sz w:val="24"/>
                <w:szCs w:val="24"/>
              </w:rPr>
            </w:pPr>
            <w:r>
              <w:rPr>
                <w:rFonts w:hint="eastAsia" w:ascii="宋体" w:hAnsi="宋体" w:eastAsia="宋体" w:cs="宋体"/>
                <w:bCs/>
                <w:sz w:val="24"/>
                <w:szCs w:val="24"/>
              </w:rPr>
              <w:t>（1）构成本招标文件的各个组成文件应互为解释，互为说明；</w:t>
            </w:r>
          </w:p>
          <w:p w14:paraId="204DE686">
            <w:pPr>
              <w:spacing w:line="360" w:lineRule="auto"/>
              <w:rPr>
                <w:rFonts w:hint="eastAsia" w:ascii="宋体" w:hAnsi="宋体" w:eastAsia="宋体" w:cs="宋体"/>
                <w:bCs/>
                <w:sz w:val="24"/>
                <w:szCs w:val="24"/>
              </w:rPr>
            </w:pPr>
            <w:r>
              <w:rPr>
                <w:rFonts w:hint="eastAsia" w:ascii="宋体" w:hAnsi="宋体" w:eastAsia="宋体" w:cs="宋体"/>
                <w:bCs/>
                <w:sz w:val="24"/>
                <w:szCs w:val="24"/>
              </w:rPr>
              <w:t>（2）同一组成文件中就同一事项的规定或约定不一致的，以编排顺序在后者为准；</w:t>
            </w:r>
          </w:p>
          <w:p w14:paraId="2ABC417F">
            <w:pPr>
              <w:spacing w:line="360" w:lineRule="auto"/>
              <w:rPr>
                <w:rFonts w:hint="eastAsia" w:ascii="宋体" w:hAnsi="宋体" w:eastAsia="宋体" w:cs="宋体"/>
                <w:bCs/>
                <w:sz w:val="24"/>
                <w:szCs w:val="24"/>
              </w:rPr>
            </w:pPr>
            <w:r>
              <w:rPr>
                <w:rFonts w:hint="eastAsia" w:ascii="宋体" w:hAnsi="宋体" w:eastAsia="宋体" w:cs="宋体"/>
                <w:bCs/>
                <w:sz w:val="24"/>
                <w:szCs w:val="24"/>
              </w:rPr>
              <w:t>（3）如有不明确或不一致，构成合同文件组成内容的，以合同文件约定内容为准，且以专用合同条款约定的合同文件优先顺序解释；</w:t>
            </w:r>
          </w:p>
          <w:p w14:paraId="4B573E7B">
            <w:pPr>
              <w:spacing w:line="360" w:lineRule="auto"/>
              <w:rPr>
                <w:rFonts w:hint="eastAsia" w:ascii="宋体" w:hAnsi="宋体" w:eastAsia="宋体" w:cs="宋体"/>
                <w:bCs/>
                <w:sz w:val="24"/>
                <w:szCs w:val="24"/>
              </w:rPr>
            </w:pPr>
            <w:r>
              <w:rPr>
                <w:rFonts w:hint="eastAsia" w:ascii="宋体" w:hAnsi="宋体" w:eastAsia="宋体" w:cs="宋体"/>
                <w:bCs/>
                <w:sz w:val="24"/>
                <w:szCs w:val="24"/>
              </w:rPr>
              <w:t>（4）除招标文件中有特别规定外，仅适用于招标投标阶段的规定，按招标公告、投标邀请、投标人须知、评标方法和标准、投标文件格式的先后顺序解释；</w:t>
            </w:r>
          </w:p>
          <w:p w14:paraId="18368CBA">
            <w:pPr>
              <w:pStyle w:val="48"/>
              <w:widowControl w:val="0"/>
              <w:spacing w:before="0" w:beforeAutospacing="0" w:after="0" w:afterAutospacing="0" w:line="360" w:lineRule="auto"/>
              <w:jc w:val="both"/>
              <w:rPr>
                <w:rFonts w:hint="eastAsia" w:ascii="宋体" w:hAnsi="宋体" w:eastAsia="宋体" w:cs="宋体"/>
                <w:b w:val="0"/>
                <w:kern w:val="2"/>
                <w:sz w:val="24"/>
                <w:szCs w:val="24"/>
              </w:rPr>
            </w:pPr>
            <w:r>
              <w:rPr>
                <w:rFonts w:hint="eastAsia" w:ascii="宋体" w:hAnsi="宋体" w:eastAsia="宋体" w:cs="宋体"/>
                <w:b w:val="0"/>
                <w:kern w:val="2"/>
                <w:sz w:val="24"/>
                <w:szCs w:val="24"/>
              </w:rPr>
              <w:t>（5）按本款前述规定仍不能形成结论的，由采购人负责解释。</w:t>
            </w:r>
          </w:p>
          <w:p w14:paraId="620F64BD">
            <w:pPr>
              <w:spacing w:line="360" w:lineRule="auto"/>
              <w:rPr>
                <w:rFonts w:hint="eastAsia" w:ascii="宋体" w:hAnsi="宋体" w:eastAsia="宋体" w:cs="宋体"/>
                <w:bCs/>
                <w:sz w:val="24"/>
                <w:szCs w:val="24"/>
              </w:rPr>
            </w:pPr>
            <w:r>
              <w:rPr>
                <w:rFonts w:hint="eastAsia" w:ascii="宋体" w:hAnsi="宋体" w:eastAsia="宋体" w:cs="宋体"/>
                <w:bCs/>
                <w:sz w:val="24"/>
                <w:szCs w:val="24"/>
              </w:rPr>
              <w:t>2、“政采贷”融资指引：有融资需求的</w:t>
            </w:r>
            <w:r>
              <w:rPr>
                <w:rFonts w:hint="eastAsia" w:ascii="宋体" w:hAnsi="宋体" w:eastAsia="宋体" w:cs="宋体"/>
                <w:sz w:val="24"/>
                <w:szCs w:val="24"/>
              </w:rPr>
              <w:t>中标人</w:t>
            </w:r>
            <w:r>
              <w:rPr>
                <w:rFonts w:hint="eastAsia" w:ascii="宋体" w:hAnsi="宋体" w:eastAsia="宋体" w:cs="宋体"/>
                <w:bCs/>
                <w:sz w:val="24"/>
                <w:szCs w:val="24"/>
              </w:rPr>
              <w:t>在取得政府采购中标或成交通知书后，可访问安徽省政府采购网“政采贷”栏目，查看和联系第三方平台或者金融机构，商洽融资事项，确定融资意向。</w:t>
            </w:r>
            <w:r>
              <w:rPr>
                <w:rFonts w:hint="eastAsia" w:ascii="宋体" w:hAnsi="宋体" w:eastAsia="宋体" w:cs="宋体"/>
                <w:sz w:val="24"/>
                <w:szCs w:val="24"/>
              </w:rPr>
              <w:t>中标人</w:t>
            </w:r>
            <w:r>
              <w:rPr>
                <w:rFonts w:hint="eastAsia" w:ascii="宋体" w:hAnsi="宋体" w:eastAsia="宋体" w:cs="宋体"/>
                <w:bCs/>
                <w:sz w:val="24"/>
                <w:szCs w:val="24"/>
              </w:rPr>
              <w:t>签署政府采购中标（成交）合同后，登录“徽采云”金融服务模块，选择意向产品进行申请，并填写相关信息，“徽采云”金融服务模块将</w:t>
            </w:r>
            <w:r>
              <w:rPr>
                <w:rFonts w:hint="eastAsia" w:ascii="宋体" w:hAnsi="宋体" w:eastAsia="宋体" w:cs="宋体"/>
                <w:sz w:val="24"/>
                <w:szCs w:val="24"/>
              </w:rPr>
              <w:t>中标人</w:t>
            </w:r>
            <w:r>
              <w:rPr>
                <w:rFonts w:hint="eastAsia" w:ascii="宋体" w:hAnsi="宋体" w:eastAsia="宋体" w:cs="宋体"/>
                <w:bCs/>
                <w:sz w:val="24"/>
                <w:szCs w:val="24"/>
              </w:rPr>
              <w:t>融资申请信息推送第三方平台、意向金融机构。</w:t>
            </w:r>
          </w:p>
          <w:p w14:paraId="0E3FCB8A">
            <w:pPr>
              <w:pStyle w:val="48"/>
              <w:widowControl w:val="0"/>
              <w:spacing w:before="0" w:beforeAutospacing="0" w:after="0" w:afterAutospacing="0" w:line="360" w:lineRule="auto"/>
              <w:jc w:val="both"/>
              <w:rPr>
                <w:rFonts w:hint="eastAsia" w:ascii="宋体" w:hAnsi="宋体" w:eastAsia="宋体" w:cs="宋体"/>
                <w:b w:val="0"/>
                <w:kern w:val="2"/>
                <w:sz w:val="24"/>
                <w:szCs w:val="24"/>
              </w:rPr>
            </w:pPr>
            <w:r>
              <w:rPr>
                <w:rFonts w:hint="eastAsia" w:ascii="宋体" w:hAnsi="宋体" w:eastAsia="宋体" w:cs="宋体"/>
                <w:b w:val="0"/>
                <w:kern w:val="2"/>
                <w:sz w:val="24"/>
                <w:szCs w:val="24"/>
              </w:rPr>
              <w:t>3、电子保函指引：中标人可访问安徽省政府采购网“融资/保函”栏目，申请办理电子保函（包括：履约保函、预付款保函）。</w:t>
            </w:r>
          </w:p>
          <w:p w14:paraId="4C98638D">
            <w:pPr>
              <w:pStyle w:val="23"/>
              <w:spacing w:before="0" w:beforeAutospacing="0" w:after="0" w:afterAutospacing="0" w:line="360" w:lineRule="auto"/>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4</w:t>
            </w:r>
            <w:r>
              <w:rPr>
                <w:rFonts w:hint="eastAsia" w:ascii="宋体" w:hAnsi="宋体" w:eastAsia="宋体" w:cs="宋体"/>
                <w:bCs/>
                <w:kern w:val="2"/>
                <w:sz w:val="24"/>
                <w:szCs w:val="24"/>
                <w:lang w:bidi="ar"/>
              </w:rPr>
              <w:t>.同义词语：</w:t>
            </w:r>
          </w:p>
          <w:p w14:paraId="762DD443">
            <w:pPr>
              <w:pStyle w:val="23"/>
              <w:spacing w:before="0" w:beforeAutospacing="0" w:after="0" w:afterAutospacing="0" w:line="360" w:lineRule="auto"/>
              <w:jc w:val="both"/>
              <w:rPr>
                <w:rFonts w:hint="eastAsia" w:ascii="宋体" w:hAnsi="宋体" w:eastAsia="宋体" w:cs="宋体"/>
                <w:bCs/>
                <w:kern w:val="2"/>
                <w:sz w:val="24"/>
                <w:szCs w:val="24"/>
                <w:highlight w:val="none"/>
              </w:rPr>
            </w:pPr>
            <w:r>
              <w:rPr>
                <w:rFonts w:hint="eastAsia" w:ascii="宋体" w:hAnsi="宋体" w:eastAsia="宋体" w:cs="宋体"/>
                <w:bCs/>
                <w:kern w:val="2"/>
                <w:sz w:val="24"/>
                <w:szCs w:val="24"/>
                <w:highlight w:val="none"/>
                <w:lang w:bidi="ar"/>
              </w:rPr>
              <w:t>招标文件第六章投标文件格式中“招标人”、“供应商”，等同于“采购人”、“投标人”。</w:t>
            </w:r>
          </w:p>
          <w:p w14:paraId="4DDEBDFE">
            <w:pPr>
              <w:pStyle w:val="48"/>
              <w:widowControl w:val="0"/>
              <w:numPr>
                <w:ilvl w:val="0"/>
                <w:numId w:val="0"/>
              </w:numPr>
              <w:spacing w:before="0" w:beforeAutospacing="0" w:after="0" w:afterAutospacing="0" w:line="360" w:lineRule="auto"/>
              <w:jc w:val="both"/>
              <w:rPr>
                <w:rFonts w:hint="eastAsia" w:ascii="宋体" w:hAnsi="宋体" w:eastAsia="宋体" w:cs="宋体"/>
                <w:b w:val="0"/>
                <w:kern w:val="2"/>
                <w:sz w:val="24"/>
                <w:szCs w:val="24"/>
                <w:lang w:bidi="ar"/>
              </w:rPr>
            </w:pPr>
            <w:r>
              <w:rPr>
                <w:rFonts w:hint="eastAsia" w:ascii="宋体" w:hAnsi="宋体" w:eastAsia="宋体" w:cs="宋体"/>
                <w:b w:val="0"/>
                <w:bCs/>
                <w:kern w:val="2"/>
                <w:sz w:val="24"/>
                <w:szCs w:val="24"/>
                <w:lang w:val="en-US" w:eastAsia="zh-CN" w:bidi="ar"/>
              </w:rPr>
              <w:t>5.</w:t>
            </w:r>
            <w:r>
              <w:rPr>
                <w:rFonts w:hint="eastAsia" w:ascii="宋体" w:hAnsi="宋体" w:eastAsia="宋体" w:cs="宋体"/>
                <w:b w:val="0"/>
                <w:kern w:val="2"/>
                <w:sz w:val="24"/>
                <w:szCs w:val="24"/>
                <w:lang w:bidi="ar"/>
              </w:rPr>
              <w:t>落实政府采购支持节能产品、环境标志产品政策。</w:t>
            </w:r>
          </w:p>
          <w:p w14:paraId="4FD45797">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lang w:val="en-US" w:eastAsia="zh-CN"/>
              </w:rPr>
              <w:t>6.</w:t>
            </w:r>
            <w:r>
              <w:rPr>
                <w:rFonts w:hint="eastAsia" w:ascii="宋体" w:hAnsi="宋体" w:eastAsia="宋体" w:cs="宋体"/>
                <w:b w:val="0"/>
                <w:sz w:val="24"/>
                <w:szCs w:val="24"/>
              </w:rPr>
              <w:t>本项目招标文件中要求提供的社保证明材料为下述形式之一（投标文件中须提供扫描件）：</w:t>
            </w:r>
          </w:p>
          <w:p w14:paraId="238C0A01">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（1）社保局官方网站查询的缴费记录截图；</w:t>
            </w:r>
          </w:p>
          <w:p w14:paraId="65CC8E85">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（2）社保局的书面证明材料；</w:t>
            </w:r>
          </w:p>
          <w:p w14:paraId="5EB35C55">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（3）经投标人委托的第三方人力资源服务机构或与投标人有直接隶属关系的机构可以代缴社保，但须提供有关证明材料并经评标委员会确认。</w:t>
            </w:r>
          </w:p>
          <w:p w14:paraId="04878BC0">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（4）参与投标的院校，社保证明可以用以下任意一种：</w:t>
            </w:r>
          </w:p>
          <w:p w14:paraId="04BF27B4">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①加盖投标人公章的教师证（须为本单位人员）；</w:t>
            </w:r>
          </w:p>
          <w:p w14:paraId="2B06F7D4">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②医保证明材料。</w:t>
            </w:r>
          </w:p>
          <w:p w14:paraId="0807E4E6">
            <w:pPr>
              <w:pStyle w:val="48"/>
              <w:widowControl w:val="0"/>
              <w:spacing w:before="0" w:beforeAutospacing="0" w:after="0" w:afterAutospacing="0" w:line="360" w:lineRule="auto"/>
              <w:jc w:val="both"/>
              <w:rPr>
                <w:rFonts w:hint="eastAsia" w:ascii="宋体" w:hAnsi="宋体" w:eastAsia="宋体" w:cs="宋体"/>
                <w:b w:val="0"/>
                <w:sz w:val="24"/>
                <w:szCs w:val="24"/>
              </w:rPr>
            </w:pPr>
            <w:r>
              <w:rPr>
                <w:rFonts w:hint="eastAsia" w:ascii="宋体" w:hAnsi="宋体" w:eastAsia="宋体" w:cs="宋体"/>
                <w:b w:val="0"/>
                <w:sz w:val="24"/>
                <w:szCs w:val="24"/>
              </w:rPr>
              <w:t>（5）其他经评标委员会认可的证明材料。</w:t>
            </w:r>
          </w:p>
          <w:p w14:paraId="173B9AED">
            <w:pPr>
              <w:pStyle w:val="48"/>
              <w:widowControl w:val="0"/>
              <w:numPr>
                <w:ilvl w:val="0"/>
                <w:numId w:val="0"/>
              </w:numPr>
              <w:spacing w:before="0" w:beforeAutospacing="0" w:after="0" w:afterAutospacing="0" w:line="360" w:lineRule="auto"/>
              <w:jc w:val="both"/>
              <w:rPr>
                <w:rFonts w:hint="eastAsia" w:ascii="宋体" w:hAnsi="宋体" w:eastAsia="宋体" w:cs="宋体"/>
                <w:b w:val="0"/>
                <w:kern w:val="2"/>
                <w:sz w:val="24"/>
                <w:szCs w:val="24"/>
                <w:lang w:bidi="ar"/>
              </w:rPr>
            </w:pPr>
            <w:r>
              <w:rPr>
                <w:rFonts w:hint="eastAsia" w:ascii="宋体" w:hAnsi="宋体" w:eastAsia="宋体" w:cs="宋体"/>
                <w:b w:val="0"/>
                <w:iCs/>
                <w:sz w:val="24"/>
                <w:szCs w:val="24"/>
              </w:rPr>
              <w:t>（6）法定代表人参与项目的，无需提供社保证明材料，提供身份证明材料即可。</w:t>
            </w:r>
          </w:p>
        </w:tc>
      </w:tr>
    </w:tbl>
    <w:p w14:paraId="5D348981">
      <w:pPr>
        <w:spacing w:line="360" w:lineRule="auto"/>
        <w:jc w:val="center"/>
        <w:outlineLvl w:val="1"/>
        <w:rPr>
          <w:rFonts w:hint="eastAsia" w:asciiTheme="minorEastAsia" w:hAnsiTheme="minorEastAsia" w:eastAsiaTheme="minorEastAsia"/>
          <w:b/>
          <w:sz w:val="24"/>
        </w:rPr>
      </w:pPr>
      <w:r>
        <w:rPr>
          <w:rFonts w:asciiTheme="minorEastAsia" w:hAnsiTheme="minorEastAsia" w:eastAsiaTheme="minorEastAsia"/>
          <w:b/>
          <w:sz w:val="28"/>
        </w:rPr>
        <w:br w:type="page"/>
      </w:r>
      <w:bookmarkStart w:id="26" w:name="_Toc14880"/>
      <w:bookmarkStart w:id="27" w:name="_Toc24882"/>
      <w:r>
        <w:rPr>
          <w:rFonts w:hint="eastAsia" w:asciiTheme="minorEastAsia" w:hAnsiTheme="minorEastAsia" w:eastAsiaTheme="minorEastAsia"/>
          <w:b/>
          <w:sz w:val="24"/>
          <w:szCs w:val="24"/>
        </w:rPr>
        <w:t>二、</w:t>
      </w:r>
      <w:r>
        <w:rPr>
          <w:rFonts w:asciiTheme="minorEastAsia" w:hAnsiTheme="minorEastAsia" w:eastAsiaTheme="minorEastAsia"/>
          <w:b/>
          <w:sz w:val="24"/>
          <w:szCs w:val="24"/>
        </w:rPr>
        <w:t>投标人须知</w:t>
      </w:r>
      <w:r>
        <w:rPr>
          <w:rFonts w:hint="eastAsia" w:asciiTheme="minorEastAsia" w:hAnsiTheme="minorEastAsia" w:eastAsiaTheme="minorEastAsia"/>
          <w:b/>
          <w:sz w:val="24"/>
          <w:szCs w:val="24"/>
        </w:rPr>
        <w:t>正文</w:t>
      </w:r>
      <w:bookmarkEnd w:id="26"/>
      <w:bookmarkEnd w:id="27"/>
    </w:p>
    <w:p w14:paraId="2DF545F4">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1.采购人、采购代理机构及投标人</w:t>
      </w:r>
    </w:p>
    <w:p w14:paraId="3C213F04">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.1采购人：是指依法开展政府采购活动的国家机关、事业单位、团体组织。</w:t>
      </w:r>
    </w:p>
    <w:p w14:paraId="29024440">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.2采购代理机构：是指集中采购机构或从事采购代理业务的社会中介机构。</w:t>
      </w:r>
    </w:p>
    <w:p w14:paraId="5D9FF349">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.3政府采购监督管理部门：</w:t>
      </w:r>
      <w:r>
        <w:rPr>
          <w:rFonts w:hint="eastAsia" w:ascii="宋体" w:hAnsi="宋体" w:eastAsia="宋体"/>
          <w:sz w:val="24"/>
        </w:rPr>
        <w:t>各级人民政府指定的有关部门依法履行与政府采购活动有关的监督管理职责。</w:t>
      </w:r>
    </w:p>
    <w:p w14:paraId="273CAD49">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.4投标人：是指向采购人提供货物、工程或者服务的法人、</w:t>
      </w:r>
      <w:r>
        <w:rPr>
          <w:rFonts w:hint="eastAsia" w:ascii="宋体" w:hAnsi="宋体" w:eastAsia="宋体"/>
          <w:sz w:val="24"/>
        </w:rPr>
        <w:t>其他</w:t>
      </w:r>
      <w:r>
        <w:rPr>
          <w:rFonts w:ascii="宋体" w:hAnsi="宋体" w:eastAsia="宋体"/>
          <w:sz w:val="24"/>
        </w:rPr>
        <w:t>组织或者自然人。</w:t>
      </w:r>
      <w:r>
        <w:rPr>
          <w:rFonts w:hint="eastAsia" w:ascii="宋体" w:hAnsi="宋体" w:eastAsia="宋体"/>
          <w:sz w:val="24"/>
        </w:rPr>
        <w:t>分支机构不得参加政府采购活动，但银行、保险、石油石化、电力、电信等特殊行业除外。</w:t>
      </w:r>
      <w:r>
        <w:rPr>
          <w:rFonts w:ascii="宋体" w:hAnsi="宋体" w:eastAsia="宋体"/>
          <w:sz w:val="24"/>
        </w:rPr>
        <w:t>本项目的投标人须满足以下条件：</w:t>
      </w:r>
    </w:p>
    <w:p w14:paraId="4F420C8F">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4.</w:t>
      </w:r>
      <w:r>
        <w:rPr>
          <w:rFonts w:hint="eastAsia" w:ascii="宋体" w:hAnsi="宋体" w:eastAsia="宋体"/>
          <w:sz w:val="24"/>
        </w:rPr>
        <w:t>1</w:t>
      </w:r>
      <w:r>
        <w:rPr>
          <w:rFonts w:ascii="宋体" w:hAnsi="宋体" w:eastAsia="宋体"/>
          <w:sz w:val="24"/>
        </w:rPr>
        <w:t>具备《中华人民共和国政府采购法》第二十二条关于供应商条件的规定，遵守本项目采购人本级和上级财政部门政府采购的有关规定。</w:t>
      </w:r>
    </w:p>
    <w:p w14:paraId="62976495">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4.</w:t>
      </w:r>
      <w:r>
        <w:rPr>
          <w:rFonts w:hint="eastAsia" w:ascii="宋体" w:hAnsi="宋体" w:eastAsia="宋体"/>
          <w:sz w:val="24"/>
        </w:rPr>
        <w:t>2</w:t>
      </w:r>
      <w:r>
        <w:rPr>
          <w:rFonts w:ascii="宋体" w:hAnsi="宋体" w:eastAsia="宋体"/>
          <w:sz w:val="24"/>
        </w:rPr>
        <w:t>以采购代理机构认可的方式获得了本项目的招标文件。</w:t>
      </w:r>
    </w:p>
    <w:p w14:paraId="29221B43">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4.</w:t>
      </w:r>
      <w:r>
        <w:rPr>
          <w:rFonts w:hint="eastAsia" w:ascii="宋体" w:hAnsi="宋体" w:eastAsia="宋体"/>
          <w:sz w:val="24"/>
        </w:rPr>
        <w:t>3</w:t>
      </w:r>
      <w:r>
        <w:rPr>
          <w:rFonts w:ascii="宋体" w:hAnsi="宋体" w:eastAsia="宋体"/>
          <w:sz w:val="24"/>
        </w:rPr>
        <w:t>若</w:t>
      </w:r>
      <w:r>
        <w:rPr>
          <w:rFonts w:hint="eastAsia" w:ascii="宋体" w:hAnsi="宋体" w:eastAsia="宋体"/>
          <w:sz w:val="24"/>
        </w:rPr>
        <w:t>采购需求</w:t>
      </w:r>
      <w:r>
        <w:rPr>
          <w:rFonts w:ascii="宋体" w:hAnsi="宋体" w:eastAsia="宋体"/>
          <w:sz w:val="24"/>
        </w:rPr>
        <w:t>中写明允许采购进口产品，投标人应保证所投产品可履行合法报通关手续进入中国关境内。</w:t>
      </w:r>
    </w:p>
    <w:p w14:paraId="16DC5C65">
      <w:pPr>
        <w:spacing w:line="360" w:lineRule="auto"/>
        <w:ind w:firstLine="435"/>
        <w:rPr>
          <w:rFonts w:hint="eastAsia" w:ascii="宋体" w:hAnsi="宋体" w:eastAsia="宋体"/>
          <w:sz w:val="24"/>
        </w:rPr>
      </w:pPr>
      <w:r>
        <w:rPr>
          <w:rFonts w:hint="eastAsia" w:ascii="宋体" w:hAnsi="宋体" w:eastAsia="宋体"/>
          <w:sz w:val="24"/>
        </w:rPr>
        <w:t>若采购需求中未写明允许采购进口产品，如投标人所投产品为进口产品，其投标将被认定为</w:t>
      </w:r>
      <w:r>
        <w:rPr>
          <w:rFonts w:hint="eastAsia" w:ascii="宋体" w:hAnsi="宋体" w:eastAsia="宋体"/>
          <w:b/>
          <w:sz w:val="24"/>
        </w:rPr>
        <w:t>投标无效</w:t>
      </w:r>
      <w:r>
        <w:rPr>
          <w:rFonts w:hint="eastAsia" w:ascii="宋体" w:hAnsi="宋体" w:eastAsia="宋体"/>
          <w:sz w:val="24"/>
        </w:rPr>
        <w:t>。</w:t>
      </w:r>
    </w:p>
    <w:p w14:paraId="2689F5BB">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5</w:t>
      </w:r>
      <w:r>
        <w:rPr>
          <w:rFonts w:hint="eastAsia" w:ascii="宋体" w:hAnsi="宋体" w:eastAsia="宋体"/>
          <w:sz w:val="24"/>
        </w:rPr>
        <w:t>若招标公告</w:t>
      </w:r>
      <w:r>
        <w:rPr>
          <w:rFonts w:ascii="宋体" w:hAnsi="宋体" w:eastAsia="宋体"/>
          <w:sz w:val="24"/>
        </w:rPr>
        <w:t>中允许联合体投标，对联合体规定如下：</w:t>
      </w:r>
    </w:p>
    <w:p w14:paraId="7C848F07">
      <w:pPr>
        <w:spacing w:line="360" w:lineRule="auto"/>
        <w:ind w:firstLine="480" w:firstLineChars="200"/>
        <w:rPr>
          <w:rFonts w:hint="eastAsia" w:ascii="宋体" w:hAnsi="宋体" w:eastAsia="宋体"/>
          <w:sz w:val="24"/>
        </w:rPr>
      </w:pPr>
      <w:r>
        <w:rPr>
          <w:rFonts w:hint="eastAsia" w:ascii="宋体" w:hAnsi="宋体" w:eastAsia="宋体"/>
          <w:sz w:val="24"/>
        </w:rPr>
        <w:t>1.</w:t>
      </w:r>
      <w:r>
        <w:rPr>
          <w:rFonts w:ascii="宋体" w:hAnsi="宋体" w:eastAsia="宋体"/>
          <w:sz w:val="24"/>
        </w:rPr>
        <w:t>5.1两个以上供应商可以组成一个投标联合体，以一个投标人的身份投标。联合体投标的，</w:t>
      </w:r>
      <w:r>
        <w:rPr>
          <w:rFonts w:hint="eastAsia" w:ascii="宋体" w:hAnsi="宋体" w:eastAsia="宋体"/>
          <w:sz w:val="24"/>
        </w:rPr>
        <w:t>招标文件获取</w:t>
      </w:r>
      <w:r>
        <w:rPr>
          <w:rFonts w:ascii="宋体" w:hAnsi="宋体" w:eastAsia="宋体"/>
          <w:sz w:val="24"/>
        </w:rPr>
        <w:t>手续由联合体</w:t>
      </w:r>
      <w:r>
        <w:rPr>
          <w:rFonts w:hint="eastAsia" w:ascii="宋体" w:hAnsi="宋体" w:eastAsia="宋体"/>
          <w:sz w:val="24"/>
        </w:rPr>
        <w:t>中</w:t>
      </w:r>
      <w:r>
        <w:rPr>
          <w:rFonts w:ascii="宋体" w:hAnsi="宋体" w:eastAsia="宋体"/>
          <w:sz w:val="24"/>
        </w:rPr>
        <w:t>任</w:t>
      </w:r>
      <w:r>
        <w:rPr>
          <w:rFonts w:hint="eastAsia" w:ascii="宋体" w:hAnsi="宋体" w:eastAsia="宋体"/>
          <w:sz w:val="24"/>
        </w:rPr>
        <w:t>一成员单位</w:t>
      </w:r>
      <w:r>
        <w:rPr>
          <w:rFonts w:ascii="宋体" w:hAnsi="宋体" w:eastAsia="宋体"/>
          <w:sz w:val="24"/>
        </w:rPr>
        <w:t>办理均可。</w:t>
      </w:r>
    </w:p>
    <w:p w14:paraId="545F9C9F">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5.2联合体各方均应符合《中华人民共和国政府采购法》第二十二条规定的条件。</w:t>
      </w:r>
    </w:p>
    <w:p w14:paraId="7AF543F8">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5.3采购人根据采购项目对投标人的特殊要求，联合体中至少应当有一方符合相关规定。</w:t>
      </w:r>
    </w:p>
    <w:p w14:paraId="07D4FB7B">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5.4联合体各方应签订</w:t>
      </w:r>
      <w:r>
        <w:rPr>
          <w:rFonts w:hint="eastAsia" w:ascii="宋体" w:hAnsi="宋体" w:eastAsia="宋体"/>
          <w:sz w:val="24"/>
        </w:rPr>
        <w:t>联合协议</w:t>
      </w:r>
      <w:r>
        <w:rPr>
          <w:rFonts w:ascii="宋体" w:hAnsi="宋体" w:eastAsia="宋体"/>
          <w:sz w:val="24"/>
        </w:rPr>
        <w:t>，明确约定联合体各方承担的工作和相应的责任，并将</w:t>
      </w:r>
      <w:r>
        <w:rPr>
          <w:rFonts w:hint="eastAsia" w:ascii="宋体" w:hAnsi="宋体" w:eastAsia="宋体"/>
          <w:sz w:val="24"/>
        </w:rPr>
        <w:t>联合协议</w:t>
      </w:r>
      <w:r>
        <w:rPr>
          <w:rFonts w:ascii="宋体" w:hAnsi="宋体" w:eastAsia="宋体"/>
          <w:sz w:val="24"/>
        </w:rPr>
        <w:t>作为投标文件</w:t>
      </w:r>
      <w:r>
        <w:rPr>
          <w:rFonts w:hint="eastAsia" w:ascii="宋体" w:hAnsi="宋体" w:eastAsia="宋体"/>
          <w:sz w:val="24"/>
        </w:rPr>
        <w:t>的</w:t>
      </w:r>
      <w:r>
        <w:rPr>
          <w:rFonts w:ascii="宋体" w:hAnsi="宋体" w:eastAsia="宋体"/>
          <w:sz w:val="24"/>
        </w:rPr>
        <w:t>一部分提交。</w:t>
      </w:r>
    </w:p>
    <w:p w14:paraId="1971D799">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5.5大中型企业、其他自然人、法人或者非法人组织与小型、微型企业组成联合体共同参加投标，</w:t>
      </w:r>
      <w:r>
        <w:rPr>
          <w:rFonts w:hint="eastAsia" w:ascii="宋体" w:hAnsi="宋体" w:eastAsia="宋体"/>
          <w:sz w:val="24"/>
        </w:rPr>
        <w:t>联合协议中</w:t>
      </w:r>
      <w:r>
        <w:rPr>
          <w:rFonts w:ascii="宋体" w:hAnsi="宋体" w:eastAsia="宋体"/>
          <w:sz w:val="24"/>
        </w:rPr>
        <w:t>应写明小型、微型企业的协议合同金额占到</w:t>
      </w:r>
      <w:r>
        <w:rPr>
          <w:rFonts w:hint="eastAsia" w:ascii="宋体" w:hAnsi="宋体" w:eastAsia="宋体"/>
          <w:sz w:val="24"/>
        </w:rPr>
        <w:t>联合协议</w:t>
      </w:r>
      <w:r>
        <w:rPr>
          <w:rFonts w:ascii="宋体" w:hAnsi="宋体" w:eastAsia="宋体"/>
          <w:sz w:val="24"/>
        </w:rPr>
        <w:t>投标总金额的比例。</w:t>
      </w:r>
    </w:p>
    <w:p w14:paraId="5A00690A">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5.6</w:t>
      </w:r>
      <w:r>
        <w:rPr>
          <w:rFonts w:hint="eastAsia" w:ascii="宋体" w:hAnsi="宋体" w:eastAsia="宋体"/>
          <w:sz w:val="24"/>
        </w:rPr>
        <w:t>联合体中有同类资质的供应商按照联合体分工承担相同工作的，</w:t>
      </w:r>
      <w:r>
        <w:rPr>
          <w:rFonts w:ascii="宋体" w:hAnsi="宋体" w:eastAsia="宋体"/>
          <w:sz w:val="24"/>
        </w:rPr>
        <w:t>应当按照</w:t>
      </w:r>
      <w:r>
        <w:rPr>
          <w:rFonts w:hint="eastAsia" w:ascii="宋体" w:hAnsi="宋体" w:eastAsia="宋体"/>
          <w:sz w:val="24"/>
        </w:rPr>
        <w:t>资质等级较低的供应商确定资质等级。</w:t>
      </w:r>
    </w:p>
    <w:p w14:paraId="1A6F42C1">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5.7以联合体形式参加政府采购活动的，联合体各方不得再单独参加或者与其他供应商另外组成联合体参加本项目投标，否则相关投标将被认定为</w:t>
      </w:r>
      <w:r>
        <w:rPr>
          <w:rFonts w:ascii="宋体" w:hAnsi="宋体" w:eastAsia="宋体"/>
          <w:b/>
          <w:sz w:val="24"/>
        </w:rPr>
        <w:t>投标无效</w:t>
      </w:r>
      <w:r>
        <w:rPr>
          <w:rFonts w:ascii="宋体" w:hAnsi="宋体" w:eastAsia="宋体"/>
          <w:sz w:val="24"/>
        </w:rPr>
        <w:t>。</w:t>
      </w:r>
    </w:p>
    <w:p w14:paraId="1379924B">
      <w:pPr>
        <w:spacing w:line="360" w:lineRule="auto"/>
        <w:ind w:firstLine="435"/>
        <w:rPr>
          <w:rFonts w:hint="eastAsia" w:ascii="宋体" w:hAnsi="宋体" w:eastAsia="宋体"/>
          <w:sz w:val="24"/>
        </w:rPr>
      </w:pPr>
      <w:r>
        <w:rPr>
          <w:rFonts w:hint="eastAsia" w:ascii="宋体" w:hAnsi="宋体" w:eastAsia="宋体"/>
          <w:sz w:val="24"/>
        </w:rPr>
        <w:t>1.</w:t>
      </w:r>
      <w:r>
        <w:rPr>
          <w:rFonts w:ascii="宋体" w:hAnsi="宋体" w:eastAsia="宋体"/>
          <w:sz w:val="24"/>
        </w:rPr>
        <w:t>5.8对联合体投标的其他资格要求见</w:t>
      </w:r>
      <w:r>
        <w:rPr>
          <w:rFonts w:hint="eastAsia" w:ascii="宋体" w:hAnsi="宋体" w:eastAsia="宋体"/>
          <w:sz w:val="24"/>
        </w:rPr>
        <w:t>申请人的资格要求</w:t>
      </w:r>
      <w:r>
        <w:rPr>
          <w:rFonts w:ascii="宋体" w:hAnsi="宋体" w:eastAsia="宋体"/>
          <w:sz w:val="24"/>
        </w:rPr>
        <w:t>。</w:t>
      </w:r>
    </w:p>
    <w:p w14:paraId="3A635AB5">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2.资金落实情况</w:t>
      </w:r>
    </w:p>
    <w:p w14:paraId="544474B7">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本</w:t>
      </w:r>
      <w:r>
        <w:rPr>
          <w:rFonts w:hint="eastAsia" w:ascii="宋体" w:hAnsi="宋体" w:eastAsia="宋体"/>
          <w:sz w:val="24"/>
        </w:rPr>
        <w:t>项目</w:t>
      </w:r>
      <w:r>
        <w:rPr>
          <w:rFonts w:hint="eastAsia" w:asciiTheme="minorEastAsia" w:hAnsiTheme="minorEastAsia" w:eastAsiaTheme="minorEastAsia"/>
          <w:sz w:val="24"/>
        </w:rPr>
        <w:t>的采购人已获得足以支付本次招标后所签订的合同项下的资金。</w:t>
      </w:r>
    </w:p>
    <w:p w14:paraId="2341EA5C">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3.投标费用</w:t>
      </w:r>
    </w:p>
    <w:p w14:paraId="0A9D775E">
      <w:pPr>
        <w:spacing w:line="360" w:lineRule="auto"/>
        <w:ind w:firstLine="435"/>
        <w:rPr>
          <w:rFonts w:hint="eastAsia" w:ascii="宋体" w:hAnsi="宋体" w:eastAsia="宋体"/>
          <w:sz w:val="24"/>
        </w:rPr>
      </w:pPr>
      <w:r>
        <w:rPr>
          <w:rFonts w:hint="eastAsia" w:ascii="宋体" w:hAnsi="宋体" w:eastAsia="宋体"/>
          <w:sz w:val="24"/>
        </w:rPr>
        <w:t>不论投标的结果如何，投标人应承担所有与准备和参加投标有关的费用。</w:t>
      </w:r>
    </w:p>
    <w:p w14:paraId="179AA999">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4.适用法律</w:t>
      </w:r>
    </w:p>
    <w:p w14:paraId="15407D9D">
      <w:pPr>
        <w:spacing w:line="360" w:lineRule="auto"/>
        <w:ind w:firstLine="435"/>
        <w:rPr>
          <w:rFonts w:hint="eastAsia" w:asciiTheme="minorEastAsia" w:hAnsiTheme="minorEastAsia" w:eastAsiaTheme="minorEastAsia"/>
          <w:b/>
          <w:sz w:val="24"/>
        </w:rPr>
      </w:pPr>
      <w:r>
        <w:rPr>
          <w:rFonts w:hint="eastAsia" w:ascii="宋体" w:hAnsi="宋体" w:eastAsia="宋体"/>
          <w:sz w:val="24"/>
        </w:rPr>
        <w:t>本项目采购人、采购代理机构、投标人、评标委员会的相关行为均受《中华人民共和国政府采购法》、《中华人民共和国政府采购法实施条例》及本项目本级和上级财政部门、政府采购监督管理部门的政府采购有关规定的约束，其权利受到上述法律法规的保护。</w:t>
      </w:r>
    </w:p>
    <w:p w14:paraId="2B2D6577">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5.招标文件构成</w:t>
      </w:r>
    </w:p>
    <w:p w14:paraId="732C3E34">
      <w:pPr>
        <w:spacing w:line="360" w:lineRule="auto"/>
        <w:ind w:firstLine="435"/>
        <w:rPr>
          <w:rFonts w:hint="eastAsia" w:ascii="宋体" w:hAnsi="宋体" w:eastAsia="宋体"/>
          <w:sz w:val="24"/>
        </w:rPr>
      </w:pPr>
      <w:r>
        <w:rPr>
          <w:rFonts w:hint="eastAsia" w:ascii="宋体" w:hAnsi="宋体" w:eastAsia="宋体"/>
          <w:sz w:val="24"/>
        </w:rPr>
        <w:t>5.1招标文件包括下列内容：</w:t>
      </w:r>
    </w:p>
    <w:p w14:paraId="4412B087">
      <w:pPr>
        <w:spacing w:line="360" w:lineRule="auto"/>
        <w:ind w:firstLine="840" w:firstLineChars="350"/>
        <w:rPr>
          <w:rFonts w:hint="eastAsia" w:asciiTheme="minorEastAsia" w:hAnsiTheme="minorEastAsia" w:eastAsiaTheme="minorEastAsia"/>
          <w:sz w:val="24"/>
        </w:rPr>
      </w:pPr>
      <w:r>
        <w:rPr>
          <w:rFonts w:hint="eastAsia" w:asciiTheme="minorEastAsia" w:hAnsiTheme="minorEastAsia" w:eastAsiaTheme="minorEastAsia"/>
          <w:sz w:val="24"/>
        </w:rPr>
        <w:t>第一章</w:t>
      </w:r>
      <w:r>
        <w:rPr>
          <w:rFonts w:asciiTheme="minorEastAsia" w:hAnsiTheme="minorEastAsia" w:eastAsiaTheme="minorEastAsia"/>
          <w:sz w:val="24"/>
        </w:rPr>
        <w:t xml:space="preserve">  投标邀请</w:t>
      </w:r>
    </w:p>
    <w:p w14:paraId="597C9568">
      <w:pPr>
        <w:spacing w:line="360" w:lineRule="auto"/>
        <w:ind w:firstLine="840" w:firstLineChars="350"/>
        <w:rPr>
          <w:rFonts w:hint="eastAsia" w:asciiTheme="minorEastAsia" w:hAnsiTheme="minorEastAsia" w:eastAsiaTheme="minorEastAsia"/>
          <w:sz w:val="24"/>
        </w:rPr>
      </w:pPr>
      <w:r>
        <w:rPr>
          <w:rFonts w:hint="eastAsia" w:asciiTheme="minorEastAsia" w:hAnsiTheme="minorEastAsia" w:eastAsiaTheme="minorEastAsia"/>
          <w:sz w:val="24"/>
        </w:rPr>
        <w:t>第二章</w:t>
      </w:r>
      <w:r>
        <w:rPr>
          <w:rFonts w:asciiTheme="minorEastAsia" w:hAnsiTheme="minorEastAsia" w:eastAsiaTheme="minorEastAsia"/>
          <w:sz w:val="24"/>
        </w:rPr>
        <w:t xml:space="preserve">  投标人须知</w:t>
      </w:r>
    </w:p>
    <w:p w14:paraId="5EEAE00B">
      <w:pPr>
        <w:spacing w:line="360" w:lineRule="auto"/>
        <w:ind w:firstLine="840" w:firstLineChars="350"/>
        <w:rPr>
          <w:rFonts w:hint="eastAsia" w:asciiTheme="minorEastAsia" w:hAnsiTheme="minorEastAsia" w:eastAsiaTheme="minorEastAsia"/>
          <w:sz w:val="24"/>
        </w:rPr>
      </w:pPr>
      <w:r>
        <w:rPr>
          <w:rFonts w:hint="eastAsia" w:asciiTheme="minorEastAsia" w:hAnsiTheme="minorEastAsia" w:eastAsiaTheme="minorEastAsia"/>
          <w:sz w:val="24"/>
        </w:rPr>
        <w:t>第三章</w:t>
      </w:r>
      <w:r>
        <w:rPr>
          <w:rFonts w:asciiTheme="minorEastAsia" w:hAnsiTheme="minorEastAsia" w:eastAsiaTheme="minorEastAsia"/>
          <w:sz w:val="24"/>
        </w:rPr>
        <w:t xml:space="preserve">  采购需求</w:t>
      </w:r>
    </w:p>
    <w:p w14:paraId="00CBCB79">
      <w:pPr>
        <w:spacing w:line="360" w:lineRule="auto"/>
        <w:ind w:firstLine="840" w:firstLineChars="350"/>
        <w:rPr>
          <w:rFonts w:hint="eastAsia" w:asciiTheme="minorEastAsia" w:hAnsiTheme="minorEastAsia" w:eastAsiaTheme="minorEastAsia"/>
          <w:sz w:val="24"/>
        </w:rPr>
      </w:pPr>
      <w:r>
        <w:rPr>
          <w:rFonts w:hint="eastAsia" w:asciiTheme="minorEastAsia" w:hAnsiTheme="minorEastAsia" w:eastAsiaTheme="minorEastAsia"/>
          <w:sz w:val="24"/>
        </w:rPr>
        <w:t>第四章</w:t>
      </w:r>
      <w:r>
        <w:rPr>
          <w:rFonts w:asciiTheme="minorEastAsia" w:hAnsiTheme="minorEastAsia" w:eastAsiaTheme="minorEastAsia"/>
          <w:sz w:val="24"/>
        </w:rPr>
        <w:t xml:space="preserve">  评标</w:t>
      </w:r>
      <w:r>
        <w:rPr>
          <w:rFonts w:hint="eastAsia" w:asciiTheme="minorEastAsia" w:hAnsiTheme="minorEastAsia" w:eastAsiaTheme="minorEastAsia"/>
          <w:sz w:val="24"/>
        </w:rPr>
        <w:t>方法</w:t>
      </w:r>
      <w:r>
        <w:rPr>
          <w:rFonts w:asciiTheme="minorEastAsia" w:hAnsiTheme="minorEastAsia" w:eastAsiaTheme="minorEastAsia"/>
          <w:sz w:val="24"/>
        </w:rPr>
        <w:t>和标准</w:t>
      </w:r>
    </w:p>
    <w:p w14:paraId="1F2390F0">
      <w:pPr>
        <w:spacing w:line="360" w:lineRule="auto"/>
        <w:ind w:firstLine="840" w:firstLineChars="350"/>
        <w:rPr>
          <w:rFonts w:hint="eastAsia" w:asciiTheme="minorEastAsia" w:hAnsiTheme="minorEastAsia" w:eastAsiaTheme="minorEastAsia"/>
          <w:sz w:val="24"/>
        </w:rPr>
      </w:pPr>
      <w:r>
        <w:rPr>
          <w:rFonts w:hint="eastAsia" w:asciiTheme="minorEastAsia" w:hAnsiTheme="minorEastAsia" w:eastAsiaTheme="minorEastAsia"/>
          <w:sz w:val="24"/>
        </w:rPr>
        <w:t>第五章</w:t>
      </w:r>
      <w:r>
        <w:rPr>
          <w:rFonts w:asciiTheme="minorEastAsia" w:hAnsiTheme="minorEastAsia" w:eastAsiaTheme="minorEastAsia"/>
          <w:sz w:val="24"/>
        </w:rPr>
        <w:t xml:space="preserve">  政府采购合同</w:t>
      </w:r>
    </w:p>
    <w:p w14:paraId="4A6889B0">
      <w:pPr>
        <w:spacing w:line="360" w:lineRule="auto"/>
        <w:ind w:firstLine="840" w:firstLineChars="350"/>
        <w:rPr>
          <w:rFonts w:hint="eastAsia" w:asciiTheme="minorEastAsia" w:hAnsiTheme="minorEastAsia" w:eastAsiaTheme="minorEastAsia"/>
          <w:sz w:val="24"/>
        </w:rPr>
      </w:pPr>
      <w:r>
        <w:rPr>
          <w:rFonts w:hint="eastAsia" w:asciiTheme="minorEastAsia" w:hAnsiTheme="minorEastAsia" w:eastAsiaTheme="minorEastAsia"/>
          <w:sz w:val="24"/>
        </w:rPr>
        <w:t>第六章</w:t>
      </w:r>
      <w:r>
        <w:rPr>
          <w:rFonts w:asciiTheme="minorEastAsia" w:hAnsiTheme="minorEastAsia" w:eastAsiaTheme="minorEastAsia"/>
          <w:sz w:val="24"/>
        </w:rPr>
        <w:t xml:space="preserve">  投标文件格式</w:t>
      </w:r>
    </w:p>
    <w:p w14:paraId="439DFE4D">
      <w:pPr>
        <w:spacing w:line="360" w:lineRule="auto"/>
        <w:ind w:firstLine="840" w:firstLineChars="350"/>
        <w:rPr>
          <w:rFonts w:hint="eastAsia" w:asciiTheme="minorEastAsia" w:hAnsiTheme="minorEastAsia" w:eastAsiaTheme="minorEastAsia"/>
          <w:sz w:val="24"/>
        </w:rPr>
      </w:pPr>
      <w:r>
        <w:rPr>
          <w:rFonts w:hint="eastAsia" w:asciiTheme="minorEastAsia" w:hAnsiTheme="minorEastAsia" w:eastAsiaTheme="minorEastAsia"/>
          <w:sz w:val="24"/>
        </w:rPr>
        <w:t>第七章</w:t>
      </w:r>
      <w:r>
        <w:rPr>
          <w:rFonts w:asciiTheme="minorEastAsia" w:hAnsiTheme="minorEastAsia" w:eastAsiaTheme="minorEastAsia"/>
          <w:sz w:val="24"/>
        </w:rPr>
        <w:t xml:space="preserve">  政府采购</w:t>
      </w:r>
      <w:r>
        <w:rPr>
          <w:rFonts w:hint="eastAsia" w:asciiTheme="minorEastAsia" w:hAnsiTheme="minorEastAsia" w:eastAsiaTheme="minorEastAsia"/>
          <w:sz w:val="24"/>
        </w:rPr>
        <w:t>询问函和</w:t>
      </w:r>
      <w:r>
        <w:rPr>
          <w:rFonts w:asciiTheme="minorEastAsia" w:hAnsiTheme="minorEastAsia" w:eastAsiaTheme="minorEastAsia"/>
          <w:sz w:val="24"/>
        </w:rPr>
        <w:t>质疑函范本</w:t>
      </w:r>
    </w:p>
    <w:p w14:paraId="1F513606">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5</w:t>
      </w:r>
      <w:r>
        <w:rPr>
          <w:rFonts w:asciiTheme="minorEastAsia" w:hAnsiTheme="minorEastAsia" w:eastAsiaTheme="minorEastAsia"/>
          <w:sz w:val="24"/>
        </w:rPr>
        <w:t>.</w:t>
      </w:r>
      <w:r>
        <w:rPr>
          <w:rFonts w:hint="eastAsia" w:asciiTheme="minorEastAsia" w:hAnsiTheme="minorEastAsia" w:eastAsiaTheme="minorEastAsia"/>
          <w:sz w:val="24"/>
        </w:rPr>
        <w:t>2</w:t>
      </w:r>
      <w:r>
        <w:rPr>
          <w:rFonts w:asciiTheme="minorEastAsia" w:hAnsiTheme="minorEastAsia" w:eastAsiaTheme="minorEastAsia"/>
          <w:sz w:val="24"/>
        </w:rPr>
        <w:t>现场</w:t>
      </w:r>
      <w:r>
        <w:rPr>
          <w:rFonts w:hint="eastAsia" w:asciiTheme="minorEastAsia" w:hAnsiTheme="minorEastAsia" w:eastAsiaTheme="minorEastAsia"/>
          <w:sz w:val="24"/>
        </w:rPr>
        <w:t>考察（标前答疑会）</w:t>
      </w:r>
      <w:r>
        <w:rPr>
          <w:rFonts w:asciiTheme="minorEastAsia" w:hAnsiTheme="minorEastAsia" w:eastAsiaTheme="minorEastAsia"/>
          <w:sz w:val="24"/>
        </w:rPr>
        <w:t>及相关事项见</w:t>
      </w:r>
      <w:r>
        <w:rPr>
          <w:rFonts w:asciiTheme="minorEastAsia" w:hAnsiTheme="minorEastAsia" w:eastAsiaTheme="minorEastAsia"/>
          <w:sz w:val="24"/>
          <w:u w:val="single"/>
        </w:rPr>
        <w:t>投标</w:t>
      </w:r>
      <w:r>
        <w:rPr>
          <w:rFonts w:hint="eastAsia" w:asciiTheme="minorEastAsia" w:hAnsiTheme="minorEastAsia" w:eastAsiaTheme="minorEastAsia"/>
          <w:sz w:val="24"/>
          <w:u w:val="single"/>
        </w:rPr>
        <w:t>人</w:t>
      </w:r>
      <w:r>
        <w:rPr>
          <w:rFonts w:asciiTheme="minorEastAsia" w:hAnsiTheme="minorEastAsia" w:eastAsiaTheme="minorEastAsia"/>
          <w:sz w:val="24"/>
          <w:u w:val="single"/>
        </w:rPr>
        <w:t>须知前附表</w:t>
      </w:r>
      <w:r>
        <w:rPr>
          <w:rFonts w:asciiTheme="minorEastAsia" w:hAnsiTheme="minorEastAsia" w:eastAsiaTheme="minorEastAsia"/>
          <w:sz w:val="24"/>
        </w:rPr>
        <w:t>。</w:t>
      </w:r>
    </w:p>
    <w:p w14:paraId="1FA46511">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5</w:t>
      </w:r>
      <w:r>
        <w:rPr>
          <w:rFonts w:asciiTheme="minorEastAsia" w:hAnsiTheme="minorEastAsia" w:eastAsiaTheme="minorEastAsia"/>
          <w:sz w:val="24"/>
        </w:rPr>
        <w:t>.</w:t>
      </w:r>
      <w:r>
        <w:rPr>
          <w:rFonts w:hint="eastAsia" w:asciiTheme="minorEastAsia" w:hAnsiTheme="minorEastAsia" w:eastAsiaTheme="minorEastAsia"/>
          <w:sz w:val="24"/>
        </w:rPr>
        <w:t>3</w:t>
      </w:r>
      <w:r>
        <w:rPr>
          <w:rFonts w:asciiTheme="minorEastAsia" w:hAnsiTheme="minorEastAsia" w:eastAsiaTheme="minorEastAsia"/>
          <w:sz w:val="24"/>
        </w:rPr>
        <w:t>原则上采购人、采购代理机构不要求投标人提供样品。仅凭书面方式不能准确描述采购需求，或者需要对样品进行主观判断以确认是否满足采购需求等特殊情况除外。</w:t>
      </w:r>
    </w:p>
    <w:p w14:paraId="0E15007F">
      <w:pPr>
        <w:spacing w:line="360" w:lineRule="auto"/>
        <w:ind w:firstLine="435"/>
        <w:rPr>
          <w:rFonts w:hint="eastAsia" w:asciiTheme="minorEastAsia" w:hAnsiTheme="minorEastAsia" w:eastAsiaTheme="minorEastAsia"/>
          <w:sz w:val="24"/>
        </w:rPr>
      </w:pPr>
      <w:r>
        <w:rPr>
          <w:rFonts w:asciiTheme="minorEastAsia" w:hAnsiTheme="minorEastAsia" w:eastAsiaTheme="minorEastAsia"/>
          <w:sz w:val="24"/>
        </w:rPr>
        <w:t>如需提供样品，对样品相关要求见</w:t>
      </w:r>
      <w:r>
        <w:rPr>
          <w:rFonts w:hint="eastAsia" w:asciiTheme="minorEastAsia" w:hAnsiTheme="minorEastAsia" w:eastAsiaTheme="minorEastAsia"/>
          <w:sz w:val="24"/>
        </w:rPr>
        <w:t>采购需求</w:t>
      </w:r>
      <w:r>
        <w:rPr>
          <w:rFonts w:asciiTheme="minorEastAsia" w:hAnsiTheme="minorEastAsia" w:eastAsiaTheme="minorEastAsia"/>
          <w:sz w:val="24"/>
        </w:rPr>
        <w:t>，对样品的评审方法及评审标准见招标文件第</w:t>
      </w:r>
      <w:r>
        <w:rPr>
          <w:rFonts w:hint="eastAsia" w:asciiTheme="minorEastAsia" w:hAnsiTheme="minorEastAsia" w:eastAsiaTheme="minorEastAsia"/>
          <w:sz w:val="24"/>
        </w:rPr>
        <w:t>四</w:t>
      </w:r>
      <w:r>
        <w:rPr>
          <w:rFonts w:asciiTheme="minorEastAsia" w:hAnsiTheme="minorEastAsia" w:eastAsiaTheme="minorEastAsia"/>
          <w:sz w:val="24"/>
        </w:rPr>
        <w:t>章。</w:t>
      </w:r>
    </w:p>
    <w:p w14:paraId="2F6D3103">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5</w:t>
      </w:r>
      <w:r>
        <w:rPr>
          <w:rFonts w:asciiTheme="minorEastAsia" w:hAnsiTheme="minorEastAsia" w:eastAsiaTheme="minorEastAsia"/>
          <w:sz w:val="24"/>
        </w:rPr>
        <w:t>.</w:t>
      </w:r>
      <w:r>
        <w:rPr>
          <w:rFonts w:hint="eastAsia" w:asciiTheme="minorEastAsia" w:hAnsiTheme="minorEastAsia" w:eastAsiaTheme="minorEastAsia"/>
          <w:sz w:val="24"/>
        </w:rPr>
        <w:t>4</w:t>
      </w:r>
      <w:r>
        <w:rPr>
          <w:rFonts w:asciiTheme="minorEastAsia" w:hAnsiTheme="minorEastAsia" w:eastAsiaTheme="minorEastAsia"/>
          <w:sz w:val="24"/>
        </w:rPr>
        <w:t>投标人应认真阅读招标文件所有的事项、格式、条款和技术规范等。</w:t>
      </w:r>
    </w:p>
    <w:p w14:paraId="3D68612C">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6.招标文件的澄清与修改</w:t>
      </w:r>
    </w:p>
    <w:p w14:paraId="5D19B2A7">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6</w:t>
      </w:r>
      <w:r>
        <w:rPr>
          <w:rFonts w:asciiTheme="minorEastAsia" w:hAnsiTheme="minorEastAsia" w:eastAsiaTheme="minorEastAsia"/>
          <w:sz w:val="24"/>
        </w:rPr>
        <w:t>.</w:t>
      </w:r>
      <w:r>
        <w:rPr>
          <w:rFonts w:hint="eastAsia" w:asciiTheme="minorEastAsia" w:hAnsiTheme="minorEastAsia" w:eastAsiaTheme="minorEastAsia"/>
          <w:sz w:val="24"/>
        </w:rPr>
        <w:t>1</w:t>
      </w:r>
      <w:r>
        <w:rPr>
          <w:rFonts w:asciiTheme="minorEastAsia" w:hAnsiTheme="minorEastAsia" w:eastAsiaTheme="minorEastAsia"/>
          <w:sz w:val="24"/>
        </w:rPr>
        <w:t>投标人如对招标文件内容有疑问，</w:t>
      </w:r>
      <w:r>
        <w:rPr>
          <w:rFonts w:hint="eastAsia" w:asciiTheme="minorEastAsia" w:hAnsiTheme="minorEastAsia" w:eastAsiaTheme="minorEastAsia"/>
          <w:sz w:val="24"/>
        </w:rPr>
        <w:t>可</w:t>
      </w:r>
      <w:r>
        <w:rPr>
          <w:rFonts w:asciiTheme="minorEastAsia" w:hAnsiTheme="minorEastAsia" w:eastAsiaTheme="minorEastAsia"/>
          <w:sz w:val="24"/>
        </w:rPr>
        <w:t>在</w:t>
      </w:r>
      <w:r>
        <w:rPr>
          <w:rFonts w:ascii="宋体" w:hAnsi="宋体" w:eastAsia="宋体"/>
          <w:sz w:val="24"/>
          <w:u w:val="single"/>
        </w:rPr>
        <w:t>投标人须知前附表</w:t>
      </w:r>
      <w:r>
        <w:rPr>
          <w:rFonts w:asciiTheme="minorEastAsia" w:hAnsiTheme="minorEastAsia" w:eastAsiaTheme="minorEastAsia"/>
          <w:sz w:val="24"/>
        </w:rPr>
        <w:t>规定的</w:t>
      </w:r>
      <w:r>
        <w:rPr>
          <w:rFonts w:hint="eastAsia" w:asciiTheme="minorEastAsia" w:hAnsiTheme="minorEastAsia" w:eastAsiaTheme="minorEastAsia"/>
          <w:sz w:val="24"/>
        </w:rPr>
        <w:t>网上询问</w:t>
      </w:r>
      <w:r>
        <w:rPr>
          <w:rFonts w:asciiTheme="minorEastAsia" w:hAnsiTheme="minorEastAsia" w:eastAsiaTheme="minorEastAsia"/>
          <w:sz w:val="24"/>
        </w:rPr>
        <w:t>截止时间前提交给采购代理机构。</w:t>
      </w:r>
    </w:p>
    <w:p w14:paraId="1409757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6</w:t>
      </w:r>
      <w:r>
        <w:rPr>
          <w:rFonts w:asciiTheme="minorEastAsia" w:hAnsiTheme="minorEastAsia" w:eastAsiaTheme="minorEastAsia"/>
          <w:sz w:val="24"/>
        </w:rPr>
        <w:t>.</w:t>
      </w:r>
      <w:r>
        <w:rPr>
          <w:rFonts w:hint="eastAsia" w:asciiTheme="minorEastAsia" w:hAnsiTheme="minorEastAsia" w:eastAsiaTheme="minorEastAsia"/>
          <w:sz w:val="24"/>
        </w:rPr>
        <w:t>2采购人可主动地或在答复投标人提出的询问时对招标文件进行澄清与修改。</w:t>
      </w:r>
      <w:r>
        <w:rPr>
          <w:rFonts w:asciiTheme="minorEastAsia" w:hAnsiTheme="minorEastAsia" w:eastAsiaTheme="minorEastAsia"/>
          <w:sz w:val="24"/>
        </w:rPr>
        <w:t>采购代理机构将</w:t>
      </w:r>
      <w:r>
        <w:rPr>
          <w:rFonts w:hint="eastAsia" w:asciiTheme="minorEastAsia" w:hAnsiTheme="minorEastAsia" w:eastAsiaTheme="minorEastAsia"/>
          <w:sz w:val="24"/>
        </w:rPr>
        <w:t>在安徽省政府采购网以发布更正公告的方式</w:t>
      </w:r>
      <w:r>
        <w:rPr>
          <w:rFonts w:asciiTheme="minorEastAsia" w:hAnsiTheme="minorEastAsia" w:eastAsiaTheme="minorEastAsia"/>
          <w:sz w:val="24"/>
        </w:rPr>
        <w:t>，</w:t>
      </w:r>
      <w:r>
        <w:rPr>
          <w:rFonts w:hint="eastAsia" w:asciiTheme="minorEastAsia" w:hAnsiTheme="minorEastAsia" w:eastAsiaTheme="minorEastAsia"/>
          <w:sz w:val="24"/>
        </w:rPr>
        <w:t>澄清或修改招标文件，更正公告的</w:t>
      </w:r>
      <w:r>
        <w:rPr>
          <w:rFonts w:asciiTheme="minorEastAsia" w:hAnsiTheme="minorEastAsia" w:eastAsiaTheme="minorEastAsia"/>
          <w:sz w:val="24"/>
        </w:rPr>
        <w:t>内容</w:t>
      </w:r>
      <w:r>
        <w:rPr>
          <w:rFonts w:hint="eastAsia" w:asciiTheme="minorEastAsia" w:hAnsiTheme="minorEastAsia" w:eastAsiaTheme="minorEastAsia"/>
          <w:sz w:val="24"/>
        </w:rPr>
        <w:t>作</w:t>
      </w:r>
      <w:r>
        <w:rPr>
          <w:rFonts w:asciiTheme="minorEastAsia" w:hAnsiTheme="minorEastAsia" w:eastAsiaTheme="minorEastAsia"/>
          <w:sz w:val="24"/>
        </w:rPr>
        <w:t>为招标文件</w:t>
      </w:r>
      <w:r>
        <w:rPr>
          <w:rFonts w:hint="eastAsia" w:asciiTheme="minorEastAsia" w:hAnsiTheme="minorEastAsia" w:eastAsiaTheme="minorEastAsia"/>
          <w:sz w:val="24"/>
        </w:rPr>
        <w:t>的</w:t>
      </w:r>
      <w:r>
        <w:rPr>
          <w:rFonts w:asciiTheme="minorEastAsia" w:hAnsiTheme="minorEastAsia" w:eastAsiaTheme="minorEastAsia"/>
          <w:sz w:val="24"/>
        </w:rPr>
        <w:t>组成部分，对投标人起约束作用</w:t>
      </w:r>
      <w:r>
        <w:rPr>
          <w:rFonts w:hint="eastAsia" w:asciiTheme="minorEastAsia" w:hAnsiTheme="minorEastAsia" w:eastAsiaTheme="minorEastAsia"/>
          <w:sz w:val="24"/>
        </w:rPr>
        <w:t>。投标人应主动上网查询。采购代理机构不承担投标人未及时关注相关信息引发的相关责任。</w:t>
      </w:r>
    </w:p>
    <w:p w14:paraId="3DD4C269">
      <w:pPr>
        <w:spacing w:line="360" w:lineRule="auto"/>
        <w:ind w:firstLine="435"/>
        <w:rPr>
          <w:rFonts w:hint="eastAsia" w:ascii="宋体" w:hAnsi="宋体" w:eastAsia="宋体"/>
          <w:sz w:val="24"/>
        </w:rPr>
      </w:pPr>
      <w:r>
        <w:rPr>
          <w:rFonts w:hint="eastAsia" w:ascii="宋体" w:hAnsi="宋体" w:eastAsia="宋体"/>
          <w:sz w:val="24"/>
        </w:rPr>
        <w:t>6.3任何人或任何组织向投标人提供的任何书面或口头资料，未经采购代理机构在网上发布或书面通知，均作无效处理，不得作为招标文件的组成部分。采购代理机构对投标人由此而做出的推论、理解和结论概不负责。</w:t>
      </w:r>
    </w:p>
    <w:p w14:paraId="62633AE6">
      <w:pPr>
        <w:spacing w:line="360" w:lineRule="auto"/>
        <w:ind w:firstLine="435"/>
        <w:rPr>
          <w:rFonts w:hint="eastAsia" w:asciiTheme="minorEastAsia" w:hAnsiTheme="minorEastAsia" w:eastAsiaTheme="minorEastAsia"/>
          <w:i/>
          <w:iCs/>
          <w:sz w:val="24"/>
        </w:rPr>
      </w:pPr>
      <w:r>
        <w:rPr>
          <w:rFonts w:hint="eastAsia" w:asciiTheme="minorEastAsia" w:hAnsiTheme="minorEastAsia" w:eastAsiaTheme="minorEastAsia"/>
          <w:sz w:val="24"/>
        </w:rPr>
        <w:t>6</w:t>
      </w:r>
      <w:r>
        <w:rPr>
          <w:rFonts w:asciiTheme="minorEastAsia" w:hAnsiTheme="minorEastAsia" w:eastAsiaTheme="minorEastAsia"/>
          <w:sz w:val="24"/>
        </w:rPr>
        <w:t>.</w:t>
      </w:r>
      <w:r>
        <w:rPr>
          <w:rFonts w:hint="eastAsia" w:asciiTheme="minorEastAsia" w:hAnsiTheme="minorEastAsia" w:eastAsiaTheme="minorEastAsia"/>
          <w:sz w:val="24"/>
        </w:rPr>
        <w:t>4</w:t>
      </w:r>
      <w:r>
        <w:rPr>
          <w:rFonts w:asciiTheme="minorEastAsia" w:hAnsiTheme="minorEastAsia" w:eastAsiaTheme="minorEastAsia"/>
          <w:sz w:val="24"/>
        </w:rPr>
        <w:t>对于</w:t>
      </w:r>
      <w:r>
        <w:rPr>
          <w:rFonts w:ascii="宋体" w:hAnsi="宋体" w:eastAsia="宋体"/>
          <w:sz w:val="24"/>
        </w:rPr>
        <w:t>没有</w:t>
      </w:r>
      <w:r>
        <w:rPr>
          <w:rFonts w:asciiTheme="minorEastAsia" w:hAnsiTheme="minorEastAsia" w:eastAsiaTheme="minorEastAsia"/>
          <w:sz w:val="24"/>
        </w:rPr>
        <w:t>提出</w:t>
      </w:r>
      <w:r>
        <w:rPr>
          <w:rFonts w:hint="eastAsia" w:asciiTheme="minorEastAsia" w:hAnsiTheme="minorEastAsia" w:eastAsiaTheme="minorEastAsia"/>
          <w:sz w:val="24"/>
        </w:rPr>
        <w:t>疑问</w:t>
      </w:r>
      <w:r>
        <w:rPr>
          <w:rFonts w:asciiTheme="minorEastAsia" w:hAnsiTheme="minorEastAsia" w:eastAsiaTheme="minorEastAsia"/>
          <w:sz w:val="24"/>
        </w:rPr>
        <w:t>又参与了</w:t>
      </w:r>
      <w:r>
        <w:rPr>
          <w:rFonts w:hint="eastAsia" w:asciiTheme="minorEastAsia" w:hAnsiTheme="minorEastAsia" w:eastAsiaTheme="minorEastAsia"/>
          <w:sz w:val="24"/>
        </w:rPr>
        <w:t>本</w:t>
      </w:r>
      <w:r>
        <w:rPr>
          <w:rFonts w:asciiTheme="minorEastAsia" w:hAnsiTheme="minorEastAsia" w:eastAsiaTheme="minorEastAsia"/>
          <w:sz w:val="24"/>
        </w:rPr>
        <w:t>项目投标的</w:t>
      </w:r>
      <w:r>
        <w:rPr>
          <w:rFonts w:hint="eastAsia" w:asciiTheme="minorEastAsia" w:hAnsiTheme="minorEastAsia" w:eastAsiaTheme="minorEastAsia"/>
          <w:sz w:val="24"/>
        </w:rPr>
        <w:t>投标人</w:t>
      </w:r>
      <w:r>
        <w:rPr>
          <w:rFonts w:asciiTheme="minorEastAsia" w:hAnsiTheme="minorEastAsia" w:eastAsiaTheme="minorEastAsia"/>
          <w:sz w:val="24"/>
        </w:rPr>
        <w:t>将被视为完全认同</w:t>
      </w:r>
      <w:r>
        <w:rPr>
          <w:rFonts w:hint="eastAsia" w:asciiTheme="minorEastAsia" w:hAnsiTheme="minorEastAsia" w:eastAsiaTheme="minorEastAsia"/>
          <w:sz w:val="24"/>
        </w:rPr>
        <w:t>本</w:t>
      </w:r>
      <w:r>
        <w:rPr>
          <w:rFonts w:asciiTheme="minorEastAsia" w:hAnsiTheme="minorEastAsia" w:eastAsiaTheme="minorEastAsia"/>
          <w:sz w:val="24"/>
        </w:rPr>
        <w:t>招标文件（含</w:t>
      </w:r>
      <w:r>
        <w:rPr>
          <w:rFonts w:hint="eastAsia" w:asciiTheme="minorEastAsia" w:hAnsiTheme="minorEastAsia" w:eastAsiaTheme="minorEastAsia"/>
          <w:sz w:val="24"/>
        </w:rPr>
        <w:t>更正公告的</w:t>
      </w:r>
      <w:r>
        <w:rPr>
          <w:rFonts w:asciiTheme="minorEastAsia" w:hAnsiTheme="minorEastAsia" w:eastAsiaTheme="minorEastAsia"/>
          <w:sz w:val="24"/>
        </w:rPr>
        <w:t>内容）</w:t>
      </w:r>
      <w:r>
        <w:rPr>
          <w:rFonts w:hint="eastAsia" w:asciiTheme="minorEastAsia" w:hAnsiTheme="minorEastAsia" w:eastAsiaTheme="minorEastAsia"/>
          <w:i/>
          <w:sz w:val="24"/>
        </w:rPr>
        <w:t>。</w:t>
      </w:r>
    </w:p>
    <w:p w14:paraId="577F9777">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7.投标范围及投标文件中标准和计量单位的使用</w:t>
      </w:r>
    </w:p>
    <w:p w14:paraId="58C10F58">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7</w:t>
      </w:r>
      <w:r>
        <w:rPr>
          <w:rFonts w:asciiTheme="minorEastAsia" w:hAnsiTheme="minorEastAsia" w:eastAsiaTheme="minorEastAsia"/>
          <w:sz w:val="24"/>
        </w:rPr>
        <w:t>.1</w:t>
      </w:r>
      <w:r>
        <w:rPr>
          <w:rFonts w:ascii="宋体" w:hAnsi="宋体" w:eastAsia="宋体"/>
          <w:sz w:val="24"/>
        </w:rPr>
        <w:t>项目</w:t>
      </w:r>
      <w:r>
        <w:rPr>
          <w:rFonts w:asciiTheme="minorEastAsia" w:hAnsiTheme="minorEastAsia" w:eastAsiaTheme="minorEastAsia"/>
          <w:sz w:val="24"/>
        </w:rPr>
        <w:t>有分包的，投标人可对招标文件其中某一个或几个分包进行投标，除非在</w:t>
      </w:r>
      <w:r>
        <w:rPr>
          <w:rFonts w:asciiTheme="minorEastAsia" w:hAnsiTheme="minorEastAsia" w:eastAsiaTheme="minorEastAsia"/>
          <w:sz w:val="24"/>
          <w:u w:val="single"/>
        </w:rPr>
        <w:t>投标人须知前附表</w:t>
      </w:r>
      <w:r>
        <w:rPr>
          <w:rFonts w:asciiTheme="minorEastAsia" w:hAnsiTheme="minorEastAsia" w:eastAsiaTheme="minorEastAsia"/>
          <w:sz w:val="24"/>
        </w:rPr>
        <w:t>中另有规定。</w:t>
      </w:r>
    </w:p>
    <w:p w14:paraId="4650BB80">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7</w:t>
      </w:r>
      <w:r>
        <w:rPr>
          <w:rFonts w:asciiTheme="minorEastAsia" w:hAnsiTheme="minorEastAsia" w:eastAsiaTheme="minorEastAsia"/>
          <w:sz w:val="24"/>
        </w:rPr>
        <w:t>.2投标人应当对所投分包招标文件中“</w:t>
      </w:r>
      <w:r>
        <w:rPr>
          <w:rFonts w:hint="eastAsia" w:asciiTheme="minorEastAsia" w:hAnsiTheme="minorEastAsia" w:eastAsiaTheme="minorEastAsia"/>
          <w:sz w:val="24"/>
        </w:rPr>
        <w:t>采购</w:t>
      </w:r>
      <w:r>
        <w:rPr>
          <w:rFonts w:asciiTheme="minorEastAsia" w:hAnsiTheme="minorEastAsia" w:eastAsiaTheme="minorEastAsia"/>
          <w:sz w:val="24"/>
        </w:rPr>
        <w:t>需求”所列的所有内容进行投标，如仅响应</w:t>
      </w:r>
      <w:r>
        <w:rPr>
          <w:rFonts w:hint="eastAsia" w:asciiTheme="minorEastAsia" w:hAnsiTheme="minorEastAsia" w:eastAsiaTheme="minorEastAsia"/>
          <w:sz w:val="24"/>
        </w:rPr>
        <w:t>所投包别</w:t>
      </w:r>
      <w:r>
        <w:rPr>
          <w:rFonts w:asciiTheme="minorEastAsia" w:hAnsiTheme="minorEastAsia" w:eastAsiaTheme="minorEastAsia"/>
          <w:sz w:val="24"/>
        </w:rPr>
        <w:t>中的部分内容，其</w:t>
      </w:r>
      <w:r>
        <w:rPr>
          <w:rFonts w:hint="eastAsia" w:asciiTheme="minorEastAsia" w:hAnsiTheme="minorEastAsia" w:eastAsiaTheme="minorEastAsia"/>
          <w:sz w:val="24"/>
        </w:rPr>
        <w:t>所投包别的</w:t>
      </w:r>
      <w:r>
        <w:rPr>
          <w:rFonts w:asciiTheme="minorEastAsia" w:hAnsiTheme="minorEastAsia" w:eastAsiaTheme="minorEastAsia"/>
          <w:sz w:val="24"/>
        </w:rPr>
        <w:t>投标将被认定为</w:t>
      </w:r>
      <w:r>
        <w:rPr>
          <w:rFonts w:asciiTheme="minorEastAsia" w:hAnsiTheme="minorEastAsia" w:eastAsiaTheme="minorEastAsia"/>
          <w:b/>
          <w:sz w:val="24"/>
        </w:rPr>
        <w:t>投标无效</w:t>
      </w:r>
      <w:r>
        <w:rPr>
          <w:rFonts w:asciiTheme="minorEastAsia" w:hAnsiTheme="minorEastAsia" w:eastAsiaTheme="minorEastAsia"/>
          <w:sz w:val="24"/>
        </w:rPr>
        <w:t>。</w:t>
      </w:r>
    </w:p>
    <w:p w14:paraId="74EAB842">
      <w:pPr>
        <w:spacing w:line="360" w:lineRule="auto"/>
        <w:ind w:firstLine="435"/>
        <w:rPr>
          <w:rFonts w:hint="eastAsia" w:asciiTheme="minorEastAsia" w:hAnsiTheme="minorEastAsia" w:eastAsiaTheme="minorEastAsia"/>
          <w:sz w:val="24"/>
        </w:rPr>
      </w:pPr>
      <w:bookmarkStart w:id="28" w:name="_Hlk16458980"/>
      <w:r>
        <w:rPr>
          <w:rFonts w:hint="eastAsia" w:asciiTheme="minorEastAsia" w:hAnsiTheme="minorEastAsia" w:eastAsiaTheme="minorEastAsia"/>
          <w:sz w:val="24"/>
        </w:rPr>
        <w:t>7</w:t>
      </w:r>
      <w:r>
        <w:rPr>
          <w:rFonts w:asciiTheme="minorEastAsia" w:hAnsiTheme="minorEastAsia" w:eastAsiaTheme="minorEastAsia"/>
          <w:sz w:val="24"/>
        </w:rPr>
        <w:t>.3无论招标文件中是否要求，</w:t>
      </w:r>
      <w:r>
        <w:rPr>
          <w:rFonts w:hint="eastAsia" w:asciiTheme="minorEastAsia" w:hAnsiTheme="minorEastAsia" w:eastAsiaTheme="minorEastAsia"/>
          <w:sz w:val="24"/>
        </w:rPr>
        <w:t>投标人所投货物及伴随的服务和工程均应符合国家强制性标准。</w:t>
      </w:r>
    </w:p>
    <w:bookmarkEnd w:id="28"/>
    <w:p w14:paraId="69FF79E0">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7</w:t>
      </w:r>
      <w:r>
        <w:rPr>
          <w:rFonts w:asciiTheme="minorEastAsia" w:hAnsiTheme="minorEastAsia" w:eastAsiaTheme="minorEastAsia"/>
          <w:sz w:val="24"/>
        </w:rPr>
        <w:t>.</w:t>
      </w:r>
      <w:r>
        <w:rPr>
          <w:rFonts w:hint="eastAsia" w:asciiTheme="minorEastAsia" w:hAnsiTheme="minorEastAsia" w:eastAsiaTheme="minorEastAsia"/>
          <w:sz w:val="24"/>
        </w:rPr>
        <w:t>4</w:t>
      </w:r>
      <w:r>
        <w:rPr>
          <w:rFonts w:asciiTheme="minorEastAsia" w:hAnsiTheme="minorEastAsia" w:eastAsiaTheme="minorEastAsia"/>
          <w:sz w:val="24"/>
        </w:rPr>
        <w:t>投标人与采购</w:t>
      </w:r>
      <w:r>
        <w:rPr>
          <w:rFonts w:hint="eastAsia" w:asciiTheme="minorEastAsia" w:hAnsiTheme="minorEastAsia" w:eastAsiaTheme="minorEastAsia"/>
          <w:sz w:val="24"/>
        </w:rPr>
        <w:t>代理</w:t>
      </w:r>
      <w:r>
        <w:rPr>
          <w:rFonts w:asciiTheme="minorEastAsia" w:hAnsiTheme="minorEastAsia" w:eastAsiaTheme="minorEastAsia"/>
          <w:sz w:val="24"/>
        </w:rPr>
        <w:t>机构之间与投标有关的所有往来通知、函件和投标文件均用中文表述。投标人随投标文件提供的证明文件和资料可以为其它语言，但必须附中文译文。翻译的中文资料与外文资料出现差异时，以中文为准。</w:t>
      </w:r>
    </w:p>
    <w:p w14:paraId="68AA8C5B">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7</w:t>
      </w:r>
      <w:r>
        <w:rPr>
          <w:rFonts w:asciiTheme="minorEastAsia" w:hAnsiTheme="minorEastAsia" w:eastAsiaTheme="minorEastAsia"/>
          <w:sz w:val="24"/>
        </w:rPr>
        <w:t>.</w:t>
      </w:r>
      <w:r>
        <w:rPr>
          <w:rFonts w:hint="eastAsia" w:asciiTheme="minorEastAsia" w:hAnsiTheme="minorEastAsia" w:eastAsiaTheme="minorEastAsia"/>
          <w:sz w:val="24"/>
        </w:rPr>
        <w:t>5</w:t>
      </w:r>
      <w:r>
        <w:rPr>
          <w:rFonts w:asciiTheme="minorEastAsia" w:hAnsiTheme="minorEastAsia" w:eastAsiaTheme="minorEastAsia"/>
          <w:sz w:val="24"/>
        </w:rPr>
        <w:t>除</w:t>
      </w:r>
      <w:r>
        <w:rPr>
          <w:rFonts w:ascii="宋体" w:hAnsi="宋体" w:eastAsia="宋体"/>
          <w:sz w:val="24"/>
        </w:rPr>
        <w:t>招标文件</w:t>
      </w:r>
      <w:r>
        <w:rPr>
          <w:rFonts w:asciiTheme="minorEastAsia" w:hAnsiTheme="minorEastAsia" w:eastAsiaTheme="minorEastAsia"/>
          <w:sz w:val="24"/>
        </w:rPr>
        <w:t>中有特殊要求外，投标文件中所使用的计量单位，应采用中华人民共和国法定计量单位。</w:t>
      </w:r>
    </w:p>
    <w:p w14:paraId="3A3C250B">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8</w:t>
      </w:r>
      <w:r>
        <w:rPr>
          <w:rFonts w:asciiTheme="minorEastAsia" w:hAnsiTheme="minorEastAsia" w:eastAsiaTheme="minorEastAsia"/>
          <w:b/>
          <w:sz w:val="24"/>
        </w:rPr>
        <w:t>.</w:t>
      </w:r>
      <w:r>
        <w:rPr>
          <w:rFonts w:hint="eastAsia" w:asciiTheme="minorEastAsia" w:hAnsiTheme="minorEastAsia" w:eastAsiaTheme="minorEastAsia"/>
          <w:b/>
          <w:sz w:val="24"/>
        </w:rPr>
        <w:t>投标文件构成</w:t>
      </w:r>
    </w:p>
    <w:p w14:paraId="231251B2">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8</w:t>
      </w:r>
      <w:r>
        <w:rPr>
          <w:rFonts w:asciiTheme="minorEastAsia" w:hAnsiTheme="minorEastAsia" w:eastAsiaTheme="minorEastAsia"/>
          <w:sz w:val="24"/>
        </w:rPr>
        <w:t>.1</w:t>
      </w:r>
      <w:r>
        <w:rPr>
          <w:rFonts w:ascii="宋体" w:hAnsi="宋体" w:eastAsia="宋体"/>
          <w:sz w:val="24"/>
        </w:rPr>
        <w:t>投标人</w:t>
      </w:r>
      <w:r>
        <w:rPr>
          <w:rFonts w:asciiTheme="minorEastAsia" w:hAnsiTheme="minorEastAsia" w:eastAsiaTheme="minorEastAsia"/>
          <w:sz w:val="24"/>
        </w:rPr>
        <w:t>应完整地按招标文件提供的投标文件格式及要求</w:t>
      </w:r>
      <w:r>
        <w:rPr>
          <w:rFonts w:hint="eastAsia" w:asciiTheme="minorEastAsia" w:hAnsiTheme="minorEastAsia" w:eastAsiaTheme="minorEastAsia"/>
          <w:sz w:val="24"/>
        </w:rPr>
        <w:t>编</w:t>
      </w:r>
      <w:r>
        <w:rPr>
          <w:rFonts w:asciiTheme="minorEastAsia" w:hAnsiTheme="minorEastAsia" w:eastAsiaTheme="minorEastAsia"/>
          <w:sz w:val="24"/>
        </w:rPr>
        <w:t>写投标文件，</w:t>
      </w:r>
      <w:r>
        <w:rPr>
          <w:rFonts w:hint="eastAsia" w:asciiTheme="minorEastAsia" w:hAnsiTheme="minorEastAsia" w:eastAsiaTheme="minorEastAsia"/>
          <w:sz w:val="24"/>
        </w:rPr>
        <w:t>具体内容详见本项目投标文件格式的相关内容。</w:t>
      </w:r>
    </w:p>
    <w:p w14:paraId="03A9FD1E">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8.2</w:t>
      </w:r>
      <w:r>
        <w:rPr>
          <w:rFonts w:ascii="宋体" w:hAnsi="宋体" w:eastAsia="宋体"/>
          <w:sz w:val="24"/>
        </w:rPr>
        <w:t>投标人</w:t>
      </w:r>
      <w:r>
        <w:rPr>
          <w:rFonts w:asciiTheme="minorEastAsia" w:hAnsiTheme="minorEastAsia" w:eastAsiaTheme="minorEastAsia"/>
          <w:sz w:val="24"/>
        </w:rPr>
        <w:t>应提交</w:t>
      </w:r>
      <w:r>
        <w:rPr>
          <w:rFonts w:hint="eastAsia" w:asciiTheme="minorEastAsia" w:hAnsiTheme="minorEastAsia" w:eastAsiaTheme="minorEastAsia"/>
          <w:sz w:val="24"/>
        </w:rPr>
        <w:t>招标文件要求的</w:t>
      </w:r>
      <w:r>
        <w:rPr>
          <w:rFonts w:asciiTheme="minorEastAsia" w:hAnsiTheme="minorEastAsia" w:eastAsiaTheme="minorEastAsia"/>
          <w:sz w:val="24"/>
        </w:rPr>
        <w:t>证明文件，证明其投标内容符合招标文件规定</w:t>
      </w:r>
      <w:r>
        <w:rPr>
          <w:rFonts w:hint="eastAsia" w:asciiTheme="minorEastAsia" w:hAnsiTheme="minorEastAsia" w:eastAsiaTheme="minorEastAsia"/>
          <w:sz w:val="24"/>
        </w:rPr>
        <w:t>，</w:t>
      </w:r>
      <w:r>
        <w:rPr>
          <w:rFonts w:asciiTheme="minorEastAsia" w:hAnsiTheme="minorEastAsia" w:eastAsiaTheme="minorEastAsia"/>
          <w:sz w:val="24"/>
        </w:rPr>
        <w:t>该证明文件是投标文件的一部分</w:t>
      </w:r>
      <w:r>
        <w:rPr>
          <w:rFonts w:hint="eastAsia" w:asciiTheme="minorEastAsia" w:hAnsiTheme="minorEastAsia" w:eastAsiaTheme="minorEastAsia"/>
          <w:sz w:val="24"/>
        </w:rPr>
        <w:t>。</w:t>
      </w:r>
      <w:r>
        <w:rPr>
          <w:rFonts w:asciiTheme="minorEastAsia" w:hAnsiTheme="minorEastAsia" w:eastAsiaTheme="minorEastAsia"/>
          <w:sz w:val="24"/>
        </w:rPr>
        <w:t>证明文件</w:t>
      </w:r>
      <w:r>
        <w:rPr>
          <w:rFonts w:hint="eastAsia" w:asciiTheme="minorEastAsia" w:hAnsiTheme="minorEastAsia" w:eastAsiaTheme="minorEastAsia"/>
          <w:sz w:val="24"/>
        </w:rPr>
        <w:t>形式</w:t>
      </w:r>
      <w:r>
        <w:rPr>
          <w:rFonts w:asciiTheme="minorEastAsia" w:hAnsiTheme="minorEastAsia" w:eastAsiaTheme="minorEastAsia"/>
          <w:sz w:val="24"/>
        </w:rPr>
        <w:t>可以是文字资料、图纸和数据</w:t>
      </w:r>
      <w:bookmarkStart w:id="29" w:name="_Hlk11703583"/>
      <w:r>
        <w:rPr>
          <w:rFonts w:hint="eastAsia" w:asciiTheme="minorEastAsia" w:hAnsiTheme="minorEastAsia" w:eastAsiaTheme="minorEastAsia"/>
          <w:sz w:val="24"/>
        </w:rPr>
        <w:t>等。</w:t>
      </w:r>
    </w:p>
    <w:bookmarkEnd w:id="29"/>
    <w:p w14:paraId="572682E4">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8.3</w:t>
      </w:r>
      <w:r>
        <w:rPr>
          <w:rFonts w:asciiTheme="minorEastAsia" w:hAnsiTheme="minorEastAsia" w:eastAsiaTheme="minorEastAsia"/>
          <w:sz w:val="24"/>
        </w:rPr>
        <w:t>为保证</w:t>
      </w:r>
      <w:r>
        <w:rPr>
          <w:rFonts w:ascii="宋体" w:hAnsi="宋体" w:eastAsia="宋体"/>
          <w:sz w:val="24"/>
        </w:rPr>
        <w:t>公平</w:t>
      </w:r>
      <w:r>
        <w:rPr>
          <w:rFonts w:asciiTheme="minorEastAsia" w:hAnsiTheme="minorEastAsia" w:eastAsiaTheme="minorEastAsia"/>
          <w:sz w:val="24"/>
        </w:rPr>
        <w:t>公正，除非另有规定或说明，投标人对同一项目投标时，不得同时提供</w:t>
      </w:r>
      <w:r>
        <w:rPr>
          <w:rFonts w:hint="eastAsia" w:asciiTheme="minorEastAsia" w:hAnsiTheme="minorEastAsia" w:eastAsiaTheme="minorEastAsia"/>
          <w:sz w:val="24"/>
        </w:rPr>
        <w:t>备选</w:t>
      </w:r>
      <w:r>
        <w:rPr>
          <w:rFonts w:asciiTheme="minorEastAsia" w:hAnsiTheme="minorEastAsia" w:eastAsiaTheme="minorEastAsia"/>
          <w:sz w:val="24"/>
        </w:rPr>
        <w:t>投标方案。</w:t>
      </w:r>
    </w:p>
    <w:p w14:paraId="70FE058F">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9</w:t>
      </w:r>
      <w:r>
        <w:rPr>
          <w:rFonts w:asciiTheme="minorEastAsia" w:hAnsiTheme="minorEastAsia" w:eastAsiaTheme="minorEastAsia"/>
          <w:b/>
          <w:sz w:val="24"/>
        </w:rPr>
        <w:t>.</w:t>
      </w:r>
      <w:r>
        <w:rPr>
          <w:rFonts w:hint="eastAsia" w:asciiTheme="minorEastAsia" w:hAnsiTheme="minorEastAsia" w:eastAsiaTheme="minorEastAsia"/>
          <w:b/>
          <w:sz w:val="24"/>
        </w:rPr>
        <w:t>投标报价</w:t>
      </w:r>
    </w:p>
    <w:p w14:paraId="77B2E2C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9</w:t>
      </w:r>
      <w:r>
        <w:rPr>
          <w:rFonts w:asciiTheme="minorEastAsia" w:hAnsiTheme="minorEastAsia" w:eastAsiaTheme="minorEastAsia"/>
          <w:sz w:val="24"/>
        </w:rPr>
        <w:t>.1投标人的报价应当包括满足本次招标全部采购需求</w:t>
      </w:r>
      <w:r>
        <w:rPr>
          <w:rFonts w:hint="eastAsia" w:asciiTheme="minorEastAsia" w:hAnsiTheme="minorEastAsia" w:eastAsiaTheme="minorEastAsia"/>
          <w:sz w:val="24"/>
        </w:rPr>
        <w:t>。除招标文件另有规定外，所有投标均应以人民币报价。投标人的投标报价应遵守《中华人民共和国价格法》。</w:t>
      </w:r>
    </w:p>
    <w:p w14:paraId="79791A8E">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9</w:t>
      </w:r>
      <w:r>
        <w:rPr>
          <w:rFonts w:asciiTheme="minorEastAsia" w:hAnsiTheme="minorEastAsia" w:eastAsiaTheme="minorEastAsia"/>
          <w:sz w:val="24"/>
        </w:rPr>
        <w:t>.2投标人报价超过招标文件规定的预算金额或者分项、分包最高限价，其投标将被认定为</w:t>
      </w:r>
      <w:r>
        <w:rPr>
          <w:rFonts w:asciiTheme="minorEastAsia" w:hAnsiTheme="minorEastAsia" w:eastAsiaTheme="minorEastAsia"/>
          <w:b/>
          <w:bCs/>
          <w:sz w:val="24"/>
        </w:rPr>
        <w:t>投标无效</w:t>
      </w:r>
      <w:r>
        <w:rPr>
          <w:rFonts w:asciiTheme="minorEastAsia" w:hAnsiTheme="minorEastAsia" w:eastAsiaTheme="minorEastAsia"/>
          <w:sz w:val="24"/>
        </w:rPr>
        <w:t>。</w:t>
      </w:r>
    </w:p>
    <w:p w14:paraId="5F6331A3">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9</w:t>
      </w:r>
      <w:r>
        <w:rPr>
          <w:rFonts w:asciiTheme="minorEastAsia" w:hAnsiTheme="minorEastAsia" w:eastAsiaTheme="minorEastAsia"/>
          <w:sz w:val="24"/>
        </w:rPr>
        <w:t>.</w:t>
      </w:r>
      <w:r>
        <w:rPr>
          <w:rFonts w:hint="eastAsia" w:asciiTheme="minorEastAsia" w:hAnsiTheme="minorEastAsia" w:eastAsiaTheme="minorEastAsia"/>
          <w:sz w:val="24"/>
        </w:rPr>
        <w:t>3投标报价</w:t>
      </w:r>
      <w:r>
        <w:rPr>
          <w:rFonts w:asciiTheme="minorEastAsia" w:hAnsiTheme="minorEastAsia" w:eastAsiaTheme="minorEastAsia"/>
          <w:sz w:val="24"/>
        </w:rPr>
        <w:t>在合同履行过程中是固定不变的，不得以任何理由予以变更。任何包含价格调整要求的投标，其投标将被认定为</w:t>
      </w:r>
      <w:r>
        <w:rPr>
          <w:rFonts w:asciiTheme="minorEastAsia" w:hAnsiTheme="minorEastAsia" w:eastAsiaTheme="minorEastAsia"/>
          <w:b/>
          <w:sz w:val="24"/>
        </w:rPr>
        <w:t>投标无效</w:t>
      </w:r>
      <w:r>
        <w:rPr>
          <w:rFonts w:asciiTheme="minorEastAsia" w:hAnsiTheme="minorEastAsia" w:eastAsiaTheme="minorEastAsia"/>
          <w:sz w:val="24"/>
        </w:rPr>
        <w:t>。</w:t>
      </w:r>
    </w:p>
    <w:p w14:paraId="04F624C2">
      <w:pPr>
        <w:spacing w:line="360" w:lineRule="auto"/>
        <w:ind w:firstLine="435"/>
        <w:rPr>
          <w:rFonts w:hint="eastAsia" w:ascii="宋体" w:hAnsi="宋体" w:eastAsia="宋体"/>
          <w:sz w:val="24"/>
        </w:rPr>
      </w:pPr>
      <w:r>
        <w:rPr>
          <w:rFonts w:hint="eastAsia" w:asciiTheme="minorEastAsia" w:hAnsiTheme="minorEastAsia" w:eastAsiaTheme="minorEastAsia"/>
          <w:sz w:val="24"/>
        </w:rPr>
        <w:t>9</w:t>
      </w:r>
      <w:r>
        <w:rPr>
          <w:rFonts w:asciiTheme="minorEastAsia" w:hAnsiTheme="minorEastAsia" w:eastAsiaTheme="minorEastAsia"/>
          <w:sz w:val="24"/>
        </w:rPr>
        <w:t>.</w:t>
      </w:r>
      <w:r>
        <w:rPr>
          <w:rFonts w:hint="eastAsia" w:asciiTheme="minorEastAsia" w:hAnsiTheme="minorEastAsia" w:eastAsiaTheme="minorEastAsia"/>
          <w:sz w:val="24"/>
        </w:rPr>
        <w:t>4评标委员会认为投标人的报价明显低于其他通过符合性审查投标人的报价，有可能影响产品质量或者不能诚信履约的，应当要求其在合理的时间内提供书面说明，</w:t>
      </w:r>
      <w:r>
        <w:rPr>
          <w:rFonts w:asciiTheme="minorEastAsia" w:hAnsiTheme="minorEastAsia" w:eastAsiaTheme="minorEastAsia"/>
          <w:sz w:val="24"/>
        </w:rPr>
        <w:t>必要时提交相关证明材料；投标人不能证明其报价合理性的，其投标将被认定为</w:t>
      </w:r>
      <w:r>
        <w:rPr>
          <w:rFonts w:asciiTheme="minorEastAsia" w:hAnsiTheme="minorEastAsia" w:eastAsiaTheme="minorEastAsia"/>
          <w:b/>
          <w:sz w:val="24"/>
        </w:rPr>
        <w:t>投标无效</w:t>
      </w:r>
      <w:r>
        <w:rPr>
          <w:rFonts w:hint="eastAsia" w:asciiTheme="minorEastAsia" w:hAnsiTheme="minorEastAsia" w:eastAsiaTheme="minorEastAsia"/>
          <w:sz w:val="24"/>
        </w:rPr>
        <w:t>。</w:t>
      </w:r>
    </w:p>
    <w:p w14:paraId="3BABFBF8">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9</w:t>
      </w:r>
      <w:r>
        <w:rPr>
          <w:rFonts w:asciiTheme="minorEastAsia" w:hAnsiTheme="minorEastAsia" w:eastAsiaTheme="minorEastAsia"/>
          <w:sz w:val="24"/>
        </w:rPr>
        <w:t>.</w:t>
      </w:r>
      <w:r>
        <w:rPr>
          <w:rFonts w:hint="eastAsia" w:asciiTheme="minorEastAsia" w:hAnsiTheme="minorEastAsia" w:eastAsiaTheme="minorEastAsia"/>
          <w:sz w:val="24"/>
        </w:rPr>
        <w:t>5</w:t>
      </w:r>
      <w:r>
        <w:rPr>
          <w:rFonts w:asciiTheme="minorEastAsia" w:hAnsiTheme="minorEastAsia" w:eastAsiaTheme="minorEastAsia"/>
          <w:sz w:val="24"/>
        </w:rPr>
        <w:t>采购人不接受具有附加条件的报价。</w:t>
      </w:r>
    </w:p>
    <w:p w14:paraId="3DE7ACB1">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10</w:t>
      </w:r>
      <w:r>
        <w:rPr>
          <w:rFonts w:asciiTheme="minorEastAsia" w:hAnsiTheme="minorEastAsia" w:eastAsiaTheme="minorEastAsia"/>
          <w:b/>
          <w:sz w:val="24"/>
        </w:rPr>
        <w:t>.</w:t>
      </w:r>
      <w:r>
        <w:rPr>
          <w:rFonts w:hint="eastAsia" w:asciiTheme="minorEastAsia" w:hAnsiTheme="minorEastAsia" w:eastAsiaTheme="minorEastAsia"/>
          <w:b/>
          <w:sz w:val="24"/>
        </w:rPr>
        <w:t>投标保证金</w:t>
      </w:r>
    </w:p>
    <w:p w14:paraId="106B705B">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10.1本项目不收取投标保证金。</w:t>
      </w:r>
    </w:p>
    <w:p w14:paraId="00E360A5">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11</w:t>
      </w:r>
      <w:r>
        <w:rPr>
          <w:rFonts w:asciiTheme="minorEastAsia" w:hAnsiTheme="minorEastAsia" w:eastAsiaTheme="minorEastAsia"/>
          <w:b/>
          <w:sz w:val="24"/>
        </w:rPr>
        <w:t>.</w:t>
      </w:r>
      <w:r>
        <w:rPr>
          <w:rFonts w:hint="eastAsia" w:asciiTheme="minorEastAsia" w:hAnsiTheme="minorEastAsia" w:eastAsiaTheme="minorEastAsia"/>
          <w:b/>
          <w:sz w:val="24"/>
        </w:rPr>
        <w:t>投标有效期</w:t>
      </w:r>
    </w:p>
    <w:p w14:paraId="4E3152B6">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11.1投标有效期为从投标截止之日算起的日历天数，投标有效期详见</w:t>
      </w:r>
      <w:r>
        <w:rPr>
          <w:rFonts w:hint="eastAsia" w:asciiTheme="minorEastAsia" w:hAnsiTheme="minorEastAsia" w:eastAsiaTheme="minorEastAsia"/>
          <w:sz w:val="24"/>
          <w:u w:val="single"/>
        </w:rPr>
        <w:t>投标人须知前附表</w:t>
      </w:r>
      <w:r>
        <w:rPr>
          <w:rFonts w:hint="eastAsia" w:asciiTheme="minorEastAsia" w:hAnsiTheme="minorEastAsia" w:eastAsiaTheme="minorEastAsia"/>
          <w:sz w:val="24"/>
        </w:rPr>
        <w:t>。</w:t>
      </w:r>
    </w:p>
    <w:p w14:paraId="653419B8">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11.2在投标有效期内，投标人的投标保持有效，投标人不得要求撤销或修改其投标文件。投标有效期不满足要求的投标，其投标将被认定为</w:t>
      </w:r>
      <w:r>
        <w:rPr>
          <w:rFonts w:hint="eastAsia" w:asciiTheme="minorEastAsia" w:hAnsiTheme="minorEastAsia" w:eastAsiaTheme="minorEastAsia"/>
          <w:b/>
          <w:sz w:val="24"/>
        </w:rPr>
        <w:t>投标无效</w:t>
      </w:r>
      <w:r>
        <w:rPr>
          <w:rFonts w:hint="eastAsia" w:asciiTheme="minorEastAsia" w:hAnsiTheme="minorEastAsia" w:eastAsiaTheme="minorEastAsia"/>
          <w:sz w:val="24"/>
        </w:rPr>
        <w:t>。</w:t>
      </w:r>
    </w:p>
    <w:p w14:paraId="6B99C75D">
      <w:pPr>
        <w:spacing w:line="360" w:lineRule="auto"/>
        <w:ind w:firstLine="435"/>
        <w:rPr>
          <w:rFonts w:hint="eastAsia"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1</w:t>
      </w:r>
      <w:r>
        <w:rPr>
          <w:rFonts w:asciiTheme="minorEastAsia" w:hAnsiTheme="minorEastAsia" w:eastAsiaTheme="minorEastAsia"/>
          <w:sz w:val="24"/>
        </w:rPr>
        <w:t>.3</w:t>
      </w:r>
      <w:r>
        <w:rPr>
          <w:rFonts w:hint="eastAsia" w:asciiTheme="minorEastAsia" w:hAnsiTheme="minorEastAsia" w:eastAsiaTheme="minorEastAsia"/>
          <w:sz w:val="24"/>
        </w:rPr>
        <w:t>因特殊原因，采购人或采购代理机构可在原投标有效期截止之前，要求投标人延长投标文件的有效期。接受该要求的投标人将不会被要求和允许修正其投标。投标人也可以拒绝延长投标有效期的要求，且不承担任何责任。上述要求和答复都应以书面形式提交。</w:t>
      </w:r>
    </w:p>
    <w:p w14:paraId="7FECBB32">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12</w:t>
      </w:r>
      <w:r>
        <w:rPr>
          <w:rFonts w:asciiTheme="minorEastAsia" w:hAnsiTheme="minorEastAsia" w:eastAsiaTheme="minorEastAsia"/>
          <w:b/>
          <w:sz w:val="24"/>
        </w:rPr>
        <w:t>.</w:t>
      </w:r>
      <w:r>
        <w:rPr>
          <w:rFonts w:hint="eastAsia" w:asciiTheme="minorEastAsia" w:hAnsiTheme="minorEastAsia" w:eastAsiaTheme="minorEastAsia"/>
          <w:b/>
          <w:sz w:val="24"/>
        </w:rPr>
        <w:t>投标文件的递交、修改与撤回</w:t>
      </w:r>
    </w:p>
    <w:p w14:paraId="7EE906DC">
      <w:pPr>
        <w:spacing w:line="360" w:lineRule="auto"/>
        <w:ind w:firstLine="435"/>
        <w:rPr>
          <w:rFonts w:hint="eastAsia"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2.1投标人应当在招标公告规定的投标截止时间前</w:t>
      </w:r>
      <w:r>
        <w:rPr>
          <w:rFonts w:asciiTheme="minorEastAsia" w:hAnsiTheme="minorEastAsia" w:eastAsiaTheme="minorEastAsia"/>
          <w:sz w:val="24"/>
        </w:rPr>
        <w:t>，将加密的投标文件</w:t>
      </w:r>
      <w:r>
        <w:rPr>
          <w:rFonts w:hint="eastAsia" w:asciiTheme="minorEastAsia" w:hAnsiTheme="minorEastAsia" w:eastAsiaTheme="minorEastAsia"/>
          <w:sz w:val="24"/>
        </w:rPr>
        <w:t>在电子交易系统</w:t>
      </w:r>
      <w:r>
        <w:rPr>
          <w:rFonts w:asciiTheme="minorEastAsia" w:hAnsiTheme="minorEastAsia" w:eastAsiaTheme="minorEastAsia"/>
          <w:sz w:val="24"/>
        </w:rPr>
        <w:t>上传。</w:t>
      </w:r>
    </w:p>
    <w:p w14:paraId="34B083E4">
      <w:pPr>
        <w:spacing w:line="360" w:lineRule="auto"/>
        <w:ind w:firstLine="435"/>
        <w:rPr>
          <w:rFonts w:hint="eastAsia"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2.2投标人应当在投标截止时间前完成投标文件的传输递交（以接收到电子签收凭证为准），并可以补充、修改或者撤回投标文件。投标截止时间前未完成投标文件传输的，视为撤回投标文件。未按规定加密或投标截止时间后送达的投标文件，电子交易系统应当拒收。</w:t>
      </w:r>
    </w:p>
    <w:p w14:paraId="374CEB2F">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13</w:t>
      </w:r>
      <w:r>
        <w:rPr>
          <w:rFonts w:asciiTheme="minorEastAsia" w:hAnsiTheme="minorEastAsia" w:eastAsiaTheme="minorEastAsia"/>
          <w:b/>
          <w:sz w:val="24"/>
        </w:rPr>
        <w:t>.</w:t>
      </w:r>
      <w:r>
        <w:rPr>
          <w:rFonts w:hint="eastAsia" w:asciiTheme="minorEastAsia" w:hAnsiTheme="minorEastAsia" w:eastAsiaTheme="minorEastAsia"/>
          <w:b/>
          <w:sz w:val="24"/>
        </w:rPr>
        <w:t>开标</w:t>
      </w:r>
    </w:p>
    <w:p w14:paraId="23DF02E0">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13</w:t>
      </w:r>
      <w:r>
        <w:rPr>
          <w:rFonts w:asciiTheme="minorEastAsia" w:hAnsiTheme="minorEastAsia" w:eastAsiaTheme="minorEastAsia"/>
          <w:sz w:val="24"/>
        </w:rPr>
        <w:t>.</w:t>
      </w:r>
      <w:r>
        <w:rPr>
          <w:rFonts w:hint="eastAsia" w:asciiTheme="minorEastAsia" w:hAnsiTheme="minorEastAsia" w:eastAsiaTheme="minorEastAsia"/>
          <w:sz w:val="24"/>
        </w:rPr>
        <w:t>1</w:t>
      </w:r>
      <w:r>
        <w:rPr>
          <w:rFonts w:asciiTheme="minorEastAsia" w:hAnsiTheme="minorEastAsia" w:eastAsiaTheme="minorEastAsia"/>
          <w:sz w:val="24"/>
        </w:rPr>
        <w:t>开标时，</w:t>
      </w:r>
      <w:r>
        <w:rPr>
          <w:rFonts w:ascii="宋体" w:hAnsi="宋体" w:eastAsia="宋体" w:cs="宋体"/>
          <w:sz w:val="24"/>
          <w:szCs w:val="24"/>
        </w:rPr>
        <w:t>各投标人应在</w:t>
      </w:r>
      <w:r>
        <w:rPr>
          <w:rFonts w:ascii="宋体" w:hAnsi="宋体" w:eastAsia="宋体" w:cs="宋体"/>
          <w:sz w:val="24"/>
          <w:szCs w:val="24"/>
          <w:u w:val="single"/>
        </w:rPr>
        <w:t>投标人须知前附表</w:t>
      </w:r>
      <w:r>
        <w:rPr>
          <w:rFonts w:ascii="宋体" w:hAnsi="宋体" w:eastAsia="宋体" w:cs="宋体"/>
          <w:sz w:val="24"/>
          <w:szCs w:val="24"/>
        </w:rPr>
        <w:t>规定的解密时间前</w:t>
      </w:r>
      <w:r>
        <w:rPr>
          <w:rFonts w:asciiTheme="minorEastAsia" w:hAnsiTheme="minorEastAsia" w:eastAsiaTheme="minorEastAsia"/>
          <w:sz w:val="24"/>
        </w:rPr>
        <w:t>对</w:t>
      </w:r>
      <w:r>
        <w:rPr>
          <w:rFonts w:hint="eastAsia" w:ascii="宋体" w:hAnsi="宋体" w:eastAsia="宋体" w:cs="宋体"/>
          <w:sz w:val="24"/>
          <w:szCs w:val="24"/>
        </w:rPr>
        <w:t>其</w:t>
      </w:r>
      <w:r>
        <w:rPr>
          <w:rFonts w:asciiTheme="minorEastAsia" w:hAnsiTheme="minorEastAsia" w:eastAsiaTheme="minorEastAsia"/>
          <w:sz w:val="24"/>
        </w:rPr>
        <w:t>投标文件</w:t>
      </w:r>
      <w:r>
        <w:rPr>
          <w:rFonts w:hint="eastAsia" w:asciiTheme="minorEastAsia" w:hAnsiTheme="minorEastAsia" w:eastAsiaTheme="minorEastAsia"/>
          <w:sz w:val="24"/>
        </w:rPr>
        <w:t>进行</w:t>
      </w:r>
      <w:r>
        <w:rPr>
          <w:rFonts w:asciiTheme="minorEastAsia" w:hAnsiTheme="minorEastAsia" w:eastAsiaTheme="minorEastAsia"/>
          <w:sz w:val="24"/>
        </w:rPr>
        <w:t>解密。</w:t>
      </w:r>
    </w:p>
    <w:p w14:paraId="52818D0E">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13</w:t>
      </w:r>
      <w:r>
        <w:rPr>
          <w:rFonts w:asciiTheme="minorEastAsia" w:hAnsiTheme="minorEastAsia" w:eastAsiaTheme="minorEastAsia"/>
          <w:sz w:val="24"/>
        </w:rPr>
        <w:t>.</w:t>
      </w:r>
      <w:r>
        <w:rPr>
          <w:rFonts w:hint="eastAsia" w:asciiTheme="minorEastAsia" w:hAnsiTheme="minorEastAsia" w:eastAsiaTheme="minorEastAsia"/>
          <w:sz w:val="24"/>
        </w:rPr>
        <w:t>2</w:t>
      </w:r>
      <w:r>
        <w:rPr>
          <w:rFonts w:asciiTheme="minorEastAsia" w:hAnsiTheme="minorEastAsia" w:eastAsiaTheme="minorEastAsia"/>
          <w:sz w:val="24"/>
        </w:rPr>
        <w:t>开标时，采购代理机构将通过网上开标系统公布</w:t>
      </w:r>
      <w:r>
        <w:rPr>
          <w:rFonts w:hint="eastAsia" w:asciiTheme="minorEastAsia" w:hAnsiTheme="minorEastAsia" w:eastAsiaTheme="minorEastAsia"/>
          <w:sz w:val="24"/>
        </w:rPr>
        <w:t>开标结果，公布内容包括投标人名称、投标价格及招标文件规定的内容。</w:t>
      </w:r>
    </w:p>
    <w:p w14:paraId="3DE0CF4A">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13.3采购人或采购代理机构将对开标过程进行记录，并存档备查。</w:t>
      </w:r>
    </w:p>
    <w:p w14:paraId="22845B63">
      <w:pPr>
        <w:spacing w:line="360" w:lineRule="auto"/>
        <w:ind w:firstLine="435"/>
        <w:rPr>
          <w:rFonts w:hint="eastAsia" w:asciiTheme="minorEastAsia" w:hAnsiTheme="minorEastAsia" w:eastAsiaTheme="minorEastAsia"/>
          <w:sz w:val="28"/>
        </w:rPr>
      </w:pPr>
      <w:r>
        <w:rPr>
          <w:rFonts w:hint="eastAsia" w:asciiTheme="minorEastAsia" w:hAnsiTheme="minorEastAsia" w:eastAsiaTheme="minorEastAsia"/>
          <w:sz w:val="24"/>
        </w:rPr>
        <w:t>13.4投标人代表对开标过程和开标记录有疑义，以及认为采购人、采购代理机构相关工作人员有需要回避的情形的，应当场提出询问或者回避申请。</w:t>
      </w:r>
    </w:p>
    <w:p w14:paraId="01A08723">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14</w:t>
      </w:r>
      <w:r>
        <w:rPr>
          <w:rFonts w:asciiTheme="minorEastAsia" w:hAnsiTheme="minorEastAsia" w:eastAsiaTheme="minorEastAsia"/>
          <w:b/>
          <w:sz w:val="24"/>
        </w:rPr>
        <w:t>.</w:t>
      </w:r>
      <w:r>
        <w:rPr>
          <w:rFonts w:hint="eastAsia" w:asciiTheme="minorEastAsia" w:hAnsiTheme="minorEastAsia" w:eastAsiaTheme="minorEastAsia"/>
          <w:b/>
          <w:sz w:val="24"/>
        </w:rPr>
        <w:t>资格审查及组建评标委员会</w:t>
      </w:r>
    </w:p>
    <w:p w14:paraId="1882CF71">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14.1采购人或采购代理机构依据法律法规和招标文件中规定的内</w:t>
      </w:r>
      <w:r>
        <w:rPr>
          <w:rFonts w:asciiTheme="minorEastAsia" w:hAnsiTheme="minorEastAsia" w:eastAsiaTheme="minorEastAsia"/>
          <w:sz w:val="24"/>
        </w:rPr>
        <w:t>容</w:t>
      </w:r>
      <w:r>
        <w:rPr>
          <w:rFonts w:hint="eastAsia" w:asciiTheme="minorEastAsia" w:hAnsiTheme="minorEastAsia" w:eastAsiaTheme="minorEastAsia"/>
          <w:sz w:val="24"/>
        </w:rPr>
        <w:t>，对投标人资格进行审查，未</w:t>
      </w:r>
      <w:r>
        <w:rPr>
          <w:rFonts w:asciiTheme="minorEastAsia" w:hAnsiTheme="minorEastAsia" w:eastAsiaTheme="minorEastAsia"/>
          <w:sz w:val="24"/>
        </w:rPr>
        <w:t>通过资格审查的投标人</w:t>
      </w:r>
      <w:r>
        <w:rPr>
          <w:rFonts w:hint="eastAsia" w:asciiTheme="minorEastAsia" w:hAnsiTheme="minorEastAsia" w:eastAsiaTheme="minorEastAsia"/>
          <w:sz w:val="24"/>
        </w:rPr>
        <w:t>不</w:t>
      </w:r>
      <w:r>
        <w:rPr>
          <w:rFonts w:asciiTheme="minorEastAsia" w:hAnsiTheme="minorEastAsia" w:eastAsiaTheme="minorEastAsia"/>
          <w:sz w:val="24"/>
        </w:rPr>
        <w:t>进入评标</w:t>
      </w:r>
      <w:r>
        <w:rPr>
          <w:rFonts w:hint="eastAsia" w:asciiTheme="minorEastAsia" w:hAnsiTheme="minorEastAsia" w:eastAsiaTheme="minorEastAsia"/>
          <w:sz w:val="24"/>
        </w:rPr>
        <w:t>。</w:t>
      </w:r>
    </w:p>
    <w:p w14:paraId="5D43D1E3">
      <w:pPr>
        <w:spacing w:line="360" w:lineRule="auto"/>
        <w:ind w:firstLine="435"/>
        <w:rPr>
          <w:rFonts w:hint="eastAsia" w:ascii="宋体" w:hAnsi="宋体" w:eastAsia="宋体" w:cs="宋体"/>
          <w:sz w:val="24"/>
          <w:szCs w:val="24"/>
        </w:rPr>
      </w:pPr>
      <w:bookmarkStart w:id="30" w:name="_Hlk24663244"/>
      <w:r>
        <w:rPr>
          <w:rFonts w:hint="eastAsia" w:ascii="宋体" w:hAnsi="宋体" w:eastAsia="宋体" w:cs="宋体"/>
          <w:sz w:val="24"/>
          <w:szCs w:val="24"/>
        </w:rPr>
        <w:t>14.2采购人或采购代理机构将在投标截止时间后至评审结束前通过“信用中国”网站(www.creditchina.gov.cn)、中国政府采购网(www.ccgp.gov.cn)查询相关投标人信用记录，并对投标人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投标将被认定为</w:t>
      </w:r>
      <w:r>
        <w:rPr>
          <w:rFonts w:hint="eastAsia" w:ascii="宋体" w:hAnsi="宋体" w:eastAsia="宋体" w:cs="宋体"/>
          <w:b/>
          <w:sz w:val="24"/>
          <w:szCs w:val="24"/>
        </w:rPr>
        <w:t>投标无效</w:t>
      </w:r>
      <w:r>
        <w:rPr>
          <w:rFonts w:hint="eastAsia" w:ascii="宋体" w:hAnsi="宋体" w:eastAsia="宋体" w:cs="宋体"/>
          <w:sz w:val="24"/>
          <w:szCs w:val="24"/>
        </w:rPr>
        <w:t>。</w:t>
      </w:r>
    </w:p>
    <w:p w14:paraId="2D8F3EA4">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以联合体形式参加投标的，联合体成员存在以上不良信用记录的，联合体投标将被认定为</w:t>
      </w:r>
      <w:r>
        <w:rPr>
          <w:rFonts w:hint="eastAsia" w:ascii="宋体" w:hAnsi="宋体" w:eastAsia="宋体" w:cs="宋体"/>
          <w:b/>
          <w:sz w:val="24"/>
          <w:szCs w:val="24"/>
        </w:rPr>
        <w:t>投标无效</w:t>
      </w:r>
      <w:r>
        <w:rPr>
          <w:rFonts w:hint="eastAsia" w:ascii="宋体" w:hAnsi="宋体" w:eastAsia="宋体" w:cs="宋体"/>
          <w:sz w:val="24"/>
          <w:szCs w:val="24"/>
        </w:rPr>
        <w:t>。</w:t>
      </w:r>
    </w:p>
    <w:p w14:paraId="64C23D32">
      <w:pPr>
        <w:spacing w:line="360" w:lineRule="auto"/>
        <w:ind w:firstLine="435"/>
        <w:rPr>
          <w:rFonts w:hint="eastAsia" w:asciiTheme="minorEastAsia" w:hAnsiTheme="minorEastAsia" w:eastAsiaTheme="minorEastAsia"/>
          <w:sz w:val="24"/>
        </w:rPr>
      </w:pPr>
      <w:r>
        <w:rPr>
          <w:rFonts w:hint="eastAsia" w:ascii="宋体" w:hAnsi="宋体" w:eastAsia="宋体" w:cs="宋体"/>
          <w:sz w:val="24"/>
          <w:szCs w:val="24"/>
        </w:rPr>
        <w:t>以上信用查询记录，采购人或采购代理机构将下载查询结果页面后与其他采购文件一并保存。投标人不良信用记录以采购人或采购代理机构查询结果为准。在本招标文件规定的查询时间之外，网站信息发生的任何变更均不作为资格审查依据。投标人自行提供的与网站信息不一致的其他证明材料亦不作为资格审查依据。</w:t>
      </w:r>
    </w:p>
    <w:bookmarkEnd w:id="30"/>
    <w:p w14:paraId="318CC4EE">
      <w:pPr>
        <w:spacing w:line="360" w:lineRule="auto"/>
        <w:ind w:firstLine="435"/>
        <w:rPr>
          <w:rFonts w:hint="eastAsia" w:asciiTheme="minorEastAsia" w:hAnsiTheme="minorEastAsia" w:eastAsiaTheme="minorEastAsia"/>
          <w:b/>
          <w:sz w:val="24"/>
        </w:rPr>
      </w:pPr>
      <w:r>
        <w:rPr>
          <w:rFonts w:hint="eastAsia" w:asciiTheme="minorEastAsia" w:hAnsiTheme="minorEastAsia" w:eastAsiaTheme="minorEastAsia"/>
          <w:sz w:val="24"/>
        </w:rPr>
        <w:t>14.3按照</w:t>
      </w:r>
      <w:r>
        <w:rPr>
          <w:rFonts w:hint="eastAsia" w:ascii="宋体" w:hAnsi="宋体" w:eastAsia="宋体"/>
          <w:sz w:val="24"/>
        </w:rPr>
        <w:t>《</w:t>
      </w:r>
      <w:r>
        <w:rPr>
          <w:rFonts w:ascii="宋体" w:hAnsi="宋体" w:eastAsia="宋体"/>
          <w:sz w:val="24"/>
        </w:rPr>
        <w:t>中华人民共和国政府采购法》</w:t>
      </w:r>
      <w:r>
        <w:rPr>
          <w:rFonts w:hint="eastAsia" w:asciiTheme="minorEastAsia" w:hAnsiTheme="minorEastAsia" w:eastAsiaTheme="minorEastAsia"/>
          <w:sz w:val="24"/>
        </w:rPr>
        <w:t>、</w:t>
      </w:r>
      <w:r>
        <w:rPr>
          <w:rFonts w:asciiTheme="minorEastAsia" w:hAnsiTheme="minorEastAsia" w:eastAsiaTheme="minorEastAsia"/>
          <w:sz w:val="24"/>
        </w:rPr>
        <w:t>《中华人民共和国政府采购</w:t>
      </w:r>
      <w:r>
        <w:rPr>
          <w:rFonts w:hint="eastAsia" w:asciiTheme="minorEastAsia" w:hAnsiTheme="minorEastAsia" w:eastAsiaTheme="minorEastAsia"/>
          <w:sz w:val="24"/>
        </w:rPr>
        <w:t>法</w:t>
      </w:r>
      <w:r>
        <w:rPr>
          <w:rFonts w:asciiTheme="minorEastAsia" w:hAnsiTheme="minorEastAsia" w:eastAsiaTheme="minorEastAsia"/>
          <w:sz w:val="24"/>
        </w:rPr>
        <w:t>实施条例》</w:t>
      </w:r>
      <w:r>
        <w:rPr>
          <w:rFonts w:hint="eastAsia" w:asciiTheme="minorEastAsia" w:hAnsiTheme="minorEastAsia" w:eastAsiaTheme="minorEastAsia"/>
          <w:sz w:val="24"/>
        </w:rPr>
        <w:t>及本项目本级</w:t>
      </w:r>
      <w:r>
        <w:rPr>
          <w:rFonts w:asciiTheme="minorEastAsia" w:hAnsiTheme="minorEastAsia" w:eastAsiaTheme="minorEastAsia"/>
          <w:sz w:val="24"/>
        </w:rPr>
        <w:t>和上级财政部门</w:t>
      </w:r>
      <w:r>
        <w:rPr>
          <w:rFonts w:hint="eastAsia" w:asciiTheme="minorEastAsia" w:hAnsiTheme="minorEastAsia" w:eastAsiaTheme="minorEastAsia"/>
          <w:sz w:val="24"/>
        </w:rPr>
        <w:t>、政府采购监督管理部门的有关规定依法组建的</w:t>
      </w:r>
      <w:r>
        <w:rPr>
          <w:rFonts w:asciiTheme="minorEastAsia" w:hAnsiTheme="minorEastAsia" w:eastAsiaTheme="minorEastAsia"/>
          <w:sz w:val="24"/>
        </w:rPr>
        <w:t>评标委员会</w:t>
      </w:r>
      <w:r>
        <w:rPr>
          <w:rFonts w:hint="eastAsia" w:asciiTheme="minorEastAsia" w:hAnsiTheme="minorEastAsia" w:eastAsiaTheme="minorEastAsia"/>
          <w:sz w:val="24"/>
        </w:rPr>
        <w:t>，负责本项目评标工作。</w:t>
      </w:r>
    </w:p>
    <w:p w14:paraId="0FD906D9">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15</w:t>
      </w:r>
      <w:r>
        <w:rPr>
          <w:rFonts w:asciiTheme="minorEastAsia" w:hAnsiTheme="minorEastAsia" w:eastAsiaTheme="minorEastAsia"/>
          <w:b/>
          <w:sz w:val="24"/>
        </w:rPr>
        <w:t>.</w:t>
      </w:r>
      <w:r>
        <w:rPr>
          <w:rFonts w:hint="eastAsia" w:asciiTheme="minorEastAsia" w:hAnsiTheme="minorEastAsia" w:eastAsiaTheme="minorEastAsia"/>
          <w:b/>
          <w:sz w:val="24"/>
        </w:rPr>
        <w:t>投标文件符合性审查与澄清</w:t>
      </w:r>
    </w:p>
    <w:p w14:paraId="4A061C3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15</w:t>
      </w:r>
      <w:r>
        <w:rPr>
          <w:rFonts w:asciiTheme="minorEastAsia" w:hAnsiTheme="minorEastAsia" w:eastAsiaTheme="minorEastAsia"/>
          <w:sz w:val="24"/>
        </w:rPr>
        <w:t>.1符合性审查是指依据招标文件的规定，从投标文件的有效性和完整性对招标文件的响应程度</w:t>
      </w:r>
      <w:r>
        <w:rPr>
          <w:rFonts w:ascii="宋体" w:hAnsi="宋体" w:eastAsia="宋体"/>
          <w:sz w:val="24"/>
        </w:rPr>
        <w:t>进行</w:t>
      </w:r>
      <w:r>
        <w:rPr>
          <w:rFonts w:asciiTheme="minorEastAsia" w:hAnsiTheme="minorEastAsia" w:eastAsiaTheme="minorEastAsia"/>
          <w:sz w:val="24"/>
        </w:rPr>
        <w:t>审查，以确定是否对招标文件的实质性要求做出响应。</w:t>
      </w:r>
    </w:p>
    <w:p w14:paraId="5FE73744">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15</w:t>
      </w:r>
      <w:r>
        <w:rPr>
          <w:rFonts w:asciiTheme="minorEastAsia" w:hAnsiTheme="minorEastAsia" w:eastAsiaTheme="minorEastAsia"/>
          <w:sz w:val="24"/>
        </w:rPr>
        <w:t>.2如一个分包内只有一种产品，不同投标人所投产品为同一品牌的，按如下方式处理：</w:t>
      </w:r>
    </w:p>
    <w:p w14:paraId="6CFB1565">
      <w:pPr>
        <w:spacing w:line="360" w:lineRule="auto"/>
        <w:ind w:firstLine="435"/>
        <w:rPr>
          <w:rFonts w:hint="eastAsia" w:ascii="宋体" w:hAnsi="宋体" w:eastAsia="宋体"/>
          <w:sz w:val="24"/>
        </w:rPr>
      </w:pPr>
      <w:r>
        <w:rPr>
          <w:rFonts w:hint="eastAsia" w:ascii="宋体" w:hAnsi="宋体" w:eastAsia="宋体"/>
          <w:sz w:val="24"/>
        </w:rPr>
        <w:t>15</w:t>
      </w:r>
      <w:r>
        <w:rPr>
          <w:rFonts w:ascii="宋体" w:hAnsi="宋体" w:eastAsia="宋体"/>
          <w:sz w:val="24"/>
        </w:rPr>
        <w:t>.2.1如本项目使用最低评标价法，提供相同品牌产品的不同投标人以其中通过资格审查、符合性审查且报价最低的参加评标；报价相同的，由采购人或者采购人委托评标委员会按照招标文件中评标</w:t>
      </w:r>
      <w:r>
        <w:rPr>
          <w:rFonts w:hint="eastAsia" w:ascii="宋体" w:hAnsi="宋体" w:eastAsia="宋体"/>
          <w:sz w:val="24"/>
        </w:rPr>
        <w:t>方</w:t>
      </w:r>
      <w:r>
        <w:rPr>
          <w:rFonts w:ascii="宋体" w:hAnsi="宋体" w:eastAsia="宋体"/>
          <w:sz w:val="24"/>
        </w:rPr>
        <w:t>法</w:t>
      </w:r>
      <w:r>
        <w:rPr>
          <w:rFonts w:hint="eastAsia" w:ascii="宋体" w:hAnsi="宋体" w:eastAsia="宋体"/>
          <w:sz w:val="24"/>
        </w:rPr>
        <w:t>和标准</w:t>
      </w:r>
      <w:r>
        <w:rPr>
          <w:rFonts w:ascii="宋体" w:hAnsi="宋体" w:eastAsia="宋体"/>
          <w:sz w:val="24"/>
        </w:rPr>
        <w:t>规定的方式确定一个参加评标的投标人；未规定的采取随机抽取方式确定，其他投标将被认定为</w:t>
      </w:r>
      <w:r>
        <w:rPr>
          <w:rFonts w:ascii="宋体" w:hAnsi="宋体" w:eastAsia="宋体"/>
          <w:b/>
          <w:sz w:val="24"/>
        </w:rPr>
        <w:t>投标无效</w:t>
      </w:r>
      <w:r>
        <w:rPr>
          <w:rFonts w:ascii="宋体" w:hAnsi="宋体" w:eastAsia="宋体"/>
          <w:sz w:val="24"/>
        </w:rPr>
        <w:t>。</w:t>
      </w:r>
    </w:p>
    <w:p w14:paraId="1CA8A043">
      <w:pPr>
        <w:spacing w:line="360" w:lineRule="auto"/>
        <w:ind w:firstLine="435"/>
        <w:rPr>
          <w:rFonts w:hint="eastAsia" w:ascii="宋体" w:hAnsi="宋体" w:eastAsia="宋体"/>
          <w:sz w:val="24"/>
        </w:rPr>
      </w:pPr>
      <w:r>
        <w:rPr>
          <w:rFonts w:hint="eastAsia" w:ascii="宋体" w:hAnsi="宋体" w:eastAsia="宋体"/>
          <w:sz w:val="24"/>
        </w:rPr>
        <w:t>15</w:t>
      </w:r>
      <w:r>
        <w:rPr>
          <w:rFonts w:ascii="宋体" w:hAnsi="宋体" w:eastAsia="宋体"/>
          <w:sz w:val="24"/>
        </w:rPr>
        <w:t>.2.2如本项目使用综合评分法，提供相同品牌产品且通过资格审查、符合性审查的不同投标人，按一家投标人计算，评审后得分最高的同品牌投标人获得中标人推荐资格；评审得分相同的，由采购人或者采购人委托评标委员会按照招标文件中评标</w:t>
      </w:r>
      <w:r>
        <w:rPr>
          <w:rFonts w:hint="eastAsia" w:ascii="宋体" w:hAnsi="宋体" w:eastAsia="宋体"/>
          <w:sz w:val="24"/>
        </w:rPr>
        <w:t>方</w:t>
      </w:r>
      <w:r>
        <w:rPr>
          <w:rFonts w:ascii="宋体" w:hAnsi="宋体" w:eastAsia="宋体"/>
          <w:sz w:val="24"/>
        </w:rPr>
        <w:t>法</w:t>
      </w:r>
      <w:r>
        <w:rPr>
          <w:rFonts w:hint="eastAsia" w:ascii="宋体" w:hAnsi="宋体" w:eastAsia="宋体"/>
          <w:sz w:val="24"/>
        </w:rPr>
        <w:t>和标准</w:t>
      </w:r>
      <w:r>
        <w:rPr>
          <w:rFonts w:ascii="宋体" w:hAnsi="宋体" w:eastAsia="宋体"/>
          <w:sz w:val="24"/>
        </w:rPr>
        <w:t>规定的方式确定一个投标人获得中标人推荐资格；未规定的采取随机抽取方式确定，其他同品牌投标人不作为中标候选人。</w:t>
      </w:r>
    </w:p>
    <w:p w14:paraId="1A02BA64">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15</w:t>
      </w:r>
      <w:r>
        <w:rPr>
          <w:rFonts w:asciiTheme="minorEastAsia" w:hAnsiTheme="minorEastAsia" w:eastAsiaTheme="minorEastAsia"/>
          <w:sz w:val="24"/>
        </w:rPr>
        <w:t>.3如一个分包内包含多种产品的，采购人或采购代理机构将在</w:t>
      </w:r>
      <w:r>
        <w:rPr>
          <w:rFonts w:hint="eastAsia" w:asciiTheme="minorEastAsia" w:hAnsiTheme="minorEastAsia" w:eastAsiaTheme="minorEastAsia"/>
          <w:sz w:val="24"/>
        </w:rPr>
        <w:t>采购需求</w:t>
      </w:r>
      <w:r>
        <w:rPr>
          <w:rFonts w:asciiTheme="minorEastAsia" w:hAnsiTheme="minorEastAsia" w:eastAsiaTheme="minorEastAsia"/>
          <w:sz w:val="24"/>
        </w:rPr>
        <w:t>中载明核心产品，多家投标人提供的核心产品品牌相同的，按第</w:t>
      </w:r>
      <w:r>
        <w:rPr>
          <w:rFonts w:hint="eastAsia" w:asciiTheme="minorEastAsia" w:hAnsiTheme="minorEastAsia" w:eastAsiaTheme="minorEastAsia"/>
          <w:sz w:val="24"/>
        </w:rPr>
        <w:t>15</w:t>
      </w:r>
      <w:r>
        <w:rPr>
          <w:rFonts w:asciiTheme="minorEastAsia" w:hAnsiTheme="minorEastAsia" w:eastAsiaTheme="minorEastAsia"/>
          <w:sz w:val="24"/>
        </w:rPr>
        <w:t>.2</w:t>
      </w:r>
      <w:r>
        <w:rPr>
          <w:rFonts w:hint="eastAsia" w:asciiTheme="minorEastAsia" w:hAnsiTheme="minorEastAsia" w:eastAsiaTheme="minorEastAsia"/>
          <w:sz w:val="24"/>
        </w:rPr>
        <w:t>款</w:t>
      </w:r>
      <w:r>
        <w:rPr>
          <w:rFonts w:asciiTheme="minorEastAsia" w:hAnsiTheme="minorEastAsia" w:eastAsiaTheme="minorEastAsia"/>
          <w:sz w:val="24"/>
        </w:rPr>
        <w:t>规定处理。</w:t>
      </w:r>
    </w:p>
    <w:p w14:paraId="0716B724">
      <w:pPr>
        <w:spacing w:line="360" w:lineRule="auto"/>
        <w:ind w:firstLine="435"/>
        <w:rPr>
          <w:rFonts w:hint="eastAsia" w:ascii="宋体" w:hAnsi="宋体" w:eastAsia="宋体"/>
          <w:sz w:val="24"/>
        </w:rPr>
      </w:pPr>
      <w:r>
        <w:rPr>
          <w:rFonts w:hint="eastAsia" w:ascii="宋体" w:hAnsi="宋体" w:eastAsia="宋体"/>
          <w:sz w:val="24"/>
        </w:rPr>
        <w:t>15</w:t>
      </w:r>
      <w:r>
        <w:rPr>
          <w:rFonts w:ascii="宋体" w:hAnsi="宋体" w:eastAsia="宋体"/>
          <w:sz w:val="24"/>
        </w:rPr>
        <w:t>.4</w:t>
      </w:r>
      <w:r>
        <w:rPr>
          <w:rFonts w:hint="eastAsia" w:ascii="宋体" w:hAnsi="宋体" w:eastAsia="宋体"/>
          <w:sz w:val="24"/>
        </w:rPr>
        <w:t>投标文件的澄清</w:t>
      </w:r>
    </w:p>
    <w:p w14:paraId="18DBD5E1">
      <w:pPr>
        <w:spacing w:line="360" w:lineRule="auto"/>
        <w:ind w:firstLine="435"/>
        <w:rPr>
          <w:rFonts w:hint="eastAsia" w:ascii="宋体" w:hAnsi="宋体" w:eastAsia="宋体"/>
          <w:sz w:val="24"/>
        </w:rPr>
      </w:pPr>
      <w:r>
        <w:rPr>
          <w:rFonts w:hint="eastAsia" w:ascii="宋体" w:hAnsi="宋体" w:eastAsia="宋体"/>
          <w:sz w:val="24"/>
        </w:rPr>
        <w:t>15</w:t>
      </w:r>
      <w:r>
        <w:rPr>
          <w:rFonts w:ascii="宋体" w:hAnsi="宋体" w:eastAsia="宋体"/>
          <w:sz w:val="24"/>
        </w:rPr>
        <w:t>.4.1为有助于投标</w:t>
      </w:r>
      <w:r>
        <w:rPr>
          <w:rFonts w:hint="eastAsia" w:ascii="宋体" w:hAnsi="宋体" w:eastAsia="宋体"/>
          <w:sz w:val="24"/>
        </w:rPr>
        <w:t>文件</w:t>
      </w:r>
      <w:r>
        <w:rPr>
          <w:rFonts w:ascii="宋体" w:hAnsi="宋体" w:eastAsia="宋体"/>
          <w:sz w:val="24"/>
        </w:rPr>
        <w:t>的审查、评价和比较，在评标期间，评标委员会将以书面</w:t>
      </w:r>
      <w:r>
        <w:rPr>
          <w:rFonts w:hint="eastAsia" w:ascii="宋体" w:hAnsi="宋体" w:eastAsia="宋体"/>
          <w:sz w:val="24"/>
        </w:rPr>
        <w:t>方式（询标）</w:t>
      </w:r>
      <w:r>
        <w:rPr>
          <w:rFonts w:ascii="宋体" w:hAnsi="宋体" w:eastAsia="宋体"/>
          <w:sz w:val="24"/>
        </w:rPr>
        <w:t>要求投标人对其投标文件中含义不明确、对同类问题表述不一致或者有明显文字和计算错误的内容，以及评标委员会认为投标人的报价明显低于其他通过符合性</w:t>
      </w:r>
      <w:r>
        <w:rPr>
          <w:rFonts w:hint="eastAsia" w:ascii="宋体" w:hAnsi="宋体" w:eastAsia="宋体"/>
          <w:sz w:val="24"/>
        </w:rPr>
        <w:t>审</w:t>
      </w:r>
      <w:r>
        <w:rPr>
          <w:rFonts w:ascii="宋体" w:hAnsi="宋体" w:eastAsia="宋体"/>
          <w:sz w:val="24"/>
        </w:rPr>
        <w:t>查投标人的报价，有可能影响履约的情况作必要的澄清、说明或补正。投标人的澄清、说明或补正应在评标委员会规定的时间内以书面</w:t>
      </w:r>
      <w:r>
        <w:rPr>
          <w:rFonts w:hint="eastAsia" w:ascii="宋体" w:hAnsi="宋体" w:eastAsia="宋体"/>
          <w:sz w:val="24"/>
        </w:rPr>
        <w:t>方式</w:t>
      </w:r>
      <w:r>
        <w:rPr>
          <w:rFonts w:ascii="宋体" w:hAnsi="宋体" w:eastAsia="宋体"/>
          <w:sz w:val="24"/>
        </w:rPr>
        <w:t>进行，并不得超出投标文件范围或者改变投标文件的实质性内容。</w:t>
      </w:r>
    </w:p>
    <w:p w14:paraId="31B17243">
      <w:pPr>
        <w:spacing w:line="360" w:lineRule="auto"/>
        <w:ind w:firstLine="435"/>
        <w:rPr>
          <w:rFonts w:hint="eastAsia" w:ascii="宋体" w:hAnsi="宋体" w:eastAsia="宋体"/>
          <w:b/>
          <w:bCs/>
          <w:sz w:val="24"/>
        </w:rPr>
      </w:pPr>
      <w:r>
        <w:rPr>
          <w:rFonts w:hint="eastAsia" w:ascii="宋体" w:hAnsi="宋体" w:eastAsia="宋体"/>
          <w:sz w:val="24"/>
        </w:rPr>
        <w:t>如有询标，投标人授权代表（或法定代表人）可通过远程登录的方式接受网上询标，也可凭本人有效身份证明参加询标。因投标人授权代表联系不上、没有及时登录系统等情形而无法接受评标委员会询标的，投标人自行承担相关风险。本项目采用远程开标，具体操作方法详见服务指南&gt;交易须知&gt;开标大厅远程解密、质疑(异议)及回复以及评标过程中询标流程操作手册。</w:t>
      </w:r>
    </w:p>
    <w:p w14:paraId="6F7FA660">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15.</w:t>
      </w:r>
      <w:r>
        <w:rPr>
          <w:rFonts w:asciiTheme="minorEastAsia" w:hAnsiTheme="minorEastAsia" w:eastAsiaTheme="minorEastAsia"/>
          <w:sz w:val="24"/>
        </w:rPr>
        <w:t>4.2</w:t>
      </w:r>
      <w:r>
        <w:rPr>
          <w:rFonts w:hint="eastAsia" w:asciiTheme="minorEastAsia" w:hAnsiTheme="minorEastAsia" w:eastAsiaTheme="minorEastAsia"/>
          <w:sz w:val="24"/>
        </w:rPr>
        <w:t>投标人的澄清、说明或补正将作为投标文件的一部分。</w:t>
      </w:r>
    </w:p>
    <w:p w14:paraId="0A18AB2E">
      <w:pPr>
        <w:spacing w:line="360" w:lineRule="auto"/>
        <w:ind w:firstLine="435"/>
        <w:rPr>
          <w:rFonts w:hint="eastAsia" w:ascii="宋体" w:hAnsi="宋体" w:eastAsia="宋体"/>
          <w:sz w:val="24"/>
        </w:rPr>
      </w:pPr>
      <w:r>
        <w:rPr>
          <w:rFonts w:hint="eastAsia" w:ascii="宋体" w:hAnsi="宋体" w:eastAsia="宋体"/>
          <w:sz w:val="24"/>
        </w:rPr>
        <w:t>15.</w:t>
      </w:r>
      <w:r>
        <w:rPr>
          <w:rFonts w:ascii="宋体" w:hAnsi="宋体" w:eastAsia="宋体"/>
          <w:sz w:val="24"/>
        </w:rPr>
        <w:t>4.3评标委员会对投标人提交的澄清、说明或补正有疑问的，可以要求投标人进一步澄清、说明或补正，直至满足评标委员会的要求。</w:t>
      </w:r>
    </w:p>
    <w:p w14:paraId="2F13959F">
      <w:pPr>
        <w:spacing w:line="360" w:lineRule="auto"/>
        <w:ind w:firstLine="435"/>
        <w:rPr>
          <w:rFonts w:hint="eastAsia" w:ascii="宋体" w:hAnsi="宋体" w:eastAsia="宋体"/>
          <w:sz w:val="24"/>
        </w:rPr>
      </w:pPr>
      <w:r>
        <w:rPr>
          <w:rFonts w:hint="eastAsia" w:ascii="宋体" w:hAnsi="宋体" w:eastAsia="宋体"/>
          <w:sz w:val="24"/>
        </w:rPr>
        <w:t>15.</w:t>
      </w:r>
      <w:r>
        <w:rPr>
          <w:rFonts w:ascii="宋体" w:hAnsi="宋体" w:eastAsia="宋体"/>
          <w:sz w:val="24"/>
        </w:rPr>
        <w:t>5投标文件报价出现前后不一致的，按照下列规定修正：</w:t>
      </w:r>
    </w:p>
    <w:p w14:paraId="742E490E">
      <w:pPr>
        <w:spacing w:line="360" w:lineRule="auto"/>
        <w:ind w:firstLine="435"/>
        <w:rPr>
          <w:rFonts w:hint="eastAsia" w:ascii="宋体" w:hAnsi="宋体" w:eastAsia="宋体"/>
          <w:sz w:val="24"/>
        </w:rPr>
      </w:pPr>
      <w:r>
        <w:rPr>
          <w:rFonts w:ascii="宋体" w:hAnsi="宋体" w:eastAsia="宋体"/>
          <w:sz w:val="24"/>
        </w:rPr>
        <w:t>（</w:t>
      </w:r>
      <w:r>
        <w:rPr>
          <w:rFonts w:hint="eastAsia" w:ascii="宋体" w:hAnsi="宋体" w:eastAsia="宋体"/>
          <w:sz w:val="24"/>
        </w:rPr>
        <w:t>1</w:t>
      </w:r>
      <w:r>
        <w:rPr>
          <w:rFonts w:ascii="宋体" w:hAnsi="宋体" w:eastAsia="宋体"/>
          <w:sz w:val="24"/>
        </w:rPr>
        <w:t>）投标文件中开标一览表内容与投标文件中相应内容不一致的，以开标一览表为准；</w:t>
      </w:r>
    </w:p>
    <w:p w14:paraId="3C6090AC">
      <w:pPr>
        <w:spacing w:line="360" w:lineRule="auto"/>
        <w:ind w:firstLine="435"/>
        <w:rPr>
          <w:rFonts w:hint="eastAsia" w:ascii="宋体" w:hAnsi="宋体" w:eastAsia="宋体"/>
          <w:sz w:val="24"/>
        </w:rPr>
      </w:pPr>
      <w:r>
        <w:rPr>
          <w:rFonts w:ascii="宋体" w:hAnsi="宋体" w:eastAsia="宋体"/>
          <w:sz w:val="24"/>
        </w:rPr>
        <w:t>（</w:t>
      </w:r>
      <w:r>
        <w:rPr>
          <w:rFonts w:hint="eastAsia" w:ascii="宋体" w:hAnsi="宋体" w:eastAsia="宋体"/>
          <w:sz w:val="24"/>
        </w:rPr>
        <w:t>2</w:t>
      </w:r>
      <w:r>
        <w:rPr>
          <w:rFonts w:ascii="宋体" w:hAnsi="宋体" w:eastAsia="宋体"/>
          <w:sz w:val="24"/>
        </w:rPr>
        <w:t>）大写金额和小写金额不一致的，以大写金额为准；</w:t>
      </w:r>
    </w:p>
    <w:p w14:paraId="6B5C1722">
      <w:pPr>
        <w:spacing w:line="360" w:lineRule="auto"/>
        <w:ind w:firstLine="435"/>
        <w:rPr>
          <w:rFonts w:hint="eastAsia" w:ascii="宋体" w:hAnsi="宋体" w:eastAsia="宋体"/>
          <w:sz w:val="24"/>
        </w:rPr>
      </w:pPr>
      <w:r>
        <w:rPr>
          <w:rFonts w:ascii="宋体" w:hAnsi="宋体" w:eastAsia="宋体"/>
          <w:sz w:val="24"/>
        </w:rPr>
        <w:t>（</w:t>
      </w:r>
      <w:r>
        <w:rPr>
          <w:rFonts w:hint="eastAsia" w:ascii="宋体" w:hAnsi="宋体" w:eastAsia="宋体"/>
          <w:sz w:val="24"/>
        </w:rPr>
        <w:t>3</w:t>
      </w:r>
      <w:r>
        <w:rPr>
          <w:rFonts w:ascii="宋体" w:hAnsi="宋体" w:eastAsia="宋体"/>
          <w:sz w:val="24"/>
        </w:rPr>
        <w:t>）单价金额小数点或者百分比有明显错位的，以开标一览表的总价为准，并修改单价；</w:t>
      </w:r>
    </w:p>
    <w:p w14:paraId="3205E851">
      <w:pPr>
        <w:spacing w:line="360" w:lineRule="auto"/>
        <w:ind w:firstLine="435"/>
        <w:rPr>
          <w:rFonts w:hint="eastAsia" w:ascii="宋体" w:hAnsi="宋体" w:eastAsia="宋体"/>
          <w:sz w:val="24"/>
        </w:rPr>
      </w:pPr>
      <w:r>
        <w:rPr>
          <w:rFonts w:ascii="宋体" w:hAnsi="宋体" w:eastAsia="宋体"/>
          <w:sz w:val="24"/>
        </w:rPr>
        <w:t>（</w:t>
      </w:r>
      <w:r>
        <w:rPr>
          <w:rFonts w:hint="eastAsia" w:ascii="宋体" w:hAnsi="宋体" w:eastAsia="宋体"/>
          <w:sz w:val="24"/>
        </w:rPr>
        <w:t>4</w:t>
      </w:r>
      <w:r>
        <w:rPr>
          <w:rFonts w:ascii="宋体" w:hAnsi="宋体" w:eastAsia="宋体"/>
          <w:sz w:val="24"/>
        </w:rPr>
        <w:t>）总价金额与按单价汇总金额不一致的，以单价金额计算结果为准。</w:t>
      </w:r>
    </w:p>
    <w:p w14:paraId="6709907E">
      <w:pPr>
        <w:spacing w:line="360" w:lineRule="auto"/>
        <w:ind w:firstLine="435"/>
        <w:rPr>
          <w:rFonts w:hint="eastAsia" w:ascii="宋体" w:hAnsi="宋体" w:eastAsia="宋体"/>
          <w:sz w:val="24"/>
        </w:rPr>
      </w:pPr>
      <w:r>
        <w:rPr>
          <w:rFonts w:ascii="宋体" w:hAnsi="宋体" w:eastAsia="宋体"/>
          <w:sz w:val="24"/>
        </w:rPr>
        <w:t>同时出现两种以上不一致的，按照前款规定的顺序修正。修正后的报价按照第</w:t>
      </w:r>
      <w:r>
        <w:rPr>
          <w:rFonts w:hint="eastAsia" w:ascii="宋体" w:hAnsi="宋体" w:eastAsia="宋体"/>
          <w:sz w:val="24"/>
        </w:rPr>
        <w:t>15.</w:t>
      </w:r>
      <w:r>
        <w:rPr>
          <w:rFonts w:ascii="宋体" w:hAnsi="宋体" w:eastAsia="宋体"/>
          <w:sz w:val="24"/>
        </w:rPr>
        <w:t>4条的规定经投标人确认后产生约束力，</w:t>
      </w:r>
      <w:r>
        <w:rPr>
          <w:rFonts w:hint="eastAsia" w:ascii="宋体" w:hAnsi="宋体" w:eastAsia="宋体"/>
          <w:sz w:val="24"/>
        </w:rPr>
        <w:t>无论投标人是接受或是拒绝调整后的价格，都应当由投标人在系统中确认。投标人拒绝对投标文件出现的错漏按上述原则进行修正、澄清、说明</w:t>
      </w:r>
      <w:r>
        <w:rPr>
          <w:rFonts w:ascii="宋体" w:hAnsi="宋体" w:eastAsia="宋体"/>
          <w:sz w:val="24"/>
        </w:rPr>
        <w:t>，其投标将被认定为</w:t>
      </w:r>
      <w:r>
        <w:rPr>
          <w:rFonts w:ascii="宋体" w:hAnsi="宋体" w:eastAsia="宋体"/>
          <w:b/>
          <w:sz w:val="24"/>
        </w:rPr>
        <w:t>投标无效</w:t>
      </w:r>
      <w:r>
        <w:rPr>
          <w:rFonts w:ascii="宋体" w:hAnsi="宋体" w:eastAsia="宋体"/>
          <w:sz w:val="24"/>
        </w:rPr>
        <w:t>。</w:t>
      </w:r>
    </w:p>
    <w:p w14:paraId="5F2DBB9B">
      <w:pPr>
        <w:spacing w:line="360" w:lineRule="auto"/>
        <w:ind w:firstLine="435"/>
        <w:rPr>
          <w:rFonts w:hint="eastAsia" w:asciiTheme="minorEastAsia" w:hAnsiTheme="minorEastAsia" w:eastAsiaTheme="minorEastAsia"/>
          <w:b/>
          <w:sz w:val="24"/>
        </w:rPr>
      </w:pPr>
      <w:r>
        <w:rPr>
          <w:rFonts w:hint="eastAsia" w:asciiTheme="minorEastAsia" w:hAnsiTheme="minorEastAsia" w:eastAsiaTheme="minorEastAsia"/>
          <w:sz w:val="24"/>
        </w:rPr>
        <w:t>对不同文字文本投标文件的解释发生异议的，以中文文本为准。</w:t>
      </w:r>
    </w:p>
    <w:p w14:paraId="3B4FCDA4">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16.投标无效</w:t>
      </w:r>
    </w:p>
    <w:p w14:paraId="5E74B721">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16.</w:t>
      </w:r>
      <w:r>
        <w:rPr>
          <w:rFonts w:asciiTheme="minorEastAsia" w:hAnsiTheme="minorEastAsia" w:eastAsiaTheme="minorEastAsia"/>
          <w:sz w:val="24"/>
        </w:rPr>
        <w:t>1根据本</w:t>
      </w:r>
      <w:r>
        <w:rPr>
          <w:rFonts w:hint="eastAsia" w:asciiTheme="minorEastAsia" w:hAnsiTheme="minorEastAsia" w:eastAsiaTheme="minorEastAsia"/>
          <w:sz w:val="24"/>
        </w:rPr>
        <w:t>招标文件</w:t>
      </w:r>
      <w:r>
        <w:rPr>
          <w:rFonts w:asciiTheme="minorEastAsia" w:hAnsiTheme="minorEastAsia" w:eastAsiaTheme="minorEastAsia"/>
          <w:sz w:val="24"/>
        </w:rPr>
        <w:t>的规定，评标委员会要审查每份投标文件是否实质上响应了招标文件的要求。投标人不得通过修正或撤销不符合要求的偏离，从而使其投标成为实质上响应的投标。</w:t>
      </w:r>
    </w:p>
    <w:p w14:paraId="4A624524">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评标委员会决定投标的响应性只根据招标文件要求和投标文件内容。</w:t>
      </w:r>
    </w:p>
    <w:p w14:paraId="5083D710">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无论何种原因，即使投标人投标时携带了证书材料的原件，但投标文件中未提供与之内容完全一致的扫描件的，评标委员会视同其未提供。</w:t>
      </w:r>
    </w:p>
    <w:p w14:paraId="3C90CF29">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16.</w:t>
      </w:r>
      <w:r>
        <w:rPr>
          <w:rFonts w:asciiTheme="minorEastAsia" w:hAnsiTheme="minorEastAsia" w:eastAsiaTheme="minorEastAsia"/>
          <w:sz w:val="24"/>
        </w:rPr>
        <w:t>2如发现下列情况之一的，其投标将被认定为</w:t>
      </w:r>
      <w:r>
        <w:rPr>
          <w:rFonts w:asciiTheme="minorEastAsia" w:hAnsiTheme="minorEastAsia" w:eastAsiaTheme="minorEastAsia"/>
          <w:b/>
          <w:sz w:val="24"/>
        </w:rPr>
        <w:t>投标无效</w:t>
      </w:r>
      <w:r>
        <w:rPr>
          <w:rFonts w:asciiTheme="minorEastAsia" w:hAnsiTheme="minorEastAsia" w:eastAsiaTheme="minorEastAsia"/>
          <w:sz w:val="24"/>
        </w:rPr>
        <w:t>：</w:t>
      </w:r>
    </w:p>
    <w:p w14:paraId="4B8D4394">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w:t>
      </w:r>
      <w:r>
        <w:rPr>
          <w:rFonts w:asciiTheme="minorEastAsia" w:hAnsiTheme="minorEastAsia" w:eastAsiaTheme="minorEastAsia"/>
          <w:sz w:val="24"/>
        </w:rPr>
        <w:t>1）投标文件未按照招标文件规定要求签署、盖章的；</w:t>
      </w:r>
    </w:p>
    <w:p w14:paraId="1C38068E">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w:t>
      </w:r>
      <w:r>
        <w:rPr>
          <w:rFonts w:asciiTheme="minorEastAsia" w:hAnsiTheme="minorEastAsia" w:eastAsiaTheme="minorEastAsia"/>
          <w:sz w:val="24"/>
        </w:rPr>
        <w:t>2）不具备招标文件中规定的资格要求的；</w:t>
      </w:r>
    </w:p>
    <w:p w14:paraId="7F56464D">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w:t>
      </w:r>
      <w:r>
        <w:rPr>
          <w:rFonts w:asciiTheme="minorEastAsia" w:hAnsiTheme="minorEastAsia" w:eastAsiaTheme="minorEastAsia"/>
          <w:sz w:val="24"/>
        </w:rPr>
        <w:t>3）报价超过招标文件中规定的预算金额或者最高限价的；</w:t>
      </w:r>
    </w:p>
    <w:p w14:paraId="4F41CFE6">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w:t>
      </w:r>
      <w:r>
        <w:rPr>
          <w:rFonts w:asciiTheme="minorEastAsia" w:hAnsiTheme="minorEastAsia" w:eastAsiaTheme="minorEastAsia"/>
          <w:sz w:val="24"/>
        </w:rPr>
        <w:t>4）投标文件含有采购人不能接受的附加条件的；</w:t>
      </w:r>
    </w:p>
    <w:p w14:paraId="4250D266">
      <w:pPr>
        <w:spacing w:line="360" w:lineRule="auto"/>
        <w:ind w:firstLine="435"/>
        <w:rPr>
          <w:rFonts w:hint="eastAsia" w:ascii="宋体" w:hAnsi="宋体" w:eastAsia="宋体"/>
          <w:sz w:val="24"/>
        </w:rPr>
      </w:pPr>
      <w:r>
        <w:rPr>
          <w:rFonts w:hint="eastAsia" w:asciiTheme="minorEastAsia" w:hAnsiTheme="minorEastAsia" w:eastAsiaTheme="minorEastAsia"/>
          <w:sz w:val="24"/>
        </w:rPr>
        <w:t>（</w:t>
      </w:r>
      <w:r>
        <w:rPr>
          <w:rFonts w:asciiTheme="minorEastAsia" w:hAnsiTheme="minorEastAsia" w:eastAsiaTheme="minorEastAsia"/>
          <w:sz w:val="24"/>
        </w:rPr>
        <w:t>5）法律、法规和招标文件规定的其他无效情形。</w:t>
      </w:r>
    </w:p>
    <w:p w14:paraId="2A661DB8">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17.比较与评价</w:t>
      </w:r>
    </w:p>
    <w:p w14:paraId="13ECB2B6">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17.1经符合性审查合格的投标文件，评标委员会将根据招标文件确定的评标方法和标准，对其投标文件作进一步的比较与评价。</w:t>
      </w:r>
    </w:p>
    <w:p w14:paraId="6070C9BD">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17.2评标严格按照</w:t>
      </w:r>
      <w:r>
        <w:rPr>
          <w:rFonts w:hint="eastAsia" w:ascii="宋体" w:hAnsi="宋体" w:eastAsia="宋体"/>
          <w:sz w:val="24"/>
        </w:rPr>
        <w:t>招标文件</w:t>
      </w:r>
      <w:r>
        <w:rPr>
          <w:rFonts w:hint="eastAsia" w:asciiTheme="minorEastAsia" w:hAnsiTheme="minorEastAsia" w:eastAsiaTheme="minorEastAsia"/>
          <w:sz w:val="24"/>
        </w:rPr>
        <w:t>的要求和条件进行。根据实际情况，在</w:t>
      </w:r>
      <w:r>
        <w:rPr>
          <w:rFonts w:hint="eastAsia" w:asciiTheme="minorEastAsia" w:hAnsiTheme="minorEastAsia" w:eastAsiaTheme="minorEastAsia"/>
          <w:sz w:val="24"/>
          <w:u w:val="single"/>
        </w:rPr>
        <w:t>投标人须知前附表</w:t>
      </w:r>
      <w:r>
        <w:rPr>
          <w:rFonts w:hint="eastAsia" w:asciiTheme="minorEastAsia" w:hAnsiTheme="minorEastAsia" w:eastAsiaTheme="minorEastAsia"/>
          <w:sz w:val="24"/>
        </w:rPr>
        <w:t>中规定采用下列一种评标方法，详细评标方法和标准见招标文件第四章：</w:t>
      </w:r>
    </w:p>
    <w:p w14:paraId="10CDA60B">
      <w:pPr>
        <w:spacing w:line="360" w:lineRule="auto"/>
        <w:ind w:firstLine="435"/>
        <w:rPr>
          <w:rFonts w:hint="eastAsia" w:ascii="宋体" w:hAnsi="宋体" w:eastAsia="宋体"/>
          <w:sz w:val="24"/>
        </w:rPr>
      </w:pPr>
      <w:r>
        <w:rPr>
          <w:rFonts w:hint="eastAsia" w:asciiTheme="minorEastAsia" w:hAnsiTheme="minorEastAsia" w:eastAsiaTheme="minorEastAsia"/>
          <w:sz w:val="24"/>
        </w:rPr>
        <w:t>（</w:t>
      </w:r>
      <w:r>
        <w:rPr>
          <w:rFonts w:hint="eastAsia" w:ascii="宋体" w:hAnsi="宋体" w:eastAsia="宋体"/>
          <w:sz w:val="24"/>
        </w:rPr>
        <w:t>1）最低评标价法，是指</w:t>
      </w:r>
      <w:r>
        <w:rPr>
          <w:rFonts w:ascii="宋体" w:hAnsi="宋体" w:eastAsia="宋体"/>
          <w:sz w:val="24"/>
        </w:rPr>
        <w:t>投标文件满足招标文件全部实质性要求</w:t>
      </w:r>
      <w:r>
        <w:rPr>
          <w:rFonts w:hint="eastAsia" w:ascii="宋体" w:hAnsi="宋体" w:eastAsia="宋体"/>
          <w:sz w:val="24"/>
        </w:rPr>
        <w:t>，</w:t>
      </w:r>
      <w:r>
        <w:rPr>
          <w:rFonts w:ascii="宋体" w:hAnsi="宋体" w:eastAsia="宋体"/>
          <w:sz w:val="24"/>
        </w:rPr>
        <w:t>且投标报价最低的</w:t>
      </w:r>
      <w:r>
        <w:rPr>
          <w:rFonts w:hint="eastAsia" w:ascii="宋体" w:hAnsi="宋体" w:eastAsia="宋体"/>
          <w:sz w:val="24"/>
        </w:rPr>
        <w:t>投标人</w:t>
      </w:r>
      <w:r>
        <w:rPr>
          <w:rFonts w:ascii="宋体" w:hAnsi="宋体" w:eastAsia="宋体"/>
          <w:sz w:val="24"/>
        </w:rPr>
        <w:t>为中标</w:t>
      </w:r>
      <w:r>
        <w:rPr>
          <w:rFonts w:hint="eastAsia" w:ascii="宋体" w:hAnsi="宋体" w:eastAsia="宋体"/>
          <w:sz w:val="24"/>
        </w:rPr>
        <w:t>候选</w:t>
      </w:r>
      <w:r>
        <w:rPr>
          <w:rFonts w:ascii="宋体" w:hAnsi="宋体" w:eastAsia="宋体"/>
          <w:sz w:val="24"/>
        </w:rPr>
        <w:t>人的评标方法</w:t>
      </w:r>
      <w:r>
        <w:rPr>
          <w:rFonts w:hint="eastAsia" w:ascii="宋体" w:hAnsi="宋体" w:eastAsia="宋体"/>
          <w:sz w:val="24"/>
        </w:rPr>
        <w:t>。</w:t>
      </w:r>
    </w:p>
    <w:p w14:paraId="13800BE5">
      <w:pPr>
        <w:spacing w:line="360" w:lineRule="auto"/>
        <w:ind w:firstLine="435"/>
        <w:rPr>
          <w:rFonts w:hint="eastAsia" w:ascii="宋体" w:hAnsi="宋体" w:eastAsia="宋体"/>
          <w:sz w:val="24"/>
        </w:rPr>
      </w:pPr>
      <w:r>
        <w:rPr>
          <w:rFonts w:hint="eastAsia" w:ascii="宋体" w:hAnsi="宋体" w:eastAsia="宋体"/>
          <w:sz w:val="24"/>
        </w:rPr>
        <w:t>（2）综合评分法，是</w:t>
      </w:r>
      <w:r>
        <w:rPr>
          <w:rFonts w:ascii="宋体" w:hAnsi="宋体" w:eastAsia="宋体"/>
          <w:sz w:val="24"/>
        </w:rPr>
        <w:t>指投标文件满足招标</w:t>
      </w:r>
      <w:r>
        <w:rPr>
          <w:rFonts w:hint="eastAsia" w:ascii="宋体" w:hAnsi="宋体" w:eastAsia="宋体"/>
          <w:sz w:val="24"/>
        </w:rPr>
        <w:t>文件</w:t>
      </w:r>
      <w:r>
        <w:rPr>
          <w:rFonts w:ascii="宋体" w:hAnsi="宋体" w:eastAsia="宋体"/>
          <w:sz w:val="24"/>
        </w:rPr>
        <w:t>全部实质性要求</w:t>
      </w:r>
      <w:r>
        <w:rPr>
          <w:rFonts w:hint="eastAsia" w:ascii="宋体" w:hAnsi="宋体" w:eastAsia="宋体"/>
          <w:sz w:val="24"/>
        </w:rPr>
        <w:t>，</w:t>
      </w:r>
      <w:r>
        <w:rPr>
          <w:rFonts w:ascii="宋体" w:hAnsi="宋体" w:eastAsia="宋体"/>
          <w:sz w:val="24"/>
        </w:rPr>
        <w:t>且按照评审因素的</w:t>
      </w:r>
      <w:r>
        <w:rPr>
          <w:rFonts w:hint="eastAsia" w:ascii="宋体" w:hAnsi="宋体" w:eastAsia="宋体"/>
          <w:sz w:val="24"/>
        </w:rPr>
        <w:t>量化</w:t>
      </w:r>
      <w:r>
        <w:rPr>
          <w:rFonts w:ascii="宋体" w:hAnsi="宋体" w:eastAsia="宋体"/>
          <w:sz w:val="24"/>
        </w:rPr>
        <w:t>指标评审得分最高的</w:t>
      </w:r>
      <w:r>
        <w:rPr>
          <w:rFonts w:hint="eastAsia" w:ascii="宋体" w:hAnsi="宋体" w:eastAsia="宋体"/>
          <w:sz w:val="24"/>
        </w:rPr>
        <w:t>投标人</w:t>
      </w:r>
      <w:r>
        <w:rPr>
          <w:rFonts w:ascii="宋体" w:hAnsi="宋体" w:eastAsia="宋体"/>
          <w:sz w:val="24"/>
        </w:rPr>
        <w:t>为中标候选人的评标方法。</w:t>
      </w:r>
    </w:p>
    <w:p w14:paraId="68E42614">
      <w:pPr>
        <w:spacing w:line="360" w:lineRule="auto"/>
        <w:ind w:firstLine="435"/>
        <w:rPr>
          <w:rFonts w:hint="eastAsia" w:ascii="宋体" w:hAnsi="宋体" w:eastAsia="宋体"/>
          <w:sz w:val="24"/>
        </w:rPr>
      </w:pPr>
      <w:r>
        <w:rPr>
          <w:rFonts w:hint="eastAsia" w:ascii="宋体" w:hAnsi="宋体" w:eastAsia="宋体"/>
          <w:sz w:val="24"/>
        </w:rPr>
        <w:t>17.</w:t>
      </w:r>
      <w:r>
        <w:rPr>
          <w:rFonts w:ascii="宋体" w:hAnsi="宋体" w:eastAsia="宋体"/>
          <w:sz w:val="24"/>
        </w:rPr>
        <w:t>3根据《政府采购促进中小企业发展管理办法》（财库〔2020〕46号）、《三部门联合发布关于促进残疾人就业政府采购政策的通知》（财库〔2017〕141号）和《财政部司法部关于政府采购支持监狱企业发展有关问题的通知》（财库〔2014〕68号）的规定，对满足价格扣除条件且在投标文件中提交了《中小企业声明函》、《残疾人福利性单位声明函》或省级以上监狱管理局、戒毒管理局（含新疆生产建设兵团）出具的属于监狱企业的证明文件的投标人，其投标报价按照</w:t>
      </w:r>
      <w:r>
        <w:rPr>
          <w:rFonts w:ascii="宋体" w:hAnsi="宋体" w:eastAsia="宋体"/>
          <w:sz w:val="24"/>
          <w:u w:val="single"/>
        </w:rPr>
        <w:t>投标人须知前附表</w:t>
      </w:r>
      <w:r>
        <w:rPr>
          <w:rFonts w:ascii="宋体" w:hAnsi="宋体" w:eastAsia="宋体"/>
          <w:sz w:val="24"/>
        </w:rPr>
        <w:t>中规定的标准扣除后的价格参与评审。对于同时属于小微企</w:t>
      </w:r>
      <w:r>
        <w:rPr>
          <w:rFonts w:hint="eastAsia" w:ascii="宋体" w:hAnsi="宋体" w:eastAsia="宋体"/>
          <w:sz w:val="24"/>
        </w:rPr>
        <w:t>业、监狱企业或残疾人福利性单位的，不重复进行投标报价扣除。</w:t>
      </w:r>
    </w:p>
    <w:p w14:paraId="792C75D2">
      <w:pPr>
        <w:spacing w:line="360" w:lineRule="auto"/>
        <w:ind w:firstLine="435"/>
        <w:rPr>
          <w:rFonts w:hint="eastAsia" w:ascii="宋体" w:hAnsi="宋体" w:eastAsia="宋体"/>
          <w:sz w:val="24"/>
        </w:rPr>
      </w:pPr>
      <w:r>
        <w:rPr>
          <w:rFonts w:hint="eastAsia" w:ascii="宋体" w:hAnsi="宋体" w:eastAsia="宋体"/>
          <w:sz w:val="24"/>
        </w:rPr>
        <w:t>接受大中型企业与小微企业组成联合体或者允许大中型企业向一家或者多家小微企业分包的，对于联合协议或者分包意向协议约定小微企业的合同份额占到合同总金额</w:t>
      </w:r>
      <w:r>
        <w:rPr>
          <w:rFonts w:ascii="宋体" w:hAnsi="宋体" w:eastAsia="宋体"/>
          <w:sz w:val="24"/>
        </w:rPr>
        <w:t>30%以上的，可给予联合体或者大中型企业的投标报价按照</w:t>
      </w:r>
      <w:r>
        <w:rPr>
          <w:rFonts w:ascii="宋体" w:hAnsi="宋体" w:eastAsia="宋体"/>
          <w:sz w:val="24"/>
          <w:u w:val="single"/>
        </w:rPr>
        <w:t>投标人须知前附表</w:t>
      </w:r>
      <w:r>
        <w:rPr>
          <w:rFonts w:ascii="宋体" w:hAnsi="宋体" w:eastAsia="宋体"/>
          <w:sz w:val="24"/>
        </w:rPr>
        <w:t>中规定的标准扣除后的价格参与评审。组成联合体或者接受分包的小微企业与联合体内其他企业、分包企业之间存在直接控股、管理关系的，不享受价格扣除优惠政策。</w:t>
      </w:r>
    </w:p>
    <w:p w14:paraId="061147C8">
      <w:pPr>
        <w:spacing w:line="360" w:lineRule="auto"/>
        <w:ind w:firstLine="435"/>
        <w:rPr>
          <w:rFonts w:hint="eastAsia" w:ascii="宋体" w:hAnsi="宋体" w:eastAsia="宋体"/>
          <w:sz w:val="24"/>
        </w:rPr>
      </w:pPr>
      <w:r>
        <w:rPr>
          <w:rFonts w:hint="eastAsia" w:ascii="宋体" w:hAnsi="宋体" w:eastAsia="宋体"/>
          <w:sz w:val="24"/>
        </w:rPr>
        <w:t>以联合体形式参加政府采购活动，联合体各方均为中小企业的，联合体视同中小企业。其中，联合体各方均为小微企业的，联合体视同小微企业。</w:t>
      </w:r>
    </w:p>
    <w:p w14:paraId="1FA432D7">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18</w:t>
      </w:r>
      <w:r>
        <w:rPr>
          <w:rFonts w:asciiTheme="minorEastAsia" w:hAnsiTheme="minorEastAsia" w:eastAsiaTheme="minorEastAsia"/>
          <w:b/>
          <w:sz w:val="24"/>
        </w:rPr>
        <w:t>.</w:t>
      </w:r>
      <w:r>
        <w:rPr>
          <w:rFonts w:hint="eastAsia" w:asciiTheme="minorEastAsia" w:hAnsiTheme="minorEastAsia" w:eastAsiaTheme="minorEastAsia"/>
          <w:b/>
          <w:sz w:val="24"/>
        </w:rPr>
        <w:t>废标、重新招标与变更采购方式</w:t>
      </w:r>
    </w:p>
    <w:p w14:paraId="63CC3ED3">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18.1出现下列情形之一，将导致项目废标：</w:t>
      </w:r>
    </w:p>
    <w:p w14:paraId="0914507C">
      <w:pPr>
        <w:spacing w:line="360" w:lineRule="auto"/>
        <w:ind w:firstLine="435"/>
        <w:rPr>
          <w:rFonts w:hint="eastAsia" w:ascii="宋体" w:hAnsi="宋体" w:eastAsia="宋体"/>
          <w:sz w:val="24"/>
        </w:rPr>
      </w:pPr>
      <w:r>
        <w:rPr>
          <w:rFonts w:hint="eastAsia" w:asciiTheme="minorEastAsia" w:hAnsiTheme="minorEastAsia" w:eastAsiaTheme="minorEastAsia"/>
          <w:sz w:val="24"/>
        </w:rPr>
        <w:t>（</w:t>
      </w:r>
      <w:r>
        <w:rPr>
          <w:rFonts w:hint="eastAsia" w:ascii="宋体" w:hAnsi="宋体" w:eastAsia="宋体"/>
          <w:sz w:val="24"/>
        </w:rPr>
        <w:t>1）符合专业条件的供应商或者对招标文件做实质性响应的供应商不足规定数量的；</w:t>
      </w:r>
    </w:p>
    <w:p w14:paraId="3C7E22EE">
      <w:pPr>
        <w:spacing w:line="360" w:lineRule="auto"/>
        <w:ind w:firstLine="435"/>
        <w:rPr>
          <w:rFonts w:hint="eastAsia" w:ascii="宋体" w:hAnsi="宋体" w:eastAsia="宋体"/>
          <w:sz w:val="24"/>
        </w:rPr>
      </w:pPr>
      <w:r>
        <w:rPr>
          <w:rFonts w:hint="eastAsia" w:ascii="宋体" w:hAnsi="宋体" w:eastAsia="宋体"/>
          <w:sz w:val="24"/>
        </w:rPr>
        <w:t>（2）出现影响采购公正的违法、违规行为的；</w:t>
      </w:r>
    </w:p>
    <w:p w14:paraId="19FE02B4">
      <w:pPr>
        <w:spacing w:line="360" w:lineRule="auto"/>
        <w:ind w:firstLine="435"/>
        <w:rPr>
          <w:rFonts w:hint="eastAsia" w:ascii="宋体" w:hAnsi="宋体" w:eastAsia="宋体"/>
          <w:sz w:val="24"/>
        </w:rPr>
      </w:pPr>
      <w:r>
        <w:rPr>
          <w:rFonts w:hint="eastAsia" w:ascii="宋体" w:hAnsi="宋体" w:eastAsia="宋体"/>
          <w:sz w:val="24"/>
        </w:rPr>
        <w:t>（3）投标人的报价均超过了采购预算，采购人不能支付的；</w:t>
      </w:r>
    </w:p>
    <w:p w14:paraId="336EBEDC">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（4）因重大变故，采购任务取消的。</w:t>
      </w:r>
    </w:p>
    <w:p w14:paraId="76B21A59">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18.2公开招标数额标准以上的采购项目，投标截止后投标人不足</w:t>
      </w:r>
      <w:r>
        <w:rPr>
          <w:rFonts w:asciiTheme="minorEastAsia" w:hAnsiTheme="minorEastAsia" w:eastAsiaTheme="minorEastAsia"/>
          <w:sz w:val="24"/>
        </w:rPr>
        <w:t>3家或者通过</w:t>
      </w:r>
      <w:r>
        <w:rPr>
          <w:rFonts w:hint="eastAsia" w:asciiTheme="minorEastAsia" w:hAnsiTheme="minorEastAsia" w:eastAsiaTheme="minorEastAsia"/>
          <w:sz w:val="24"/>
        </w:rPr>
        <w:t>资格审查或符合性审查的投标人不足</w:t>
      </w:r>
      <w:r>
        <w:rPr>
          <w:rFonts w:asciiTheme="minorEastAsia" w:hAnsiTheme="minorEastAsia" w:eastAsiaTheme="minorEastAsia"/>
          <w:sz w:val="24"/>
        </w:rPr>
        <w:t>3家的，除采购任务取消情形外，按照以下方式处理：</w:t>
      </w:r>
    </w:p>
    <w:p w14:paraId="7E19046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（1）招标文件存在不合理条款或者招标程序不符合规定的，采购人、采购代理机构改正后依法重新招标；</w:t>
      </w:r>
    </w:p>
    <w:p w14:paraId="7E595758">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（2）招标文件没有不合理条款、招标程序符合规定，需要采用其他采购方式采购的，采购人应当依法报</w:t>
      </w:r>
      <w:r>
        <w:rPr>
          <w:rFonts w:hint="eastAsia" w:ascii="宋体" w:hAnsi="宋体" w:eastAsia="宋体" w:cs="宋体"/>
          <w:color w:val="000000"/>
          <w:sz w:val="24"/>
          <w:szCs w:val="24"/>
        </w:rPr>
        <w:t>政府采购监督管理部门</w:t>
      </w:r>
      <w:r>
        <w:rPr>
          <w:rFonts w:hint="eastAsia" w:asciiTheme="minorEastAsia" w:hAnsiTheme="minorEastAsia" w:eastAsiaTheme="minorEastAsia"/>
          <w:sz w:val="24"/>
        </w:rPr>
        <w:t>批准。</w:t>
      </w:r>
    </w:p>
    <w:p w14:paraId="4F74CEDF">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19</w:t>
      </w:r>
      <w:r>
        <w:rPr>
          <w:rFonts w:asciiTheme="minorEastAsia" w:hAnsiTheme="minorEastAsia" w:eastAsiaTheme="minorEastAsia"/>
          <w:b/>
          <w:sz w:val="24"/>
        </w:rPr>
        <w:t>.</w:t>
      </w:r>
      <w:r>
        <w:rPr>
          <w:rFonts w:hint="eastAsia" w:asciiTheme="minorEastAsia" w:hAnsiTheme="minorEastAsia" w:eastAsiaTheme="minorEastAsia"/>
          <w:b/>
          <w:sz w:val="24"/>
        </w:rPr>
        <w:t>保密要求</w:t>
      </w:r>
    </w:p>
    <w:p w14:paraId="75A2D349">
      <w:pPr>
        <w:spacing w:line="360" w:lineRule="auto"/>
        <w:ind w:firstLine="435"/>
        <w:rPr>
          <w:rFonts w:hint="eastAsia" w:ascii="宋体" w:hAnsi="宋体" w:eastAsia="宋体"/>
          <w:sz w:val="24"/>
        </w:rPr>
      </w:pPr>
      <w:r>
        <w:rPr>
          <w:rFonts w:hint="eastAsia" w:ascii="宋体" w:hAnsi="宋体" w:eastAsia="宋体"/>
          <w:sz w:val="24"/>
        </w:rPr>
        <w:t>19.1评标将在严格保密的情况下进行。</w:t>
      </w:r>
    </w:p>
    <w:p w14:paraId="022F7461">
      <w:pPr>
        <w:spacing w:line="360" w:lineRule="auto"/>
        <w:ind w:firstLine="435"/>
        <w:rPr>
          <w:rFonts w:hint="eastAsia" w:ascii="宋体" w:hAnsi="宋体" w:eastAsia="宋体"/>
          <w:sz w:val="24"/>
        </w:rPr>
      </w:pPr>
      <w:r>
        <w:rPr>
          <w:rFonts w:hint="eastAsia" w:ascii="宋体" w:hAnsi="宋体" w:eastAsia="宋体"/>
          <w:sz w:val="24"/>
        </w:rPr>
        <w:t>19.2有关人员</w:t>
      </w:r>
      <w:r>
        <w:rPr>
          <w:rFonts w:ascii="宋体" w:hAnsi="宋体" w:eastAsia="宋体"/>
          <w:sz w:val="24"/>
        </w:rPr>
        <w:t>应当</w:t>
      </w:r>
      <w:r>
        <w:rPr>
          <w:rFonts w:hint="eastAsia" w:ascii="宋体" w:hAnsi="宋体" w:eastAsia="宋体"/>
          <w:sz w:val="24"/>
        </w:rPr>
        <w:t>遵</w:t>
      </w:r>
      <w:r>
        <w:rPr>
          <w:rFonts w:ascii="宋体" w:hAnsi="宋体" w:eastAsia="宋体"/>
          <w:sz w:val="24"/>
        </w:rPr>
        <w:t>守评</w:t>
      </w:r>
      <w:r>
        <w:rPr>
          <w:rFonts w:hint="eastAsia" w:ascii="宋体" w:hAnsi="宋体" w:eastAsia="宋体"/>
          <w:sz w:val="24"/>
        </w:rPr>
        <w:t>标</w:t>
      </w:r>
      <w:r>
        <w:rPr>
          <w:rFonts w:ascii="宋体" w:hAnsi="宋体" w:eastAsia="宋体"/>
          <w:sz w:val="24"/>
        </w:rPr>
        <w:t>工作纪律，不得</w:t>
      </w:r>
      <w:r>
        <w:rPr>
          <w:rFonts w:hint="eastAsia" w:ascii="宋体" w:hAnsi="宋体" w:eastAsia="宋体"/>
          <w:sz w:val="24"/>
        </w:rPr>
        <w:t>泄露</w:t>
      </w:r>
      <w:r>
        <w:rPr>
          <w:rFonts w:ascii="宋体" w:hAnsi="宋体" w:eastAsia="宋体"/>
          <w:sz w:val="24"/>
        </w:rPr>
        <w:t>评</w:t>
      </w:r>
      <w:r>
        <w:rPr>
          <w:rFonts w:hint="eastAsia" w:ascii="宋体" w:hAnsi="宋体" w:eastAsia="宋体"/>
          <w:sz w:val="24"/>
        </w:rPr>
        <w:t>标文件</w:t>
      </w:r>
      <w:r>
        <w:rPr>
          <w:rFonts w:ascii="宋体" w:hAnsi="宋体" w:eastAsia="宋体"/>
          <w:sz w:val="24"/>
        </w:rPr>
        <w:t>、评</w:t>
      </w:r>
      <w:r>
        <w:rPr>
          <w:rFonts w:hint="eastAsia" w:ascii="宋体" w:hAnsi="宋体" w:eastAsia="宋体"/>
          <w:sz w:val="24"/>
        </w:rPr>
        <w:t>标</w:t>
      </w:r>
      <w:r>
        <w:rPr>
          <w:rFonts w:ascii="宋体" w:hAnsi="宋体" w:eastAsia="宋体"/>
          <w:sz w:val="24"/>
        </w:rPr>
        <w:t>情况和评</w:t>
      </w:r>
      <w:r>
        <w:rPr>
          <w:rFonts w:hint="eastAsia" w:ascii="宋体" w:hAnsi="宋体" w:eastAsia="宋体"/>
          <w:sz w:val="24"/>
        </w:rPr>
        <w:t>标</w:t>
      </w:r>
      <w:r>
        <w:rPr>
          <w:rFonts w:ascii="宋体" w:hAnsi="宋体" w:eastAsia="宋体"/>
          <w:sz w:val="24"/>
        </w:rPr>
        <w:t>中获悉的</w:t>
      </w:r>
      <w:r>
        <w:rPr>
          <w:rFonts w:hint="eastAsia" w:ascii="宋体" w:hAnsi="宋体" w:eastAsia="宋体"/>
          <w:sz w:val="24"/>
        </w:rPr>
        <w:t>国家秘密、</w:t>
      </w:r>
      <w:r>
        <w:rPr>
          <w:rFonts w:ascii="宋体" w:hAnsi="宋体" w:eastAsia="宋体"/>
          <w:sz w:val="24"/>
        </w:rPr>
        <w:t>商业秘密。</w:t>
      </w:r>
    </w:p>
    <w:p w14:paraId="4ED82049">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20</w:t>
      </w:r>
      <w:r>
        <w:rPr>
          <w:rFonts w:asciiTheme="minorEastAsia" w:hAnsiTheme="minorEastAsia" w:eastAsiaTheme="minorEastAsia"/>
          <w:b/>
          <w:sz w:val="24"/>
        </w:rPr>
        <w:t>.</w:t>
      </w:r>
      <w:r>
        <w:rPr>
          <w:rFonts w:hint="eastAsia" w:asciiTheme="minorEastAsia" w:hAnsiTheme="minorEastAsia" w:eastAsiaTheme="minorEastAsia"/>
          <w:b/>
          <w:sz w:val="24"/>
        </w:rPr>
        <w:t>中标候选人的确定原则及标准</w:t>
      </w:r>
    </w:p>
    <w:p w14:paraId="4F3CA9F1">
      <w:pPr>
        <w:spacing w:line="360" w:lineRule="auto"/>
        <w:ind w:firstLine="435"/>
        <w:rPr>
          <w:rFonts w:hint="eastAsia"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0</w:t>
      </w:r>
      <w:r>
        <w:rPr>
          <w:rFonts w:asciiTheme="minorEastAsia" w:hAnsiTheme="minorEastAsia" w:eastAsiaTheme="minorEastAsia"/>
          <w:sz w:val="24"/>
        </w:rPr>
        <w:t>.1评</w:t>
      </w:r>
      <w:r>
        <w:rPr>
          <w:rFonts w:hint="eastAsia" w:asciiTheme="minorEastAsia" w:hAnsiTheme="minorEastAsia" w:eastAsiaTheme="minorEastAsia"/>
          <w:sz w:val="24"/>
        </w:rPr>
        <w:t>标</w:t>
      </w:r>
      <w:r>
        <w:rPr>
          <w:rFonts w:asciiTheme="minorEastAsia" w:hAnsiTheme="minorEastAsia" w:eastAsiaTheme="minorEastAsia"/>
          <w:sz w:val="24"/>
        </w:rPr>
        <w:t>委员会依据本项目招标文件所约定的评标方法，对实质上响应招标文件的投标人按下列方法进行排序</w:t>
      </w:r>
      <w:r>
        <w:rPr>
          <w:rFonts w:hint="eastAsia" w:asciiTheme="minorEastAsia" w:hAnsiTheme="minorEastAsia" w:eastAsiaTheme="minorEastAsia"/>
          <w:sz w:val="24"/>
        </w:rPr>
        <w:t>，确定中标候选人</w:t>
      </w:r>
      <w:r>
        <w:rPr>
          <w:rFonts w:asciiTheme="minorEastAsia" w:hAnsiTheme="minorEastAsia" w:eastAsiaTheme="minorEastAsia"/>
          <w:sz w:val="24"/>
        </w:rPr>
        <w:t>：</w:t>
      </w:r>
    </w:p>
    <w:p w14:paraId="7F5A8400">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w:t>
      </w:r>
      <w:r>
        <w:rPr>
          <w:rFonts w:asciiTheme="minorEastAsia" w:hAnsiTheme="minorEastAsia" w:eastAsiaTheme="minorEastAsia"/>
          <w:sz w:val="24"/>
        </w:rPr>
        <w:t>1）采用最低评标价法的，除了算术修正和落实政府采购政策需进行的价格扣除外，不对投标人的投标价格进行任何调整。评标结果按修正和扣除后的投标报价由低到高顺序排列。修正和扣除后的投标报价</w:t>
      </w:r>
      <w:r>
        <w:rPr>
          <w:rFonts w:hint="eastAsia" w:asciiTheme="minorEastAsia" w:hAnsiTheme="minorEastAsia" w:eastAsiaTheme="minorEastAsia"/>
          <w:sz w:val="24"/>
        </w:rPr>
        <w:t>出现两家或两家以上相同者，则所投产品为节能产品、环境标志产品、不发达地区或少数民族地区产品者优先；若报价相同且所投产品同为节能产品、环境标志产品、不发达地区或少数民族地区产品的，则采取评标委员会随机抽取的方式确定中标候选顺序。</w:t>
      </w:r>
    </w:p>
    <w:p w14:paraId="0C7D0E99">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w:t>
      </w:r>
      <w:r>
        <w:rPr>
          <w:rFonts w:asciiTheme="minorEastAsia" w:hAnsiTheme="minorEastAsia" w:eastAsiaTheme="minorEastAsia"/>
          <w:sz w:val="24"/>
        </w:rPr>
        <w:t>2）采用综合评分法的，评标结果按评审后得分由高到低顺序排列。得分相同的，按投标报价由低到高顺序排列。得分与投标报价均相同的</w:t>
      </w:r>
      <w:r>
        <w:rPr>
          <w:rFonts w:hint="eastAsia" w:asciiTheme="minorEastAsia" w:hAnsiTheme="minorEastAsia" w:eastAsiaTheme="minorEastAsia"/>
          <w:sz w:val="24"/>
        </w:rPr>
        <w:t>，则所投产品为节能产品、环境标志产品、不发达地区或少数民族地区产品者优先；若</w:t>
      </w:r>
      <w:r>
        <w:rPr>
          <w:rFonts w:asciiTheme="minorEastAsia" w:hAnsiTheme="minorEastAsia" w:eastAsiaTheme="minorEastAsia"/>
          <w:sz w:val="24"/>
        </w:rPr>
        <w:t>得分与投标报价均相同</w:t>
      </w:r>
      <w:r>
        <w:rPr>
          <w:rFonts w:hint="eastAsia" w:asciiTheme="minorEastAsia" w:hAnsiTheme="minorEastAsia" w:eastAsiaTheme="minorEastAsia"/>
          <w:sz w:val="24"/>
        </w:rPr>
        <w:t>且所投产品同为节能产品、环境标志产品、不发达地区或少数民族地区产品的，则采取评标委员会随机抽取的方式确定中标候选顺序。</w:t>
      </w:r>
    </w:p>
    <w:p w14:paraId="4775309F">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21</w:t>
      </w:r>
      <w:r>
        <w:rPr>
          <w:rFonts w:asciiTheme="minorEastAsia" w:hAnsiTheme="minorEastAsia" w:eastAsiaTheme="minorEastAsia"/>
          <w:b/>
          <w:sz w:val="24"/>
        </w:rPr>
        <w:t>.</w:t>
      </w:r>
      <w:r>
        <w:rPr>
          <w:rFonts w:hint="eastAsia" w:asciiTheme="minorEastAsia" w:hAnsiTheme="minorEastAsia" w:eastAsiaTheme="minorEastAsia"/>
          <w:b/>
          <w:sz w:val="24"/>
        </w:rPr>
        <w:t>确定中标候选人和中标人</w:t>
      </w:r>
    </w:p>
    <w:p w14:paraId="21214DFD">
      <w:pPr>
        <w:spacing w:line="360" w:lineRule="auto"/>
        <w:ind w:firstLine="435"/>
        <w:rPr>
          <w:rFonts w:hint="eastAsia"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1</w:t>
      </w:r>
      <w:r>
        <w:rPr>
          <w:rFonts w:asciiTheme="minorEastAsia" w:hAnsiTheme="minorEastAsia" w:eastAsiaTheme="minorEastAsia"/>
          <w:sz w:val="24"/>
        </w:rPr>
        <w:t>.1评标委员会将根据评标标准，按</w:t>
      </w:r>
      <w:r>
        <w:rPr>
          <w:rFonts w:asciiTheme="minorEastAsia" w:hAnsiTheme="minorEastAsia" w:eastAsiaTheme="minorEastAsia"/>
          <w:sz w:val="24"/>
          <w:u w:val="single"/>
        </w:rPr>
        <w:t>投标</w:t>
      </w:r>
      <w:r>
        <w:rPr>
          <w:rFonts w:hint="eastAsia" w:asciiTheme="minorEastAsia" w:hAnsiTheme="minorEastAsia" w:eastAsiaTheme="minorEastAsia"/>
          <w:sz w:val="24"/>
          <w:u w:val="single"/>
        </w:rPr>
        <w:t>人</w:t>
      </w:r>
      <w:r>
        <w:rPr>
          <w:rFonts w:asciiTheme="minorEastAsia" w:hAnsiTheme="minorEastAsia" w:eastAsiaTheme="minorEastAsia"/>
          <w:sz w:val="24"/>
          <w:u w:val="single"/>
        </w:rPr>
        <w:t>须知前附表</w:t>
      </w:r>
      <w:r>
        <w:rPr>
          <w:rFonts w:asciiTheme="minorEastAsia" w:hAnsiTheme="minorEastAsia" w:eastAsiaTheme="minorEastAsia"/>
          <w:sz w:val="24"/>
        </w:rPr>
        <w:t>中规定数量推荐中标候选人。</w:t>
      </w:r>
    </w:p>
    <w:p w14:paraId="2AE51F3C">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21.2按</w:t>
      </w:r>
      <w:r>
        <w:rPr>
          <w:rFonts w:asciiTheme="minorEastAsia" w:hAnsiTheme="minorEastAsia" w:eastAsiaTheme="minorEastAsia"/>
          <w:sz w:val="24"/>
          <w:u w:val="single"/>
        </w:rPr>
        <w:t>投标</w:t>
      </w:r>
      <w:r>
        <w:rPr>
          <w:rFonts w:hint="eastAsia" w:asciiTheme="minorEastAsia" w:hAnsiTheme="minorEastAsia" w:eastAsiaTheme="minorEastAsia"/>
          <w:sz w:val="24"/>
          <w:u w:val="single"/>
        </w:rPr>
        <w:t>人</w:t>
      </w:r>
      <w:r>
        <w:rPr>
          <w:rFonts w:asciiTheme="minorEastAsia" w:hAnsiTheme="minorEastAsia" w:eastAsiaTheme="minorEastAsia"/>
          <w:sz w:val="24"/>
          <w:u w:val="single"/>
        </w:rPr>
        <w:t>须知前附表</w:t>
      </w:r>
      <w:r>
        <w:rPr>
          <w:rFonts w:hint="eastAsia" w:asciiTheme="minorEastAsia" w:hAnsiTheme="minorEastAsia" w:eastAsiaTheme="minorEastAsia"/>
          <w:sz w:val="24"/>
        </w:rPr>
        <w:t>中规定，</w:t>
      </w:r>
      <w:r>
        <w:rPr>
          <w:rFonts w:asciiTheme="minorEastAsia" w:hAnsiTheme="minorEastAsia" w:eastAsiaTheme="minorEastAsia"/>
          <w:sz w:val="24"/>
        </w:rPr>
        <w:t>由评标委员会或采购人确定中标人。</w:t>
      </w:r>
    </w:p>
    <w:p w14:paraId="48B294D3">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21</w:t>
      </w:r>
      <w:r>
        <w:rPr>
          <w:rFonts w:asciiTheme="minorEastAsia" w:hAnsiTheme="minorEastAsia" w:eastAsiaTheme="minorEastAsia"/>
          <w:sz w:val="24"/>
        </w:rPr>
        <w:t>.3</w:t>
      </w:r>
      <w:r>
        <w:rPr>
          <w:rFonts w:hint="eastAsia" w:asciiTheme="minorEastAsia" w:hAnsiTheme="minorEastAsia" w:eastAsiaTheme="minorEastAsia"/>
          <w:sz w:val="24"/>
        </w:rPr>
        <w:t>因重大变故采购任务取消时，采购人有权拒绝任何投标人中标，且对受影响的投标人不承担任何责任。</w:t>
      </w:r>
    </w:p>
    <w:p w14:paraId="52C2CFB6">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22</w:t>
      </w:r>
      <w:r>
        <w:rPr>
          <w:rFonts w:asciiTheme="minorEastAsia" w:hAnsiTheme="minorEastAsia" w:eastAsiaTheme="minorEastAsia"/>
          <w:b/>
          <w:sz w:val="24"/>
        </w:rPr>
        <w:t>.</w:t>
      </w:r>
      <w:r>
        <w:rPr>
          <w:rFonts w:hint="eastAsia" w:asciiTheme="minorEastAsia" w:hAnsiTheme="minorEastAsia" w:eastAsiaTheme="minorEastAsia"/>
          <w:b/>
          <w:sz w:val="24"/>
        </w:rPr>
        <w:t>编写评标报告</w:t>
      </w:r>
    </w:p>
    <w:p w14:paraId="38AECA02">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评标报告是根据全体评标委员会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w:t>
      </w:r>
    </w:p>
    <w:p w14:paraId="2F37EB7E">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23</w:t>
      </w:r>
      <w:r>
        <w:rPr>
          <w:rFonts w:asciiTheme="minorEastAsia" w:hAnsiTheme="minorEastAsia" w:eastAsiaTheme="minorEastAsia"/>
          <w:b/>
          <w:sz w:val="24"/>
        </w:rPr>
        <w:t>.</w:t>
      </w:r>
      <w:r>
        <w:rPr>
          <w:rFonts w:hint="eastAsia" w:asciiTheme="minorEastAsia" w:hAnsiTheme="minorEastAsia" w:eastAsiaTheme="minorEastAsia"/>
          <w:b/>
          <w:sz w:val="24"/>
        </w:rPr>
        <w:t>中标结果公告</w:t>
      </w:r>
    </w:p>
    <w:p w14:paraId="0785845D">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23</w:t>
      </w:r>
      <w:r>
        <w:rPr>
          <w:rFonts w:asciiTheme="minorEastAsia" w:hAnsiTheme="minorEastAsia" w:eastAsiaTheme="minorEastAsia"/>
          <w:sz w:val="24"/>
        </w:rPr>
        <w:t>.1</w:t>
      </w:r>
      <w:r>
        <w:rPr>
          <w:rFonts w:hint="eastAsia" w:asciiTheme="minorEastAsia" w:hAnsiTheme="minorEastAsia" w:eastAsiaTheme="minorEastAsia"/>
          <w:sz w:val="24"/>
        </w:rPr>
        <w:t>除</w:t>
      </w:r>
      <w:r>
        <w:rPr>
          <w:rFonts w:asciiTheme="minorEastAsia" w:hAnsiTheme="minorEastAsia" w:eastAsiaTheme="minorEastAsia"/>
          <w:sz w:val="24"/>
          <w:u w:val="single"/>
        </w:rPr>
        <w:t>投标</w:t>
      </w:r>
      <w:r>
        <w:rPr>
          <w:rFonts w:hint="eastAsia" w:asciiTheme="minorEastAsia" w:hAnsiTheme="minorEastAsia" w:eastAsiaTheme="minorEastAsia"/>
          <w:sz w:val="24"/>
          <w:u w:val="single"/>
        </w:rPr>
        <w:t>人</w:t>
      </w:r>
      <w:r>
        <w:rPr>
          <w:rFonts w:asciiTheme="minorEastAsia" w:hAnsiTheme="minorEastAsia" w:eastAsiaTheme="minorEastAsia"/>
          <w:sz w:val="24"/>
          <w:u w:val="single"/>
        </w:rPr>
        <w:t>须知前附表</w:t>
      </w:r>
      <w:r>
        <w:rPr>
          <w:rFonts w:asciiTheme="minorEastAsia" w:hAnsiTheme="minorEastAsia" w:eastAsiaTheme="minorEastAsia"/>
          <w:sz w:val="24"/>
        </w:rPr>
        <w:t>规定由评标委员会直接确定中标</w:t>
      </w:r>
      <w:r>
        <w:rPr>
          <w:rFonts w:hint="eastAsia" w:asciiTheme="minorEastAsia" w:hAnsiTheme="minorEastAsia" w:eastAsiaTheme="minorEastAsia"/>
          <w:sz w:val="24"/>
        </w:rPr>
        <w:t>人外，</w:t>
      </w:r>
      <w:r>
        <w:rPr>
          <w:rFonts w:asciiTheme="minorEastAsia" w:hAnsiTheme="minorEastAsia" w:eastAsiaTheme="minorEastAsia"/>
          <w:sz w:val="24"/>
        </w:rPr>
        <w:t>在评标结束后2个工作日内</w:t>
      </w:r>
      <w:r>
        <w:rPr>
          <w:rFonts w:hint="eastAsia" w:asciiTheme="minorEastAsia" w:hAnsiTheme="minorEastAsia" w:eastAsiaTheme="minorEastAsia"/>
          <w:sz w:val="24"/>
        </w:rPr>
        <w:t>，</w:t>
      </w:r>
      <w:r>
        <w:rPr>
          <w:rFonts w:asciiTheme="minorEastAsia" w:hAnsiTheme="minorEastAsia" w:eastAsiaTheme="minorEastAsia"/>
          <w:sz w:val="24"/>
        </w:rPr>
        <w:t>采购代理机构将评标报告送采购人。采购人应当自收到评标报告之日起</w:t>
      </w:r>
      <w:r>
        <w:rPr>
          <w:rFonts w:hint="eastAsia" w:asciiTheme="minorEastAsia" w:hAnsiTheme="minorEastAsia" w:eastAsiaTheme="minorEastAsia"/>
          <w:sz w:val="24"/>
        </w:rPr>
        <w:t>5</w:t>
      </w:r>
      <w:r>
        <w:rPr>
          <w:rFonts w:asciiTheme="minorEastAsia" w:hAnsiTheme="minorEastAsia" w:eastAsiaTheme="minorEastAsia"/>
          <w:sz w:val="24"/>
        </w:rPr>
        <w:t>个工作日内，在评标报告确定的中标候选人名单中按顺序确定中标人。中标候选人并列的，由采购人或者采购人委托评标委员会按照招标文件规定的方式确定中标人；招标文件未规定的，采取随机抽取的方式确定。</w:t>
      </w:r>
    </w:p>
    <w:p w14:paraId="27253193">
      <w:pPr>
        <w:spacing w:line="360" w:lineRule="auto"/>
        <w:ind w:firstLine="435"/>
        <w:rPr>
          <w:rFonts w:hint="eastAsia" w:ascii="宋体" w:hAnsi="宋体" w:eastAsia="宋体"/>
          <w:sz w:val="24"/>
          <w:szCs w:val="18"/>
        </w:rPr>
      </w:pPr>
      <w:r>
        <w:rPr>
          <w:rFonts w:hint="eastAsia" w:asciiTheme="minorEastAsia" w:hAnsiTheme="minorEastAsia" w:eastAsiaTheme="minorEastAsia"/>
          <w:sz w:val="24"/>
        </w:rPr>
        <w:t>23</w:t>
      </w:r>
      <w:r>
        <w:rPr>
          <w:rFonts w:asciiTheme="minorEastAsia" w:hAnsiTheme="minorEastAsia" w:eastAsiaTheme="minorEastAsia"/>
          <w:sz w:val="24"/>
        </w:rPr>
        <w:t>.2</w:t>
      </w:r>
      <w:r>
        <w:rPr>
          <w:rFonts w:hint="eastAsia" w:ascii="宋体" w:hAnsi="宋体" w:eastAsia="宋体"/>
          <w:sz w:val="24"/>
          <w:szCs w:val="18"/>
        </w:rPr>
        <w:t>自中标人确定之日起2个工作日内，采购代理机构将在安徽省政府采购网（www.ccgp-anhui.gov.cn）上发布中标结果公告。</w:t>
      </w:r>
    </w:p>
    <w:p w14:paraId="45872CC2">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23.3</w:t>
      </w:r>
      <w:r>
        <w:rPr>
          <w:rFonts w:asciiTheme="minorEastAsia" w:hAnsiTheme="minorEastAsia" w:eastAsiaTheme="minorEastAsia"/>
          <w:sz w:val="24"/>
        </w:rPr>
        <w:t>中标结果公告内容应当包括采购人及其委托的采购代理机构的名称、地址、联系方式，项目名称和项目编号，中标人名称、地址和中标金额，主要中标标的的名称、</w:t>
      </w:r>
      <w:r>
        <w:rPr>
          <w:rFonts w:hint="eastAsia" w:asciiTheme="minorEastAsia" w:hAnsiTheme="minorEastAsia" w:eastAsiaTheme="minorEastAsia"/>
          <w:sz w:val="24"/>
        </w:rPr>
        <w:t>品牌（如有）、</w:t>
      </w:r>
      <w:r>
        <w:rPr>
          <w:rFonts w:asciiTheme="minorEastAsia" w:hAnsiTheme="minorEastAsia" w:eastAsiaTheme="minorEastAsia"/>
          <w:sz w:val="24"/>
        </w:rPr>
        <w:t>规格型号、数量、单价，中标公告期限、评审专家名单以及</w:t>
      </w:r>
      <w:r>
        <w:rPr>
          <w:rFonts w:hint="eastAsia" w:asciiTheme="minorEastAsia" w:hAnsiTheme="minorEastAsia" w:eastAsiaTheme="minorEastAsia"/>
          <w:sz w:val="24"/>
          <w:u w:val="single"/>
        </w:rPr>
        <w:t>投标人须知前附表</w:t>
      </w:r>
      <w:r>
        <w:rPr>
          <w:rFonts w:asciiTheme="minorEastAsia" w:hAnsiTheme="minorEastAsia" w:eastAsiaTheme="minorEastAsia"/>
          <w:sz w:val="24"/>
        </w:rPr>
        <w:t>中约定进行公告的内容。中标公告期限为1个工作日。</w:t>
      </w:r>
    </w:p>
    <w:p w14:paraId="1E200DE8">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24</w:t>
      </w:r>
      <w:r>
        <w:rPr>
          <w:rFonts w:asciiTheme="minorEastAsia" w:hAnsiTheme="minorEastAsia" w:eastAsiaTheme="minorEastAsia"/>
          <w:b/>
          <w:sz w:val="24"/>
        </w:rPr>
        <w:t>.</w:t>
      </w:r>
      <w:r>
        <w:rPr>
          <w:rFonts w:hint="eastAsia" w:asciiTheme="minorEastAsia" w:hAnsiTheme="minorEastAsia" w:eastAsiaTheme="minorEastAsia"/>
          <w:b/>
          <w:sz w:val="24"/>
        </w:rPr>
        <w:t>中标通知书</w:t>
      </w:r>
    </w:p>
    <w:p w14:paraId="2633479F">
      <w:pPr>
        <w:spacing w:line="360" w:lineRule="auto"/>
        <w:ind w:firstLine="435"/>
        <w:rPr>
          <w:rFonts w:hint="eastAsia"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4</w:t>
      </w:r>
      <w:r>
        <w:rPr>
          <w:rFonts w:asciiTheme="minorEastAsia" w:hAnsiTheme="minorEastAsia" w:eastAsiaTheme="minorEastAsia"/>
          <w:sz w:val="24"/>
        </w:rPr>
        <w:t>.1采购代理机构</w:t>
      </w:r>
      <w:r>
        <w:rPr>
          <w:rFonts w:ascii="宋体" w:hAnsi="宋体" w:eastAsia="宋体"/>
          <w:sz w:val="24"/>
        </w:rPr>
        <w:t>发布</w:t>
      </w:r>
      <w:r>
        <w:rPr>
          <w:rFonts w:asciiTheme="minorEastAsia" w:hAnsiTheme="minorEastAsia" w:eastAsiaTheme="minorEastAsia"/>
          <w:sz w:val="24"/>
        </w:rPr>
        <w:t>中标结果公告</w:t>
      </w:r>
      <w:r>
        <w:rPr>
          <w:rFonts w:hint="eastAsia" w:asciiTheme="minorEastAsia" w:hAnsiTheme="minorEastAsia" w:eastAsiaTheme="minorEastAsia"/>
          <w:iCs/>
          <w:sz w:val="24"/>
        </w:rPr>
        <w:t>的</w:t>
      </w:r>
      <w:r>
        <w:rPr>
          <w:rFonts w:asciiTheme="minorEastAsia" w:hAnsiTheme="minorEastAsia" w:eastAsiaTheme="minorEastAsia"/>
          <w:sz w:val="24"/>
        </w:rPr>
        <w:t>同时以</w:t>
      </w:r>
      <w:r>
        <w:rPr>
          <w:rFonts w:hint="eastAsia" w:asciiTheme="minorEastAsia" w:hAnsiTheme="minorEastAsia" w:eastAsiaTheme="minorEastAsia"/>
          <w:sz w:val="24"/>
          <w:u w:val="single"/>
        </w:rPr>
        <w:t>投标人须知前附表</w:t>
      </w:r>
      <w:r>
        <w:rPr>
          <w:rFonts w:hint="eastAsia" w:asciiTheme="minorEastAsia" w:hAnsiTheme="minorEastAsia" w:eastAsiaTheme="minorEastAsia"/>
          <w:sz w:val="24"/>
        </w:rPr>
        <w:t>规定的</w:t>
      </w:r>
      <w:r>
        <w:rPr>
          <w:rFonts w:asciiTheme="minorEastAsia" w:hAnsiTheme="minorEastAsia" w:eastAsiaTheme="minorEastAsia"/>
          <w:sz w:val="24"/>
        </w:rPr>
        <w:t>形式向中标人发出中标通知书。中标通知书须加盖采购人、采购代理机构公章并经公共资源交易中心加盖见证章后，方可发出。</w:t>
      </w:r>
    </w:p>
    <w:p w14:paraId="71EA422F">
      <w:pPr>
        <w:spacing w:line="360" w:lineRule="auto"/>
        <w:ind w:firstLine="435"/>
        <w:rPr>
          <w:rFonts w:hint="eastAsia"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4</w:t>
      </w:r>
      <w:r>
        <w:rPr>
          <w:rFonts w:asciiTheme="minorEastAsia" w:hAnsiTheme="minorEastAsia" w:eastAsiaTheme="minorEastAsia"/>
          <w:sz w:val="24"/>
        </w:rPr>
        <w:t>.2中标通知书对采购人和中标</w:t>
      </w:r>
      <w:r>
        <w:rPr>
          <w:rFonts w:hint="eastAsia" w:asciiTheme="minorEastAsia" w:hAnsiTheme="minorEastAsia" w:eastAsiaTheme="minorEastAsia"/>
          <w:sz w:val="24"/>
        </w:rPr>
        <w:t>人</w:t>
      </w:r>
      <w:r>
        <w:rPr>
          <w:rFonts w:asciiTheme="minorEastAsia" w:hAnsiTheme="minorEastAsia" w:eastAsiaTheme="minorEastAsia"/>
          <w:sz w:val="24"/>
        </w:rPr>
        <w:t>具有同等法律效力。中标通知书发出以后，采购人改变中标结果或者中标</w:t>
      </w:r>
      <w:r>
        <w:rPr>
          <w:rFonts w:hint="eastAsia" w:asciiTheme="minorEastAsia" w:hAnsiTheme="minorEastAsia" w:eastAsiaTheme="minorEastAsia"/>
          <w:sz w:val="24"/>
        </w:rPr>
        <w:t>人</w:t>
      </w:r>
      <w:r>
        <w:rPr>
          <w:rFonts w:asciiTheme="minorEastAsia" w:hAnsiTheme="minorEastAsia" w:eastAsiaTheme="minorEastAsia"/>
          <w:sz w:val="24"/>
        </w:rPr>
        <w:t>放弃中标，应当承担相应的法律责任。</w:t>
      </w:r>
    </w:p>
    <w:p w14:paraId="543B1140">
      <w:pPr>
        <w:spacing w:line="360" w:lineRule="auto"/>
        <w:ind w:firstLine="435"/>
        <w:rPr>
          <w:rFonts w:hint="eastAsia"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4</w:t>
      </w:r>
      <w:r>
        <w:rPr>
          <w:rFonts w:asciiTheme="minorEastAsia" w:hAnsiTheme="minorEastAsia" w:eastAsiaTheme="minorEastAsia"/>
          <w:sz w:val="24"/>
        </w:rPr>
        <w:t>.3中标通知书是</w:t>
      </w:r>
      <w:r>
        <w:rPr>
          <w:rFonts w:ascii="宋体" w:hAnsi="宋体" w:eastAsia="宋体"/>
          <w:sz w:val="24"/>
        </w:rPr>
        <w:t>合同</w:t>
      </w:r>
      <w:r>
        <w:rPr>
          <w:rFonts w:asciiTheme="minorEastAsia" w:hAnsiTheme="minorEastAsia" w:eastAsiaTheme="minorEastAsia"/>
          <w:sz w:val="24"/>
        </w:rPr>
        <w:t>的组成部分。</w:t>
      </w:r>
    </w:p>
    <w:p w14:paraId="4A405FE8">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25</w:t>
      </w:r>
      <w:r>
        <w:rPr>
          <w:rFonts w:asciiTheme="minorEastAsia" w:hAnsiTheme="minorEastAsia" w:eastAsiaTheme="minorEastAsia"/>
          <w:b/>
          <w:sz w:val="24"/>
        </w:rPr>
        <w:t>.</w:t>
      </w:r>
      <w:r>
        <w:rPr>
          <w:rFonts w:hint="eastAsia" w:asciiTheme="minorEastAsia" w:hAnsiTheme="minorEastAsia" w:eastAsiaTheme="minorEastAsia"/>
          <w:b/>
          <w:sz w:val="24"/>
        </w:rPr>
        <w:t>告知招标结果</w:t>
      </w:r>
    </w:p>
    <w:p w14:paraId="1F6E5BC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25</w:t>
      </w:r>
      <w:r>
        <w:rPr>
          <w:rFonts w:asciiTheme="minorEastAsia" w:hAnsiTheme="minorEastAsia" w:eastAsiaTheme="minorEastAsia"/>
          <w:sz w:val="24"/>
        </w:rPr>
        <w:t>.1</w:t>
      </w:r>
      <w:r>
        <w:rPr>
          <w:rFonts w:hint="eastAsia" w:asciiTheme="minorEastAsia" w:hAnsiTheme="minorEastAsia" w:eastAsiaTheme="minorEastAsia"/>
          <w:sz w:val="24"/>
        </w:rPr>
        <w:t>在公告</w:t>
      </w:r>
      <w:r>
        <w:rPr>
          <w:rFonts w:asciiTheme="minorEastAsia" w:hAnsiTheme="minorEastAsia" w:eastAsiaTheme="minorEastAsia"/>
          <w:sz w:val="24"/>
        </w:rPr>
        <w:t>中标结果的同时，采购代理机构同时以</w:t>
      </w:r>
      <w:r>
        <w:rPr>
          <w:rFonts w:hint="eastAsia" w:asciiTheme="minorEastAsia" w:hAnsiTheme="minorEastAsia" w:eastAsiaTheme="minorEastAsia"/>
          <w:sz w:val="24"/>
          <w:u w:val="single"/>
        </w:rPr>
        <w:t>投标人须知前附表</w:t>
      </w:r>
      <w:r>
        <w:rPr>
          <w:rFonts w:hint="eastAsia" w:asciiTheme="minorEastAsia" w:hAnsiTheme="minorEastAsia" w:eastAsiaTheme="minorEastAsia"/>
          <w:sz w:val="24"/>
        </w:rPr>
        <w:t>规定的</w:t>
      </w:r>
      <w:r>
        <w:rPr>
          <w:rFonts w:asciiTheme="minorEastAsia" w:hAnsiTheme="minorEastAsia" w:eastAsiaTheme="minorEastAsia"/>
          <w:sz w:val="24"/>
        </w:rPr>
        <w:t>形式</w:t>
      </w:r>
      <w:r>
        <w:rPr>
          <w:rFonts w:hint="eastAsia" w:asciiTheme="minorEastAsia" w:hAnsiTheme="minorEastAsia" w:eastAsiaTheme="minorEastAsia"/>
          <w:sz w:val="24"/>
        </w:rPr>
        <w:t>告知未通过资格审查的投标人未通过的原因；采用综合评分法评审的，还将告知未中标人本人的评审得分和排序。</w:t>
      </w:r>
    </w:p>
    <w:p w14:paraId="2B05209E">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26</w:t>
      </w:r>
      <w:r>
        <w:rPr>
          <w:rFonts w:asciiTheme="minorEastAsia" w:hAnsiTheme="minorEastAsia" w:eastAsiaTheme="minorEastAsia"/>
          <w:b/>
          <w:sz w:val="24"/>
        </w:rPr>
        <w:t>.</w:t>
      </w:r>
      <w:r>
        <w:rPr>
          <w:rFonts w:hint="eastAsia" w:asciiTheme="minorEastAsia" w:hAnsiTheme="minorEastAsia" w:eastAsiaTheme="minorEastAsia"/>
          <w:b/>
          <w:sz w:val="24"/>
        </w:rPr>
        <w:t>履约保证金</w:t>
      </w:r>
    </w:p>
    <w:p w14:paraId="7866FCED">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26.1中标人应按照</w:t>
      </w:r>
      <w:r>
        <w:rPr>
          <w:rFonts w:hint="eastAsia" w:asciiTheme="minorEastAsia" w:hAnsiTheme="minorEastAsia" w:eastAsiaTheme="minorEastAsia"/>
          <w:sz w:val="24"/>
          <w:u w:val="single"/>
        </w:rPr>
        <w:t>投标人须知前附表</w:t>
      </w:r>
      <w:r>
        <w:rPr>
          <w:rFonts w:hint="eastAsia" w:asciiTheme="minorEastAsia" w:hAnsiTheme="minorEastAsia" w:eastAsiaTheme="minorEastAsia"/>
          <w:sz w:val="24"/>
        </w:rPr>
        <w:t>规定缴纳履约保证金。</w:t>
      </w:r>
    </w:p>
    <w:p w14:paraId="247BF502">
      <w:pPr>
        <w:spacing w:line="360" w:lineRule="auto"/>
        <w:ind w:firstLine="435"/>
        <w:rPr>
          <w:rFonts w:hint="eastAsia" w:asciiTheme="minorEastAsia" w:hAnsiTheme="minorEastAsia" w:eastAsiaTheme="minorEastAsia"/>
          <w:b/>
          <w:sz w:val="24"/>
        </w:rPr>
      </w:pPr>
      <w:r>
        <w:rPr>
          <w:rFonts w:hint="eastAsia" w:asciiTheme="minorEastAsia" w:hAnsiTheme="minorEastAsia" w:eastAsiaTheme="minorEastAsia"/>
          <w:sz w:val="24"/>
        </w:rPr>
        <w:t>26.</w:t>
      </w:r>
      <w:r>
        <w:rPr>
          <w:rFonts w:asciiTheme="minorEastAsia" w:hAnsiTheme="minorEastAsia" w:eastAsiaTheme="minorEastAsia"/>
          <w:sz w:val="24"/>
        </w:rPr>
        <w:t>2</w:t>
      </w:r>
      <w:r>
        <w:rPr>
          <w:rFonts w:hint="eastAsia" w:ascii="宋体" w:hAnsi="宋体" w:eastAsia="宋体"/>
          <w:sz w:val="24"/>
        </w:rPr>
        <w:t>如果</w:t>
      </w:r>
      <w:r>
        <w:rPr>
          <w:rFonts w:hint="eastAsia" w:asciiTheme="minorEastAsia" w:hAnsiTheme="minorEastAsia" w:eastAsiaTheme="minorEastAsia"/>
          <w:sz w:val="24"/>
        </w:rPr>
        <w:t>中标人没有按照上述履约保证金的规定执行，将视为放弃中标资格。在此情况下，采购人可</w:t>
      </w:r>
      <w:r>
        <w:rPr>
          <w:rFonts w:asciiTheme="minorEastAsia" w:hAnsiTheme="minorEastAsia" w:eastAsiaTheme="minorEastAsia"/>
          <w:sz w:val="24"/>
        </w:rPr>
        <w:t>确定下一</w:t>
      </w:r>
      <w:r>
        <w:rPr>
          <w:rFonts w:hint="eastAsia" w:ascii="宋体" w:hAnsi="宋体" w:eastAsia="宋体"/>
          <w:sz w:val="24"/>
        </w:rPr>
        <w:t>中标</w:t>
      </w:r>
      <w:r>
        <w:rPr>
          <w:rFonts w:hint="eastAsia" w:asciiTheme="minorEastAsia" w:hAnsiTheme="minorEastAsia" w:eastAsiaTheme="minorEastAsia"/>
          <w:sz w:val="24"/>
        </w:rPr>
        <w:t>候选</w:t>
      </w:r>
      <w:r>
        <w:rPr>
          <w:rFonts w:asciiTheme="minorEastAsia" w:hAnsiTheme="minorEastAsia" w:eastAsiaTheme="minorEastAsia"/>
          <w:sz w:val="24"/>
        </w:rPr>
        <w:t>人为中标</w:t>
      </w:r>
      <w:r>
        <w:rPr>
          <w:rFonts w:hint="eastAsia" w:asciiTheme="minorEastAsia" w:hAnsiTheme="minorEastAsia" w:eastAsiaTheme="minorEastAsia"/>
          <w:sz w:val="24"/>
        </w:rPr>
        <w:t>人</w:t>
      </w:r>
      <w:r>
        <w:rPr>
          <w:rFonts w:asciiTheme="minorEastAsia" w:hAnsiTheme="minorEastAsia" w:eastAsiaTheme="minorEastAsia"/>
          <w:sz w:val="24"/>
        </w:rPr>
        <w:t>，也可以重新开展采购活动。</w:t>
      </w:r>
    </w:p>
    <w:p w14:paraId="1B22B306">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27</w:t>
      </w:r>
      <w:r>
        <w:rPr>
          <w:rFonts w:asciiTheme="minorEastAsia" w:hAnsiTheme="minorEastAsia" w:eastAsiaTheme="minorEastAsia"/>
          <w:b/>
          <w:sz w:val="24"/>
        </w:rPr>
        <w:t>.</w:t>
      </w:r>
      <w:r>
        <w:rPr>
          <w:rFonts w:hint="eastAsia" w:asciiTheme="minorEastAsia" w:hAnsiTheme="minorEastAsia" w:eastAsiaTheme="minorEastAsia"/>
          <w:b/>
          <w:sz w:val="24"/>
        </w:rPr>
        <w:t>签订合同</w:t>
      </w:r>
    </w:p>
    <w:p w14:paraId="701AA771">
      <w:pPr>
        <w:spacing w:line="360" w:lineRule="auto"/>
        <w:ind w:firstLine="435"/>
        <w:rPr>
          <w:rFonts w:hint="eastAsia" w:ascii="宋体" w:hAnsi="宋体" w:eastAsia="宋体"/>
          <w:sz w:val="24"/>
        </w:rPr>
      </w:pPr>
      <w:r>
        <w:rPr>
          <w:rFonts w:hint="eastAsia" w:ascii="宋体" w:hAnsi="宋体" w:eastAsia="宋体"/>
          <w:sz w:val="24"/>
        </w:rPr>
        <w:t>27.1</w:t>
      </w:r>
      <w:r>
        <w:rPr>
          <w:rFonts w:hint="eastAsia" w:ascii="宋体" w:hAnsi="宋体" w:eastAsia="宋体" w:cs="宋体"/>
          <w:sz w:val="24"/>
          <w:szCs w:val="24"/>
        </w:rPr>
        <w:t>采购人与中标人应当按照</w:t>
      </w:r>
      <w:r>
        <w:rPr>
          <w:rFonts w:hint="eastAsia" w:ascii="宋体" w:hAnsi="宋体" w:eastAsia="宋体" w:cs="宋体"/>
          <w:sz w:val="24"/>
          <w:szCs w:val="24"/>
          <w:u w:val="single"/>
        </w:rPr>
        <w:t>投标人须知前附表</w:t>
      </w:r>
      <w:r>
        <w:rPr>
          <w:rFonts w:hint="eastAsia" w:ascii="宋体" w:hAnsi="宋体" w:eastAsia="宋体" w:cs="宋体"/>
          <w:sz w:val="24"/>
          <w:szCs w:val="24"/>
        </w:rPr>
        <w:t>规定的时间内完成政府采购合同签订及合同公告。</w:t>
      </w:r>
    </w:p>
    <w:p w14:paraId="2B3C1A37">
      <w:pPr>
        <w:spacing w:line="360" w:lineRule="auto"/>
        <w:ind w:firstLine="435"/>
        <w:rPr>
          <w:rFonts w:hint="eastAsia" w:ascii="宋体" w:hAnsi="宋体" w:eastAsia="宋体"/>
          <w:sz w:val="24"/>
        </w:rPr>
      </w:pPr>
      <w:r>
        <w:rPr>
          <w:rFonts w:hint="eastAsia" w:ascii="宋体" w:hAnsi="宋体" w:eastAsia="宋体"/>
          <w:sz w:val="24"/>
        </w:rPr>
        <w:t>27.2招标文件、中标人的投标文件及其澄清文件等，均为签订合同的依据。</w:t>
      </w:r>
    </w:p>
    <w:p w14:paraId="1AAF5535">
      <w:pPr>
        <w:spacing w:line="360" w:lineRule="auto"/>
        <w:ind w:firstLine="435"/>
        <w:rPr>
          <w:rFonts w:hint="eastAsia" w:ascii="宋体" w:hAnsi="宋体" w:eastAsia="宋体"/>
          <w:sz w:val="24"/>
        </w:rPr>
      </w:pPr>
      <w:r>
        <w:rPr>
          <w:rFonts w:hint="eastAsia" w:ascii="宋体" w:hAnsi="宋体" w:eastAsia="宋体"/>
          <w:sz w:val="24"/>
        </w:rPr>
        <w:t>27.3中</w:t>
      </w:r>
      <w:r>
        <w:rPr>
          <w:rFonts w:ascii="宋体" w:hAnsi="宋体" w:eastAsia="宋体"/>
          <w:sz w:val="24"/>
        </w:rPr>
        <w:t>标</w:t>
      </w:r>
      <w:r>
        <w:rPr>
          <w:rFonts w:hint="eastAsia" w:ascii="宋体" w:hAnsi="宋体" w:eastAsia="宋体"/>
          <w:sz w:val="24"/>
        </w:rPr>
        <w:t>人</w:t>
      </w:r>
      <w:r>
        <w:rPr>
          <w:rFonts w:ascii="宋体" w:hAnsi="宋体" w:eastAsia="宋体"/>
          <w:sz w:val="24"/>
        </w:rPr>
        <w:t>拒绝与采购人签订合同的，采购人可以按照评审报告推荐的中标候选人</w:t>
      </w:r>
      <w:r>
        <w:rPr>
          <w:rFonts w:hint="eastAsia" w:ascii="宋体" w:hAnsi="宋体" w:eastAsia="宋体"/>
          <w:sz w:val="24"/>
        </w:rPr>
        <w:t>名单</w:t>
      </w:r>
      <w:r>
        <w:rPr>
          <w:rFonts w:ascii="宋体" w:hAnsi="宋体" w:eastAsia="宋体"/>
          <w:sz w:val="24"/>
        </w:rPr>
        <w:t>排序</w:t>
      </w:r>
      <w:r>
        <w:rPr>
          <w:rFonts w:hint="eastAsia" w:ascii="宋体" w:hAnsi="宋体" w:eastAsia="宋体"/>
          <w:sz w:val="24"/>
        </w:rPr>
        <w:t>，</w:t>
      </w:r>
      <w:r>
        <w:rPr>
          <w:rFonts w:ascii="宋体" w:hAnsi="宋体" w:eastAsia="宋体"/>
          <w:sz w:val="24"/>
        </w:rPr>
        <w:t>确定下一</w:t>
      </w:r>
      <w:r>
        <w:rPr>
          <w:rFonts w:hint="eastAsia" w:ascii="宋体" w:hAnsi="宋体" w:eastAsia="宋体"/>
          <w:sz w:val="24"/>
        </w:rPr>
        <w:t>中标候选</w:t>
      </w:r>
      <w:r>
        <w:rPr>
          <w:rFonts w:ascii="宋体" w:hAnsi="宋体" w:eastAsia="宋体"/>
          <w:sz w:val="24"/>
        </w:rPr>
        <w:t>人为中标</w:t>
      </w:r>
      <w:r>
        <w:rPr>
          <w:rFonts w:hint="eastAsia" w:ascii="宋体" w:hAnsi="宋体" w:eastAsia="宋体"/>
          <w:sz w:val="24"/>
        </w:rPr>
        <w:t>人</w:t>
      </w:r>
      <w:r>
        <w:rPr>
          <w:rFonts w:ascii="宋体" w:hAnsi="宋体" w:eastAsia="宋体"/>
          <w:sz w:val="24"/>
        </w:rPr>
        <w:t>，也可以重新开展政府采购活动。</w:t>
      </w:r>
    </w:p>
    <w:p w14:paraId="45D5FB24">
      <w:pPr>
        <w:spacing w:line="360" w:lineRule="auto"/>
        <w:ind w:firstLine="435"/>
        <w:rPr>
          <w:rFonts w:hint="eastAsia" w:ascii="宋体" w:hAnsi="宋体" w:eastAsia="宋体"/>
          <w:sz w:val="24"/>
        </w:rPr>
      </w:pPr>
      <w:r>
        <w:rPr>
          <w:rFonts w:hint="eastAsia" w:ascii="宋体" w:hAnsi="宋体" w:eastAsia="宋体"/>
          <w:sz w:val="24"/>
        </w:rPr>
        <w:t>27.4依据《政府采购促进中小企业发展管理办法》（财库〔</w:t>
      </w:r>
      <w:r>
        <w:rPr>
          <w:rFonts w:ascii="宋体" w:hAnsi="宋体" w:eastAsia="宋体"/>
          <w:sz w:val="24"/>
        </w:rPr>
        <w:t>2020〕46号</w:t>
      </w:r>
      <w:r>
        <w:rPr>
          <w:rFonts w:hint="eastAsia" w:ascii="宋体" w:hAnsi="宋体" w:eastAsia="宋体"/>
          <w:sz w:val="24"/>
        </w:rPr>
        <w:t>）规定享受扶持政策获得政府采购合同的，小微企业不得将合同分包给大中型企业，中型企业不得将合同分包给大型企业。</w:t>
      </w:r>
    </w:p>
    <w:p w14:paraId="3AD0CA87">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28</w:t>
      </w:r>
      <w:r>
        <w:rPr>
          <w:rFonts w:asciiTheme="minorEastAsia" w:hAnsiTheme="minorEastAsia" w:eastAsiaTheme="minorEastAsia"/>
          <w:b/>
          <w:sz w:val="24"/>
        </w:rPr>
        <w:t>.</w:t>
      </w:r>
      <w:r>
        <w:rPr>
          <w:rFonts w:hint="eastAsia" w:asciiTheme="minorEastAsia" w:hAnsiTheme="minorEastAsia" w:eastAsiaTheme="minorEastAsia"/>
          <w:b/>
          <w:sz w:val="24"/>
        </w:rPr>
        <w:t>代理费用</w:t>
      </w:r>
    </w:p>
    <w:p w14:paraId="1C02C340">
      <w:pPr>
        <w:spacing w:line="360" w:lineRule="auto"/>
        <w:ind w:firstLine="435"/>
        <w:rPr>
          <w:rFonts w:hint="eastAsia" w:ascii="宋体" w:hAnsi="宋体" w:eastAsia="宋体"/>
          <w:sz w:val="24"/>
        </w:rPr>
      </w:pPr>
      <w:r>
        <w:rPr>
          <w:rFonts w:hint="eastAsia" w:ascii="宋体" w:hAnsi="宋体" w:eastAsia="宋体"/>
          <w:sz w:val="24"/>
        </w:rPr>
        <w:t>28</w:t>
      </w:r>
      <w:r>
        <w:rPr>
          <w:rFonts w:ascii="宋体" w:hAnsi="宋体" w:eastAsia="宋体"/>
          <w:sz w:val="24"/>
        </w:rPr>
        <w:t>.1</w:t>
      </w:r>
      <w:r>
        <w:rPr>
          <w:rFonts w:hint="eastAsia" w:ascii="宋体" w:hAnsi="宋体" w:eastAsia="宋体"/>
          <w:sz w:val="24"/>
        </w:rPr>
        <w:t>本项目代理费用的收取按</w:t>
      </w:r>
      <w:r>
        <w:rPr>
          <w:rFonts w:hint="eastAsia" w:asciiTheme="minorEastAsia" w:hAnsiTheme="minorEastAsia" w:eastAsiaTheme="minorEastAsia"/>
          <w:sz w:val="24"/>
          <w:u w:val="single"/>
        </w:rPr>
        <w:t>投标人须知前附表的</w:t>
      </w:r>
      <w:r>
        <w:rPr>
          <w:rFonts w:hint="eastAsia" w:ascii="宋体" w:hAnsi="宋体" w:eastAsia="宋体"/>
          <w:sz w:val="24"/>
        </w:rPr>
        <w:t>规定执行</w:t>
      </w:r>
      <w:r>
        <w:rPr>
          <w:rFonts w:hint="eastAsia" w:asciiTheme="minorEastAsia" w:hAnsiTheme="minorEastAsia" w:eastAsiaTheme="minorEastAsia"/>
          <w:sz w:val="24"/>
        </w:rPr>
        <w:t>。</w:t>
      </w:r>
    </w:p>
    <w:p w14:paraId="0F1CCA4C">
      <w:pPr>
        <w:spacing w:line="360" w:lineRule="auto"/>
        <w:ind w:firstLine="437"/>
        <w:outlineLvl w:val="2"/>
        <w:rPr>
          <w:rFonts w:hint="eastAsia" w:asciiTheme="minorEastAsia" w:hAnsiTheme="minorEastAsia" w:eastAsiaTheme="minorEastAsia"/>
          <w:b/>
          <w:sz w:val="24"/>
        </w:rPr>
      </w:pPr>
      <w:bookmarkStart w:id="31" w:name="_Toc518923100"/>
      <w:bookmarkStart w:id="32" w:name="_Toc2583661"/>
      <w:r>
        <w:rPr>
          <w:rFonts w:hint="eastAsia" w:asciiTheme="minorEastAsia" w:hAnsiTheme="minorEastAsia" w:eastAsiaTheme="minorEastAsia"/>
          <w:b/>
          <w:sz w:val="24"/>
        </w:rPr>
        <w:t>29.廉洁自律</w:t>
      </w:r>
      <w:r>
        <w:rPr>
          <w:rFonts w:asciiTheme="minorEastAsia" w:hAnsiTheme="minorEastAsia" w:eastAsiaTheme="minorEastAsia"/>
          <w:b/>
          <w:sz w:val="24"/>
        </w:rPr>
        <w:t>规定</w:t>
      </w:r>
      <w:bookmarkEnd w:id="31"/>
      <w:bookmarkEnd w:id="32"/>
    </w:p>
    <w:p w14:paraId="39E9F69B">
      <w:pPr>
        <w:spacing w:line="360" w:lineRule="auto"/>
        <w:ind w:firstLine="435"/>
        <w:rPr>
          <w:rFonts w:hint="eastAsia" w:ascii="宋体" w:hAnsi="宋体" w:eastAsia="宋体"/>
          <w:sz w:val="24"/>
        </w:rPr>
      </w:pPr>
      <w:r>
        <w:rPr>
          <w:rFonts w:hint="eastAsia" w:ascii="宋体" w:hAnsi="宋体" w:eastAsia="宋体"/>
          <w:sz w:val="24"/>
        </w:rPr>
        <w:t>29.1采购代理机构</w:t>
      </w:r>
      <w:r>
        <w:rPr>
          <w:rFonts w:ascii="宋体" w:hAnsi="宋体" w:eastAsia="宋体"/>
          <w:sz w:val="24"/>
        </w:rPr>
        <w:t>工作人员</w:t>
      </w:r>
      <w:r>
        <w:rPr>
          <w:rFonts w:hint="eastAsia" w:ascii="宋体" w:hAnsi="宋体" w:eastAsia="宋体"/>
          <w:sz w:val="24"/>
        </w:rPr>
        <w:t>不得以不正当手段获取政府采购代理业务，不得与采购人、供应商恶意串通。</w:t>
      </w:r>
    </w:p>
    <w:p w14:paraId="176F2661">
      <w:pPr>
        <w:spacing w:line="360" w:lineRule="auto"/>
        <w:ind w:firstLine="435"/>
        <w:rPr>
          <w:rFonts w:hint="eastAsia" w:ascii="宋体" w:hAnsi="宋体" w:eastAsia="宋体"/>
          <w:sz w:val="24"/>
        </w:rPr>
      </w:pPr>
      <w:r>
        <w:rPr>
          <w:rFonts w:hint="eastAsia" w:ascii="宋体" w:hAnsi="宋体" w:eastAsia="宋体"/>
          <w:sz w:val="24"/>
        </w:rPr>
        <w:t>29.</w:t>
      </w:r>
      <w:r>
        <w:rPr>
          <w:rFonts w:ascii="宋体" w:hAnsi="宋体" w:eastAsia="宋体"/>
          <w:sz w:val="24"/>
        </w:rPr>
        <w:t>2</w:t>
      </w:r>
      <w:r>
        <w:rPr>
          <w:rFonts w:hint="eastAsia" w:ascii="宋体" w:hAnsi="宋体" w:eastAsia="宋体"/>
          <w:sz w:val="24"/>
        </w:rPr>
        <w:t>采购代理机构工作人员不得接受采购人或者供应商组织的宴请、旅游、娱乐，不得收受礼品、现金、有价证券等，不得向采购人或者供应商报销应当由个人承担的费用。</w:t>
      </w:r>
    </w:p>
    <w:p w14:paraId="6F6F5740">
      <w:pPr>
        <w:spacing w:line="360" w:lineRule="auto"/>
        <w:ind w:firstLine="437"/>
        <w:outlineLvl w:val="2"/>
        <w:rPr>
          <w:rFonts w:hint="eastAsia" w:asciiTheme="minorEastAsia" w:hAnsiTheme="minorEastAsia" w:eastAsiaTheme="minorEastAsia"/>
          <w:b/>
          <w:sz w:val="24"/>
        </w:rPr>
      </w:pPr>
      <w:bookmarkStart w:id="33" w:name="_Toc2583662"/>
      <w:bookmarkStart w:id="34" w:name="_Toc518923101"/>
      <w:r>
        <w:rPr>
          <w:rFonts w:hint="eastAsia" w:asciiTheme="minorEastAsia" w:hAnsiTheme="minorEastAsia" w:eastAsiaTheme="minorEastAsia"/>
          <w:b/>
          <w:sz w:val="24"/>
        </w:rPr>
        <w:t>30.人员回避</w:t>
      </w:r>
      <w:bookmarkEnd w:id="33"/>
      <w:bookmarkEnd w:id="34"/>
    </w:p>
    <w:p w14:paraId="2D618260">
      <w:pPr>
        <w:spacing w:line="360" w:lineRule="auto"/>
        <w:ind w:firstLine="435"/>
        <w:rPr>
          <w:rFonts w:hint="eastAsia" w:ascii="仿宋_GB2312" w:hAnsi="宋体" w:eastAsia="仿宋_GB2312"/>
          <w:sz w:val="24"/>
        </w:rPr>
      </w:pPr>
      <w:r>
        <w:rPr>
          <w:rFonts w:hint="eastAsia" w:ascii="宋体" w:hAnsi="宋体" w:eastAsia="宋体"/>
          <w:sz w:val="24"/>
        </w:rPr>
        <w:t>投标人</w:t>
      </w:r>
      <w:r>
        <w:rPr>
          <w:rFonts w:ascii="宋体" w:hAnsi="宋体" w:eastAsia="宋体"/>
          <w:sz w:val="24"/>
        </w:rPr>
        <w:t>认为采购人员</w:t>
      </w:r>
      <w:r>
        <w:rPr>
          <w:rFonts w:hint="eastAsia" w:ascii="宋体" w:hAnsi="宋体" w:eastAsia="宋体"/>
          <w:sz w:val="24"/>
        </w:rPr>
        <w:t>及其</w:t>
      </w:r>
      <w:r>
        <w:rPr>
          <w:rFonts w:ascii="宋体" w:hAnsi="宋体" w:eastAsia="宋体"/>
          <w:sz w:val="24"/>
        </w:rPr>
        <w:t>相关人员有</w:t>
      </w:r>
      <w:r>
        <w:rPr>
          <w:rFonts w:hint="eastAsia" w:ascii="宋体" w:hAnsi="宋体" w:eastAsia="宋体"/>
          <w:sz w:val="24"/>
        </w:rPr>
        <w:t>法律</w:t>
      </w:r>
      <w:r>
        <w:rPr>
          <w:rFonts w:ascii="宋体" w:hAnsi="宋体" w:eastAsia="宋体"/>
          <w:sz w:val="24"/>
        </w:rPr>
        <w:t>法规所列与其他供应商</w:t>
      </w:r>
      <w:r>
        <w:rPr>
          <w:rFonts w:hint="eastAsia" w:ascii="宋体" w:hAnsi="宋体" w:eastAsia="宋体"/>
          <w:sz w:val="24"/>
        </w:rPr>
        <w:t>有</w:t>
      </w:r>
      <w:r>
        <w:rPr>
          <w:rFonts w:ascii="宋体" w:hAnsi="宋体" w:eastAsia="宋体"/>
          <w:sz w:val="24"/>
        </w:rPr>
        <w:t>利害关系的，可以向</w:t>
      </w:r>
      <w:r>
        <w:rPr>
          <w:rFonts w:hint="eastAsia" w:ascii="宋体" w:hAnsi="宋体" w:eastAsia="宋体"/>
          <w:sz w:val="24"/>
        </w:rPr>
        <w:t>采购人或</w:t>
      </w:r>
      <w:r>
        <w:rPr>
          <w:rFonts w:ascii="宋体" w:hAnsi="宋体" w:eastAsia="宋体"/>
          <w:sz w:val="24"/>
        </w:rPr>
        <w:t>采购代理机构书面提出回避申请，并说明理由。</w:t>
      </w:r>
    </w:p>
    <w:p w14:paraId="5AE5F85E">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31</w:t>
      </w:r>
      <w:r>
        <w:rPr>
          <w:rFonts w:asciiTheme="minorEastAsia" w:hAnsiTheme="minorEastAsia" w:eastAsiaTheme="minorEastAsia"/>
          <w:b/>
          <w:sz w:val="24"/>
        </w:rPr>
        <w:t>.</w:t>
      </w:r>
      <w:r>
        <w:rPr>
          <w:rFonts w:hint="eastAsia" w:asciiTheme="minorEastAsia" w:hAnsiTheme="minorEastAsia" w:eastAsiaTheme="minorEastAsia"/>
          <w:b/>
          <w:sz w:val="24"/>
        </w:rPr>
        <w:t>质疑的提出与接收</w:t>
      </w:r>
    </w:p>
    <w:p w14:paraId="29FE2533">
      <w:pPr>
        <w:spacing w:line="360" w:lineRule="auto"/>
        <w:ind w:firstLine="435"/>
        <w:rPr>
          <w:rFonts w:hint="eastAsia" w:ascii="宋体" w:hAnsi="宋体" w:eastAsia="宋体"/>
          <w:sz w:val="24"/>
        </w:rPr>
      </w:pPr>
      <w:r>
        <w:rPr>
          <w:rFonts w:hint="eastAsia" w:ascii="宋体" w:hAnsi="宋体" w:eastAsia="宋体"/>
          <w:sz w:val="24"/>
        </w:rPr>
        <w:t>31.1投标人认为招标文件、招标过程和中标结果使自己的权益受到损害的，可以在知道或者应知其权益受到损害之日起七个工作日内，以书面形式向采购人或其委托的采购代理机构提出质疑。</w:t>
      </w:r>
    </w:p>
    <w:p w14:paraId="77C42971">
      <w:pPr>
        <w:spacing w:line="360" w:lineRule="auto"/>
        <w:ind w:firstLine="435"/>
        <w:rPr>
          <w:rFonts w:hint="eastAsia" w:ascii="宋体" w:hAnsi="宋体" w:eastAsia="宋体"/>
          <w:sz w:val="24"/>
        </w:rPr>
      </w:pPr>
      <w:r>
        <w:rPr>
          <w:rFonts w:hint="eastAsia" w:ascii="宋体" w:hAnsi="宋体" w:eastAsia="宋体"/>
          <w:sz w:val="24"/>
        </w:rPr>
        <w:t>31.2质疑供应商应按照财政部制定的《政府采购供应商质疑函范本》格式（详见招标文件）和《政府采购质疑和投诉办法》的要求，在法定质疑期内以书面形式提出质疑，超出法定质疑期提交的质疑将被拒绝。针对同一采购程序环节的质疑应一次性提出。</w:t>
      </w:r>
    </w:p>
    <w:p w14:paraId="7EE94391">
      <w:pPr>
        <w:spacing w:line="360" w:lineRule="auto"/>
        <w:ind w:firstLine="435"/>
        <w:rPr>
          <w:rFonts w:hint="eastAsia" w:ascii="宋体" w:hAnsi="宋体" w:eastAsia="宋体"/>
          <w:sz w:val="24"/>
        </w:rPr>
      </w:pPr>
      <w:r>
        <w:rPr>
          <w:rFonts w:hint="eastAsia" w:ascii="宋体" w:hAnsi="宋体" w:eastAsia="宋体"/>
          <w:sz w:val="24"/>
        </w:rPr>
        <w:t>31.3采购代理机构质疑函接收部门、联系电话和通讯地址，见</w:t>
      </w:r>
      <w:r>
        <w:rPr>
          <w:rFonts w:hint="eastAsia" w:ascii="宋体" w:hAnsi="宋体" w:eastAsia="宋体"/>
          <w:sz w:val="24"/>
          <w:u w:val="single"/>
        </w:rPr>
        <w:t>投标人须知前附表</w:t>
      </w:r>
      <w:r>
        <w:rPr>
          <w:rFonts w:hint="eastAsia" w:ascii="宋体" w:hAnsi="宋体" w:eastAsia="宋体"/>
          <w:sz w:val="24"/>
        </w:rPr>
        <w:t>。</w:t>
      </w:r>
    </w:p>
    <w:p w14:paraId="7EB2CDAB">
      <w:pPr>
        <w:spacing w:line="360" w:lineRule="auto"/>
        <w:ind w:firstLine="435"/>
        <w:rPr>
          <w:rFonts w:hint="eastAsia" w:ascii="宋体" w:hAnsi="宋体" w:eastAsia="宋体"/>
          <w:sz w:val="24"/>
        </w:rPr>
      </w:pPr>
      <w:r>
        <w:rPr>
          <w:rFonts w:hint="eastAsia" w:ascii="宋体" w:hAnsi="宋体" w:eastAsia="宋体"/>
          <w:sz w:val="24"/>
        </w:rPr>
        <w:t>注：上述条款中所要求的书面形式包含通过电子交易系统递交方式。</w:t>
      </w:r>
    </w:p>
    <w:p w14:paraId="63D92B8A">
      <w:pPr>
        <w:spacing w:line="360" w:lineRule="auto"/>
        <w:ind w:firstLine="437"/>
        <w:outlineLvl w:val="2"/>
        <w:rPr>
          <w:rFonts w:hint="eastAsia" w:ascii="宋体" w:hAnsi="宋体" w:eastAsia="宋体"/>
          <w:b/>
          <w:sz w:val="24"/>
          <w:szCs w:val="24"/>
        </w:rPr>
      </w:pPr>
      <w:r>
        <w:rPr>
          <w:rFonts w:hint="eastAsia" w:asciiTheme="minorEastAsia" w:hAnsiTheme="minorEastAsia" w:eastAsiaTheme="minorEastAsia"/>
          <w:b/>
          <w:sz w:val="24"/>
        </w:rPr>
        <w:t>32</w:t>
      </w:r>
      <w:r>
        <w:rPr>
          <w:rFonts w:asciiTheme="minorEastAsia" w:hAnsiTheme="minorEastAsia" w:eastAsiaTheme="minorEastAsia"/>
          <w:b/>
          <w:sz w:val="24"/>
        </w:rPr>
        <w:t>.</w:t>
      </w:r>
      <w:r>
        <w:rPr>
          <w:rFonts w:hint="eastAsia" w:ascii="宋体" w:hAnsi="宋体" w:eastAsia="宋体" w:cs="宋体"/>
          <w:b/>
          <w:sz w:val="24"/>
          <w:szCs w:val="24"/>
          <w:lang w:bidi="ar"/>
        </w:rPr>
        <w:t>投诉</w:t>
      </w:r>
    </w:p>
    <w:p w14:paraId="48DECC10">
      <w:pPr>
        <w:wordWrap w:val="0"/>
        <w:autoSpaceDE w:val="0"/>
        <w:spacing w:line="360" w:lineRule="auto"/>
        <w:ind w:firstLine="437"/>
        <w:rPr>
          <w:rFonts w:hint="eastAsia" w:ascii="宋体" w:hAnsi="宋体" w:eastAsia="宋体"/>
          <w:sz w:val="24"/>
          <w:szCs w:val="24"/>
        </w:rPr>
      </w:pPr>
      <w:r>
        <w:rPr>
          <w:rFonts w:hint="eastAsia" w:ascii="宋体" w:hAnsi="宋体" w:eastAsia="宋体" w:cs="宋体"/>
          <w:sz w:val="24"/>
          <w:szCs w:val="24"/>
          <w:lang w:bidi="ar"/>
        </w:rPr>
        <w:t>32.1质疑投标人对采购人、采购代理机构的答复不满意，或者采购人、采购代理机构未在规定的时间内答复的，可以在答复期满后十五个工作日内按有关规定，以书面形式向同级政府采购监督管理部门提出投诉或者线上提交投诉材料（https://czt.ah.gov.cn/content/column/6789651?action=new&amp;type=3）。</w:t>
      </w:r>
    </w:p>
    <w:p w14:paraId="0808DE96">
      <w:pPr>
        <w:wordWrap w:val="0"/>
        <w:autoSpaceDE w:val="0"/>
        <w:spacing w:line="360" w:lineRule="auto"/>
        <w:ind w:firstLine="437"/>
        <w:rPr>
          <w:rFonts w:hint="eastAsia" w:ascii="宋体" w:hAnsi="宋体" w:eastAsia="宋体"/>
          <w:sz w:val="24"/>
          <w:szCs w:val="24"/>
        </w:rPr>
      </w:pPr>
      <w:r>
        <w:rPr>
          <w:rFonts w:hint="eastAsia" w:ascii="宋体" w:hAnsi="宋体" w:eastAsia="宋体" w:cs="宋体"/>
          <w:sz w:val="24"/>
          <w:szCs w:val="24"/>
          <w:lang w:bidi="ar"/>
        </w:rPr>
        <w:t>32.2政府采购监督管理部门应当在收到投诉后30个工作日内，对投诉事项作出处理决定，并以书面形式通知投诉人和与投诉事项有关的当事人，并在安徽省政府采购网公告。政府采购监督管理部门处理投诉事项，需要检验、检测、鉴定、专家评审以及需要投诉人补正材料的，所需时间不计算在投诉处理期限内。</w:t>
      </w:r>
    </w:p>
    <w:p w14:paraId="62049FBB">
      <w:pPr>
        <w:wordWrap w:val="0"/>
        <w:autoSpaceDE w:val="0"/>
        <w:spacing w:line="360" w:lineRule="auto"/>
        <w:ind w:firstLine="437"/>
        <w:rPr>
          <w:rFonts w:hint="eastAsia" w:ascii="宋体" w:hAnsi="宋体" w:eastAsia="宋体"/>
          <w:sz w:val="24"/>
          <w:szCs w:val="24"/>
        </w:rPr>
      </w:pPr>
      <w:r>
        <w:rPr>
          <w:rFonts w:hint="eastAsia" w:ascii="宋体" w:hAnsi="宋体" w:eastAsia="宋体" w:cs="宋体"/>
          <w:sz w:val="24"/>
          <w:szCs w:val="24"/>
          <w:lang w:bidi="ar"/>
        </w:rPr>
        <w:t>32.3政府采购监督管理部门在处理投诉事项期间，可以视具体情况书面通知采购人暂停采购活动，但暂停时间最长不得超过30日。</w:t>
      </w:r>
    </w:p>
    <w:p w14:paraId="36EAEC0E">
      <w:pPr>
        <w:spacing w:line="360" w:lineRule="auto"/>
        <w:ind w:firstLine="437"/>
        <w:outlineLvl w:val="2"/>
        <w:rPr>
          <w:rFonts w:hint="eastAsia" w:asciiTheme="minorEastAsia" w:hAnsiTheme="minorEastAsia" w:eastAsiaTheme="minorEastAsia"/>
          <w:b/>
          <w:sz w:val="24"/>
        </w:rPr>
      </w:pPr>
      <w:r>
        <w:rPr>
          <w:rFonts w:hint="eastAsia" w:asciiTheme="minorEastAsia" w:hAnsiTheme="minorEastAsia" w:eastAsiaTheme="minorEastAsia"/>
          <w:b/>
          <w:sz w:val="24"/>
        </w:rPr>
        <w:t>33</w:t>
      </w:r>
      <w:r>
        <w:rPr>
          <w:rFonts w:asciiTheme="minorEastAsia" w:hAnsiTheme="minorEastAsia" w:eastAsiaTheme="minorEastAsia"/>
          <w:b/>
          <w:sz w:val="24"/>
        </w:rPr>
        <w:t>.</w:t>
      </w:r>
      <w:r>
        <w:rPr>
          <w:rFonts w:hint="eastAsia" w:asciiTheme="minorEastAsia" w:hAnsiTheme="minorEastAsia" w:eastAsiaTheme="minorEastAsia"/>
          <w:b/>
          <w:sz w:val="24"/>
        </w:rPr>
        <w:t>需要补充的其他内容</w:t>
      </w:r>
    </w:p>
    <w:p w14:paraId="0577E2C1">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需要补充的其他内容，见</w:t>
      </w:r>
      <w:r>
        <w:rPr>
          <w:rFonts w:hint="eastAsia" w:asciiTheme="minorEastAsia" w:hAnsiTheme="minorEastAsia" w:eastAsiaTheme="minorEastAsia"/>
          <w:sz w:val="24"/>
          <w:u w:val="single"/>
        </w:rPr>
        <w:t>投标人须知前附表</w:t>
      </w:r>
      <w:r>
        <w:rPr>
          <w:rFonts w:hint="eastAsia" w:asciiTheme="minorEastAsia" w:hAnsiTheme="minorEastAsia" w:eastAsiaTheme="minorEastAsia"/>
          <w:sz w:val="24"/>
        </w:rPr>
        <w:t>。</w:t>
      </w:r>
    </w:p>
    <w:p w14:paraId="3B66AAE5">
      <w:pPr>
        <w:widowControl/>
        <w:jc w:val="left"/>
        <w:rPr>
          <w:rFonts w:hint="eastAsia" w:asciiTheme="minorEastAsia" w:hAnsiTheme="minorEastAsia" w:eastAsiaTheme="minorEastAsia"/>
          <w:b/>
          <w:sz w:val="28"/>
        </w:rPr>
      </w:pPr>
      <w:r>
        <w:rPr>
          <w:rFonts w:asciiTheme="minorEastAsia" w:hAnsiTheme="minorEastAsia" w:eastAsiaTheme="minorEastAsia"/>
          <w:sz w:val="24"/>
        </w:rPr>
        <w:br w:type="page"/>
      </w:r>
    </w:p>
    <w:p w14:paraId="16AA0504">
      <w:pPr>
        <w:spacing w:line="360" w:lineRule="auto"/>
        <w:jc w:val="center"/>
        <w:outlineLvl w:val="0"/>
        <w:rPr>
          <w:rFonts w:hint="eastAsia" w:asciiTheme="minorEastAsia" w:hAnsiTheme="minorEastAsia" w:eastAsiaTheme="minorEastAsia"/>
          <w:b/>
          <w:sz w:val="28"/>
        </w:rPr>
      </w:pPr>
      <w:bookmarkStart w:id="35" w:name="_Toc10891"/>
      <w:r>
        <w:rPr>
          <w:rFonts w:hint="eastAsia" w:asciiTheme="minorEastAsia" w:hAnsiTheme="minorEastAsia" w:eastAsiaTheme="minorEastAsia"/>
          <w:b/>
          <w:sz w:val="28"/>
        </w:rPr>
        <w:t>第三章  采购需求</w:t>
      </w:r>
      <w:bookmarkEnd w:id="35"/>
    </w:p>
    <w:p w14:paraId="16D9AA4D">
      <w:pPr>
        <w:spacing w:line="360" w:lineRule="auto"/>
        <w:rPr>
          <w:rFonts w:hint="eastAsia" w:asciiTheme="minorEastAsia" w:hAnsiTheme="minorEastAsia" w:eastAsiaTheme="minorEastAsia"/>
          <w:b/>
          <w:sz w:val="24"/>
        </w:rPr>
      </w:pPr>
      <w:r>
        <w:rPr>
          <w:rFonts w:hint="eastAsia" w:asciiTheme="minorEastAsia" w:hAnsiTheme="minorEastAsia" w:eastAsiaTheme="minorEastAsia"/>
          <w:b/>
          <w:sz w:val="24"/>
        </w:rPr>
        <w:t>前注：</w:t>
      </w:r>
    </w:p>
    <w:p w14:paraId="6F2A253C">
      <w:pPr>
        <w:spacing w:line="360" w:lineRule="auto"/>
        <w:ind w:firstLine="435"/>
        <w:rPr>
          <w:rFonts w:hint="eastAsia" w:ascii="宋体" w:hAnsi="宋体" w:eastAsia="宋体"/>
          <w:sz w:val="24"/>
          <w:szCs w:val="18"/>
        </w:rPr>
      </w:pPr>
      <w:r>
        <w:rPr>
          <w:rFonts w:hint="eastAsia" w:asciiTheme="minorEastAsia" w:hAnsiTheme="minorEastAsia" w:eastAsiaTheme="minorEastAsia"/>
          <w:sz w:val="24"/>
        </w:rPr>
        <w:t>1.</w:t>
      </w:r>
      <w:r>
        <w:rPr>
          <w:rFonts w:ascii="宋体" w:hAnsi="宋体" w:eastAsia="宋体"/>
          <w:sz w:val="24"/>
          <w:szCs w:val="18"/>
        </w:rPr>
        <w:t>根据《</w:t>
      </w:r>
      <w:r>
        <w:rPr>
          <w:rFonts w:hint="eastAsia" w:ascii="宋体" w:hAnsi="宋体" w:eastAsia="宋体"/>
          <w:sz w:val="24"/>
          <w:szCs w:val="18"/>
        </w:rPr>
        <w:t>政府采购进口产品管理办法</w:t>
      </w:r>
      <w:r>
        <w:rPr>
          <w:rFonts w:ascii="宋体" w:hAnsi="宋体" w:eastAsia="宋体"/>
          <w:sz w:val="24"/>
          <w:szCs w:val="18"/>
        </w:rPr>
        <w:t>》及政府采购管理部门的相关规定，下列采购需求中</w:t>
      </w:r>
      <w:r>
        <w:rPr>
          <w:rFonts w:hint="eastAsia" w:ascii="宋体" w:hAnsi="宋体" w:eastAsia="宋体"/>
          <w:sz w:val="24"/>
          <w:szCs w:val="18"/>
        </w:rPr>
        <w:t>标注进口产品的货物均</w:t>
      </w:r>
      <w:r>
        <w:rPr>
          <w:rFonts w:ascii="宋体" w:hAnsi="宋体" w:eastAsia="宋体"/>
          <w:sz w:val="24"/>
          <w:szCs w:val="18"/>
        </w:rPr>
        <w:t>已履行相关论证手续，经核准采购进口</w:t>
      </w:r>
      <w:r>
        <w:rPr>
          <w:rFonts w:hint="eastAsia" w:ascii="宋体" w:hAnsi="宋体" w:eastAsia="宋体"/>
          <w:sz w:val="24"/>
          <w:szCs w:val="18"/>
        </w:rPr>
        <w:t>产品</w:t>
      </w:r>
      <w:r>
        <w:rPr>
          <w:rFonts w:ascii="宋体" w:hAnsi="宋体" w:eastAsia="宋体"/>
          <w:sz w:val="24"/>
          <w:szCs w:val="18"/>
        </w:rPr>
        <w:t>，但不限制满足招标文件要求的国内产品参与竞争</w:t>
      </w:r>
      <w:r>
        <w:rPr>
          <w:rFonts w:hint="eastAsia" w:ascii="宋体" w:hAnsi="宋体" w:eastAsia="宋体"/>
          <w:sz w:val="24"/>
          <w:szCs w:val="18"/>
        </w:rPr>
        <w:t>。未标注进口产品的货物均</w:t>
      </w:r>
      <w:r>
        <w:rPr>
          <w:rFonts w:ascii="宋体" w:hAnsi="宋体" w:eastAsia="宋体"/>
          <w:sz w:val="24"/>
          <w:szCs w:val="18"/>
        </w:rPr>
        <w:t>为拒绝采购进口产品</w:t>
      </w:r>
      <w:r>
        <w:rPr>
          <w:rFonts w:hint="eastAsia" w:ascii="宋体" w:hAnsi="宋体" w:eastAsia="宋体"/>
          <w:sz w:val="24"/>
          <w:szCs w:val="18"/>
        </w:rPr>
        <w:t>。</w:t>
      </w:r>
    </w:p>
    <w:p w14:paraId="356BAABA">
      <w:pPr>
        <w:spacing w:line="360" w:lineRule="auto"/>
        <w:ind w:firstLine="435"/>
        <w:rPr>
          <w:rFonts w:hint="eastAsia" w:ascii="宋体" w:hAnsi="宋体" w:eastAsia="宋体"/>
          <w:sz w:val="24"/>
          <w:szCs w:val="18"/>
        </w:rPr>
      </w:pPr>
      <w:r>
        <w:rPr>
          <w:rFonts w:hint="eastAsia" w:ascii="宋体" w:hAnsi="宋体" w:eastAsia="宋体"/>
          <w:sz w:val="24"/>
          <w:szCs w:val="18"/>
        </w:rPr>
        <w:t>2.</w:t>
      </w:r>
      <w:r>
        <w:rPr>
          <w:rFonts w:ascii="宋体" w:hAnsi="宋体" w:eastAsia="宋体" w:cs="宋体"/>
          <w:sz w:val="24"/>
          <w:szCs w:val="24"/>
        </w:rPr>
        <w:t>政府采购政策（包括但不限于下列具体政策要求</w:t>
      </w:r>
      <w:r>
        <w:rPr>
          <w:rFonts w:hint="eastAsia" w:ascii="宋体" w:hAnsi="宋体" w:eastAsia="宋体" w:cs="宋体"/>
          <w:sz w:val="24"/>
          <w:szCs w:val="24"/>
        </w:rPr>
        <w:t>）</w:t>
      </w:r>
      <w:r>
        <w:rPr>
          <w:rFonts w:hint="eastAsia" w:ascii="宋体" w:hAnsi="宋体" w:eastAsia="宋体"/>
          <w:sz w:val="24"/>
          <w:szCs w:val="18"/>
        </w:rPr>
        <w:t>：</w:t>
      </w:r>
    </w:p>
    <w:p w14:paraId="24D9C262">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1）如属于《节能产品政府采购品目清单》中政府强制采购的节能产品，则投标人在投标文件中提供所投产品须具有市场监管总局公布的《参与实施政府采购节能产品认证机构目录》中的认证机构出具的、处于有效期内的节能产品认证证书。</w:t>
      </w:r>
    </w:p>
    <w:p w14:paraId="3334B633">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14:paraId="4C1A1B16">
      <w:pPr>
        <w:spacing w:line="360" w:lineRule="auto"/>
        <w:ind w:firstLine="435"/>
        <w:rPr>
          <w:rFonts w:hint="eastAsia" w:ascii="宋体" w:hAnsi="宋体" w:eastAsia="宋体" w:cs="宋体"/>
          <w:sz w:val="24"/>
          <w:szCs w:val="24"/>
        </w:rPr>
      </w:pPr>
      <w:bookmarkStart w:id="36" w:name="_Toc2554"/>
      <w:bookmarkStart w:id="37" w:name="_Toc32151"/>
      <w:r>
        <w:rPr>
          <w:rFonts w:hint="eastAsia" w:ascii="宋体" w:hAnsi="宋体" w:eastAsia="宋体" w:cs="宋体"/>
          <w:sz w:val="24"/>
          <w:szCs w:val="24"/>
          <w:lang w:val="en-US" w:eastAsia="zh-CN"/>
        </w:rPr>
        <w:t>3</w:t>
      </w:r>
      <w:r>
        <w:rPr>
          <w:rFonts w:hint="eastAsia" w:ascii="宋体" w:hAnsi="宋体" w:eastAsia="宋体" w:cs="宋体"/>
          <w:sz w:val="24"/>
          <w:szCs w:val="24"/>
        </w:rPr>
        <w:t>.如采购人允许采用分包方式履行合同的，应当明确可以分包履行的相关内容。</w:t>
      </w:r>
    </w:p>
    <w:p w14:paraId="21ED511A">
      <w:pPr>
        <w:spacing w:line="360" w:lineRule="auto"/>
        <w:ind w:firstLine="435"/>
        <w:rPr>
          <w:rFonts w:hint="eastAsia" w:ascii="宋体" w:hAnsi="宋体" w:eastAsia="宋体"/>
          <w:sz w:val="24"/>
          <w:szCs w:val="18"/>
          <w:lang w:val="en-US" w:eastAsia="zh-CN"/>
        </w:rPr>
      </w:pPr>
      <w:r>
        <w:rPr>
          <w:rFonts w:hint="eastAsia" w:ascii="宋体" w:hAnsi="宋体" w:eastAsia="宋体" w:cs="宋体"/>
          <w:sz w:val="24"/>
          <w:szCs w:val="24"/>
          <w:lang w:val="en-US" w:eastAsia="zh-CN"/>
        </w:rPr>
        <w:t>4.下列采购</w:t>
      </w:r>
      <w:r>
        <w:rPr>
          <w:rFonts w:hint="eastAsia" w:ascii="宋体" w:hAnsi="宋体" w:eastAsia="宋体"/>
          <w:sz w:val="24"/>
          <w:szCs w:val="18"/>
          <w:lang w:val="en-US" w:eastAsia="zh-CN"/>
        </w:rPr>
        <w:t>需求中：标注▲的产品（核心产品），投标人在投标文件《主要中标标的承诺函》中填写名称、品牌、规格、型号、数量、单价等信息。</w:t>
      </w:r>
    </w:p>
    <w:p w14:paraId="4B07B0AB">
      <w:pPr>
        <w:spacing w:line="360" w:lineRule="auto"/>
        <w:ind w:firstLine="437"/>
        <w:outlineLvl w:val="1"/>
        <w:rPr>
          <w:rFonts w:hint="eastAsia" w:ascii="宋体" w:hAnsi="宋体" w:eastAsia="宋体"/>
          <w:b/>
          <w:sz w:val="24"/>
          <w:szCs w:val="18"/>
        </w:rPr>
      </w:pPr>
      <w:r>
        <w:rPr>
          <w:rFonts w:hint="eastAsia" w:ascii="宋体" w:hAnsi="宋体" w:eastAsia="宋体"/>
          <w:b/>
          <w:sz w:val="24"/>
          <w:szCs w:val="18"/>
        </w:rPr>
        <w:t>一、采购需求前附表</w:t>
      </w:r>
      <w:bookmarkEnd w:id="36"/>
      <w:bookmarkEnd w:id="37"/>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2375"/>
        <w:gridCol w:w="6411"/>
      </w:tblGrid>
      <w:tr w14:paraId="374B1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14:paraId="7EDC8B9D">
            <w:pPr>
              <w:pStyle w:val="49"/>
              <w:pBdr>
                <w:bottom w:val="none" w:color="auto" w:sz="0" w:space="0"/>
              </w:pBdr>
              <w:tabs>
                <w:tab w:val="clear" w:pos="4153"/>
                <w:tab w:val="clear" w:pos="8306"/>
              </w:tabs>
              <w:adjustRightInd/>
              <w:spacing w:line="240" w:lineRule="auto"/>
              <w:textAlignment w:val="auto"/>
              <w:rPr>
                <w:rFonts w:hint="eastAsia" w:ascii="宋体" w:hAnsi="宋体" w:eastAsia="宋体"/>
                <w:b/>
                <w:kern w:val="2"/>
              </w:rPr>
            </w:pPr>
            <w:r>
              <w:rPr>
                <w:rFonts w:hint="eastAsia" w:ascii="宋体" w:hAnsi="宋体" w:eastAsia="宋体"/>
                <w:b/>
                <w:kern w:val="2"/>
              </w:rPr>
              <w:t>序号</w:t>
            </w:r>
          </w:p>
        </w:tc>
        <w:tc>
          <w:tcPr>
            <w:tcW w:w="1192" w:type="pct"/>
            <w:vAlign w:val="center"/>
          </w:tcPr>
          <w:p w14:paraId="55D974EA">
            <w:pPr>
              <w:pStyle w:val="48"/>
              <w:widowControl w:val="0"/>
              <w:spacing w:before="0" w:beforeAutospacing="0" w:after="0" w:afterAutospacing="0" w:line="360" w:lineRule="auto"/>
              <w:rPr>
                <w:rFonts w:hint="eastAsia" w:ascii="宋体" w:hAnsi="宋体" w:eastAsia="宋体"/>
                <w:bCs w:val="0"/>
                <w:sz w:val="24"/>
              </w:rPr>
            </w:pPr>
            <w:r>
              <w:rPr>
                <w:rFonts w:hint="eastAsia" w:ascii="宋体" w:hAnsi="宋体" w:eastAsia="宋体"/>
                <w:bCs w:val="0"/>
                <w:sz w:val="24"/>
              </w:rPr>
              <w:t>条款名称</w:t>
            </w:r>
          </w:p>
        </w:tc>
        <w:tc>
          <w:tcPr>
            <w:tcW w:w="3217" w:type="pct"/>
            <w:vAlign w:val="center"/>
          </w:tcPr>
          <w:p w14:paraId="7612AC22">
            <w:pPr>
              <w:pStyle w:val="48"/>
              <w:widowControl w:val="0"/>
              <w:spacing w:before="0" w:beforeAutospacing="0" w:after="0" w:afterAutospacing="0" w:line="360" w:lineRule="auto"/>
              <w:rPr>
                <w:rFonts w:hint="eastAsia" w:ascii="宋体" w:hAnsi="宋体" w:eastAsia="宋体"/>
                <w:bCs w:val="0"/>
                <w:sz w:val="24"/>
              </w:rPr>
            </w:pPr>
            <w:r>
              <w:rPr>
                <w:rFonts w:hint="eastAsia" w:ascii="宋体" w:hAnsi="宋体" w:eastAsia="宋体"/>
                <w:bCs w:val="0"/>
                <w:sz w:val="24"/>
              </w:rPr>
              <w:t>内容、说明与要求</w:t>
            </w:r>
          </w:p>
        </w:tc>
      </w:tr>
      <w:tr w14:paraId="1C02B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14:paraId="2FE37D7A">
            <w:pPr>
              <w:pStyle w:val="49"/>
              <w:pBdr>
                <w:bottom w:val="none" w:color="auto" w:sz="0" w:space="0"/>
              </w:pBdr>
              <w:tabs>
                <w:tab w:val="clear" w:pos="4153"/>
                <w:tab w:val="clear" w:pos="8306"/>
              </w:tabs>
              <w:adjustRightInd/>
              <w:spacing w:line="240" w:lineRule="auto"/>
              <w:textAlignment w:val="auto"/>
              <w:rPr>
                <w:rFonts w:hint="eastAsia" w:ascii="宋体" w:hAnsi="宋体" w:eastAsia="宋体"/>
                <w:bCs/>
                <w:kern w:val="2"/>
              </w:rPr>
            </w:pPr>
            <w:r>
              <w:rPr>
                <w:rFonts w:hint="eastAsia" w:ascii="宋体" w:hAnsi="宋体" w:eastAsia="宋体"/>
                <w:bCs/>
                <w:kern w:val="2"/>
              </w:rPr>
              <w:t>1</w:t>
            </w:r>
          </w:p>
        </w:tc>
        <w:tc>
          <w:tcPr>
            <w:tcW w:w="1192" w:type="pct"/>
            <w:vAlign w:val="center"/>
          </w:tcPr>
          <w:p w14:paraId="0133F490">
            <w:pPr>
              <w:pStyle w:val="48"/>
              <w:widowControl w:val="0"/>
              <w:spacing w:before="0" w:beforeAutospacing="0" w:after="0" w:afterAutospacing="0" w:line="360" w:lineRule="auto"/>
              <w:rPr>
                <w:rFonts w:hint="eastAsia" w:ascii="宋体" w:hAnsi="宋体" w:eastAsia="宋体"/>
                <w:b w:val="0"/>
                <w:sz w:val="24"/>
              </w:rPr>
            </w:pPr>
            <w:r>
              <w:rPr>
                <w:rFonts w:hint="eastAsia" w:ascii="宋体" w:hAnsi="宋体" w:eastAsia="宋体"/>
                <w:b w:val="0"/>
                <w:sz w:val="24"/>
              </w:rPr>
              <w:t>付款方式</w:t>
            </w:r>
          </w:p>
        </w:tc>
        <w:tc>
          <w:tcPr>
            <w:tcW w:w="3217" w:type="pct"/>
            <w:vAlign w:val="center"/>
          </w:tcPr>
          <w:p w14:paraId="29AF0631">
            <w:pPr>
              <w:pStyle w:val="48"/>
              <w:widowControl w:val="0"/>
              <w:spacing w:before="0" w:beforeAutospacing="0" w:after="0" w:afterAutospacing="0" w:line="360" w:lineRule="auto"/>
              <w:jc w:val="both"/>
              <w:rPr>
                <w:rFonts w:hint="eastAsia" w:ascii="宋体" w:hAnsi="宋体" w:eastAsia="宋体"/>
                <w:b w:val="0"/>
                <w:sz w:val="24"/>
                <w:u w:val="single"/>
                <w:lang w:eastAsia="zh-CN"/>
              </w:rPr>
            </w:pPr>
            <w:r>
              <w:rPr>
                <w:rFonts w:hint="eastAsia" w:ascii="宋体" w:hAnsi="宋体" w:eastAsia="宋体"/>
                <w:b w:val="0"/>
                <w:sz w:val="24"/>
                <w:u w:val="single"/>
              </w:rPr>
              <w:t>合同签订后预付合同价款的40%，货物到场安装调试并正常使用后付至合同价款的</w:t>
            </w:r>
            <w:r>
              <w:rPr>
                <w:rFonts w:hint="eastAsia" w:ascii="宋体" w:hAnsi="宋体" w:eastAsia="宋体"/>
                <w:b w:val="0"/>
                <w:sz w:val="24"/>
                <w:u w:val="single"/>
                <w:lang w:val="en-US" w:eastAsia="zh-CN"/>
              </w:rPr>
              <w:t>8</w:t>
            </w:r>
            <w:r>
              <w:rPr>
                <w:rFonts w:hint="eastAsia" w:ascii="宋体" w:hAnsi="宋体" w:eastAsia="宋体"/>
                <w:b w:val="0"/>
                <w:sz w:val="24"/>
                <w:u w:val="single"/>
              </w:rPr>
              <w:t>0%，经采购人验收合格后付至合同价款的100%。</w:t>
            </w:r>
            <w:r>
              <w:rPr>
                <w:rFonts w:hint="eastAsia" w:ascii="宋体" w:hAnsi="宋体" w:eastAsia="宋体"/>
                <w:b w:val="0"/>
                <w:sz w:val="24"/>
                <w:u w:val="single"/>
                <w:lang w:eastAsia="zh-CN"/>
              </w:rPr>
              <w:t>（付款前，中标方需提供符合甲方要求的增值税发票）</w:t>
            </w:r>
          </w:p>
        </w:tc>
      </w:tr>
      <w:tr w14:paraId="08C34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14:paraId="27A3F433">
            <w:pPr>
              <w:pStyle w:val="49"/>
              <w:pBdr>
                <w:bottom w:val="none" w:color="auto" w:sz="0" w:space="0"/>
              </w:pBdr>
              <w:tabs>
                <w:tab w:val="clear" w:pos="4153"/>
                <w:tab w:val="clear" w:pos="8306"/>
              </w:tabs>
              <w:adjustRightInd/>
              <w:spacing w:line="240" w:lineRule="auto"/>
              <w:textAlignment w:val="auto"/>
              <w:rPr>
                <w:rFonts w:hint="eastAsia" w:ascii="宋体" w:hAnsi="宋体" w:eastAsia="宋体"/>
                <w:bCs/>
                <w:kern w:val="2"/>
              </w:rPr>
            </w:pPr>
            <w:r>
              <w:rPr>
                <w:rFonts w:hint="eastAsia" w:ascii="宋体" w:hAnsi="宋体" w:eastAsia="宋体"/>
                <w:bCs/>
                <w:kern w:val="2"/>
              </w:rPr>
              <w:t>2</w:t>
            </w:r>
          </w:p>
        </w:tc>
        <w:tc>
          <w:tcPr>
            <w:tcW w:w="1192" w:type="pct"/>
            <w:vAlign w:val="center"/>
          </w:tcPr>
          <w:p w14:paraId="102ECC85">
            <w:pPr>
              <w:pStyle w:val="48"/>
              <w:widowControl w:val="0"/>
              <w:spacing w:before="0" w:beforeAutospacing="0" w:after="0" w:afterAutospacing="0" w:line="360" w:lineRule="auto"/>
              <w:rPr>
                <w:rFonts w:hint="eastAsia" w:ascii="宋体" w:hAnsi="宋体" w:eastAsia="宋体"/>
                <w:b w:val="0"/>
                <w:sz w:val="24"/>
              </w:rPr>
            </w:pPr>
            <w:r>
              <w:rPr>
                <w:rFonts w:hint="eastAsia" w:ascii="宋体" w:hAnsi="宋体" w:eastAsia="宋体"/>
                <w:b w:val="0"/>
                <w:sz w:val="24"/>
              </w:rPr>
              <w:t>供货及安装地点</w:t>
            </w:r>
          </w:p>
        </w:tc>
        <w:tc>
          <w:tcPr>
            <w:tcW w:w="3217" w:type="pct"/>
            <w:vAlign w:val="center"/>
          </w:tcPr>
          <w:p w14:paraId="1C640EBB">
            <w:pPr>
              <w:pStyle w:val="48"/>
              <w:widowControl w:val="0"/>
              <w:spacing w:before="0" w:beforeAutospacing="0" w:after="0" w:afterAutospacing="0" w:line="360" w:lineRule="auto"/>
              <w:jc w:val="both"/>
              <w:rPr>
                <w:rFonts w:hint="eastAsia" w:ascii="宋体" w:hAnsi="宋体" w:eastAsia="宋体"/>
                <w:b w:val="0"/>
                <w:sz w:val="24"/>
              </w:rPr>
            </w:pPr>
            <w:r>
              <w:rPr>
                <w:rFonts w:hint="eastAsia" w:ascii="宋体" w:hAnsi="宋体" w:eastAsia="宋体"/>
                <w:b w:val="0"/>
                <w:sz w:val="24"/>
              </w:rPr>
              <w:t>采购人指定地点。</w:t>
            </w:r>
          </w:p>
        </w:tc>
      </w:tr>
      <w:tr w14:paraId="115DB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14:paraId="51D74146">
            <w:pPr>
              <w:pStyle w:val="49"/>
              <w:pBdr>
                <w:bottom w:val="none" w:color="auto" w:sz="0" w:space="0"/>
              </w:pBdr>
              <w:tabs>
                <w:tab w:val="clear" w:pos="4153"/>
                <w:tab w:val="clear" w:pos="8306"/>
              </w:tabs>
              <w:adjustRightInd/>
              <w:spacing w:line="240" w:lineRule="auto"/>
              <w:textAlignment w:val="auto"/>
              <w:rPr>
                <w:rFonts w:hint="eastAsia" w:ascii="宋体" w:hAnsi="宋体" w:eastAsia="宋体"/>
                <w:bCs/>
                <w:kern w:val="2"/>
              </w:rPr>
            </w:pPr>
            <w:r>
              <w:rPr>
                <w:rFonts w:hint="eastAsia" w:ascii="宋体" w:hAnsi="宋体" w:eastAsia="宋体"/>
                <w:bCs/>
                <w:kern w:val="2"/>
              </w:rPr>
              <w:t>3</w:t>
            </w:r>
          </w:p>
        </w:tc>
        <w:tc>
          <w:tcPr>
            <w:tcW w:w="1192" w:type="pct"/>
            <w:vAlign w:val="center"/>
          </w:tcPr>
          <w:p w14:paraId="7D76AA3C">
            <w:pPr>
              <w:pStyle w:val="48"/>
              <w:widowControl w:val="0"/>
              <w:spacing w:before="0" w:beforeAutospacing="0" w:after="0" w:afterAutospacing="0" w:line="360" w:lineRule="auto"/>
              <w:rPr>
                <w:rFonts w:hint="eastAsia" w:ascii="宋体" w:hAnsi="宋体" w:eastAsia="宋体"/>
                <w:b w:val="0"/>
                <w:sz w:val="24"/>
                <w:highlight w:val="none"/>
                <w:lang w:eastAsia="zh-CN"/>
              </w:rPr>
            </w:pPr>
            <w:r>
              <w:rPr>
                <w:rFonts w:hint="eastAsia" w:ascii="宋体" w:hAnsi="宋体" w:eastAsia="宋体"/>
                <w:b w:val="0"/>
                <w:sz w:val="24"/>
                <w:highlight w:val="none"/>
                <w:lang w:eastAsia="zh-CN"/>
              </w:rPr>
              <w:t>合同履行期限</w:t>
            </w:r>
          </w:p>
        </w:tc>
        <w:tc>
          <w:tcPr>
            <w:tcW w:w="3217" w:type="pct"/>
            <w:vAlign w:val="center"/>
          </w:tcPr>
          <w:p w14:paraId="5E200622">
            <w:pPr>
              <w:pStyle w:val="48"/>
              <w:widowControl w:val="0"/>
              <w:spacing w:before="0" w:beforeAutospacing="0" w:after="0" w:afterAutospacing="0" w:line="360" w:lineRule="auto"/>
              <w:jc w:val="both"/>
              <w:rPr>
                <w:rFonts w:hint="eastAsia" w:ascii="宋体" w:hAnsi="宋体" w:eastAsia="宋体"/>
                <w:b w:val="0"/>
                <w:sz w:val="24"/>
                <w:highlight w:val="none"/>
              </w:rPr>
            </w:pPr>
            <w:r>
              <w:rPr>
                <w:rFonts w:hint="eastAsia" w:ascii="宋体" w:hAnsi="宋体" w:eastAsia="宋体"/>
                <w:b w:val="0"/>
                <w:sz w:val="24"/>
                <w:highlight w:val="none"/>
                <w:lang w:eastAsia="zh-CN"/>
              </w:rPr>
              <w:t>合同签订之日起按采购人要求开始供货，15个日历天内供货、安装调试完毕，并交付采购人验收、使用</w:t>
            </w:r>
            <w:r>
              <w:rPr>
                <w:rFonts w:hint="eastAsia" w:ascii="宋体" w:hAnsi="宋体" w:eastAsia="宋体"/>
                <w:b w:val="0"/>
                <w:sz w:val="24"/>
                <w:highlight w:val="none"/>
              </w:rPr>
              <w:t>。</w:t>
            </w:r>
          </w:p>
        </w:tc>
      </w:tr>
      <w:tr w14:paraId="120BB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14:paraId="277CC75B">
            <w:pPr>
              <w:pStyle w:val="49"/>
              <w:pBdr>
                <w:bottom w:val="none" w:color="auto" w:sz="0" w:space="0"/>
              </w:pBdr>
              <w:tabs>
                <w:tab w:val="clear" w:pos="4153"/>
                <w:tab w:val="clear" w:pos="8306"/>
              </w:tabs>
              <w:adjustRightInd/>
              <w:spacing w:line="240" w:lineRule="auto"/>
              <w:textAlignment w:val="auto"/>
              <w:rPr>
                <w:rFonts w:hint="eastAsia" w:ascii="宋体" w:hAnsi="宋体" w:eastAsia="宋体"/>
                <w:bCs/>
                <w:kern w:val="2"/>
              </w:rPr>
            </w:pPr>
            <w:r>
              <w:rPr>
                <w:rFonts w:hint="eastAsia" w:ascii="宋体" w:hAnsi="宋体" w:eastAsia="宋体"/>
                <w:bCs/>
                <w:kern w:val="2"/>
              </w:rPr>
              <w:t>4</w:t>
            </w:r>
          </w:p>
        </w:tc>
        <w:tc>
          <w:tcPr>
            <w:tcW w:w="1192" w:type="pct"/>
            <w:vAlign w:val="center"/>
          </w:tcPr>
          <w:p w14:paraId="3319FB58">
            <w:pPr>
              <w:pStyle w:val="48"/>
              <w:widowControl w:val="0"/>
              <w:spacing w:before="0" w:beforeAutospacing="0" w:after="0" w:afterAutospacing="0" w:line="360" w:lineRule="auto"/>
              <w:rPr>
                <w:rFonts w:hint="eastAsia" w:ascii="宋体" w:hAnsi="宋体" w:eastAsia="宋体"/>
                <w:b w:val="0"/>
                <w:sz w:val="24"/>
              </w:rPr>
            </w:pPr>
            <w:r>
              <w:rPr>
                <w:rFonts w:hint="eastAsia" w:ascii="宋体" w:hAnsi="宋体" w:eastAsia="宋体"/>
                <w:b w:val="0"/>
                <w:sz w:val="24"/>
              </w:rPr>
              <w:t>免费质保期</w:t>
            </w:r>
          </w:p>
        </w:tc>
        <w:tc>
          <w:tcPr>
            <w:tcW w:w="3217" w:type="pct"/>
            <w:vAlign w:val="center"/>
          </w:tcPr>
          <w:p w14:paraId="02A64B5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sz w:val="24"/>
              </w:rPr>
            </w:pPr>
            <w:r>
              <w:rPr>
                <w:rFonts w:hint="eastAsia" w:ascii="宋体" w:hAnsi="宋体" w:eastAsia="宋体" w:cs="@仿宋_GB2312"/>
                <w:b w:val="0"/>
                <w:bCs/>
                <w:kern w:val="0"/>
                <w:sz w:val="24"/>
                <w:szCs w:val="28"/>
                <w:highlight w:val="yellow"/>
                <w:lang w:val="en-US" w:eastAsia="zh-CN" w:bidi="ar-SA"/>
              </w:rPr>
              <w:t>不少于三年</w:t>
            </w:r>
            <w:r>
              <w:rPr>
                <w:rFonts w:hint="eastAsia" w:ascii="宋体" w:hAnsi="宋体" w:eastAsia="宋体" w:cs="@仿宋_GB2312"/>
                <w:b w:val="0"/>
                <w:bCs/>
                <w:kern w:val="0"/>
                <w:sz w:val="24"/>
                <w:szCs w:val="28"/>
                <w:lang w:val="en-US" w:eastAsia="zh-CN" w:bidi="ar-SA"/>
              </w:rPr>
              <w:t xml:space="preserve">（具体以投标人承诺的期限为准）。 </w:t>
            </w:r>
          </w:p>
        </w:tc>
      </w:tr>
    </w:tbl>
    <w:p w14:paraId="61F79BC9">
      <w:pPr>
        <w:numPr>
          <w:ilvl w:val="0"/>
          <w:numId w:val="1"/>
        </w:numPr>
        <w:spacing w:line="360" w:lineRule="auto"/>
        <w:ind w:firstLine="437"/>
        <w:outlineLvl w:val="1"/>
        <w:rPr>
          <w:rFonts w:hint="eastAsia" w:ascii="宋体" w:hAnsi="宋体" w:eastAsia="宋体"/>
          <w:b/>
          <w:bCs/>
          <w:sz w:val="24"/>
          <w:szCs w:val="18"/>
          <w:lang w:val="en-US" w:eastAsia="zh-CN"/>
        </w:rPr>
      </w:pPr>
      <w:bookmarkStart w:id="38" w:name="_Toc7671"/>
      <w:bookmarkStart w:id="39" w:name="_Toc5944"/>
      <w:r>
        <w:rPr>
          <w:rFonts w:hint="eastAsia" w:ascii="宋体" w:hAnsi="宋体" w:eastAsia="宋体"/>
          <w:b/>
          <w:sz w:val="24"/>
          <w:szCs w:val="18"/>
        </w:rPr>
        <w:t>货物</w:t>
      </w:r>
      <w:r>
        <w:rPr>
          <w:rFonts w:hint="eastAsia" w:ascii="宋体" w:hAnsi="宋体" w:eastAsia="宋体"/>
          <w:b/>
          <w:bCs/>
          <w:sz w:val="24"/>
          <w:szCs w:val="18"/>
        </w:rPr>
        <w:t>需求</w:t>
      </w:r>
      <w:bookmarkEnd w:id="38"/>
      <w:bookmarkEnd w:id="39"/>
    </w:p>
    <w:p w14:paraId="2F059FB6">
      <w:pPr>
        <w:widowControl w:val="0"/>
        <w:numPr>
          <w:ilvl w:val="0"/>
          <w:numId w:val="0"/>
        </w:numPr>
        <w:spacing w:line="360" w:lineRule="auto"/>
        <w:jc w:val="both"/>
        <w:outlineLvl w:val="1"/>
        <w:rPr>
          <w:rFonts w:hint="default" w:ascii="宋体" w:hAnsi="宋体" w:eastAsia="宋体"/>
          <w:b/>
          <w:bCs/>
          <w:sz w:val="24"/>
          <w:szCs w:val="18"/>
          <w:lang w:val="en-US" w:eastAsia="zh-CN"/>
        </w:rPr>
      </w:pPr>
      <w:r>
        <w:rPr>
          <w:rFonts w:hint="eastAsia" w:ascii="宋体" w:hAnsi="宋体" w:eastAsia="宋体"/>
          <w:b/>
          <w:bCs/>
          <w:sz w:val="24"/>
          <w:szCs w:val="18"/>
          <w:lang w:val="en-US" w:eastAsia="zh-CN"/>
        </w:rPr>
        <w:t>1.标识符合</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2"/>
        <w:gridCol w:w="1536"/>
        <w:gridCol w:w="6171"/>
      </w:tblGrid>
      <w:tr w14:paraId="7A701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912" w:type="dxa"/>
            <w:vAlign w:val="center"/>
          </w:tcPr>
          <w:p w14:paraId="6E0A3B2B">
            <w:pPr>
              <w:keepNext w:val="0"/>
              <w:keepLines w:val="0"/>
              <w:widowControl/>
              <w:suppressLineNumbers w:val="0"/>
              <w:jc w:val="center"/>
              <w:rPr>
                <w:rFonts w:hint="eastAsia" w:ascii="宋体" w:hAnsi="宋体" w:eastAsia="宋体" w:cs="宋体"/>
                <w:b/>
                <w:bCs/>
                <w:sz w:val="24"/>
                <w:szCs w:val="24"/>
                <w:highlight w:val="none"/>
                <w:vertAlign w:val="baseline"/>
              </w:rPr>
            </w:pPr>
            <w:r>
              <w:rPr>
                <w:rFonts w:hint="eastAsia" w:ascii="宋体" w:hAnsi="宋体" w:eastAsia="宋体" w:cs="宋体"/>
                <w:b/>
                <w:bCs/>
                <w:sz w:val="24"/>
                <w:szCs w:val="24"/>
                <w:highlight w:val="none"/>
                <w:vertAlign w:val="baseline"/>
              </w:rPr>
              <w:t>标识重要性</w:t>
            </w:r>
          </w:p>
        </w:tc>
        <w:tc>
          <w:tcPr>
            <w:tcW w:w="1536" w:type="dxa"/>
            <w:vAlign w:val="center"/>
          </w:tcPr>
          <w:p w14:paraId="11E2F66D">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2"/>
                <w:sz w:val="24"/>
                <w:szCs w:val="24"/>
                <w:highlight w:val="none"/>
                <w:vertAlign w:val="baseline"/>
                <w:lang w:val="en-US" w:eastAsia="zh-CN" w:bidi="ar-SA"/>
              </w:rPr>
            </w:pPr>
            <w:r>
              <w:rPr>
                <w:rFonts w:hint="eastAsia" w:ascii="宋体" w:hAnsi="宋体" w:eastAsia="宋体" w:cs="宋体"/>
                <w:b/>
                <w:bCs/>
                <w:kern w:val="2"/>
                <w:sz w:val="24"/>
                <w:szCs w:val="24"/>
                <w:highlight w:val="none"/>
                <w:vertAlign w:val="baseline"/>
                <w:lang w:val="en-US" w:eastAsia="zh-CN" w:bidi="ar-SA"/>
              </w:rPr>
              <w:t>标识符号</w:t>
            </w:r>
          </w:p>
        </w:tc>
        <w:tc>
          <w:tcPr>
            <w:tcW w:w="6171" w:type="dxa"/>
            <w:vAlign w:val="center"/>
          </w:tcPr>
          <w:p w14:paraId="616F72FE">
            <w:pPr>
              <w:keepNext w:val="0"/>
              <w:keepLines w:val="0"/>
              <w:widowControl/>
              <w:suppressLineNumbers w:val="0"/>
              <w:jc w:val="center"/>
              <w:rPr>
                <w:rFonts w:hint="eastAsia" w:ascii="宋体" w:hAnsi="宋体" w:eastAsia="宋体" w:cs="宋体"/>
                <w:b/>
                <w:bCs/>
                <w:kern w:val="2"/>
                <w:sz w:val="24"/>
                <w:szCs w:val="24"/>
                <w:highlight w:val="none"/>
                <w:vertAlign w:val="baseline"/>
                <w:lang w:val="en-US" w:eastAsia="zh-CN" w:bidi="ar-SA"/>
              </w:rPr>
            </w:pPr>
            <w:r>
              <w:rPr>
                <w:rFonts w:hint="eastAsia" w:ascii="宋体" w:hAnsi="宋体" w:eastAsia="宋体" w:cs="宋体"/>
                <w:b/>
                <w:bCs/>
                <w:kern w:val="2"/>
                <w:sz w:val="24"/>
                <w:szCs w:val="24"/>
                <w:highlight w:val="none"/>
                <w:vertAlign w:val="baseline"/>
                <w:lang w:val="en-US" w:eastAsia="zh-CN" w:bidi="ar-SA"/>
              </w:rPr>
              <w:t>代表意思</w:t>
            </w:r>
          </w:p>
        </w:tc>
      </w:tr>
      <w:tr w14:paraId="6BBE5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12" w:type="dxa"/>
            <w:vAlign w:val="center"/>
          </w:tcPr>
          <w:p w14:paraId="4D8EEF3B">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关键性指标项</w:t>
            </w:r>
          </w:p>
        </w:tc>
        <w:tc>
          <w:tcPr>
            <w:tcW w:w="1536" w:type="dxa"/>
            <w:vAlign w:val="center"/>
          </w:tcPr>
          <w:p w14:paraId="25511B93">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vertAlign w:val="baseline"/>
              </w:rPr>
            </w:pPr>
            <w:r>
              <w:rPr>
                <w:rFonts w:hint="eastAsia" w:ascii="宋体" w:hAnsi="宋体" w:eastAsia="宋体" w:cs="宋体"/>
                <w:b/>
                <w:bCs/>
                <w:sz w:val="24"/>
                <w:szCs w:val="24"/>
                <w:highlight w:val="none"/>
                <w:vertAlign w:val="baseline"/>
                <w:lang w:val="en-US" w:eastAsia="zh-CN"/>
              </w:rPr>
              <w:t>★</w:t>
            </w:r>
          </w:p>
        </w:tc>
        <w:tc>
          <w:tcPr>
            <w:tcW w:w="6171" w:type="dxa"/>
            <w:vAlign w:val="center"/>
          </w:tcPr>
          <w:p w14:paraId="155D6BCA">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highlight w:val="none"/>
                <w:vertAlign w:val="baseline"/>
              </w:rPr>
            </w:pPr>
            <w:r>
              <w:rPr>
                <w:rFonts w:hint="eastAsia" w:ascii="宋体" w:hAnsi="宋体" w:eastAsia="宋体" w:cs="宋体"/>
                <w:b/>
                <w:bCs/>
                <w:sz w:val="24"/>
                <w:szCs w:val="24"/>
                <w:highlight w:val="none"/>
                <w:vertAlign w:val="baseline"/>
                <w:lang w:val="en-US" w:eastAsia="zh-CN"/>
              </w:rPr>
              <w:t>符合性审查项，负偏离或未响应，将导致投标无效。</w:t>
            </w:r>
          </w:p>
        </w:tc>
      </w:tr>
      <w:tr w14:paraId="10ED5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12" w:type="dxa"/>
            <w:vAlign w:val="center"/>
          </w:tcPr>
          <w:p w14:paraId="402200D9">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重要指标项</w:t>
            </w:r>
          </w:p>
        </w:tc>
        <w:tc>
          <w:tcPr>
            <w:tcW w:w="1536" w:type="dxa"/>
            <w:vAlign w:val="center"/>
          </w:tcPr>
          <w:p w14:paraId="3B7F29E3">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w:t>
            </w:r>
          </w:p>
        </w:tc>
        <w:tc>
          <w:tcPr>
            <w:tcW w:w="6171" w:type="dxa"/>
            <w:vAlign w:val="center"/>
          </w:tcPr>
          <w:p w14:paraId="1DCB54EC">
            <w:pPr>
              <w:keepNext w:val="0"/>
              <w:keepLines w:val="0"/>
              <w:widowControl/>
              <w:suppressLineNumbers w:val="0"/>
              <w:jc w:val="both"/>
              <w:rPr>
                <w:rFonts w:hint="eastAsia" w:ascii="宋体" w:hAnsi="宋体" w:eastAsia="宋体" w:cs="宋体"/>
                <w:b/>
                <w:bCs/>
                <w:sz w:val="24"/>
                <w:szCs w:val="24"/>
                <w:highlight w:val="none"/>
                <w:vertAlign w:val="baseline"/>
                <w:lang w:val="en-US" w:eastAsia="zh-CN"/>
              </w:rPr>
            </w:pPr>
            <w:r>
              <w:rPr>
                <w:rFonts w:hint="eastAsia" w:ascii="宋体" w:hAnsi="宋体" w:eastAsia="宋体" w:cs="宋体"/>
                <w:color w:val="000000"/>
                <w:kern w:val="0"/>
                <w:sz w:val="24"/>
                <w:szCs w:val="24"/>
                <w:highlight w:val="none"/>
                <w:lang w:val="en-US" w:eastAsia="zh-CN" w:bidi="ar"/>
              </w:rPr>
              <w:t>评分项，详见评分细则</w:t>
            </w:r>
          </w:p>
        </w:tc>
      </w:tr>
      <w:tr w14:paraId="17228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1912" w:type="dxa"/>
            <w:vAlign w:val="center"/>
          </w:tcPr>
          <w:p w14:paraId="7AF7D51E">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无标识项</w:t>
            </w:r>
          </w:p>
        </w:tc>
        <w:tc>
          <w:tcPr>
            <w:tcW w:w="1536" w:type="dxa"/>
            <w:vAlign w:val="center"/>
          </w:tcPr>
          <w:p w14:paraId="6A2398FA">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vertAlign w:val="baseline"/>
              </w:rPr>
            </w:pPr>
          </w:p>
        </w:tc>
        <w:tc>
          <w:tcPr>
            <w:tcW w:w="6171" w:type="dxa"/>
            <w:vAlign w:val="center"/>
          </w:tcPr>
          <w:p w14:paraId="3AF82C78">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highlight w:val="none"/>
                <w:vertAlign w:val="baseline"/>
              </w:rPr>
            </w:pPr>
            <w:r>
              <w:rPr>
                <w:rFonts w:hint="eastAsia" w:ascii="宋体" w:hAnsi="宋体" w:eastAsia="宋体" w:cs="宋体"/>
                <w:b/>
                <w:bCs/>
                <w:sz w:val="24"/>
                <w:szCs w:val="24"/>
                <w:highlight w:val="none"/>
                <w:vertAlign w:val="baseline"/>
                <w:lang w:val="en-US" w:eastAsia="zh-CN"/>
              </w:rPr>
              <w:t>符合性审查项，5项以上（不含5项，若需求包含子项以最小标号计项）负偏离或未响应，将导致投标无效。</w:t>
            </w:r>
          </w:p>
        </w:tc>
      </w:tr>
      <w:tr w14:paraId="0996A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9619" w:type="dxa"/>
            <w:gridSpan w:val="3"/>
            <w:vAlign w:val="center"/>
          </w:tcPr>
          <w:p w14:paraId="0D845818">
            <w:pPr>
              <w:keepNext w:val="0"/>
              <w:keepLines w:val="0"/>
              <w:pageBreakBefore w:val="0"/>
              <w:widowControl w:val="0"/>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注： </w:t>
            </w:r>
          </w:p>
          <w:p w14:paraId="5439D323">
            <w:pPr>
              <w:keepNext w:val="0"/>
              <w:keepLines w:val="0"/>
              <w:pageBreakBefore w:val="0"/>
              <w:widowControl w:val="0"/>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1.如某项标识中包含多条技术参数或要求，则该项标识所含内容均需满足或优于招标文件要求，否则不予认可。 </w:t>
            </w:r>
          </w:p>
          <w:p w14:paraId="1586DB4D">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highlight w:val="none"/>
                <w:vertAlign w:val="baseline"/>
                <w:lang w:val="en-US" w:eastAsia="zh-CN"/>
              </w:rPr>
            </w:pPr>
            <w:r>
              <w:rPr>
                <w:rFonts w:hint="eastAsia" w:ascii="宋体" w:hAnsi="宋体" w:eastAsia="宋体" w:cs="宋体"/>
                <w:kern w:val="2"/>
                <w:sz w:val="24"/>
                <w:szCs w:val="24"/>
                <w:highlight w:val="none"/>
                <w:lang w:val="en-US" w:eastAsia="zh-CN" w:bidi="ar-SA"/>
              </w:rPr>
              <w:t>2.“所属行业”栏标注为“/”的项为所投产品配套的工程或服务，无需在《中小企业声明函》中列明。</w:t>
            </w:r>
          </w:p>
        </w:tc>
      </w:tr>
    </w:tbl>
    <w:p w14:paraId="37EE66B2">
      <w:pPr>
        <w:widowControl w:val="0"/>
        <w:numPr>
          <w:ilvl w:val="0"/>
          <w:numId w:val="0"/>
        </w:numPr>
        <w:spacing w:line="360" w:lineRule="auto"/>
        <w:jc w:val="both"/>
        <w:outlineLvl w:val="1"/>
        <w:rPr>
          <w:rFonts w:hint="default" w:ascii="宋体" w:hAnsi="宋体" w:eastAsia="宋体"/>
          <w:b w:val="0"/>
          <w:bCs w:val="0"/>
          <w:sz w:val="24"/>
          <w:szCs w:val="18"/>
          <w:lang w:val="en-US" w:eastAsia="zh-CN"/>
        </w:rPr>
      </w:pPr>
      <w:r>
        <w:rPr>
          <w:rFonts w:hint="eastAsia" w:ascii="宋体" w:hAnsi="宋体" w:eastAsia="宋体"/>
          <w:b w:val="0"/>
          <w:bCs w:val="0"/>
          <w:sz w:val="24"/>
          <w:szCs w:val="18"/>
          <w:lang w:val="en-US" w:eastAsia="zh-CN"/>
        </w:rPr>
        <w:t>2.货物需求</w:t>
      </w:r>
    </w:p>
    <w:tbl>
      <w:tblPr>
        <w:tblStyle w:val="28"/>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40"/>
        <w:gridCol w:w="7431"/>
        <w:gridCol w:w="499"/>
        <w:gridCol w:w="499"/>
      </w:tblGrid>
      <w:tr w14:paraId="4D1F4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4A2BA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bookmarkStart w:id="40" w:name="_Toc4843"/>
            <w:bookmarkStart w:id="41" w:name="_Toc7421"/>
            <w:r>
              <w:rPr>
                <w:rFonts w:hint="eastAsia" w:ascii="宋体" w:hAnsi="宋体" w:eastAsia="宋体" w:cs="宋体"/>
                <w:i w:val="0"/>
                <w:iCs w:val="0"/>
                <w:color w:val="000000"/>
                <w:kern w:val="0"/>
                <w:sz w:val="24"/>
                <w:szCs w:val="24"/>
                <w:u w:val="none"/>
                <w:lang w:val="en-US" w:eastAsia="zh-CN" w:bidi="ar"/>
              </w:rPr>
              <w:t>设备名称</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E8A62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产品参数</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26619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CC1E6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r>
      <w:tr w14:paraId="7CBB5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7623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▲(显示触控)工业主机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4096B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1、工业级嵌入式主机，硬盘：1T或以上；</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DB76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B7FC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687F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8DBFE">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9691F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★2、处理器：十四代i5或以上；内存：16G或以上；</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B5299">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C3F451">
            <w:pPr>
              <w:jc w:val="center"/>
              <w:rPr>
                <w:rFonts w:hint="eastAsia" w:ascii="宋体" w:hAnsi="宋体" w:eastAsia="宋体" w:cs="宋体"/>
                <w:i w:val="0"/>
                <w:iCs w:val="0"/>
                <w:color w:val="000000"/>
                <w:sz w:val="24"/>
                <w:szCs w:val="24"/>
                <w:u w:val="none"/>
              </w:rPr>
            </w:pPr>
          </w:p>
        </w:tc>
      </w:tr>
      <w:tr w14:paraId="30E09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16A7BB">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E0D7A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3、接口：提供4个以上USB3.0以上 接口，2个COM接口，TCP/IP接口，VGA接口；</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1016B">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11FC2">
            <w:pPr>
              <w:jc w:val="center"/>
              <w:rPr>
                <w:rFonts w:hint="eastAsia" w:ascii="宋体" w:hAnsi="宋体" w:eastAsia="宋体" w:cs="宋体"/>
                <w:i w:val="0"/>
                <w:iCs w:val="0"/>
                <w:color w:val="000000"/>
                <w:sz w:val="24"/>
                <w:szCs w:val="24"/>
                <w:u w:val="none"/>
              </w:rPr>
            </w:pPr>
          </w:p>
        </w:tc>
      </w:tr>
      <w:tr w14:paraId="16FF1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E73896">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046FC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★4、支持双系统操作，可在windows或麒麟统信等国产操作系统下运行；</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8873B">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C0537">
            <w:pPr>
              <w:jc w:val="center"/>
              <w:rPr>
                <w:rFonts w:hint="eastAsia" w:ascii="宋体" w:hAnsi="宋体" w:eastAsia="宋体" w:cs="宋体"/>
                <w:i w:val="0"/>
                <w:iCs w:val="0"/>
                <w:color w:val="000000"/>
                <w:sz w:val="24"/>
                <w:szCs w:val="24"/>
                <w:u w:val="none"/>
              </w:rPr>
            </w:pPr>
          </w:p>
        </w:tc>
      </w:tr>
      <w:tr w14:paraId="55381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ECEA3F">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CB6C9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5、触控显示屏：红外触摸屏，不小于19英寸，分辨率不低于1280*1024。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08EC1">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3D5AB8">
            <w:pPr>
              <w:jc w:val="center"/>
              <w:rPr>
                <w:rFonts w:hint="eastAsia" w:ascii="宋体" w:hAnsi="宋体" w:eastAsia="宋体" w:cs="宋体"/>
                <w:i w:val="0"/>
                <w:iCs w:val="0"/>
                <w:color w:val="000000"/>
                <w:sz w:val="24"/>
                <w:szCs w:val="24"/>
                <w:u w:val="none"/>
              </w:rPr>
            </w:pPr>
          </w:p>
        </w:tc>
      </w:tr>
      <w:tr w14:paraId="675F0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B881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▲主机安全管理系统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93D67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管理中心支持实时显示客户端的状态及终端基本信息，包括客户端连接状态、服务状态；终端机器名称、客户端版本、病毒库版本、IP地址、MAC地址、操作系统版本、高危及功能漏洞、主板信息、显卡信息、内存大小和物理位置等信息，并支持终端信息导出。支持远程控制，通过管理中心实现对客户端的远程运维；支持终端防卸载、防退出功能，管理员能够统一设置防卸载密码，防止终端用户随意脱离保护。提供1个终端授权许可；</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0049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804D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D330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936E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623F0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2、具备病毒特征匹配方法、终端及计算机可读存储介质技术；</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3EECD1">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D50D1">
            <w:pPr>
              <w:jc w:val="center"/>
              <w:rPr>
                <w:rFonts w:hint="eastAsia" w:ascii="宋体" w:hAnsi="宋体" w:eastAsia="宋体" w:cs="宋体"/>
                <w:i w:val="0"/>
                <w:iCs w:val="0"/>
                <w:color w:val="000000"/>
                <w:sz w:val="24"/>
                <w:szCs w:val="24"/>
                <w:u w:val="none"/>
              </w:rPr>
            </w:pPr>
          </w:p>
        </w:tc>
      </w:tr>
      <w:tr w14:paraId="78956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8C41D">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0E196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★3、客户端安装后至多占用50M硬盘资源，日常内存占用不到20M，有效节省服务资源；（提供产品功能截图）</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57B6AD">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096F48">
            <w:pPr>
              <w:jc w:val="center"/>
              <w:rPr>
                <w:rFonts w:hint="eastAsia" w:ascii="宋体" w:hAnsi="宋体" w:eastAsia="宋体" w:cs="宋体"/>
                <w:i w:val="0"/>
                <w:iCs w:val="0"/>
                <w:color w:val="000000"/>
                <w:sz w:val="24"/>
                <w:szCs w:val="24"/>
                <w:u w:val="none"/>
              </w:rPr>
            </w:pPr>
          </w:p>
        </w:tc>
      </w:tr>
      <w:tr w14:paraId="0ACD9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C0C63">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33DEB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支持定制安全防护策略：包括病毒防御（病毒查杀、文件实时监控、恶意行为监控、U盘保护、下载保护、邮件监控）；系统防御（浏览器保护、软件安装拦截、系统加固）；网络防御（黑客入侵拦截、IP协议控制、恶意网站拦截、IP黑名单）；文档安全（文档检测、文档跟踪、USB存储）；系统监控（设备监控、进程监控、软件监控、服务监控、账号监控、外联监控）；其他设置（心跳配置、管理员配置、升级配置、白名单、补丁配置、弹窗配置）（提供产品功能截图）</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A606A">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D2663">
            <w:pPr>
              <w:jc w:val="center"/>
              <w:rPr>
                <w:rFonts w:hint="eastAsia" w:ascii="宋体" w:hAnsi="宋体" w:eastAsia="宋体" w:cs="宋体"/>
                <w:i w:val="0"/>
                <w:iCs w:val="0"/>
                <w:color w:val="000000"/>
                <w:sz w:val="24"/>
                <w:szCs w:val="24"/>
                <w:u w:val="none"/>
              </w:rPr>
            </w:pPr>
          </w:p>
        </w:tc>
      </w:tr>
      <w:tr w14:paraId="599D0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CBDAF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0210B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5、对系统关键位置进行防护，阻止无文本攻击、流氓软件、广告程序对系统的恶意篡改等行为。从系统文件保护、病毒免疫、进程保护、注册表保护、危险动作拦截、执行防护等多个维度对系统进行防护；</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1E6858">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7E385">
            <w:pPr>
              <w:jc w:val="center"/>
              <w:rPr>
                <w:rFonts w:hint="eastAsia" w:ascii="宋体" w:hAnsi="宋体" w:eastAsia="宋体" w:cs="宋体"/>
                <w:i w:val="0"/>
                <w:iCs w:val="0"/>
                <w:color w:val="000000"/>
                <w:sz w:val="24"/>
                <w:szCs w:val="24"/>
                <w:u w:val="none"/>
              </w:rPr>
            </w:pPr>
          </w:p>
        </w:tc>
      </w:tr>
      <w:tr w14:paraId="77436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DCACE">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top"/>
          </w:tcPr>
          <w:p w14:paraId="43B64295">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■6、客户端版本支持终身授权和升级、病毒库版本支持终身授权和5年免费升级。</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0FDC99">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961B98">
            <w:pPr>
              <w:jc w:val="center"/>
              <w:rPr>
                <w:rFonts w:hint="eastAsia" w:ascii="宋体" w:hAnsi="宋体" w:eastAsia="宋体" w:cs="宋体"/>
                <w:i w:val="0"/>
                <w:iCs w:val="0"/>
                <w:color w:val="000000"/>
                <w:sz w:val="24"/>
                <w:szCs w:val="24"/>
                <w:u w:val="none"/>
              </w:rPr>
            </w:pPr>
          </w:p>
        </w:tc>
      </w:tr>
      <w:tr w14:paraId="417DA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1DDB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▲分析软件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top"/>
          </w:tcPr>
          <w:p w14:paraId="25A93A01">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★1、入侵检测及报警功能：通过传感器对车辆数据进行采集、分析，将测结果在显示在显示器上。报警声级：现场检测报警声音在0.5m 处产生的最大声级应不小于140dB(A)</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EAC2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2464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8E8C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2181B">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C3892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★2、系统应具备灵敏度；系统探测时间可在 7-30s 设置；（提供公安部权威检测报告）</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6E858">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B8E81F">
            <w:pPr>
              <w:jc w:val="center"/>
              <w:rPr>
                <w:rFonts w:hint="eastAsia" w:ascii="宋体" w:hAnsi="宋体" w:eastAsia="宋体" w:cs="宋体"/>
                <w:i w:val="0"/>
                <w:iCs w:val="0"/>
                <w:color w:val="000000"/>
                <w:sz w:val="24"/>
                <w:szCs w:val="24"/>
                <w:u w:val="none"/>
              </w:rPr>
            </w:pPr>
          </w:p>
        </w:tc>
      </w:tr>
      <w:tr w14:paraId="303C0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476245">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0106C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传感器实时检测功能：当传感器连接状态出现故障，软件自动中断检测。（提供公安部下属产品质量监督检验中心出具的检测报告扫描件证明，并提供该功能的软件截图，检测报告相关内容扫描件中标后提供原件核查）</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7921B">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C6820">
            <w:pPr>
              <w:jc w:val="center"/>
              <w:rPr>
                <w:rFonts w:hint="eastAsia" w:ascii="宋体" w:hAnsi="宋体" w:eastAsia="宋体" w:cs="宋体"/>
                <w:i w:val="0"/>
                <w:iCs w:val="0"/>
                <w:color w:val="000000"/>
                <w:sz w:val="24"/>
                <w:szCs w:val="24"/>
                <w:u w:val="none"/>
              </w:rPr>
            </w:pPr>
          </w:p>
        </w:tc>
      </w:tr>
      <w:tr w14:paraId="3FA42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D29F6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top"/>
          </w:tcPr>
          <w:p w14:paraId="0B3190CF">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■4、环境分级功能：在每次检测后系统自动对环境进行分级，并在检测结果界面以数字或文字形式明确显示每次的环境等级信息。用户可以根据环境等级对检测结果进行有效判断。</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9DA41">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0ECE0">
            <w:pPr>
              <w:jc w:val="center"/>
              <w:rPr>
                <w:rFonts w:hint="eastAsia" w:ascii="宋体" w:hAnsi="宋体" w:eastAsia="宋体" w:cs="宋体"/>
                <w:i w:val="0"/>
                <w:iCs w:val="0"/>
                <w:color w:val="000000"/>
                <w:sz w:val="24"/>
                <w:szCs w:val="24"/>
                <w:u w:val="none"/>
              </w:rPr>
            </w:pPr>
          </w:p>
        </w:tc>
      </w:tr>
      <w:tr w14:paraId="1800F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CF5B10">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top"/>
          </w:tcPr>
          <w:p w14:paraId="4C64FEFC">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★5、检测结果保存功能：系统可设置自动保存或弹窗保存两种方式。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报警持续时间可在 0-300s 设置。</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43557">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6AFFCA">
            <w:pPr>
              <w:jc w:val="center"/>
              <w:rPr>
                <w:rFonts w:hint="eastAsia" w:ascii="宋体" w:hAnsi="宋体" w:eastAsia="宋体" w:cs="宋体"/>
                <w:i w:val="0"/>
                <w:iCs w:val="0"/>
                <w:color w:val="000000"/>
                <w:sz w:val="24"/>
                <w:szCs w:val="24"/>
                <w:u w:val="none"/>
              </w:rPr>
            </w:pPr>
          </w:p>
        </w:tc>
      </w:tr>
      <w:tr w14:paraId="670B4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1D64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3B654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系统检测结果准确率≥98%，误报率≤1%；系统应具有传感终端已连接状态提示功能；系统应能监测连接的车辆传感终端及地面传感终端，并能通过客户端软件实时显示所接入的传感终端的波形信号；系统具有通过web浏览器远程访问方式，远程查询记录。在web浏览访问功能中可增加设置用户及用户密码，可给不同用户设置不同权限，包括单位权限数据备份权限、用户权限、角色权限、审批权限。</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4B282">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32D8C">
            <w:pPr>
              <w:jc w:val="center"/>
              <w:rPr>
                <w:rFonts w:hint="eastAsia" w:ascii="宋体" w:hAnsi="宋体" w:eastAsia="宋体" w:cs="宋体"/>
                <w:i w:val="0"/>
                <w:iCs w:val="0"/>
                <w:color w:val="000000"/>
                <w:sz w:val="24"/>
                <w:szCs w:val="24"/>
                <w:u w:val="none"/>
              </w:rPr>
            </w:pPr>
          </w:p>
        </w:tc>
      </w:tr>
      <w:tr w14:paraId="06A70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94FAB">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29073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★7、系统具有通过远程web浏览器对多台设备根据设备类型、车牌、日期、检测结果、关键字等进行检索，可以报表方式显示。可自动进行数据库备份（按日期时间），可还原备份的数据库。</w:t>
            </w:r>
            <w:r>
              <w:rPr>
                <w:rFonts w:hint="eastAsia" w:ascii="宋体" w:hAnsi="宋体" w:eastAsia="宋体" w:cs="宋体"/>
                <w:i w:val="0"/>
                <w:iCs w:val="0"/>
                <w:color w:val="FF0000"/>
                <w:kern w:val="0"/>
                <w:sz w:val="24"/>
                <w:szCs w:val="24"/>
                <w:u w:val="none"/>
                <w:lang w:val="en-US" w:eastAsia="zh-CN" w:bidi="ar"/>
              </w:rPr>
              <w:t>（提供第三方权威机构出具的检测报告）</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A445A">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8B381">
            <w:pPr>
              <w:jc w:val="center"/>
              <w:rPr>
                <w:rFonts w:hint="eastAsia" w:ascii="宋体" w:hAnsi="宋体" w:eastAsia="宋体" w:cs="宋体"/>
                <w:i w:val="0"/>
                <w:iCs w:val="0"/>
                <w:color w:val="000000"/>
                <w:sz w:val="24"/>
                <w:szCs w:val="24"/>
                <w:u w:val="none"/>
              </w:rPr>
            </w:pPr>
          </w:p>
        </w:tc>
      </w:tr>
      <w:tr w14:paraId="0B25F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A344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51108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■8、具有抗干扰能力，当风力不超过10米/秒时或噪声声级80Db时，设备可正常工作。</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42B29D">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CB40F">
            <w:pPr>
              <w:jc w:val="center"/>
              <w:rPr>
                <w:rFonts w:hint="eastAsia" w:ascii="宋体" w:hAnsi="宋体" w:eastAsia="宋体" w:cs="宋体"/>
                <w:i w:val="0"/>
                <w:iCs w:val="0"/>
                <w:color w:val="000000"/>
                <w:sz w:val="24"/>
                <w:szCs w:val="24"/>
                <w:u w:val="none"/>
              </w:rPr>
            </w:pPr>
          </w:p>
        </w:tc>
      </w:tr>
      <w:tr w14:paraId="154B9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6A2F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C52B3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具有针对干扰的检测模式，可通过软件开启或关闭。具有雨天探测模式。生命探测仪连续进行不小于10次扫描的条件下，当车辆内有人时，应产生报警信息，不能漏报警。（提供公安部下属产品质量监督检验中心出具的检测报告扫描件证明，中标后提供原件核查）</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A04413">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305D7">
            <w:pPr>
              <w:jc w:val="center"/>
              <w:rPr>
                <w:rFonts w:hint="eastAsia" w:ascii="宋体" w:hAnsi="宋体" w:eastAsia="宋体" w:cs="宋体"/>
                <w:i w:val="0"/>
                <w:iCs w:val="0"/>
                <w:color w:val="000000"/>
                <w:sz w:val="24"/>
                <w:szCs w:val="24"/>
                <w:u w:val="none"/>
              </w:rPr>
            </w:pPr>
          </w:p>
        </w:tc>
      </w:tr>
      <w:tr w14:paraId="32DB2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A9B5C0">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5FBF4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10、设置功能：可设置服务器、网络继电器、微震参数设置，用户管理，车型设置，设备状态。</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8DF8B2">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8AC3C">
            <w:pPr>
              <w:jc w:val="center"/>
              <w:rPr>
                <w:rFonts w:hint="eastAsia" w:ascii="宋体" w:hAnsi="宋体" w:eastAsia="宋体" w:cs="宋体"/>
                <w:i w:val="0"/>
                <w:iCs w:val="0"/>
                <w:color w:val="000000"/>
                <w:sz w:val="24"/>
                <w:szCs w:val="24"/>
                <w:u w:val="none"/>
              </w:rPr>
            </w:pPr>
          </w:p>
        </w:tc>
      </w:tr>
      <w:tr w14:paraId="491DE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664126">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47A24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★11、检测结果上传功能：检测结果可上传，可设置不小于3个上传地址，上传后可通过平台进行审批。</w:t>
            </w:r>
            <w:r>
              <w:rPr>
                <w:rFonts w:hint="eastAsia" w:ascii="宋体" w:hAnsi="宋体" w:eastAsia="宋体" w:cs="宋体"/>
                <w:i w:val="0"/>
                <w:iCs w:val="0"/>
                <w:color w:val="FF0000"/>
                <w:kern w:val="0"/>
                <w:sz w:val="24"/>
                <w:szCs w:val="24"/>
                <w:u w:val="none"/>
                <w:lang w:val="en-US" w:eastAsia="zh-CN" w:bidi="ar"/>
              </w:rPr>
              <w:t>（提供第三方权威机构出具的检测报告）</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9D1962">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E0077C">
            <w:pPr>
              <w:jc w:val="center"/>
              <w:rPr>
                <w:rFonts w:hint="eastAsia" w:ascii="宋体" w:hAnsi="宋体" w:eastAsia="宋体" w:cs="宋体"/>
                <w:i w:val="0"/>
                <w:iCs w:val="0"/>
                <w:color w:val="000000"/>
                <w:sz w:val="24"/>
                <w:szCs w:val="24"/>
                <w:u w:val="none"/>
              </w:rPr>
            </w:pPr>
          </w:p>
        </w:tc>
      </w:tr>
      <w:tr w14:paraId="27DBF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3FA34">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EBDA5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■12、系统具有探测车型选择功能，可选车型应包括微型车、轻型车、中型车及重型车并支持自定义车型。</w:t>
            </w:r>
            <w:r>
              <w:rPr>
                <w:rFonts w:hint="eastAsia" w:ascii="宋体" w:hAnsi="宋体" w:eastAsia="宋体" w:cs="宋体"/>
                <w:i w:val="0"/>
                <w:iCs w:val="0"/>
                <w:color w:val="FF0000"/>
                <w:kern w:val="0"/>
                <w:sz w:val="24"/>
                <w:szCs w:val="24"/>
                <w:u w:val="none"/>
                <w:lang w:val="en-US" w:eastAsia="zh-CN" w:bidi="ar"/>
              </w:rPr>
              <w:t>（提供第三方权威机构出具的检测报告）</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7D781F">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96BCB2">
            <w:pPr>
              <w:jc w:val="center"/>
              <w:rPr>
                <w:rFonts w:hint="eastAsia" w:ascii="宋体" w:hAnsi="宋体" w:eastAsia="宋体" w:cs="宋体"/>
                <w:i w:val="0"/>
                <w:iCs w:val="0"/>
                <w:color w:val="000000"/>
                <w:sz w:val="24"/>
                <w:szCs w:val="24"/>
                <w:u w:val="none"/>
              </w:rPr>
            </w:pPr>
          </w:p>
        </w:tc>
      </w:tr>
      <w:tr w14:paraId="35AB4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10268">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CB4D3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★13、系统可通过客户端软件和自带车牌识别摄像机录入驾驶员身份信息和车辆相关信息，包括驾驶员姓名、身份证号及车牌号等，并储存于指定路径。</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CD468F">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34781">
            <w:pPr>
              <w:jc w:val="center"/>
              <w:rPr>
                <w:rFonts w:hint="eastAsia" w:ascii="宋体" w:hAnsi="宋体" w:eastAsia="宋体" w:cs="宋体"/>
                <w:i w:val="0"/>
                <w:iCs w:val="0"/>
                <w:color w:val="000000"/>
                <w:sz w:val="24"/>
                <w:szCs w:val="24"/>
                <w:u w:val="none"/>
              </w:rPr>
            </w:pPr>
          </w:p>
        </w:tc>
      </w:tr>
      <w:tr w14:paraId="28AB1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E5F99">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0891E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■14、系统应具备车辆状态提示功能，当被测车辆未熄火或未停稳时，系统软件界面应具有字样提示、语音提示或信号灯提示。</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818A40">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2B320">
            <w:pPr>
              <w:jc w:val="center"/>
              <w:rPr>
                <w:rFonts w:hint="eastAsia" w:ascii="宋体" w:hAnsi="宋体" w:eastAsia="宋体" w:cs="宋体"/>
                <w:i w:val="0"/>
                <w:iCs w:val="0"/>
                <w:color w:val="000000"/>
                <w:sz w:val="24"/>
                <w:szCs w:val="24"/>
                <w:u w:val="none"/>
              </w:rPr>
            </w:pPr>
          </w:p>
        </w:tc>
      </w:tr>
      <w:tr w14:paraId="18D19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8F4AB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490A7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★15、设备适配国产麒麟及统信操作系统（提供麒麟系统兼容性认证证书及统信系统适配认证证书复印件证明，中标后提供原件核查。）</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C909C">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2C99C">
            <w:pPr>
              <w:jc w:val="center"/>
              <w:rPr>
                <w:rFonts w:hint="eastAsia" w:ascii="宋体" w:hAnsi="宋体" w:eastAsia="宋体" w:cs="宋体"/>
                <w:i w:val="0"/>
                <w:iCs w:val="0"/>
                <w:color w:val="000000"/>
                <w:sz w:val="24"/>
                <w:szCs w:val="24"/>
                <w:u w:val="none"/>
              </w:rPr>
            </w:pPr>
          </w:p>
        </w:tc>
      </w:tr>
      <w:tr w14:paraId="6865B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A19F7">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38E54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★16、软件适配国产数据库（提供国产数据库管理系统兼容性证书）</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1E9CD">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0D7AA7">
            <w:pPr>
              <w:jc w:val="center"/>
              <w:rPr>
                <w:rFonts w:hint="eastAsia" w:ascii="宋体" w:hAnsi="宋体" w:eastAsia="宋体" w:cs="宋体"/>
                <w:i w:val="0"/>
                <w:iCs w:val="0"/>
                <w:color w:val="000000"/>
                <w:sz w:val="24"/>
                <w:szCs w:val="24"/>
                <w:u w:val="none"/>
              </w:rPr>
            </w:pPr>
          </w:p>
        </w:tc>
      </w:tr>
      <w:tr w14:paraId="0413B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0C99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▲数据处理主机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796E9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工作原理：车辆内部藏匿有人时，藏匿者的心脏会产生有节律的跳动，此震动会传递到车辆的悬挂、车厢底部等位置，通过连接传感器和被测车辆，将此震动采集并通过数据线缆传递回数据分析设备，软件进行分析。分析软件运算范围精确集中在心脏跳动的频率范围内，以这种震动分析为基础，在显示终端上可明确显示是否有人存在，并伴随声音报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15D3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3915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7A59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5646B">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863D1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2、接入传感器种类：可以接入有线传感器、无线传感器、地埋式车辆传感器。</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0895A9">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563E10">
            <w:pPr>
              <w:jc w:val="center"/>
              <w:rPr>
                <w:rFonts w:hint="eastAsia" w:ascii="宋体" w:hAnsi="宋体" w:eastAsia="宋体" w:cs="宋体"/>
                <w:i w:val="0"/>
                <w:iCs w:val="0"/>
                <w:color w:val="000000"/>
                <w:sz w:val="24"/>
                <w:szCs w:val="24"/>
                <w:u w:val="none"/>
              </w:rPr>
            </w:pPr>
          </w:p>
        </w:tc>
      </w:tr>
      <w:tr w14:paraId="00871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7B76D">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C810A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★3、耐用性：可在切换1000次或以上时，仍可正常使用。</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CB06F">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83265">
            <w:pPr>
              <w:jc w:val="center"/>
              <w:rPr>
                <w:rFonts w:hint="eastAsia" w:ascii="宋体" w:hAnsi="宋体" w:eastAsia="宋体" w:cs="宋体"/>
                <w:i w:val="0"/>
                <w:iCs w:val="0"/>
                <w:color w:val="000000"/>
                <w:sz w:val="24"/>
                <w:szCs w:val="24"/>
                <w:u w:val="none"/>
              </w:rPr>
            </w:pPr>
          </w:p>
        </w:tc>
      </w:tr>
      <w:tr w14:paraId="4A417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AE36B">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E4E2D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■4、数据处理主机具有独立的传感器接入提示，当传感器未连接时，有明确提示，便于管理人员及时判断处置。</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3E315">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7EA97D">
            <w:pPr>
              <w:jc w:val="center"/>
              <w:rPr>
                <w:rFonts w:hint="eastAsia" w:ascii="宋体" w:hAnsi="宋体" w:eastAsia="宋体" w:cs="宋体"/>
                <w:i w:val="0"/>
                <w:iCs w:val="0"/>
                <w:color w:val="000000"/>
                <w:sz w:val="24"/>
                <w:szCs w:val="24"/>
                <w:u w:val="none"/>
              </w:rPr>
            </w:pPr>
          </w:p>
        </w:tc>
      </w:tr>
      <w:tr w14:paraId="0CCB9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D701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▲地面振动传感器（有线微震传感器）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D29C9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■1、机械式震动传感器，由永久磁铁、线圈、弹簧、阻尼器和壳体组成。工作电压：12VDC；采集频率范围：0.5HZ～20HZ。有线车辆感应终端≥2 个（另有2个备用终端）；单个传感器线缆长度≥15m；采用自动回缩式电缆轴及滑环组件，具有拉伸和卡位停 顿功能，具有限位保护装置；支持通过不低于 3.5m 高度自由跌落防摔。</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856C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50A1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D031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EBEF9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42B1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■2、碾压测试：经轻型或以上货车碾压后，应无机械损伤且能正常工作。（提供公安部下属产品质量监督检验中心出具的检测报告扫描件证明，中标后提供原件核查）</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AFA0F">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65412D">
            <w:pPr>
              <w:jc w:val="center"/>
              <w:rPr>
                <w:rFonts w:hint="eastAsia" w:ascii="宋体" w:hAnsi="宋体" w:eastAsia="宋体" w:cs="宋体"/>
                <w:i w:val="0"/>
                <w:iCs w:val="0"/>
                <w:color w:val="000000"/>
                <w:sz w:val="24"/>
                <w:szCs w:val="24"/>
                <w:u w:val="none"/>
              </w:rPr>
            </w:pPr>
          </w:p>
        </w:tc>
      </w:tr>
      <w:tr w14:paraId="7491D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540BD">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87368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3、重量不大于500g。</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29515">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78ED6D">
            <w:pPr>
              <w:jc w:val="center"/>
              <w:rPr>
                <w:rFonts w:hint="eastAsia" w:ascii="宋体" w:hAnsi="宋体" w:eastAsia="宋体" w:cs="宋体"/>
                <w:i w:val="0"/>
                <w:iCs w:val="0"/>
                <w:color w:val="000000"/>
                <w:sz w:val="24"/>
                <w:szCs w:val="24"/>
                <w:u w:val="none"/>
              </w:rPr>
            </w:pPr>
          </w:p>
        </w:tc>
      </w:tr>
      <w:tr w14:paraId="0591D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C4C5F0">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6EB99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■4、可以同时接入不小于三个有线地面振动传感器。工作温度：-20（±2）℃</w:t>
            </w:r>
            <w:r>
              <w:rPr>
                <w:rStyle w:val="87"/>
                <w:rFonts w:hint="eastAsia" w:ascii="宋体" w:hAnsi="宋体" w:eastAsia="宋体" w:cs="宋体"/>
                <w:sz w:val="24"/>
                <w:szCs w:val="24"/>
                <w:lang w:val="en-US" w:eastAsia="zh-CN" w:bidi="ar"/>
              </w:rPr>
              <w:t>至60</w:t>
            </w:r>
            <w:r>
              <w:rPr>
                <w:rFonts w:hint="eastAsia" w:ascii="宋体" w:hAnsi="宋体" w:eastAsia="宋体" w:cs="宋体"/>
                <w:i w:val="0"/>
                <w:iCs w:val="0"/>
                <w:color w:val="000000"/>
                <w:kern w:val="0"/>
                <w:sz w:val="24"/>
                <w:szCs w:val="24"/>
                <w:u w:val="none"/>
                <w:lang w:val="en-US" w:eastAsia="zh-CN" w:bidi="ar"/>
              </w:rPr>
              <w:t>（±2）℃（持续工作时间不少于2小时，功能正常）（提供公安部下属产品质量监督检验中心出具的检测报告扫描件证明，中标后提供原件核查）</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F0575C">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B36EDC">
            <w:pPr>
              <w:jc w:val="center"/>
              <w:rPr>
                <w:rFonts w:hint="eastAsia" w:ascii="宋体" w:hAnsi="宋体" w:eastAsia="宋体" w:cs="宋体"/>
                <w:i w:val="0"/>
                <w:iCs w:val="0"/>
                <w:color w:val="000000"/>
                <w:sz w:val="24"/>
                <w:szCs w:val="24"/>
                <w:u w:val="none"/>
              </w:rPr>
            </w:pPr>
          </w:p>
        </w:tc>
      </w:tr>
      <w:tr w14:paraId="353F6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FF4A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▲车辆振动传感器（无线微震传感器）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D1E56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车辆振动感应器：本项目包含有线传感器≥2 个（另有2个备用传感器）、无线传感器≥2 个（另有2个备用传感器），预留地埋式传感器接口，充满电时间≤3 小时；充电方式：采用座充或者线充充电方式；支持与地面微震传感终端切换使用；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1、有线车辆振动传感器：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由永久磁铁、线圈、弹簧、阻尼器和壳体组成。1.2.工作电压：12VDC；采集频率范围：0.5HZ～20HZ。■1.3.碾压测试：经轻型或以上货车碾压后，应无机械损伤且能正常工作（提供公安部下属产品质量监督检验中心出具的检测报告扫描件证明，中标后提供原件核查），重量不大于500g(不含吸附磁铁)。■1.4.工作温度：-20（±2）℃至</w:t>
            </w:r>
            <w:r>
              <w:rPr>
                <w:rStyle w:val="87"/>
                <w:rFonts w:hint="eastAsia" w:ascii="宋体" w:hAnsi="宋体" w:eastAsia="宋体" w:cs="宋体"/>
                <w:sz w:val="24"/>
                <w:szCs w:val="24"/>
                <w:lang w:val="en-US" w:eastAsia="zh-CN" w:bidi="ar"/>
              </w:rPr>
              <w:t>60</w:t>
            </w:r>
            <w:r>
              <w:rPr>
                <w:rFonts w:hint="eastAsia" w:ascii="宋体" w:hAnsi="宋体" w:eastAsia="宋体" w:cs="宋体"/>
                <w:i w:val="0"/>
                <w:iCs w:val="0"/>
                <w:color w:val="000000"/>
                <w:kern w:val="0"/>
                <w:sz w:val="24"/>
                <w:szCs w:val="24"/>
                <w:u w:val="none"/>
                <w:lang w:val="en-US" w:eastAsia="zh-CN" w:bidi="ar"/>
              </w:rPr>
              <w:t>（±2）℃（持续工作时间不少于2小时，功能正常）（提供公安部下属产品质量监督检验中心出具的检测报告扫描件证明，中标后提供原件核查）。</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71C7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A971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44CF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5CCF3">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D7093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■2、无线车辆振动传感器：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2.1、磁铁吸附能力：无线传感器磁铁吸附能力≥20kg（提供公安部下属产品质量监督检验中心出具的检测报告扫描件证明，中标后提供原件核查）。2.2、无线车辆传感器具有防丢报警功能，报警持续时间0-180秒可分档或按秒调整（提供公安部下属产品质量监督检验中心出具的检测报告扫描件证明，并提供该功能的软件截图，检测报告相关内容扫描件中标后提供原件核查）。2.3、无线传感器具有节能模式，可通过自带按键设置节能模式，设置结果可在显示屏上显示（提供第三方权威机构出具的检测报告）。2.4、无线车辆传感器满电工作时间≥24小时，充电时间≤3小时；2.、充电可采用航空接口/磁吸/无线充电方式（无线充电线圈与传感器间距≤25mm）多种方式可选。2.6、无线车辆传感器自身具有液晶显示屏，屏幕尺寸不小于20mm*10mm，可显示信道、剩余电量、检测时间。</w:t>
            </w:r>
            <w:r>
              <w:rPr>
                <w:rFonts w:hint="eastAsia" w:ascii="宋体" w:hAnsi="宋体" w:eastAsia="宋体" w:cs="宋体"/>
                <w:i w:val="0"/>
                <w:iCs w:val="0"/>
                <w:color w:val="FF0000"/>
                <w:kern w:val="0"/>
                <w:sz w:val="24"/>
                <w:szCs w:val="24"/>
                <w:u w:val="none"/>
                <w:lang w:val="en-US" w:eastAsia="zh-CN" w:bidi="ar"/>
              </w:rPr>
              <w:t>（提供第三方权威机构出具的检测报告）</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98CA7">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9835F">
            <w:pPr>
              <w:jc w:val="center"/>
              <w:rPr>
                <w:rFonts w:hint="eastAsia" w:ascii="宋体" w:hAnsi="宋体" w:eastAsia="宋体" w:cs="宋体"/>
                <w:i w:val="0"/>
                <w:iCs w:val="0"/>
                <w:color w:val="000000"/>
                <w:sz w:val="24"/>
                <w:szCs w:val="24"/>
                <w:u w:val="none"/>
              </w:rPr>
            </w:pPr>
          </w:p>
        </w:tc>
      </w:tr>
      <w:tr w14:paraId="0362B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AECDE1">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E4ACD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★3、探测能力：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3.1.有线或无线车辆传感器在隔不小于60mm厚钢板探测时，可探测到钢板后5米以内静止生命体。3.2.有线或无线车辆传感器在车辆上放置不低于50cm厚度纸箱时，应能探测到纸箱上方人员。有线或无线车辆传感器在车辆上放置不低于50cm厚度海绵材料时，应能探测到海绵上方人员。</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B5BB7">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2DF69">
            <w:pPr>
              <w:jc w:val="center"/>
              <w:rPr>
                <w:rFonts w:hint="eastAsia" w:ascii="宋体" w:hAnsi="宋体" w:eastAsia="宋体" w:cs="宋体"/>
                <w:i w:val="0"/>
                <w:iCs w:val="0"/>
                <w:color w:val="000000"/>
                <w:sz w:val="24"/>
                <w:szCs w:val="24"/>
                <w:u w:val="none"/>
              </w:rPr>
            </w:pPr>
          </w:p>
        </w:tc>
      </w:tr>
      <w:tr w14:paraId="32BBD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9B5C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无线感应器防丢装置及程序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1968E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■1、具有防丢报警功能，可设定无线传感器丢失时间及报警持续时间。</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7C15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4B02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1044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8674D">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15F7A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2、提供不少于2个防丢报警标签。通讯频率2.4GHz。</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A304BA">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A2B52B">
            <w:pPr>
              <w:jc w:val="center"/>
              <w:rPr>
                <w:rFonts w:hint="eastAsia" w:ascii="宋体" w:hAnsi="宋体" w:eastAsia="宋体" w:cs="宋体"/>
                <w:i w:val="0"/>
                <w:iCs w:val="0"/>
                <w:color w:val="000000"/>
                <w:sz w:val="24"/>
                <w:szCs w:val="24"/>
                <w:u w:val="none"/>
              </w:rPr>
            </w:pPr>
          </w:p>
        </w:tc>
      </w:tr>
      <w:tr w14:paraId="34FD2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9FB4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▲无线传输收发装置及天线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17133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1、软件或硬件上可明确显示与无线传感器连接信号强度、连接状态及电量。</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38F3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15CB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6D20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6B4F7">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F00F6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★2、具有不低于12路通讯通道号，可通过硬件设置通讯通道号。并可对无线传感器连接数量进行配置。</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211ED">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E24145">
            <w:pPr>
              <w:jc w:val="center"/>
              <w:rPr>
                <w:rFonts w:hint="eastAsia" w:ascii="宋体" w:hAnsi="宋体" w:eastAsia="宋体" w:cs="宋体"/>
                <w:i w:val="0"/>
                <w:iCs w:val="0"/>
                <w:color w:val="000000"/>
                <w:sz w:val="24"/>
                <w:szCs w:val="24"/>
                <w:u w:val="none"/>
              </w:rPr>
            </w:pPr>
          </w:p>
        </w:tc>
      </w:tr>
      <w:tr w14:paraId="7D683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BFFDA6">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CEF54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★3、可支持连接不少于 10 个无线传感终端，支持不少于7个无线车辆传感终端充电。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FF0000"/>
                <w:kern w:val="0"/>
                <w:sz w:val="24"/>
                <w:szCs w:val="24"/>
                <w:u w:val="none"/>
                <w:lang w:val="en-US" w:eastAsia="zh-CN" w:bidi="ar"/>
              </w:rPr>
              <w:t>（提供第三方权威机构出具的检测报告）</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A70ED">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1017B">
            <w:pPr>
              <w:jc w:val="center"/>
              <w:rPr>
                <w:rFonts w:hint="eastAsia" w:ascii="宋体" w:hAnsi="宋体" w:eastAsia="宋体" w:cs="宋体"/>
                <w:i w:val="0"/>
                <w:iCs w:val="0"/>
                <w:color w:val="000000"/>
                <w:sz w:val="24"/>
                <w:szCs w:val="24"/>
                <w:u w:val="none"/>
              </w:rPr>
            </w:pPr>
          </w:p>
        </w:tc>
      </w:tr>
      <w:tr w14:paraId="1DDAF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46B12">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D997E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4、无线通讯传输距离≥100米。</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B3511">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8878D">
            <w:pPr>
              <w:jc w:val="center"/>
              <w:rPr>
                <w:rFonts w:hint="eastAsia" w:ascii="宋体" w:hAnsi="宋体" w:eastAsia="宋体" w:cs="宋体"/>
                <w:i w:val="0"/>
                <w:iCs w:val="0"/>
                <w:color w:val="000000"/>
                <w:sz w:val="24"/>
                <w:szCs w:val="24"/>
                <w:u w:val="none"/>
              </w:rPr>
            </w:pPr>
          </w:p>
        </w:tc>
      </w:tr>
      <w:tr w14:paraId="4CDDD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B043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▲数据传输部件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66766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■具有拉伸和卡位停顿功能，具有限位保护装置。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8421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9E26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8426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D930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专用连接数据电缆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730CB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1、三芯、低电压、低衰减。</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3BAC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C126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DD4B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9292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725A6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■2、接口防水防尘等级：IP65。碾压测试：经轻型或以上货车≥100次碾压后，应无机械损伤且能正常工作。工作温度：-20（±2）℃至</w:t>
            </w:r>
            <w:r>
              <w:rPr>
                <w:rStyle w:val="87"/>
                <w:rFonts w:hint="eastAsia" w:ascii="宋体" w:hAnsi="宋体" w:eastAsia="宋体" w:cs="宋体"/>
                <w:sz w:val="24"/>
                <w:szCs w:val="24"/>
                <w:lang w:val="en-US" w:eastAsia="zh-CN" w:bidi="ar"/>
              </w:rPr>
              <w:t>60</w:t>
            </w:r>
            <w:r>
              <w:rPr>
                <w:rFonts w:hint="eastAsia" w:ascii="宋体" w:hAnsi="宋体" w:eastAsia="宋体" w:cs="宋体"/>
                <w:i w:val="0"/>
                <w:iCs w:val="0"/>
                <w:color w:val="000000"/>
                <w:kern w:val="0"/>
                <w:sz w:val="24"/>
                <w:szCs w:val="24"/>
                <w:u w:val="none"/>
                <w:lang w:val="en-US" w:eastAsia="zh-CN" w:bidi="ar"/>
              </w:rPr>
              <w:t>（±2）℃（持续工作时间不少于2小时，功能正常）；</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C8919">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5DDE8">
            <w:pPr>
              <w:jc w:val="center"/>
              <w:rPr>
                <w:rFonts w:hint="eastAsia" w:ascii="宋体" w:hAnsi="宋体" w:eastAsia="宋体" w:cs="宋体"/>
                <w:i w:val="0"/>
                <w:iCs w:val="0"/>
                <w:color w:val="000000"/>
                <w:sz w:val="24"/>
                <w:szCs w:val="24"/>
                <w:u w:val="none"/>
              </w:rPr>
            </w:pPr>
          </w:p>
        </w:tc>
      </w:tr>
      <w:tr w14:paraId="510FF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7C25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46BEA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1、整机采用一体化设计，工艺美观，各功能部件衔接合理， 操作性应方便快捷，防水防晒，可于设备内部收纳所有的无线、有线传感终端，无需外置。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F67D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0918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07CE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4764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B10FE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2、安全性测试：符合GB16796-2009规定，泄露电流小于等于0.1mA；电源端与外壳裸露金属部件之间能承受45Hz-65Hz交流电抗电强度要求。</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84692">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F534E">
            <w:pPr>
              <w:jc w:val="center"/>
              <w:rPr>
                <w:rFonts w:hint="eastAsia" w:ascii="宋体" w:hAnsi="宋体" w:eastAsia="宋体" w:cs="宋体"/>
                <w:i w:val="0"/>
                <w:iCs w:val="0"/>
                <w:color w:val="000000"/>
                <w:sz w:val="24"/>
                <w:szCs w:val="24"/>
                <w:u w:val="none"/>
              </w:rPr>
            </w:pPr>
          </w:p>
        </w:tc>
      </w:tr>
      <w:tr w14:paraId="1CEED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8EDE44">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56CEF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防误智能锁配≥2.8寸触摸屏智能钥匙，钥匙可保存≥1000条开锁记录，智能钥匙带有巡检功能。（提供公安部下属产品质量监督检验中心出具的检测报告扫描件证明，并提供实物展示图片，中标后检测报告相关内容扫描件提供原件核查。）</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1E7708">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D99C6">
            <w:pPr>
              <w:jc w:val="center"/>
              <w:rPr>
                <w:rFonts w:hint="eastAsia" w:ascii="宋体" w:hAnsi="宋体" w:eastAsia="宋体" w:cs="宋体"/>
                <w:i w:val="0"/>
                <w:iCs w:val="0"/>
                <w:color w:val="000000"/>
                <w:sz w:val="24"/>
                <w:szCs w:val="24"/>
                <w:u w:val="none"/>
              </w:rPr>
            </w:pPr>
          </w:p>
        </w:tc>
      </w:tr>
      <w:tr w14:paraId="0F31F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DC470">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8E0F0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4、PDU机柜，端口防脱落无需手工上锁，防止电缆意外脱落,两路独立的液磁断路保护器,输出插座口的颜色做区分，安规及环保认证：符合China RoHS环保要求。</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07727A">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E5328">
            <w:pPr>
              <w:jc w:val="center"/>
              <w:rPr>
                <w:rFonts w:hint="eastAsia" w:ascii="宋体" w:hAnsi="宋体" w:eastAsia="宋体" w:cs="宋体"/>
                <w:i w:val="0"/>
                <w:iCs w:val="0"/>
                <w:color w:val="000000"/>
                <w:sz w:val="24"/>
                <w:szCs w:val="24"/>
                <w:u w:val="none"/>
              </w:rPr>
            </w:pPr>
          </w:p>
        </w:tc>
      </w:tr>
      <w:tr w14:paraId="1BA2A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F91F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▲联网交换机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BB972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1、千兆电口≥8个，独立千兆SFP光口≥4个；Console口≥1个；</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85CC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86CF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762C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C1F31">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D34DA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2、支持全线速转发，交换容量≥336 Gbps/3.36 Tbps，包转发率≥27Mpps/102Mpps；</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29A42">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88E8DB">
            <w:pPr>
              <w:jc w:val="center"/>
              <w:rPr>
                <w:rFonts w:hint="eastAsia" w:ascii="宋体" w:hAnsi="宋体" w:eastAsia="宋体" w:cs="宋体"/>
                <w:i w:val="0"/>
                <w:iCs w:val="0"/>
                <w:color w:val="000000"/>
                <w:sz w:val="24"/>
                <w:szCs w:val="24"/>
                <w:u w:val="none"/>
              </w:rPr>
            </w:pPr>
          </w:p>
        </w:tc>
      </w:tr>
      <w:tr w14:paraId="44626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AF8F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D0D43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3、支持交换机环路检测功能，防止端口下因私接Hub等设备形成的环路而导致网络故障的现象；</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251364">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E3822">
            <w:pPr>
              <w:jc w:val="center"/>
              <w:rPr>
                <w:rFonts w:hint="eastAsia" w:ascii="宋体" w:hAnsi="宋体" w:eastAsia="宋体" w:cs="宋体"/>
                <w:i w:val="0"/>
                <w:iCs w:val="0"/>
                <w:color w:val="000000"/>
                <w:sz w:val="24"/>
                <w:szCs w:val="24"/>
                <w:u w:val="none"/>
              </w:rPr>
            </w:pPr>
          </w:p>
        </w:tc>
      </w:tr>
      <w:tr w14:paraId="18398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1AA19">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68D39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■4、支持通过平台关闭终端不必要的端口服务，在交换机上创建东西向安全策略，实现全网安全风险拦截；（投标文件中提供工信部或第三方权威机构出具的检测报告相关内容复印件）</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FC09B9">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D6EE8">
            <w:pPr>
              <w:jc w:val="center"/>
              <w:rPr>
                <w:rFonts w:hint="eastAsia" w:ascii="宋体" w:hAnsi="宋体" w:eastAsia="宋体" w:cs="宋体"/>
                <w:i w:val="0"/>
                <w:iCs w:val="0"/>
                <w:color w:val="000000"/>
                <w:sz w:val="24"/>
                <w:szCs w:val="24"/>
                <w:u w:val="none"/>
              </w:rPr>
            </w:pPr>
          </w:p>
        </w:tc>
      </w:tr>
      <w:tr w14:paraId="06F7B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B8461A">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C3669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5、支持可视化管理，交换机端口1:1 还原面板状态， 查看交换机端口工作状态、系统资源使用情况、流量趋势等；</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3109A4">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F00FD6">
            <w:pPr>
              <w:jc w:val="center"/>
              <w:rPr>
                <w:rFonts w:hint="eastAsia" w:ascii="宋体" w:hAnsi="宋体" w:eastAsia="宋体" w:cs="宋体"/>
                <w:i w:val="0"/>
                <w:iCs w:val="0"/>
                <w:color w:val="000000"/>
                <w:sz w:val="24"/>
                <w:szCs w:val="24"/>
                <w:u w:val="none"/>
              </w:rPr>
            </w:pPr>
          </w:p>
        </w:tc>
      </w:tr>
      <w:tr w14:paraId="5CD2F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6EAE7">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0AD64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6、支持ARP防欺骗功能，能够禁止非法用户的ARP欺骗报文，保护合法用户免受其害，防止合法用户的数据被窃取；</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06FF5">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FD242">
            <w:pPr>
              <w:jc w:val="center"/>
              <w:rPr>
                <w:rFonts w:hint="eastAsia" w:ascii="宋体" w:hAnsi="宋体" w:eastAsia="宋体" w:cs="宋体"/>
                <w:i w:val="0"/>
                <w:iCs w:val="0"/>
                <w:color w:val="000000"/>
                <w:sz w:val="24"/>
                <w:szCs w:val="24"/>
                <w:u w:val="none"/>
              </w:rPr>
            </w:pPr>
          </w:p>
        </w:tc>
      </w:tr>
      <w:tr w14:paraId="3D26A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D2EC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A52D4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■7、支持交换机端口终端类型变更后，通过APP、短信告警；可以自定义交换机端口接入终端类型，及MAC黑白名单；（投标文件中提供工信部或第三方权威机构出具的检测报告相关内容复印件）</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423A39">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A0EC3">
            <w:pPr>
              <w:jc w:val="center"/>
              <w:rPr>
                <w:rFonts w:hint="eastAsia" w:ascii="宋体" w:hAnsi="宋体" w:eastAsia="宋体" w:cs="宋体"/>
                <w:i w:val="0"/>
                <w:iCs w:val="0"/>
                <w:color w:val="000000"/>
                <w:sz w:val="24"/>
                <w:szCs w:val="24"/>
                <w:u w:val="none"/>
              </w:rPr>
            </w:pPr>
          </w:p>
        </w:tc>
      </w:tr>
      <w:tr w14:paraId="3A3E6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83B43">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15094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8、支持终端可视化管理，多维度管控终端接入方式、接入终端类型，实时显示终端接入后的行为变化，可实现终端资产统计；</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09EB9D">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C017D">
            <w:pPr>
              <w:jc w:val="center"/>
              <w:rPr>
                <w:rFonts w:hint="eastAsia" w:ascii="宋体" w:hAnsi="宋体" w:eastAsia="宋体" w:cs="宋体"/>
                <w:i w:val="0"/>
                <w:iCs w:val="0"/>
                <w:color w:val="000000"/>
                <w:sz w:val="24"/>
                <w:szCs w:val="24"/>
                <w:u w:val="none"/>
              </w:rPr>
            </w:pPr>
          </w:p>
        </w:tc>
      </w:tr>
      <w:tr w14:paraId="54F30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C5FAA5">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52FF9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■9、支持通过APP进行远程管理，并且可以修改交换机网络配置；支持通过控制器平台跨广域网、NAT远程管理智能交换机；（投标文件中提供工信部或第三方权威机构出具的相关内容复印件）</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DF085">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5660D4">
            <w:pPr>
              <w:jc w:val="center"/>
              <w:rPr>
                <w:rFonts w:hint="eastAsia" w:ascii="宋体" w:hAnsi="宋体" w:eastAsia="宋体" w:cs="宋体"/>
                <w:i w:val="0"/>
                <w:iCs w:val="0"/>
                <w:color w:val="000000"/>
                <w:sz w:val="24"/>
                <w:szCs w:val="24"/>
                <w:u w:val="none"/>
              </w:rPr>
            </w:pPr>
          </w:p>
        </w:tc>
      </w:tr>
      <w:tr w14:paraId="0BFEE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0B682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9F8CE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10、支持生成树协议STP，RSTP和MSTP，完全保证快速收敛，提高容错能力，保证网络的稳定运行和链路的负载均衡，合理使用网络通道，提供冗余链路利用率。</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82DDD">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F31EE7">
            <w:pPr>
              <w:jc w:val="center"/>
              <w:rPr>
                <w:rFonts w:hint="eastAsia" w:ascii="宋体" w:hAnsi="宋体" w:eastAsia="宋体" w:cs="宋体"/>
                <w:i w:val="0"/>
                <w:iCs w:val="0"/>
                <w:color w:val="000000"/>
                <w:sz w:val="24"/>
                <w:szCs w:val="24"/>
                <w:u w:val="none"/>
              </w:rPr>
            </w:pPr>
          </w:p>
        </w:tc>
      </w:tr>
      <w:tr w14:paraId="5E86D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F1ED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▲平台软件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448CA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1、支持通过web浏览器远程访问方式，远程查询记录。★1.1、要求与现有的情报指挥平台做对接；</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24B8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98FA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507F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3FC9E">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EB83C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■2、具有审批功能：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2.1.生命探测仪设备端软件检测结果上传平台后，平台具有审批功能；2.2.生命探测仪设备端软件检测车辆完毕后可手动或自动将检测结果上传至服务平台，平台实时接收生命探测仪设备端发送的检测结果信息，并以文字+声音的方式显示到平台软件，联勤指挥中心根据该信息对车辆是否允许放行进行审批，并将审批结果发送至生命探测仪设备端，生命探测仪设备端软件以文字+声音的形式展示。2.3.查询功能：可查看生命探测仪设备检测车辆的时间、车牌、日期、检测结果、驾驶员信息、车辆图片、审批结果等。</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E58A3">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71001D">
            <w:pPr>
              <w:jc w:val="center"/>
              <w:rPr>
                <w:rFonts w:hint="eastAsia" w:ascii="宋体" w:hAnsi="宋体" w:eastAsia="宋体" w:cs="宋体"/>
                <w:i w:val="0"/>
                <w:iCs w:val="0"/>
                <w:color w:val="000000"/>
                <w:sz w:val="24"/>
                <w:szCs w:val="24"/>
                <w:u w:val="none"/>
              </w:rPr>
            </w:pPr>
          </w:p>
        </w:tc>
      </w:tr>
      <w:tr w14:paraId="4C029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5566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▲车牌识别系统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9BEC6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1、功能：支持自动识别车牌，并与设备主机和现有的情报指挥平台做对接，自动核验</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7CCC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71B6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7D32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13FAF">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32D77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2、外观：枪型；</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F5DF2">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FBBBF3">
            <w:pPr>
              <w:jc w:val="center"/>
              <w:rPr>
                <w:rFonts w:hint="eastAsia" w:ascii="宋体" w:hAnsi="宋体" w:eastAsia="宋体" w:cs="宋体"/>
                <w:i w:val="0"/>
                <w:iCs w:val="0"/>
                <w:color w:val="000000"/>
                <w:sz w:val="24"/>
                <w:szCs w:val="24"/>
                <w:u w:val="none"/>
              </w:rPr>
            </w:pPr>
          </w:p>
        </w:tc>
      </w:tr>
      <w:tr w14:paraId="5A6E3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81ED9">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A99B3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3、像素：不小于400万；</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66B457">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4FC0A">
            <w:pPr>
              <w:jc w:val="center"/>
              <w:rPr>
                <w:rFonts w:hint="eastAsia" w:ascii="宋体" w:hAnsi="宋体" w:eastAsia="宋体" w:cs="宋体"/>
                <w:i w:val="0"/>
                <w:iCs w:val="0"/>
                <w:color w:val="000000"/>
                <w:sz w:val="24"/>
                <w:szCs w:val="24"/>
                <w:u w:val="none"/>
              </w:rPr>
            </w:pPr>
          </w:p>
        </w:tc>
      </w:tr>
      <w:tr w14:paraId="23BDE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7920F">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EBD00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4、最大分辨率：不小于2688×1520；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D513E">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9ACA93">
            <w:pPr>
              <w:jc w:val="center"/>
              <w:rPr>
                <w:rFonts w:hint="eastAsia" w:ascii="宋体" w:hAnsi="宋体" w:eastAsia="宋体" w:cs="宋体"/>
                <w:i w:val="0"/>
                <w:iCs w:val="0"/>
                <w:color w:val="000000"/>
                <w:sz w:val="24"/>
                <w:szCs w:val="24"/>
                <w:u w:val="none"/>
              </w:rPr>
            </w:pPr>
          </w:p>
        </w:tc>
      </w:tr>
      <w:tr w14:paraId="40270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615E4A">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A4069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5、最低照度：0.001lux（彩色模式）；0.0001lux（黑白模式）；0lux（补光灯开启）；</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2D346">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653CD">
            <w:pPr>
              <w:jc w:val="center"/>
              <w:rPr>
                <w:rFonts w:hint="eastAsia" w:ascii="宋体" w:hAnsi="宋体" w:eastAsia="宋体" w:cs="宋体"/>
                <w:i w:val="0"/>
                <w:iCs w:val="0"/>
                <w:color w:val="000000"/>
                <w:sz w:val="24"/>
                <w:szCs w:val="24"/>
                <w:u w:val="none"/>
              </w:rPr>
            </w:pPr>
          </w:p>
        </w:tc>
      </w:tr>
      <w:tr w14:paraId="67EAA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17681">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CE215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6、网络接口：不少于1个（RJ-45网口，支持10M/100M 网络数据）；</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9F2C7">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FFB29">
            <w:pPr>
              <w:jc w:val="center"/>
              <w:rPr>
                <w:rFonts w:hint="eastAsia" w:ascii="宋体" w:hAnsi="宋体" w:eastAsia="宋体" w:cs="宋体"/>
                <w:i w:val="0"/>
                <w:iCs w:val="0"/>
                <w:color w:val="000000"/>
                <w:sz w:val="24"/>
                <w:szCs w:val="24"/>
                <w:u w:val="none"/>
              </w:rPr>
            </w:pPr>
          </w:p>
        </w:tc>
      </w:tr>
      <w:tr w14:paraId="59DF4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2E999">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0EA5A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7、工作电压：DC12V（±30%）；POE （802.3af）；</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F53FF">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7E4D9">
            <w:pPr>
              <w:jc w:val="center"/>
              <w:rPr>
                <w:rFonts w:hint="eastAsia" w:ascii="宋体" w:hAnsi="宋体" w:eastAsia="宋体" w:cs="宋体"/>
                <w:i w:val="0"/>
                <w:iCs w:val="0"/>
                <w:color w:val="000000"/>
                <w:sz w:val="24"/>
                <w:szCs w:val="24"/>
                <w:u w:val="none"/>
              </w:rPr>
            </w:pPr>
          </w:p>
        </w:tc>
      </w:tr>
      <w:tr w14:paraId="1C03A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7DF69">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9359E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8、工作温度：</w:t>
            </w:r>
            <w:r>
              <w:rPr>
                <w:rStyle w:val="88"/>
                <w:rFonts w:hint="eastAsia" w:ascii="宋体" w:hAnsi="宋体" w:eastAsia="宋体" w:cs="宋体"/>
                <w:sz w:val="24"/>
                <w:szCs w:val="24"/>
                <w:lang w:val="en-US" w:eastAsia="zh-CN" w:bidi="ar"/>
              </w:rPr>
              <w:t>-20（±2）℃至60（±2）℃（持续工作时间不少于2小时，功能正常）</w:t>
            </w:r>
            <w:r>
              <w:rPr>
                <w:rStyle w:val="89"/>
                <w:rFonts w:hint="eastAsia" w:ascii="宋体" w:hAnsi="宋体" w:eastAsia="宋体" w:cs="宋体"/>
                <w:sz w:val="24"/>
                <w:szCs w:val="24"/>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85F78">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17B9B9">
            <w:pPr>
              <w:jc w:val="center"/>
              <w:rPr>
                <w:rFonts w:hint="eastAsia" w:ascii="宋体" w:hAnsi="宋体" w:eastAsia="宋体" w:cs="宋体"/>
                <w:i w:val="0"/>
                <w:iCs w:val="0"/>
                <w:color w:val="000000"/>
                <w:sz w:val="24"/>
                <w:szCs w:val="24"/>
                <w:u w:val="none"/>
              </w:rPr>
            </w:pPr>
          </w:p>
        </w:tc>
      </w:tr>
      <w:tr w14:paraId="25682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AEE1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▲身份证识别系统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64E98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1、功能：支持读取公民身份证，并与设备主机和现有的情报指挥平台做对接，自动核验</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A8BB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4B95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BC44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FE0D5">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22899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2、CPU:十四代i5或以上，存储器:不小于64KB Flash，20KB RAM；</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730BE7">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A8BA71">
            <w:pPr>
              <w:jc w:val="center"/>
              <w:rPr>
                <w:rFonts w:hint="eastAsia" w:ascii="宋体" w:hAnsi="宋体" w:eastAsia="宋体" w:cs="宋体"/>
                <w:i w:val="0"/>
                <w:iCs w:val="0"/>
                <w:color w:val="000000"/>
                <w:sz w:val="24"/>
                <w:szCs w:val="24"/>
                <w:u w:val="none"/>
              </w:rPr>
            </w:pPr>
          </w:p>
        </w:tc>
      </w:tr>
      <w:tr w14:paraId="5CCAB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BB926">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26DDD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3、支持USB2.0 、USB3.0、USB3.1、USB3.2、USB4.0，支持免驱动安装;可定制RS232串口，内置公安部授权的居民身份证安全控制模块(SAM)；</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C7796">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5B06F">
            <w:pPr>
              <w:jc w:val="center"/>
              <w:rPr>
                <w:rFonts w:hint="eastAsia" w:ascii="宋体" w:hAnsi="宋体" w:eastAsia="宋体" w:cs="宋体"/>
                <w:i w:val="0"/>
                <w:iCs w:val="0"/>
                <w:color w:val="000000"/>
                <w:sz w:val="24"/>
                <w:szCs w:val="24"/>
                <w:u w:val="none"/>
              </w:rPr>
            </w:pPr>
          </w:p>
        </w:tc>
      </w:tr>
      <w:tr w14:paraId="17D0A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201E7">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012D0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4、读卡距离 0～5cm</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12671E">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CB283">
            <w:pPr>
              <w:jc w:val="center"/>
              <w:rPr>
                <w:rFonts w:hint="eastAsia" w:ascii="宋体" w:hAnsi="宋体" w:eastAsia="宋体" w:cs="宋体"/>
                <w:i w:val="0"/>
                <w:iCs w:val="0"/>
                <w:color w:val="000000"/>
                <w:sz w:val="24"/>
                <w:szCs w:val="24"/>
                <w:u w:val="none"/>
              </w:rPr>
            </w:pPr>
          </w:p>
        </w:tc>
      </w:tr>
      <w:tr w14:paraId="7ABD9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96813">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D33B3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5、阅读时间 ≤1秒</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D58301">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DFA38">
            <w:pPr>
              <w:jc w:val="center"/>
              <w:rPr>
                <w:rFonts w:hint="eastAsia" w:ascii="宋体" w:hAnsi="宋体" w:eastAsia="宋体" w:cs="宋体"/>
                <w:i w:val="0"/>
                <w:iCs w:val="0"/>
                <w:color w:val="000000"/>
                <w:sz w:val="24"/>
                <w:szCs w:val="24"/>
                <w:u w:val="none"/>
              </w:rPr>
            </w:pPr>
          </w:p>
        </w:tc>
      </w:tr>
      <w:tr w14:paraId="1371C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4121E">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ED3E5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6、DC5V，USB接口供电，或外置电源适配器供电，功耗&lt;1.5W；</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0DF50C">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5C605">
            <w:pPr>
              <w:jc w:val="center"/>
              <w:rPr>
                <w:rFonts w:hint="eastAsia" w:ascii="宋体" w:hAnsi="宋体" w:eastAsia="宋体" w:cs="宋体"/>
                <w:i w:val="0"/>
                <w:iCs w:val="0"/>
                <w:color w:val="000000"/>
                <w:sz w:val="24"/>
                <w:szCs w:val="24"/>
                <w:u w:val="none"/>
              </w:rPr>
            </w:pPr>
          </w:p>
        </w:tc>
      </w:tr>
      <w:tr w14:paraId="5A87D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A9BB7">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3ED65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7、工作温度:</w:t>
            </w:r>
            <w:r>
              <w:rPr>
                <w:rFonts w:hint="eastAsia" w:ascii="宋体" w:hAnsi="宋体" w:eastAsia="宋体" w:cs="宋体"/>
                <w:i w:val="0"/>
                <w:iCs w:val="0"/>
                <w:color w:val="FF0000"/>
                <w:kern w:val="0"/>
                <w:sz w:val="24"/>
                <w:szCs w:val="24"/>
                <w:u w:val="none"/>
                <w:lang w:val="en-US" w:eastAsia="zh-CN" w:bidi="ar"/>
              </w:rPr>
              <w:t>-20（±2）℃至60（±2）℃（持续工作时间不少于2小时，功能正常）</w:t>
            </w:r>
            <w:r>
              <w:rPr>
                <w:rFonts w:hint="eastAsia" w:ascii="宋体" w:hAnsi="宋体" w:eastAsia="宋体" w:cs="宋体"/>
                <w:i w:val="0"/>
                <w:iCs w:val="0"/>
                <w:color w:val="000000"/>
                <w:kern w:val="0"/>
                <w:sz w:val="24"/>
                <w:szCs w:val="24"/>
                <w:u w:val="none"/>
                <w:lang w:val="en-US" w:eastAsia="zh-CN" w:bidi="ar"/>
              </w:rPr>
              <w:t>，大气压力:86～106kpa，相对湿度:10%～95% 环境噪声:不大于60dB(A)。</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73B2A">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4B6A93">
            <w:pPr>
              <w:jc w:val="center"/>
              <w:rPr>
                <w:rFonts w:hint="eastAsia" w:ascii="宋体" w:hAnsi="宋体" w:eastAsia="宋体" w:cs="宋体"/>
                <w:i w:val="0"/>
                <w:iCs w:val="0"/>
                <w:color w:val="000000"/>
                <w:sz w:val="24"/>
                <w:szCs w:val="24"/>
                <w:u w:val="none"/>
              </w:rPr>
            </w:pPr>
          </w:p>
        </w:tc>
      </w:tr>
      <w:tr w14:paraId="6CC8B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7A2C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辅材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089683">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产品安装实施所需配套线缆等。（需注明规格和单价）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0D923C">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ACC937">
            <w:pPr>
              <w:jc w:val="center"/>
              <w:rPr>
                <w:rFonts w:hint="eastAsia" w:ascii="宋体" w:hAnsi="宋体" w:eastAsia="宋体" w:cs="宋体"/>
                <w:i w:val="0"/>
                <w:iCs w:val="0"/>
                <w:color w:val="000000"/>
                <w:sz w:val="24"/>
                <w:szCs w:val="24"/>
                <w:u w:val="none"/>
              </w:rPr>
            </w:pPr>
          </w:p>
        </w:tc>
      </w:tr>
      <w:tr w14:paraId="191B3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DEF42">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65805C">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产品安装实施所需配套管材等。（需注明规格和单价）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97FB1F">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2DAEC9">
            <w:pPr>
              <w:rPr>
                <w:rFonts w:hint="eastAsia" w:ascii="宋体" w:hAnsi="宋体" w:eastAsia="宋体" w:cs="宋体"/>
                <w:i w:val="0"/>
                <w:iCs w:val="0"/>
                <w:color w:val="000000"/>
                <w:sz w:val="24"/>
                <w:szCs w:val="24"/>
                <w:u w:val="none"/>
              </w:rPr>
            </w:pPr>
          </w:p>
        </w:tc>
      </w:tr>
      <w:tr w14:paraId="3C693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AC729B">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BB1236">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产品安装实施所需配套各类接插件等。（需注明规格和单价）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79B3F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FE8A38">
            <w:pPr>
              <w:rPr>
                <w:rFonts w:hint="eastAsia" w:ascii="宋体" w:hAnsi="宋体" w:eastAsia="宋体" w:cs="宋体"/>
                <w:i w:val="0"/>
                <w:iCs w:val="0"/>
                <w:color w:val="000000"/>
                <w:sz w:val="24"/>
                <w:szCs w:val="24"/>
                <w:u w:val="none"/>
              </w:rPr>
            </w:pPr>
          </w:p>
        </w:tc>
      </w:tr>
      <w:tr w14:paraId="4FCF6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1B50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bottom"/>
          </w:tcPr>
          <w:p w14:paraId="6B92605A">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DB1116">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E74430">
            <w:pPr>
              <w:rPr>
                <w:rFonts w:hint="eastAsia" w:ascii="宋体" w:hAnsi="宋体" w:eastAsia="宋体" w:cs="宋体"/>
                <w:i w:val="0"/>
                <w:iCs w:val="0"/>
                <w:color w:val="000000"/>
                <w:sz w:val="24"/>
                <w:szCs w:val="24"/>
                <w:u w:val="none"/>
              </w:rPr>
            </w:pPr>
          </w:p>
        </w:tc>
      </w:tr>
    </w:tbl>
    <w:p w14:paraId="3520F8FA">
      <w:pPr>
        <w:spacing w:line="360" w:lineRule="auto"/>
        <w:ind w:firstLine="437"/>
        <w:outlineLvl w:val="1"/>
        <w:rPr>
          <w:rFonts w:hint="eastAsia" w:ascii="宋体" w:hAnsi="宋体" w:eastAsia="宋体" w:cs="宋体"/>
          <w:b/>
          <w:bCs/>
          <w:color w:val="0000FF"/>
          <w:sz w:val="22"/>
          <w:szCs w:val="22"/>
          <w:highlight w:val="none"/>
          <w:lang w:val="en-US" w:eastAsia="zh-CN"/>
        </w:rPr>
      </w:pPr>
      <w:r>
        <w:rPr>
          <w:rFonts w:hint="eastAsia" w:ascii="宋体" w:hAnsi="宋体" w:eastAsia="宋体" w:cs="宋体"/>
          <w:b/>
          <w:bCs/>
          <w:color w:val="0000FF"/>
          <w:sz w:val="22"/>
          <w:szCs w:val="22"/>
          <w:highlight w:val="none"/>
          <w:lang w:val="en-US" w:eastAsia="zh-CN"/>
        </w:rPr>
        <w:t>特别提醒：如经查实，中标人对于所投货物的技术指标存在虚假应标，则一律取消取消中标资格，并按《合肥市公共资源交易市场竞争主体不良行为管理办法》等相关法律法规进行处理。（按要求在投标文件中提供投标人出具的承诺函，格式自拟。）</w:t>
      </w:r>
    </w:p>
    <w:p w14:paraId="507E0400">
      <w:pPr>
        <w:spacing w:line="360" w:lineRule="auto"/>
        <w:ind w:firstLine="437"/>
        <w:outlineLvl w:val="1"/>
        <w:rPr>
          <w:rFonts w:hint="eastAsia" w:ascii="宋体" w:hAnsi="宋体" w:eastAsia="宋体"/>
          <w:b/>
          <w:bCs/>
          <w:sz w:val="24"/>
          <w:szCs w:val="18"/>
        </w:rPr>
      </w:pPr>
      <w:r>
        <w:rPr>
          <w:rFonts w:hint="eastAsia" w:ascii="宋体" w:hAnsi="宋体" w:eastAsia="宋体"/>
          <w:b/>
          <w:bCs/>
          <w:sz w:val="24"/>
          <w:szCs w:val="18"/>
        </w:rPr>
        <w:t>三、报价要求</w:t>
      </w:r>
      <w:bookmarkEnd w:id="40"/>
      <w:bookmarkEnd w:id="41"/>
    </w:p>
    <w:p w14:paraId="3543B087">
      <w:pPr>
        <w:spacing w:line="360" w:lineRule="auto"/>
        <w:ind w:firstLine="480" w:firstLineChars="200"/>
        <w:rPr>
          <w:rFonts w:hint="eastAsia" w:ascii="宋体" w:hAnsi="宋体" w:eastAsia="宋体" w:cs="宋体"/>
          <w:sz w:val="24"/>
          <w:szCs w:val="24"/>
        </w:rPr>
      </w:pPr>
      <w:bookmarkStart w:id="42" w:name="_Toc15293"/>
      <w:bookmarkStart w:id="43" w:name="_Toc14698"/>
      <w:r>
        <w:rPr>
          <w:rFonts w:hint="eastAsia" w:ascii="宋体" w:hAnsi="宋体" w:eastAsia="宋体" w:cs="宋体"/>
          <w:sz w:val="24"/>
          <w:szCs w:val="24"/>
        </w:rPr>
        <w:t>投标报价文件中的单价和总价全部采用人民币表示</w:t>
      </w:r>
      <w:r>
        <w:rPr>
          <w:rFonts w:hint="eastAsia" w:ascii="宋体" w:hAnsi="宋体" w:eastAsia="宋体" w:cs="宋体"/>
          <w:sz w:val="24"/>
          <w:szCs w:val="24"/>
          <w:highlight w:val="yellow"/>
          <w:lang w:eastAsia="zh-CN"/>
        </w:rPr>
        <w:t>（</w:t>
      </w:r>
      <w:r>
        <w:rPr>
          <w:rFonts w:hint="eastAsia" w:ascii="宋体" w:hAnsi="宋体" w:eastAsia="宋体" w:cs="宋体"/>
          <w:sz w:val="24"/>
          <w:szCs w:val="24"/>
          <w:highlight w:val="yellow"/>
          <w:lang w:val="en-US" w:eastAsia="zh-CN"/>
        </w:rPr>
        <w:t>投标人报价应按现行国家规定的增值税率</w:t>
      </w:r>
      <w:r>
        <w:rPr>
          <w:rFonts w:hint="eastAsia" w:ascii="宋体" w:hAnsi="宋体" w:eastAsia="宋体" w:cs="宋体"/>
          <w:sz w:val="24"/>
          <w:szCs w:val="24"/>
          <w:highlight w:val="yellow"/>
          <w:u w:val="single"/>
          <w:lang w:val="en-US" w:eastAsia="zh-CN"/>
        </w:rPr>
        <w:t>13</w:t>
      </w:r>
      <w:r>
        <w:rPr>
          <w:rFonts w:hint="eastAsia" w:ascii="宋体" w:hAnsi="宋体" w:eastAsia="宋体" w:cs="宋体"/>
          <w:sz w:val="24"/>
          <w:szCs w:val="24"/>
          <w:highlight w:val="yellow"/>
          <w:u w:val="single"/>
        </w:rPr>
        <w:t xml:space="preserve"> </w:t>
      </w:r>
      <w:r>
        <w:rPr>
          <w:rFonts w:hint="eastAsia" w:ascii="宋体" w:hAnsi="宋体" w:eastAsia="宋体" w:cs="宋体"/>
          <w:sz w:val="24"/>
          <w:szCs w:val="24"/>
          <w:highlight w:val="yellow"/>
        </w:rPr>
        <w:t>%</w:t>
      </w:r>
      <w:r>
        <w:rPr>
          <w:rFonts w:hint="eastAsia" w:ascii="宋体" w:hAnsi="宋体" w:eastAsia="宋体" w:cs="宋体"/>
          <w:sz w:val="24"/>
          <w:szCs w:val="24"/>
          <w:highlight w:val="yellow"/>
          <w:lang w:val="en-US" w:eastAsia="zh-CN"/>
        </w:rPr>
        <w:t>计价；在合同执行过程中，如国家对增值税税率进行调整，则按新税率调整中标价格</w:t>
      </w:r>
      <w:r>
        <w:rPr>
          <w:rFonts w:hint="eastAsia" w:ascii="宋体" w:hAnsi="宋体" w:eastAsia="宋体" w:cs="宋体"/>
          <w:sz w:val="24"/>
          <w:szCs w:val="24"/>
          <w:highlight w:val="yellow"/>
          <w:lang w:eastAsia="zh-CN"/>
        </w:rPr>
        <w:t>）</w:t>
      </w:r>
      <w:r>
        <w:rPr>
          <w:rFonts w:hint="eastAsia" w:ascii="宋体" w:hAnsi="宋体" w:eastAsia="宋体" w:cs="宋体"/>
          <w:sz w:val="24"/>
          <w:szCs w:val="24"/>
        </w:rPr>
        <w:t>。投标人的报价应含有货物（服务）、</w:t>
      </w:r>
      <w:r>
        <w:rPr>
          <w:rFonts w:hint="eastAsia" w:ascii="宋体" w:hAnsi="宋体" w:eastAsia="宋体"/>
          <w:bCs/>
          <w:sz w:val="24"/>
          <w:szCs w:val="18"/>
          <w:lang w:val="en-US" w:eastAsia="zh-CN"/>
        </w:rPr>
        <w:t>安装、运输劳务、</w:t>
      </w:r>
      <w:r>
        <w:rPr>
          <w:rFonts w:hint="eastAsia" w:ascii="宋体" w:hAnsi="宋体" w:eastAsia="宋体" w:cs="宋体"/>
          <w:sz w:val="24"/>
          <w:szCs w:val="24"/>
        </w:rPr>
        <w:t>利润、税金、政策性文件规定及合同包含的所有风险、责任、义务等，即为完成招标文件要求的货物（服务）内容所包含的一切应有费用，中标价格今后将不作任何调整，采购人后期不再追加费用，投标</w:t>
      </w:r>
      <w:r>
        <w:rPr>
          <w:rFonts w:hint="eastAsia" w:ascii="宋体" w:hAnsi="宋体" w:eastAsia="宋体" w:cs="宋体"/>
          <w:sz w:val="24"/>
          <w:szCs w:val="24"/>
          <w:lang w:val="en-US" w:eastAsia="zh-CN"/>
        </w:rPr>
        <w:t>人</w:t>
      </w:r>
      <w:r>
        <w:rPr>
          <w:rFonts w:hint="eastAsia" w:ascii="宋体" w:hAnsi="宋体" w:eastAsia="宋体" w:cs="宋体"/>
          <w:sz w:val="24"/>
          <w:szCs w:val="24"/>
        </w:rPr>
        <w:t>自行考虑投标风险。</w:t>
      </w:r>
    </w:p>
    <w:p w14:paraId="243FB7A1">
      <w:pPr>
        <w:spacing w:line="360" w:lineRule="auto"/>
        <w:ind w:firstLine="437"/>
        <w:outlineLvl w:val="1"/>
        <w:rPr>
          <w:rFonts w:hint="eastAsia" w:ascii="宋体" w:hAnsi="宋体" w:eastAsia="宋体"/>
          <w:b/>
          <w:bCs/>
          <w:sz w:val="24"/>
          <w:szCs w:val="18"/>
        </w:rPr>
      </w:pPr>
      <w:r>
        <w:rPr>
          <w:rFonts w:hint="eastAsia" w:ascii="宋体" w:hAnsi="宋体" w:eastAsia="宋体"/>
          <w:b/>
          <w:bCs/>
          <w:sz w:val="24"/>
          <w:szCs w:val="18"/>
        </w:rPr>
        <w:t>四、其他要求</w:t>
      </w:r>
      <w:bookmarkEnd w:id="42"/>
      <w:bookmarkEnd w:id="43"/>
    </w:p>
    <w:p w14:paraId="0009C4DE">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bookmarkStart w:id="44" w:name="_Toc6897"/>
      <w:bookmarkStart w:id="45" w:name="_Toc10710"/>
      <w:r>
        <w:rPr>
          <w:rFonts w:hint="eastAsia" w:ascii="宋体" w:hAnsi="宋体" w:eastAsia="宋体"/>
          <w:b w:val="0"/>
          <w:bCs w:val="0"/>
          <w:sz w:val="24"/>
          <w:szCs w:val="18"/>
        </w:rPr>
        <w:t>（一）货物的生产、安装、维修、检验、验收等按照以下原则执行：有国家标准的执行国家标准；无国家标准的执行行业标准；无行业标准的执行地方标准；无地方标准的执行企业标准。</w:t>
      </w:r>
    </w:p>
    <w:p w14:paraId="21B7C2B5">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二）如果在技术参数或配置中标明了品牌或产地，则仅供参考，并非指定，但投标人提供的货物必须满足主要技术参数及配置要求，投标人可以选用替代的方案，但这种替代整体上要优于或相当于招标文件的相关要求。</w:t>
      </w:r>
    </w:p>
    <w:p w14:paraId="6B26E3CF">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三）供货时所有货物（包括零部件）须为全新的、未使用过的原装正品，并完全符合国家质量标准，提供厂家出具的合格证书、有国家强制性认证要求的产品须提供相应证书，货物的技术参数及配置情况必须由投标人提供国家相关检测机构出具的检验报告、生产厂家公开发布的印刷资料等技术资料予以支持。没有技术资料支持的技术参数及配置不能视为响应。 (厂家出具的合格证书供货时提供)</w:t>
      </w:r>
    </w:p>
    <w:p w14:paraId="4629CDD5">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（四）技术支持</w:t>
      </w:r>
    </w:p>
    <w:p w14:paraId="2E6B432A">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1.中标人应向采购人提供全方位、及时而有效的技术支持和服务。</w:t>
      </w:r>
    </w:p>
    <w:p w14:paraId="4FA56A51">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2.中标人负责供货、安装、调试。</w:t>
      </w:r>
    </w:p>
    <w:p w14:paraId="431DA1BD">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3.中标人负责将货物的全部有关技术文件（外文应提供中文翻译资料，下同）、施工图纸、资料、测试、验收报告等汇集成册交付采购人，涉及进口的产品或部件配件软件等须提供中国海关进口货物报关单、完税证明及商检证明等材料。</w:t>
      </w:r>
    </w:p>
    <w:p w14:paraId="126BA5D8">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（五）质保及售后服务：</w:t>
      </w:r>
    </w:p>
    <w:p w14:paraId="3FB7262A">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1.中标人须提供</w:t>
      </w:r>
      <w:r>
        <w:rPr>
          <w:rFonts w:hint="eastAsia" w:ascii="宋体" w:hAnsi="宋体" w:eastAsia="宋体"/>
          <w:b w:val="0"/>
          <w:bCs w:val="0"/>
          <w:sz w:val="24"/>
          <w:szCs w:val="18"/>
          <w:highlight w:val="yellow"/>
        </w:rPr>
        <w:t>至少</w:t>
      </w:r>
      <w:r>
        <w:rPr>
          <w:rFonts w:hint="eastAsia" w:ascii="宋体" w:hAnsi="宋体" w:eastAsia="宋体"/>
          <w:b w:val="0"/>
          <w:bCs w:val="0"/>
          <w:sz w:val="24"/>
          <w:szCs w:val="18"/>
          <w:highlight w:val="yellow"/>
          <w:lang w:val="en-US" w:eastAsia="zh-CN"/>
        </w:rPr>
        <w:t>三</w:t>
      </w:r>
      <w:r>
        <w:rPr>
          <w:rFonts w:hint="eastAsia" w:ascii="宋体" w:hAnsi="宋体" w:eastAsia="宋体"/>
          <w:b w:val="0"/>
          <w:bCs w:val="0"/>
          <w:sz w:val="24"/>
          <w:szCs w:val="18"/>
          <w:highlight w:val="yellow"/>
        </w:rPr>
        <w:t>年的免费质保服务</w:t>
      </w:r>
      <w:r>
        <w:rPr>
          <w:rFonts w:hint="eastAsia" w:ascii="宋体" w:hAnsi="宋体" w:eastAsia="宋体"/>
          <w:b w:val="0"/>
          <w:bCs w:val="0"/>
          <w:sz w:val="24"/>
          <w:szCs w:val="18"/>
        </w:rPr>
        <w:t>，所有质保费用均已包含在投标报价中，质保期满后，应提供优先的有偿售后服务及按不高于投标文件中主要配件、易损件清单所报价格供应原厂零配件等。软件终身免费升级服务。</w:t>
      </w:r>
    </w:p>
    <w:p w14:paraId="55599DFC">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2.中标人须设有维修服务电话，负责解答用户在货物使用中遇到的问题，及时提出解决问题的建议和操作方法。</w:t>
      </w:r>
    </w:p>
    <w:p w14:paraId="6B1F3920">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3.售后服务响应时间：如货物出现故障，电话响应无法解决，中标人必须2小时以内</w:t>
      </w:r>
      <w:r>
        <w:rPr>
          <w:rFonts w:hint="eastAsia" w:ascii="宋体" w:hAnsi="宋体" w:eastAsia="宋体"/>
          <w:b w:val="0"/>
          <w:bCs w:val="0"/>
          <w:sz w:val="24"/>
          <w:szCs w:val="18"/>
          <w:lang w:val="en-US" w:eastAsia="zh-CN"/>
        </w:rPr>
        <w:t>响应。</w:t>
      </w:r>
      <w:r>
        <w:rPr>
          <w:rFonts w:hint="eastAsia" w:ascii="宋体" w:hAnsi="宋体" w:eastAsia="宋体"/>
          <w:b w:val="0"/>
          <w:bCs w:val="0"/>
          <w:sz w:val="24"/>
          <w:szCs w:val="18"/>
        </w:rPr>
        <w:t>报修后故障修复时间：3个工作日，超过此时间需提供备用机</w:t>
      </w:r>
      <w:r>
        <w:rPr>
          <w:rFonts w:hint="eastAsia" w:ascii="宋体" w:hAnsi="宋体" w:eastAsia="宋体"/>
          <w:b w:val="0"/>
          <w:bCs w:val="0"/>
          <w:sz w:val="24"/>
          <w:szCs w:val="18"/>
          <w:lang w:eastAsia="zh-CN"/>
        </w:rPr>
        <w:t>。</w:t>
      </w:r>
      <w:r>
        <w:rPr>
          <w:rFonts w:hint="eastAsia" w:ascii="宋体" w:hAnsi="宋体" w:eastAsia="宋体"/>
          <w:b w:val="0"/>
          <w:bCs w:val="0"/>
          <w:sz w:val="24"/>
          <w:szCs w:val="18"/>
        </w:rPr>
        <w:t>维保期内每年至少巡检2次。</w:t>
      </w:r>
    </w:p>
    <w:p w14:paraId="47D6D483">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（六）培训：中标人负责为采购人操作人员提供操作及维护培训，直至其能熟练独立操作及日常维护与保养，简单故障诊断与排除。</w:t>
      </w:r>
    </w:p>
    <w:p w14:paraId="2C66C568">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w:t>
      </w:r>
      <w:r>
        <w:rPr>
          <w:rFonts w:hint="eastAsia" w:ascii="宋体" w:hAnsi="宋体" w:eastAsia="宋体"/>
          <w:b w:val="0"/>
          <w:bCs w:val="0"/>
          <w:sz w:val="24"/>
          <w:szCs w:val="18"/>
          <w:lang w:val="en-US" w:eastAsia="zh-CN"/>
        </w:rPr>
        <w:t>八</w:t>
      </w:r>
      <w:r>
        <w:rPr>
          <w:rFonts w:hint="eastAsia" w:ascii="宋体" w:hAnsi="宋体" w:eastAsia="宋体"/>
          <w:b w:val="0"/>
          <w:bCs w:val="0"/>
          <w:sz w:val="24"/>
          <w:szCs w:val="18"/>
        </w:rPr>
        <w:t>）验收：</w:t>
      </w:r>
    </w:p>
    <w:p w14:paraId="5708EA14">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1.采购人和相关部门按照国家规定标准验收，没有国家标准的按行业标准验收，无行业标准的按地方或企业标准验收，中标人予以配合。涉及安全、消防、环保等其他需要由质检或行业主管部门验收的项目，采购人须约请相关部门和专家参加项目验收。</w:t>
      </w:r>
    </w:p>
    <w:p w14:paraId="1653E930">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sz w:val="24"/>
          <w:szCs w:val="18"/>
        </w:rPr>
      </w:pPr>
      <w:r>
        <w:rPr>
          <w:rFonts w:hint="eastAsia" w:ascii="宋体" w:hAnsi="宋体" w:eastAsia="宋体"/>
          <w:b w:val="0"/>
          <w:bCs w:val="0"/>
          <w:sz w:val="24"/>
          <w:szCs w:val="18"/>
        </w:rPr>
        <w:t>2.货物在验收时，投标人应提供发票、制造厂家出具的产品合格证书</w:t>
      </w:r>
      <w:r>
        <w:rPr>
          <w:rFonts w:hint="eastAsia" w:ascii="宋体" w:hAnsi="宋体" w:eastAsia="宋体"/>
          <w:b w:val="0"/>
          <w:bCs w:val="0"/>
          <w:sz w:val="24"/>
          <w:szCs w:val="18"/>
          <w:highlight w:val="none"/>
        </w:rPr>
        <w:t>、</w:t>
      </w:r>
      <w:r>
        <w:rPr>
          <w:rFonts w:hint="eastAsia" w:ascii="宋体" w:hAnsi="宋体" w:eastAsia="宋体"/>
          <w:b w:val="0"/>
          <w:bCs w:val="0"/>
          <w:sz w:val="24"/>
          <w:szCs w:val="18"/>
          <w:highlight w:val="none"/>
          <w:lang w:val="en-US" w:eastAsia="zh-CN"/>
        </w:rPr>
        <w:t>检测报告、</w:t>
      </w:r>
      <w:r>
        <w:rPr>
          <w:rFonts w:hint="eastAsia" w:ascii="宋体" w:hAnsi="宋体" w:eastAsia="宋体"/>
          <w:b w:val="0"/>
          <w:bCs w:val="0"/>
          <w:sz w:val="24"/>
          <w:szCs w:val="18"/>
          <w:highlight w:val="none"/>
        </w:rPr>
        <w:t>装</w:t>
      </w:r>
      <w:r>
        <w:rPr>
          <w:rFonts w:hint="eastAsia" w:ascii="宋体" w:hAnsi="宋体" w:eastAsia="宋体"/>
          <w:b w:val="0"/>
          <w:bCs w:val="0"/>
          <w:sz w:val="24"/>
          <w:szCs w:val="18"/>
        </w:rPr>
        <w:t>箱清单等, 涉及进口的产品、部件、配件等须提供中国海关进口货物报关单、完税证明及商检证明等材料；提供有关货物的操作规程和使用说明书，维护手册、保养修理所需的各种随机工具及相关设计、制造、检验、安装、技术性指导等文件和应由投标人提供的必要文件。</w:t>
      </w:r>
    </w:p>
    <w:bookmarkEnd w:id="44"/>
    <w:bookmarkEnd w:id="45"/>
    <w:p w14:paraId="1C5E5539">
      <w:pPr>
        <w:keepNext w:val="0"/>
        <w:keepLines w:val="0"/>
        <w:pageBreakBefore w:val="0"/>
        <w:widowControl w:val="0"/>
        <w:kinsoku/>
        <w:wordWrap/>
        <w:overflowPunct/>
        <w:topLinePunct w:val="0"/>
        <w:autoSpaceDE/>
        <w:autoSpaceDN/>
        <w:bidi w:val="0"/>
        <w:adjustRightInd/>
        <w:snapToGrid/>
        <w:spacing w:line="360" w:lineRule="auto"/>
        <w:ind w:firstLine="437"/>
        <w:jc w:val="center"/>
        <w:textAlignment w:val="auto"/>
        <w:outlineLvl w:val="9"/>
        <w:rPr>
          <w:rFonts w:hint="eastAsia" w:ascii="宋体" w:hAnsi="宋体" w:eastAsia="宋体"/>
          <w:b/>
          <w:bCs/>
          <w:sz w:val="24"/>
          <w:szCs w:val="18"/>
        </w:rPr>
      </w:pPr>
      <w:r>
        <w:rPr>
          <w:rFonts w:asciiTheme="minorEastAsia" w:hAnsiTheme="minorEastAsia" w:eastAsiaTheme="minorEastAsia"/>
          <w:sz w:val="24"/>
        </w:rPr>
        <w:br w:type="page"/>
      </w:r>
    </w:p>
    <w:p w14:paraId="01B298A3">
      <w:pPr>
        <w:spacing w:line="360" w:lineRule="auto"/>
        <w:jc w:val="center"/>
        <w:outlineLvl w:val="0"/>
        <w:rPr>
          <w:rFonts w:hint="eastAsia" w:asciiTheme="minorEastAsia" w:hAnsiTheme="minorEastAsia" w:eastAsiaTheme="minorEastAsia"/>
          <w:b/>
          <w:sz w:val="28"/>
        </w:rPr>
      </w:pPr>
      <w:bookmarkStart w:id="46" w:name="_Toc16417"/>
      <w:r>
        <w:rPr>
          <w:rFonts w:hint="eastAsia" w:asciiTheme="minorEastAsia" w:hAnsiTheme="minorEastAsia" w:eastAsiaTheme="minorEastAsia"/>
          <w:b/>
          <w:sz w:val="28"/>
        </w:rPr>
        <w:t>第四章  评标方法和标准（综合评分法）</w:t>
      </w:r>
      <w:bookmarkEnd w:id="46"/>
    </w:p>
    <w:p w14:paraId="0E4FD9BE">
      <w:pPr>
        <w:spacing w:line="360" w:lineRule="auto"/>
        <w:ind w:firstLine="437"/>
        <w:outlineLvl w:val="1"/>
        <w:rPr>
          <w:rFonts w:hint="eastAsia" w:asciiTheme="minorEastAsia" w:hAnsiTheme="minorEastAsia" w:eastAsiaTheme="minorEastAsia"/>
          <w:b/>
          <w:sz w:val="24"/>
        </w:rPr>
      </w:pPr>
      <w:bookmarkStart w:id="47" w:name="_Toc1246"/>
      <w:bookmarkStart w:id="48" w:name="_Toc11823"/>
      <w:r>
        <w:rPr>
          <w:rFonts w:hint="eastAsia" w:asciiTheme="minorEastAsia" w:hAnsiTheme="minorEastAsia" w:eastAsiaTheme="minorEastAsia"/>
          <w:b/>
          <w:sz w:val="24"/>
        </w:rPr>
        <w:t>一、总则</w:t>
      </w:r>
      <w:bookmarkEnd w:id="47"/>
      <w:bookmarkEnd w:id="48"/>
    </w:p>
    <w:p w14:paraId="36FC9DBE">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本项目将按照招标文件第二章 投标人须知的相关要求</w:t>
      </w:r>
      <w:r>
        <w:rPr>
          <w:rFonts w:asciiTheme="minorEastAsia" w:hAnsiTheme="minorEastAsia" w:eastAsiaTheme="minorEastAsia"/>
          <w:sz w:val="24"/>
        </w:rPr>
        <w:t>及本章的规定评标。</w:t>
      </w:r>
    </w:p>
    <w:p w14:paraId="16D01A57">
      <w:pPr>
        <w:spacing w:line="360" w:lineRule="auto"/>
        <w:ind w:firstLine="437"/>
        <w:outlineLvl w:val="1"/>
        <w:rPr>
          <w:rFonts w:hint="eastAsia" w:asciiTheme="minorEastAsia" w:hAnsiTheme="minorEastAsia" w:eastAsiaTheme="minorEastAsia"/>
          <w:b/>
          <w:sz w:val="24"/>
        </w:rPr>
      </w:pPr>
      <w:bookmarkStart w:id="49" w:name="_Toc13117"/>
      <w:bookmarkStart w:id="50" w:name="_Toc31871"/>
      <w:r>
        <w:rPr>
          <w:rFonts w:hint="eastAsia" w:asciiTheme="minorEastAsia" w:hAnsiTheme="minorEastAsia" w:eastAsiaTheme="minorEastAsia"/>
          <w:b/>
          <w:sz w:val="24"/>
        </w:rPr>
        <w:t>二、评标方法</w:t>
      </w:r>
      <w:bookmarkEnd w:id="49"/>
      <w:bookmarkEnd w:id="50"/>
    </w:p>
    <w:p w14:paraId="0A6F10F3">
      <w:pPr>
        <w:spacing w:line="360" w:lineRule="auto"/>
        <w:ind w:firstLine="437"/>
        <w:outlineLvl w:val="2"/>
        <w:rPr>
          <w:rFonts w:hint="eastAsia" w:asciiTheme="minorEastAsia" w:hAnsiTheme="minorEastAsia" w:eastAsiaTheme="minorEastAsia"/>
          <w:sz w:val="24"/>
        </w:rPr>
      </w:pPr>
      <w:r>
        <w:rPr>
          <w:rFonts w:hint="eastAsia" w:asciiTheme="minorEastAsia" w:hAnsiTheme="minorEastAsia" w:eastAsiaTheme="minorEastAsia"/>
          <w:sz w:val="24"/>
        </w:rPr>
        <w:t>2.1资格审查</w:t>
      </w:r>
    </w:p>
    <w:tbl>
      <w:tblPr>
        <w:tblStyle w:val="28"/>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1929"/>
        <w:gridCol w:w="5331"/>
        <w:gridCol w:w="2209"/>
      </w:tblGrid>
      <w:tr w14:paraId="262E7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14:paraId="0BC34B38">
            <w:pPr>
              <w:adjustRightInd w:val="0"/>
              <w:snapToGrid w:val="0"/>
              <w:spacing w:line="360" w:lineRule="auto"/>
              <w:ind w:right="-10"/>
              <w:jc w:val="center"/>
              <w:rPr>
                <w:rFonts w:hint="eastAsia" w:ascii="宋体" w:hAnsi="宋体" w:eastAsia="宋体"/>
                <w:sz w:val="22"/>
                <w:szCs w:val="18"/>
              </w:rPr>
            </w:pPr>
            <w:r>
              <w:rPr>
                <w:rFonts w:hint="eastAsia" w:ascii="宋体" w:hAnsi="宋体" w:eastAsia="宋体"/>
                <w:b/>
                <w:sz w:val="22"/>
                <w:szCs w:val="21"/>
              </w:rPr>
              <w:t>资格审查表</w:t>
            </w:r>
          </w:p>
        </w:tc>
      </w:tr>
      <w:tr w14:paraId="4C5DC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 w:type="pct"/>
            <w:tcBorders>
              <w:bottom w:val="single" w:color="auto" w:sz="4" w:space="0"/>
            </w:tcBorders>
            <w:vAlign w:val="center"/>
          </w:tcPr>
          <w:p w14:paraId="2E619C56">
            <w:pPr>
              <w:adjustRightInd w:val="0"/>
              <w:snapToGrid w:val="0"/>
              <w:spacing w:line="360" w:lineRule="auto"/>
              <w:ind w:right="-10"/>
              <w:jc w:val="center"/>
              <w:rPr>
                <w:rFonts w:hint="eastAsia" w:ascii="宋体" w:hAnsi="宋体" w:eastAsia="宋体"/>
                <w:sz w:val="22"/>
                <w:szCs w:val="18"/>
              </w:rPr>
            </w:pPr>
            <w:r>
              <w:rPr>
                <w:rFonts w:hint="eastAsia" w:ascii="宋体" w:hAnsi="宋体" w:eastAsia="宋体"/>
                <w:sz w:val="22"/>
                <w:szCs w:val="18"/>
              </w:rPr>
              <w:t>序号</w:t>
            </w:r>
          </w:p>
        </w:tc>
        <w:tc>
          <w:tcPr>
            <w:tcW w:w="942" w:type="pct"/>
            <w:tcBorders>
              <w:bottom w:val="single" w:color="auto" w:sz="4" w:space="0"/>
            </w:tcBorders>
            <w:vAlign w:val="center"/>
          </w:tcPr>
          <w:p w14:paraId="2B0CD83D">
            <w:pPr>
              <w:pStyle w:val="49"/>
              <w:pBdr>
                <w:bottom w:val="none" w:color="auto" w:sz="0" w:space="0"/>
              </w:pBdr>
              <w:tabs>
                <w:tab w:val="clear" w:pos="4153"/>
                <w:tab w:val="clear" w:pos="8306"/>
              </w:tabs>
              <w:snapToGrid w:val="0"/>
              <w:spacing w:line="360" w:lineRule="auto"/>
              <w:ind w:right="-10"/>
              <w:textAlignment w:val="auto"/>
              <w:rPr>
                <w:rFonts w:hint="eastAsia" w:ascii="宋体" w:hAnsi="宋体" w:eastAsia="宋体"/>
                <w:kern w:val="2"/>
                <w:sz w:val="22"/>
                <w:szCs w:val="22"/>
              </w:rPr>
            </w:pPr>
            <w:r>
              <w:rPr>
                <w:rFonts w:hint="eastAsia" w:ascii="宋体" w:hAnsi="宋体" w:eastAsia="宋体"/>
                <w:kern w:val="2"/>
                <w:sz w:val="22"/>
                <w:szCs w:val="22"/>
              </w:rPr>
              <w:t>审查因素</w:t>
            </w:r>
          </w:p>
        </w:tc>
        <w:tc>
          <w:tcPr>
            <w:tcW w:w="2603" w:type="pct"/>
            <w:tcBorders>
              <w:bottom w:val="single" w:color="auto" w:sz="4" w:space="0"/>
            </w:tcBorders>
            <w:vAlign w:val="center"/>
          </w:tcPr>
          <w:p w14:paraId="4E9F7128">
            <w:pPr>
              <w:adjustRightInd w:val="0"/>
              <w:snapToGrid w:val="0"/>
              <w:spacing w:line="360" w:lineRule="auto"/>
              <w:ind w:right="-10"/>
              <w:jc w:val="center"/>
              <w:rPr>
                <w:rFonts w:hint="eastAsia" w:ascii="宋体" w:hAnsi="宋体" w:eastAsia="宋体"/>
                <w:sz w:val="22"/>
                <w:szCs w:val="18"/>
              </w:rPr>
            </w:pPr>
            <w:r>
              <w:rPr>
                <w:rFonts w:hint="eastAsia" w:ascii="宋体" w:hAnsi="宋体" w:eastAsia="宋体"/>
                <w:sz w:val="22"/>
                <w:szCs w:val="18"/>
              </w:rPr>
              <w:t>审查内容</w:t>
            </w:r>
          </w:p>
        </w:tc>
        <w:tc>
          <w:tcPr>
            <w:tcW w:w="1076" w:type="pct"/>
            <w:tcBorders>
              <w:bottom w:val="single" w:color="auto" w:sz="4" w:space="0"/>
            </w:tcBorders>
            <w:vAlign w:val="center"/>
          </w:tcPr>
          <w:p w14:paraId="16C1A5E2">
            <w:pPr>
              <w:adjustRightInd w:val="0"/>
              <w:snapToGrid w:val="0"/>
              <w:spacing w:line="360" w:lineRule="auto"/>
              <w:ind w:right="-10"/>
              <w:jc w:val="center"/>
              <w:rPr>
                <w:rFonts w:hint="eastAsia" w:ascii="宋体" w:hAnsi="宋体" w:eastAsia="宋体"/>
                <w:sz w:val="22"/>
                <w:szCs w:val="18"/>
              </w:rPr>
            </w:pPr>
            <w:r>
              <w:rPr>
                <w:rFonts w:hint="eastAsia" w:ascii="宋体" w:hAnsi="宋体" w:eastAsia="宋体"/>
                <w:sz w:val="22"/>
                <w:szCs w:val="18"/>
              </w:rPr>
              <w:t>格式要求</w:t>
            </w:r>
          </w:p>
        </w:tc>
      </w:tr>
      <w:tr w14:paraId="7D9C1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77" w:type="pct"/>
            <w:tcBorders>
              <w:bottom w:val="single" w:color="auto" w:sz="4" w:space="0"/>
            </w:tcBorders>
            <w:vAlign w:val="center"/>
          </w:tcPr>
          <w:p w14:paraId="57AB854A">
            <w:pPr>
              <w:adjustRightInd w:val="0"/>
              <w:snapToGrid w:val="0"/>
              <w:spacing w:line="360" w:lineRule="auto"/>
              <w:ind w:right="-10"/>
              <w:jc w:val="center"/>
              <w:rPr>
                <w:rFonts w:hint="eastAsia" w:ascii="宋体" w:hAnsi="宋体" w:eastAsia="宋体"/>
                <w:sz w:val="22"/>
                <w:szCs w:val="18"/>
              </w:rPr>
            </w:pPr>
            <w:r>
              <w:rPr>
                <w:rFonts w:hint="eastAsia" w:ascii="宋体" w:hAnsi="宋体" w:eastAsia="宋体"/>
                <w:sz w:val="22"/>
                <w:szCs w:val="18"/>
              </w:rPr>
              <w:t>1</w:t>
            </w:r>
          </w:p>
        </w:tc>
        <w:tc>
          <w:tcPr>
            <w:tcW w:w="942" w:type="pct"/>
            <w:tcBorders>
              <w:bottom w:val="single" w:color="auto" w:sz="4" w:space="0"/>
            </w:tcBorders>
            <w:vAlign w:val="center"/>
          </w:tcPr>
          <w:p w14:paraId="1426EA4E">
            <w:pPr>
              <w:spacing w:after="50" w:line="360" w:lineRule="auto"/>
              <w:ind w:right="-10"/>
              <w:jc w:val="center"/>
              <w:rPr>
                <w:rFonts w:hint="eastAsia" w:ascii="宋体" w:hAnsi="宋体" w:eastAsia="宋体"/>
                <w:sz w:val="22"/>
                <w:szCs w:val="24"/>
              </w:rPr>
            </w:pPr>
            <w:r>
              <w:rPr>
                <w:rFonts w:ascii="宋体" w:hAnsi="宋体" w:eastAsia="宋体" w:cs="宋体"/>
                <w:spacing w:val="9"/>
                <w:sz w:val="22"/>
                <w:szCs w:val="22"/>
              </w:rPr>
              <w:t>营业执照</w:t>
            </w:r>
          </w:p>
        </w:tc>
        <w:tc>
          <w:tcPr>
            <w:tcW w:w="2603" w:type="pct"/>
            <w:tcBorders>
              <w:bottom w:val="single" w:color="auto" w:sz="4" w:space="0"/>
            </w:tcBorders>
            <w:vAlign w:val="center"/>
          </w:tcPr>
          <w:p w14:paraId="298C7773">
            <w:pPr>
              <w:spacing w:after="50" w:line="360" w:lineRule="auto"/>
              <w:ind w:right="-10"/>
              <w:jc w:val="left"/>
              <w:rPr>
                <w:rFonts w:hint="eastAsia" w:ascii="宋体" w:hAnsi="宋体" w:eastAsia="宋体" w:cs="宋体"/>
                <w:sz w:val="22"/>
                <w:szCs w:val="22"/>
              </w:rPr>
            </w:pPr>
            <w:r>
              <w:rPr>
                <w:rFonts w:hint="eastAsia" w:ascii="宋体" w:hAnsi="宋体" w:eastAsia="宋体" w:cs="宋体"/>
                <w:sz w:val="22"/>
                <w:szCs w:val="22"/>
              </w:rPr>
              <w:t>（1）</w:t>
            </w:r>
            <w:r>
              <w:rPr>
                <w:rFonts w:ascii="宋体" w:hAnsi="宋体" w:eastAsia="宋体" w:cs="宋体"/>
                <w:sz w:val="22"/>
                <w:szCs w:val="22"/>
              </w:rPr>
              <w:t>投标人为企业（包括合伙企业）的，应</w:t>
            </w:r>
            <w:r>
              <w:rPr>
                <w:rFonts w:hint="eastAsia" w:ascii="宋体" w:hAnsi="宋体" w:eastAsia="宋体" w:cs="宋体"/>
                <w:sz w:val="22"/>
                <w:szCs w:val="22"/>
              </w:rPr>
              <w:t>提</w:t>
            </w:r>
            <w:r>
              <w:rPr>
                <w:rFonts w:ascii="宋体" w:hAnsi="宋体" w:eastAsia="宋体" w:cs="宋体"/>
                <w:sz w:val="22"/>
                <w:szCs w:val="22"/>
              </w:rPr>
              <w:t>供有效的营业执照；</w:t>
            </w:r>
          </w:p>
          <w:p w14:paraId="0E69A706">
            <w:pPr>
              <w:spacing w:after="50" w:line="360" w:lineRule="auto"/>
              <w:ind w:right="-10"/>
              <w:jc w:val="left"/>
              <w:rPr>
                <w:rFonts w:hint="eastAsia" w:ascii="宋体" w:hAnsi="宋体" w:eastAsia="宋体" w:cs="宋体"/>
                <w:sz w:val="22"/>
                <w:szCs w:val="22"/>
              </w:rPr>
            </w:pPr>
            <w:r>
              <w:rPr>
                <w:rFonts w:hint="eastAsia" w:ascii="宋体" w:hAnsi="宋体" w:eastAsia="宋体" w:cs="宋体"/>
                <w:sz w:val="22"/>
                <w:szCs w:val="22"/>
              </w:rPr>
              <w:t>（2）</w:t>
            </w:r>
            <w:r>
              <w:rPr>
                <w:rFonts w:ascii="宋体" w:hAnsi="宋体" w:eastAsia="宋体" w:cs="宋体"/>
                <w:sz w:val="22"/>
                <w:szCs w:val="22"/>
              </w:rPr>
              <w:t>投标人为事业单位的，应</w:t>
            </w:r>
            <w:r>
              <w:rPr>
                <w:rFonts w:hint="eastAsia" w:ascii="宋体" w:hAnsi="宋体" w:eastAsia="宋体" w:cs="宋体"/>
                <w:sz w:val="22"/>
                <w:szCs w:val="22"/>
              </w:rPr>
              <w:t>提</w:t>
            </w:r>
            <w:r>
              <w:rPr>
                <w:rFonts w:ascii="宋体" w:hAnsi="宋体" w:eastAsia="宋体" w:cs="宋体"/>
                <w:sz w:val="22"/>
                <w:szCs w:val="22"/>
              </w:rPr>
              <w:t>供有效的事业单位法人证书；</w:t>
            </w:r>
          </w:p>
          <w:p w14:paraId="6FDEC919">
            <w:pPr>
              <w:spacing w:after="50" w:line="360" w:lineRule="auto"/>
              <w:ind w:right="-10"/>
              <w:jc w:val="left"/>
              <w:rPr>
                <w:rFonts w:hint="eastAsia" w:ascii="宋体" w:hAnsi="宋体" w:eastAsia="宋体" w:cs="宋体"/>
                <w:sz w:val="22"/>
                <w:szCs w:val="22"/>
              </w:rPr>
            </w:pPr>
            <w:r>
              <w:rPr>
                <w:rFonts w:hint="eastAsia" w:ascii="宋体" w:hAnsi="宋体" w:eastAsia="宋体" w:cs="宋体"/>
                <w:sz w:val="22"/>
                <w:szCs w:val="22"/>
              </w:rPr>
              <w:t>（3）</w:t>
            </w:r>
            <w:r>
              <w:rPr>
                <w:rFonts w:ascii="宋体" w:hAnsi="宋体" w:eastAsia="宋体" w:cs="宋体"/>
                <w:sz w:val="22"/>
                <w:szCs w:val="22"/>
              </w:rPr>
              <w:t>投标人是非企业机构的，应</w:t>
            </w:r>
            <w:r>
              <w:rPr>
                <w:rFonts w:hint="eastAsia" w:ascii="宋体" w:hAnsi="宋体" w:eastAsia="宋体" w:cs="宋体"/>
                <w:sz w:val="22"/>
                <w:szCs w:val="22"/>
              </w:rPr>
              <w:t>提</w:t>
            </w:r>
            <w:r>
              <w:rPr>
                <w:rFonts w:ascii="宋体" w:hAnsi="宋体" w:eastAsia="宋体" w:cs="宋体"/>
                <w:sz w:val="22"/>
                <w:szCs w:val="22"/>
              </w:rPr>
              <w:t>供有效的执业许可证</w:t>
            </w:r>
            <w:r>
              <w:rPr>
                <w:rFonts w:hint="eastAsia" w:ascii="宋体" w:hAnsi="宋体" w:eastAsia="宋体" w:cs="宋体"/>
                <w:sz w:val="22"/>
                <w:szCs w:val="22"/>
              </w:rPr>
              <w:t>或</w:t>
            </w:r>
            <w:r>
              <w:rPr>
                <w:rFonts w:ascii="宋体" w:hAnsi="宋体" w:eastAsia="宋体" w:cs="宋体"/>
                <w:sz w:val="22"/>
                <w:szCs w:val="22"/>
              </w:rPr>
              <w:t>登记证书等证明文件；</w:t>
            </w:r>
          </w:p>
          <w:p w14:paraId="35E42EC1">
            <w:pPr>
              <w:spacing w:after="50" w:line="360" w:lineRule="auto"/>
              <w:ind w:right="-10"/>
              <w:jc w:val="left"/>
              <w:rPr>
                <w:rFonts w:hint="eastAsia" w:ascii="宋体" w:hAnsi="宋体" w:eastAsia="宋体" w:cs="宋体"/>
                <w:sz w:val="22"/>
                <w:szCs w:val="22"/>
              </w:rPr>
            </w:pPr>
            <w:r>
              <w:rPr>
                <w:rFonts w:hint="eastAsia" w:ascii="宋体" w:hAnsi="宋体" w:eastAsia="宋体" w:cs="宋体"/>
                <w:sz w:val="22"/>
                <w:szCs w:val="22"/>
              </w:rPr>
              <w:t>（4）</w:t>
            </w:r>
            <w:r>
              <w:rPr>
                <w:rFonts w:ascii="宋体" w:hAnsi="宋体" w:eastAsia="宋体" w:cs="宋体"/>
                <w:sz w:val="22"/>
                <w:szCs w:val="22"/>
              </w:rPr>
              <w:t>投标人是个体工商户的，应</w:t>
            </w:r>
            <w:r>
              <w:rPr>
                <w:rFonts w:hint="eastAsia" w:ascii="宋体" w:hAnsi="宋体" w:eastAsia="宋体" w:cs="宋体"/>
                <w:sz w:val="22"/>
                <w:szCs w:val="22"/>
              </w:rPr>
              <w:t>提</w:t>
            </w:r>
            <w:r>
              <w:rPr>
                <w:rFonts w:ascii="宋体" w:hAnsi="宋体" w:eastAsia="宋体" w:cs="宋体"/>
                <w:sz w:val="22"/>
                <w:szCs w:val="22"/>
              </w:rPr>
              <w:t>供有效的个体工商户营业执照；</w:t>
            </w:r>
          </w:p>
          <w:p w14:paraId="6EABC655">
            <w:pPr>
              <w:spacing w:after="50" w:line="360" w:lineRule="auto"/>
              <w:ind w:right="-10"/>
              <w:jc w:val="left"/>
              <w:rPr>
                <w:rFonts w:hint="eastAsia" w:ascii="宋体" w:hAnsi="宋体" w:eastAsia="宋体"/>
                <w:sz w:val="22"/>
                <w:szCs w:val="24"/>
              </w:rPr>
            </w:pPr>
            <w:r>
              <w:rPr>
                <w:rFonts w:hint="eastAsia" w:ascii="宋体" w:hAnsi="宋体" w:eastAsia="宋体" w:cs="宋体"/>
                <w:sz w:val="22"/>
                <w:szCs w:val="22"/>
              </w:rPr>
              <w:t>（5）</w:t>
            </w:r>
            <w:r>
              <w:rPr>
                <w:rFonts w:ascii="宋体" w:hAnsi="宋体" w:eastAsia="宋体" w:cs="宋体"/>
                <w:sz w:val="22"/>
                <w:szCs w:val="22"/>
              </w:rPr>
              <w:t>投标人是自然人的，应</w:t>
            </w:r>
            <w:r>
              <w:rPr>
                <w:rFonts w:hint="eastAsia" w:ascii="宋体" w:hAnsi="宋体" w:eastAsia="宋体" w:cs="宋体"/>
                <w:sz w:val="22"/>
                <w:szCs w:val="22"/>
              </w:rPr>
              <w:t>提</w:t>
            </w:r>
            <w:r>
              <w:rPr>
                <w:rFonts w:ascii="宋体" w:hAnsi="宋体" w:eastAsia="宋体" w:cs="宋体"/>
                <w:sz w:val="22"/>
                <w:szCs w:val="22"/>
              </w:rPr>
              <w:t>供有效的自然人身份证明。</w:t>
            </w:r>
          </w:p>
        </w:tc>
        <w:tc>
          <w:tcPr>
            <w:tcW w:w="1076" w:type="pct"/>
            <w:vAlign w:val="center"/>
          </w:tcPr>
          <w:p w14:paraId="17094702">
            <w:pPr>
              <w:spacing w:line="360" w:lineRule="auto"/>
              <w:jc w:val="left"/>
              <w:rPr>
                <w:rFonts w:hint="eastAsia" w:ascii="宋体" w:hAnsi="宋体" w:eastAsia="宋体"/>
                <w:sz w:val="22"/>
                <w:szCs w:val="18"/>
              </w:rPr>
            </w:pPr>
            <w:r>
              <w:rPr>
                <w:rFonts w:hint="eastAsia" w:ascii="宋体" w:hAnsi="宋体" w:eastAsia="宋体" w:cs="宋体"/>
                <w:sz w:val="22"/>
                <w:szCs w:val="22"/>
              </w:rPr>
              <w:t>提供材料扫描件或电子证照，应完整的体现出材料或电子证照全部内容。联合体投标的联合体各方均须提供。</w:t>
            </w:r>
          </w:p>
        </w:tc>
      </w:tr>
      <w:tr w14:paraId="6CC38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77" w:type="pct"/>
            <w:tcBorders>
              <w:bottom w:val="single" w:color="auto" w:sz="4" w:space="0"/>
            </w:tcBorders>
            <w:vAlign w:val="center"/>
          </w:tcPr>
          <w:p w14:paraId="50175AD0">
            <w:pPr>
              <w:adjustRightInd w:val="0"/>
              <w:snapToGrid w:val="0"/>
              <w:spacing w:line="360" w:lineRule="auto"/>
              <w:ind w:right="-10"/>
              <w:jc w:val="center"/>
              <w:rPr>
                <w:rFonts w:hint="eastAsia" w:ascii="宋体" w:hAnsi="宋体" w:eastAsia="宋体"/>
                <w:sz w:val="22"/>
                <w:szCs w:val="18"/>
              </w:rPr>
            </w:pPr>
            <w:r>
              <w:rPr>
                <w:rFonts w:hint="eastAsia" w:ascii="宋体" w:hAnsi="宋体" w:eastAsia="宋体"/>
                <w:sz w:val="22"/>
                <w:szCs w:val="18"/>
              </w:rPr>
              <w:t>2</w:t>
            </w:r>
          </w:p>
        </w:tc>
        <w:tc>
          <w:tcPr>
            <w:tcW w:w="942" w:type="pct"/>
            <w:tcBorders>
              <w:bottom w:val="single" w:color="auto" w:sz="4" w:space="0"/>
            </w:tcBorders>
            <w:vAlign w:val="center"/>
          </w:tcPr>
          <w:p w14:paraId="21791BFA">
            <w:pPr>
              <w:spacing w:after="50" w:line="360" w:lineRule="auto"/>
              <w:ind w:right="-10"/>
              <w:jc w:val="center"/>
              <w:rPr>
                <w:rFonts w:hint="eastAsia" w:ascii="宋体" w:hAnsi="宋体" w:eastAsia="宋体"/>
                <w:sz w:val="22"/>
                <w:szCs w:val="24"/>
              </w:rPr>
            </w:pPr>
            <w:r>
              <w:rPr>
                <w:rFonts w:hint="eastAsia" w:ascii="宋体" w:hAnsi="宋体" w:eastAsia="宋体"/>
                <w:sz w:val="22"/>
                <w:szCs w:val="16"/>
              </w:rPr>
              <w:t>投标人资格声明书</w:t>
            </w:r>
          </w:p>
        </w:tc>
        <w:tc>
          <w:tcPr>
            <w:tcW w:w="2603" w:type="pct"/>
            <w:tcBorders>
              <w:bottom w:val="single" w:color="auto" w:sz="4" w:space="0"/>
            </w:tcBorders>
            <w:vAlign w:val="center"/>
          </w:tcPr>
          <w:p w14:paraId="68F4C216">
            <w:pPr>
              <w:spacing w:after="50" w:line="360" w:lineRule="auto"/>
              <w:ind w:right="-10"/>
              <w:jc w:val="left"/>
              <w:rPr>
                <w:rFonts w:hint="eastAsia" w:ascii="宋体" w:hAnsi="宋体" w:eastAsia="宋体"/>
                <w:sz w:val="22"/>
                <w:szCs w:val="24"/>
              </w:rPr>
            </w:pPr>
            <w:r>
              <w:rPr>
                <w:rFonts w:hint="eastAsia" w:ascii="宋体" w:hAnsi="宋体" w:eastAsia="宋体" w:cs="宋体"/>
                <w:sz w:val="22"/>
                <w:szCs w:val="22"/>
              </w:rPr>
              <w:t>提</w:t>
            </w:r>
            <w:r>
              <w:rPr>
                <w:rFonts w:ascii="宋体" w:hAnsi="宋体" w:eastAsia="宋体" w:cs="宋体"/>
                <w:sz w:val="22"/>
                <w:szCs w:val="22"/>
              </w:rPr>
              <w:t>供符合招标文件要求的《投标人资格声明书》</w:t>
            </w:r>
            <w:r>
              <w:rPr>
                <w:rFonts w:hint="eastAsia" w:ascii="宋体" w:hAnsi="宋体" w:eastAsia="宋体" w:cs="宋体"/>
                <w:sz w:val="22"/>
                <w:szCs w:val="22"/>
              </w:rPr>
              <w:t>。</w:t>
            </w:r>
          </w:p>
        </w:tc>
        <w:tc>
          <w:tcPr>
            <w:tcW w:w="1076" w:type="pct"/>
            <w:vAlign w:val="center"/>
          </w:tcPr>
          <w:p w14:paraId="05DCD5D1">
            <w:pPr>
              <w:spacing w:line="360" w:lineRule="auto"/>
              <w:jc w:val="left"/>
              <w:rPr>
                <w:rFonts w:hint="eastAsia" w:ascii="宋体" w:hAnsi="宋体" w:eastAsia="宋体" w:cs="宋体"/>
                <w:sz w:val="22"/>
                <w:szCs w:val="22"/>
              </w:rPr>
            </w:pPr>
            <w:r>
              <w:rPr>
                <w:rFonts w:hint="eastAsia" w:ascii="宋体" w:hAnsi="宋体" w:eastAsia="宋体"/>
                <w:sz w:val="22"/>
                <w:szCs w:val="18"/>
              </w:rPr>
              <w:t>详见第六章投标文件格式。</w:t>
            </w:r>
          </w:p>
        </w:tc>
      </w:tr>
      <w:tr w14:paraId="649E4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 w:type="pct"/>
            <w:vAlign w:val="center"/>
          </w:tcPr>
          <w:p w14:paraId="77E730ED">
            <w:pPr>
              <w:adjustRightInd w:val="0"/>
              <w:snapToGrid w:val="0"/>
              <w:spacing w:line="360" w:lineRule="auto"/>
              <w:ind w:right="-10"/>
              <w:jc w:val="center"/>
              <w:rPr>
                <w:rFonts w:hint="eastAsia" w:ascii="宋体" w:hAnsi="宋体" w:eastAsia="宋体"/>
                <w:sz w:val="22"/>
                <w:szCs w:val="18"/>
              </w:rPr>
            </w:pPr>
            <w:r>
              <w:rPr>
                <w:rFonts w:hint="eastAsia" w:ascii="宋体" w:hAnsi="宋体" w:eastAsia="宋体"/>
                <w:sz w:val="22"/>
                <w:szCs w:val="18"/>
              </w:rPr>
              <w:t>3</w:t>
            </w:r>
          </w:p>
        </w:tc>
        <w:tc>
          <w:tcPr>
            <w:tcW w:w="942" w:type="pct"/>
            <w:vAlign w:val="center"/>
          </w:tcPr>
          <w:p w14:paraId="6E7E94D2">
            <w:pPr>
              <w:spacing w:after="50" w:line="360" w:lineRule="auto"/>
              <w:ind w:right="-10"/>
              <w:jc w:val="center"/>
              <w:rPr>
                <w:rFonts w:hint="eastAsia" w:ascii="宋体" w:hAnsi="宋体" w:eastAsia="宋体"/>
                <w:sz w:val="22"/>
                <w:szCs w:val="24"/>
              </w:rPr>
            </w:pPr>
            <w:r>
              <w:rPr>
                <w:rFonts w:hint="eastAsia" w:ascii="宋体" w:hAnsi="宋体" w:eastAsia="宋体" w:cs="宋体"/>
                <w:sz w:val="22"/>
                <w:szCs w:val="22"/>
              </w:rPr>
              <w:t>投标人信用记录</w:t>
            </w:r>
          </w:p>
        </w:tc>
        <w:tc>
          <w:tcPr>
            <w:tcW w:w="2603" w:type="pct"/>
            <w:vAlign w:val="center"/>
          </w:tcPr>
          <w:p w14:paraId="3048B5D8">
            <w:pPr>
              <w:spacing w:after="50" w:line="360" w:lineRule="auto"/>
              <w:ind w:right="-10"/>
              <w:jc w:val="left"/>
              <w:rPr>
                <w:rFonts w:hint="eastAsia"/>
                <w:sz w:val="20"/>
                <w:szCs w:val="18"/>
              </w:rPr>
            </w:pPr>
            <w:r>
              <w:rPr>
                <w:rFonts w:hint="eastAsia" w:ascii="宋体" w:hAnsi="宋体" w:eastAsia="宋体" w:cs="宋体"/>
                <w:sz w:val="22"/>
                <w:szCs w:val="22"/>
                <w:lang w:val="zh-CN"/>
              </w:rPr>
              <w:t>投标人不得存在投标人须知正文第1</w:t>
            </w:r>
            <w:r>
              <w:rPr>
                <w:rFonts w:hint="eastAsia" w:ascii="宋体" w:hAnsi="宋体" w:eastAsia="宋体" w:cs="宋体"/>
                <w:sz w:val="22"/>
                <w:szCs w:val="22"/>
              </w:rPr>
              <w:t>4</w:t>
            </w:r>
            <w:r>
              <w:rPr>
                <w:rFonts w:hint="eastAsia" w:ascii="宋体" w:hAnsi="宋体" w:eastAsia="宋体" w:cs="宋体"/>
                <w:sz w:val="22"/>
                <w:szCs w:val="22"/>
                <w:lang w:val="zh-CN"/>
              </w:rPr>
              <w:t>.2</w:t>
            </w:r>
            <w:r>
              <w:rPr>
                <w:rFonts w:hint="eastAsia" w:ascii="宋体" w:hAnsi="宋体" w:eastAsia="宋体" w:cs="宋体"/>
                <w:sz w:val="22"/>
                <w:szCs w:val="22"/>
              </w:rPr>
              <w:t>条中</w:t>
            </w:r>
            <w:r>
              <w:rPr>
                <w:rFonts w:hint="eastAsia" w:ascii="宋体" w:hAnsi="宋体" w:eastAsia="宋体"/>
                <w:sz w:val="22"/>
                <w:szCs w:val="24"/>
              </w:rPr>
              <w:t>的</w:t>
            </w:r>
            <w:r>
              <w:rPr>
                <w:rFonts w:hint="eastAsia" w:ascii="宋体" w:hAnsi="宋体" w:eastAsia="宋体"/>
                <w:sz w:val="22"/>
                <w:szCs w:val="16"/>
              </w:rPr>
              <w:t>不良信用记录情形</w:t>
            </w:r>
          </w:p>
        </w:tc>
        <w:tc>
          <w:tcPr>
            <w:tcW w:w="1076" w:type="pct"/>
            <w:vAlign w:val="center"/>
          </w:tcPr>
          <w:p w14:paraId="231967D1">
            <w:pPr>
              <w:spacing w:line="360" w:lineRule="auto"/>
              <w:jc w:val="left"/>
              <w:rPr>
                <w:rFonts w:hint="eastAsia"/>
                <w:sz w:val="20"/>
                <w:szCs w:val="18"/>
              </w:rPr>
            </w:pPr>
            <w:r>
              <w:rPr>
                <w:rFonts w:hint="eastAsia" w:ascii="宋体" w:hAnsi="宋体" w:eastAsia="宋体" w:cs="宋体"/>
                <w:sz w:val="22"/>
                <w:szCs w:val="22"/>
              </w:rPr>
              <w:t>无须投标人提供，由采购人或采购代理机构查询。</w:t>
            </w:r>
          </w:p>
        </w:tc>
      </w:tr>
      <w:tr w14:paraId="436F0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dxa"/>
            <w:vAlign w:val="center"/>
          </w:tcPr>
          <w:p w14:paraId="40ED9635">
            <w:pPr>
              <w:adjustRightInd w:val="0"/>
              <w:snapToGrid w:val="0"/>
              <w:spacing w:line="360" w:lineRule="auto"/>
              <w:ind w:right="-10" w:rightChars="0"/>
              <w:jc w:val="center"/>
              <w:rPr>
                <w:rFonts w:hint="eastAsia" w:ascii="宋体" w:hAnsi="宋体" w:eastAsia="宋体"/>
                <w:sz w:val="22"/>
                <w:szCs w:val="18"/>
                <w:lang w:val="en-US" w:eastAsia="zh-CN"/>
              </w:rPr>
            </w:pPr>
            <w:r>
              <w:rPr>
                <w:rFonts w:hint="eastAsia" w:ascii="宋体" w:hAnsi="宋体" w:eastAsia="宋体"/>
                <w:color w:val="auto"/>
                <w:sz w:val="22"/>
                <w:szCs w:val="18"/>
                <w:highlight w:val="none"/>
                <w:lang w:val="en-US" w:eastAsia="zh-CN"/>
              </w:rPr>
              <w:t>4</w:t>
            </w:r>
          </w:p>
        </w:tc>
        <w:tc>
          <w:tcPr>
            <w:tcW w:w="1651" w:type="dxa"/>
            <w:vAlign w:val="center"/>
          </w:tcPr>
          <w:p w14:paraId="41FCF2A5">
            <w:pPr>
              <w:spacing w:after="50" w:line="360" w:lineRule="auto"/>
              <w:ind w:right="-10" w:rightChars="0"/>
              <w:jc w:val="both"/>
              <w:rPr>
                <w:rFonts w:hint="eastAsia" w:ascii="宋体" w:hAnsi="宋体" w:eastAsia="宋体" w:cs="宋体"/>
                <w:sz w:val="22"/>
                <w:szCs w:val="22"/>
              </w:rPr>
            </w:pPr>
            <w:r>
              <w:rPr>
                <w:rFonts w:ascii="宋体" w:hAnsi="宋体" w:eastAsia="宋体" w:cs="宋体"/>
                <w:spacing w:val="10"/>
                <w:sz w:val="22"/>
                <w:szCs w:val="22"/>
              </w:rPr>
              <w:t>其它落实政府采</w:t>
            </w:r>
            <w:r>
              <w:rPr>
                <w:rFonts w:ascii="宋体" w:hAnsi="宋体" w:eastAsia="宋体" w:cs="宋体"/>
                <w:spacing w:val="11"/>
                <w:sz w:val="22"/>
                <w:szCs w:val="22"/>
              </w:rPr>
              <w:t>购政策的资格要</w:t>
            </w:r>
            <w:r>
              <w:rPr>
                <w:rFonts w:ascii="宋体" w:hAnsi="宋体" w:eastAsia="宋体" w:cs="宋体"/>
                <w:sz w:val="22"/>
                <w:szCs w:val="22"/>
              </w:rPr>
              <w:t>求</w:t>
            </w:r>
          </w:p>
        </w:tc>
        <w:tc>
          <w:tcPr>
            <w:tcW w:w="4561" w:type="dxa"/>
            <w:vAlign w:val="center"/>
          </w:tcPr>
          <w:p w14:paraId="7CA71C5D">
            <w:pPr>
              <w:spacing w:after="50" w:line="360" w:lineRule="auto"/>
              <w:ind w:right="-10" w:rightChars="0"/>
              <w:jc w:val="both"/>
              <w:rPr>
                <w:rFonts w:hint="eastAsia" w:ascii="宋体" w:hAnsi="宋体" w:eastAsia="宋体" w:cs="宋体"/>
                <w:sz w:val="22"/>
                <w:szCs w:val="22"/>
                <w:lang w:val="zh-CN"/>
              </w:rPr>
            </w:pPr>
            <w:r>
              <w:rPr>
                <w:rFonts w:ascii="宋体" w:hAnsi="宋体" w:eastAsia="宋体" w:cs="宋体"/>
                <w:spacing w:val="-2"/>
                <w:sz w:val="22"/>
                <w:szCs w:val="22"/>
              </w:rPr>
              <w:t>见第一章《投标邀请》</w:t>
            </w:r>
          </w:p>
        </w:tc>
        <w:tc>
          <w:tcPr>
            <w:tcW w:w="1889" w:type="dxa"/>
            <w:vAlign w:val="center"/>
          </w:tcPr>
          <w:p w14:paraId="37261A92">
            <w:pPr>
              <w:spacing w:after="50" w:line="360" w:lineRule="auto"/>
              <w:ind w:right="-10" w:rightChars="0"/>
              <w:jc w:val="both"/>
              <w:rPr>
                <w:rFonts w:hint="eastAsia" w:ascii="宋体" w:hAnsi="宋体" w:eastAsia="宋体" w:cs="宋体"/>
                <w:sz w:val="22"/>
                <w:szCs w:val="22"/>
              </w:rPr>
            </w:pPr>
            <w:r>
              <w:rPr>
                <w:rFonts w:hint="eastAsia" w:ascii="宋体" w:hAnsi="宋体" w:eastAsia="宋体" w:cs="宋体"/>
                <w:b w:val="0"/>
                <w:bCs w:val="0"/>
                <w:color w:val="auto"/>
                <w:sz w:val="22"/>
                <w:szCs w:val="22"/>
                <w:highlight w:val="none"/>
              </w:rPr>
              <w:t>提供</w:t>
            </w:r>
            <w:r>
              <w:rPr>
                <w:rFonts w:hint="eastAsia" w:ascii="宋体" w:hAnsi="宋体" w:eastAsia="宋体" w:cs="宋体"/>
                <w:b w:val="0"/>
                <w:bCs w:val="0"/>
                <w:color w:val="auto"/>
                <w:sz w:val="22"/>
                <w:szCs w:val="22"/>
                <w:highlight w:val="none"/>
                <w:lang w:val="en-US" w:eastAsia="zh-CN"/>
              </w:rPr>
              <w:t>材料</w:t>
            </w:r>
            <w:r>
              <w:rPr>
                <w:rFonts w:hint="eastAsia" w:ascii="宋体" w:hAnsi="宋体" w:eastAsia="宋体" w:cs="宋体"/>
                <w:b w:val="0"/>
                <w:bCs w:val="0"/>
                <w:color w:val="auto"/>
                <w:sz w:val="22"/>
                <w:szCs w:val="22"/>
                <w:highlight w:val="none"/>
              </w:rPr>
              <w:t>扫描件</w:t>
            </w:r>
            <w:r>
              <w:rPr>
                <w:rFonts w:hint="eastAsia" w:ascii="宋体" w:hAnsi="宋体" w:eastAsia="宋体" w:cs="宋体"/>
                <w:b w:val="0"/>
                <w:bCs w:val="0"/>
                <w:color w:val="auto"/>
                <w:sz w:val="22"/>
                <w:szCs w:val="22"/>
                <w:highlight w:val="none"/>
                <w:lang w:val="en-US" w:eastAsia="zh-CN"/>
              </w:rPr>
              <w:t>或电子证照</w:t>
            </w:r>
            <w:r>
              <w:rPr>
                <w:rFonts w:hint="eastAsia" w:ascii="宋体" w:hAnsi="宋体" w:eastAsia="宋体" w:cs="宋体"/>
                <w:b w:val="0"/>
                <w:bCs w:val="0"/>
                <w:color w:val="auto"/>
                <w:sz w:val="22"/>
                <w:szCs w:val="22"/>
                <w:highlight w:val="none"/>
              </w:rPr>
              <w:t>，应完整的体现出</w:t>
            </w:r>
            <w:r>
              <w:rPr>
                <w:rFonts w:hint="eastAsia" w:ascii="宋体" w:hAnsi="宋体" w:eastAsia="宋体" w:cs="宋体"/>
                <w:b w:val="0"/>
                <w:bCs w:val="0"/>
                <w:color w:val="auto"/>
                <w:sz w:val="22"/>
                <w:szCs w:val="22"/>
                <w:highlight w:val="none"/>
                <w:lang w:val="en-US" w:eastAsia="zh-CN"/>
              </w:rPr>
              <w:t>材料或电子证照</w:t>
            </w:r>
            <w:r>
              <w:rPr>
                <w:rFonts w:hint="eastAsia" w:ascii="宋体" w:hAnsi="宋体" w:eastAsia="宋体" w:cs="宋体"/>
                <w:b w:val="0"/>
                <w:bCs w:val="0"/>
                <w:color w:val="auto"/>
                <w:sz w:val="22"/>
                <w:szCs w:val="22"/>
                <w:highlight w:val="none"/>
              </w:rPr>
              <w:t>全部内容。</w:t>
            </w:r>
          </w:p>
        </w:tc>
      </w:tr>
      <w:tr w14:paraId="14660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dxa"/>
            <w:vAlign w:val="center"/>
          </w:tcPr>
          <w:p w14:paraId="148C75DE">
            <w:pPr>
              <w:adjustRightInd w:val="0"/>
              <w:snapToGrid w:val="0"/>
              <w:spacing w:line="360" w:lineRule="auto"/>
              <w:ind w:right="-10"/>
              <w:jc w:val="center"/>
              <w:rPr>
                <w:rFonts w:hint="eastAsia" w:ascii="宋体" w:hAnsi="宋体" w:eastAsia="宋体"/>
                <w:sz w:val="22"/>
                <w:szCs w:val="18"/>
                <w:lang w:eastAsia="zh-CN"/>
              </w:rPr>
            </w:pPr>
            <w:r>
              <w:rPr>
                <w:rFonts w:hint="eastAsia" w:ascii="宋体" w:hAnsi="宋体" w:eastAsia="宋体"/>
                <w:sz w:val="22"/>
                <w:szCs w:val="18"/>
                <w:lang w:val="en-US" w:eastAsia="zh-CN"/>
              </w:rPr>
              <w:t>5</w:t>
            </w:r>
          </w:p>
        </w:tc>
        <w:tc>
          <w:tcPr>
            <w:tcW w:w="1651" w:type="dxa"/>
            <w:vAlign w:val="center"/>
          </w:tcPr>
          <w:p w14:paraId="50E7776C">
            <w:pPr>
              <w:spacing w:after="50" w:line="360" w:lineRule="auto"/>
              <w:ind w:right="-10"/>
              <w:rPr>
                <w:rFonts w:hint="eastAsia" w:ascii="宋体" w:hAnsi="宋体" w:eastAsia="宋体" w:cs="宋体"/>
                <w:sz w:val="22"/>
                <w:szCs w:val="22"/>
              </w:rPr>
            </w:pPr>
            <w:r>
              <w:rPr>
                <w:rFonts w:ascii="宋体" w:hAnsi="宋体" w:eastAsia="宋体" w:cs="宋体"/>
                <w:spacing w:val="10"/>
                <w:sz w:val="22"/>
                <w:szCs w:val="22"/>
              </w:rPr>
              <w:t>其他特定资格要求</w:t>
            </w:r>
          </w:p>
        </w:tc>
        <w:tc>
          <w:tcPr>
            <w:tcW w:w="4561" w:type="dxa"/>
            <w:vAlign w:val="center"/>
          </w:tcPr>
          <w:p w14:paraId="5BFDF192">
            <w:pPr>
              <w:spacing w:after="50" w:line="360" w:lineRule="auto"/>
              <w:ind w:right="-10"/>
              <w:rPr>
                <w:rFonts w:hint="eastAsia" w:ascii="宋体" w:hAnsi="宋体" w:eastAsia="宋体" w:cs="宋体"/>
                <w:sz w:val="22"/>
                <w:szCs w:val="22"/>
                <w:lang w:val="zh-CN"/>
              </w:rPr>
            </w:pPr>
            <w:r>
              <w:rPr>
                <w:rFonts w:ascii="宋体" w:hAnsi="宋体" w:eastAsia="宋体" w:cs="宋体"/>
                <w:spacing w:val="10"/>
                <w:sz w:val="22"/>
                <w:szCs w:val="22"/>
              </w:rPr>
              <w:t>见第一章《投标邀请》</w:t>
            </w:r>
          </w:p>
        </w:tc>
        <w:tc>
          <w:tcPr>
            <w:tcW w:w="1889" w:type="dxa"/>
            <w:vAlign w:val="center"/>
          </w:tcPr>
          <w:p w14:paraId="38E23266">
            <w:pPr>
              <w:spacing w:after="50" w:line="360" w:lineRule="auto"/>
              <w:ind w:right="-10"/>
              <w:rPr>
                <w:rFonts w:hint="eastAsia" w:ascii="宋体" w:hAnsi="宋体" w:eastAsia="宋体" w:cs="宋体"/>
                <w:sz w:val="22"/>
                <w:szCs w:val="22"/>
              </w:rPr>
            </w:pPr>
            <w:r>
              <w:rPr>
                <w:rFonts w:hint="eastAsia" w:ascii="宋体" w:hAnsi="宋体" w:eastAsia="宋体" w:cs="宋体"/>
                <w:sz w:val="22"/>
                <w:szCs w:val="22"/>
              </w:rPr>
              <w:t>提供材料扫描件或电子证照，应完整的体现出材料或电子证照全部内容。</w:t>
            </w:r>
          </w:p>
        </w:tc>
      </w:tr>
    </w:tbl>
    <w:p w14:paraId="743E1BC2">
      <w:pPr>
        <w:spacing w:line="360" w:lineRule="auto"/>
        <w:ind w:firstLine="435"/>
        <w:rPr>
          <w:rFonts w:hint="eastAsia" w:asciiTheme="minorEastAsia" w:hAnsiTheme="minorEastAsia" w:eastAsiaTheme="minorEastAsia"/>
          <w:sz w:val="24"/>
        </w:rPr>
      </w:pPr>
      <w:r>
        <w:rPr>
          <w:rFonts w:hint="eastAsia" w:ascii="宋体" w:hAnsi="宋体" w:eastAsia="宋体"/>
          <w:b/>
          <w:bCs/>
          <w:sz w:val="24"/>
        </w:rPr>
        <w:t>资格审查指标通过标准：</w:t>
      </w:r>
      <w:r>
        <w:rPr>
          <w:rFonts w:hint="eastAsia" w:ascii="宋体" w:hAnsi="宋体" w:eastAsia="宋体"/>
          <w:sz w:val="24"/>
        </w:rPr>
        <w:t>投标人必须通过资格审查表中的全部评审指标。</w:t>
      </w:r>
    </w:p>
    <w:p w14:paraId="23FF177B">
      <w:pPr>
        <w:spacing w:line="360" w:lineRule="auto"/>
        <w:ind w:firstLine="437"/>
        <w:outlineLvl w:val="2"/>
        <w:rPr>
          <w:rFonts w:hint="eastAsia" w:asciiTheme="minorEastAsia" w:hAnsiTheme="minorEastAsia" w:eastAsiaTheme="minorEastAsia"/>
          <w:sz w:val="24"/>
        </w:rPr>
      </w:pPr>
      <w:r>
        <w:rPr>
          <w:rFonts w:hint="eastAsia" w:asciiTheme="minorEastAsia" w:hAnsiTheme="minorEastAsia" w:eastAsiaTheme="minorEastAsia"/>
          <w:sz w:val="24"/>
        </w:rPr>
        <w:t>2.2符合性审查</w:t>
      </w:r>
    </w:p>
    <w:p w14:paraId="65DF3877">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评标委员会对通过资格审查的投标人的投标文件进行符合性审查，以确定其是否满足招标文件的实质性要求。符合性审查表如下：</w:t>
      </w:r>
    </w:p>
    <w:tbl>
      <w:tblPr>
        <w:tblStyle w:val="28"/>
        <w:tblW w:w="47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
        <w:gridCol w:w="2473"/>
        <w:gridCol w:w="3648"/>
        <w:gridCol w:w="2550"/>
      </w:tblGrid>
      <w:tr w14:paraId="67EE6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4"/>
            <w:tcBorders>
              <w:bottom w:val="single" w:color="auto" w:sz="4" w:space="0"/>
            </w:tcBorders>
            <w:vAlign w:val="center"/>
          </w:tcPr>
          <w:p w14:paraId="51EE2188">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b/>
                <w:bCs/>
                <w:sz w:val="22"/>
                <w:szCs w:val="22"/>
              </w:rPr>
            </w:pPr>
            <w:r>
              <w:rPr>
                <w:rFonts w:hint="eastAsia" w:ascii="宋体" w:hAnsi="宋体" w:eastAsia="宋体" w:cs="宋体"/>
                <w:b/>
                <w:bCs/>
                <w:sz w:val="22"/>
                <w:szCs w:val="22"/>
              </w:rPr>
              <w:t>符合性审查表</w:t>
            </w:r>
          </w:p>
        </w:tc>
      </w:tr>
      <w:tr w14:paraId="169CF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tcBorders>
              <w:bottom w:val="single" w:color="auto" w:sz="4" w:space="0"/>
            </w:tcBorders>
            <w:vAlign w:val="center"/>
          </w:tcPr>
          <w:p w14:paraId="7E7BA834">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序号</w:t>
            </w:r>
          </w:p>
        </w:tc>
        <w:tc>
          <w:tcPr>
            <w:tcW w:w="1294" w:type="pct"/>
            <w:tcBorders>
              <w:bottom w:val="single" w:color="auto" w:sz="4" w:space="0"/>
            </w:tcBorders>
            <w:vAlign w:val="center"/>
          </w:tcPr>
          <w:p w14:paraId="7EB5A861">
            <w:pPr>
              <w:pStyle w:val="49"/>
              <w:keepNext w:val="0"/>
              <w:keepLines w:val="0"/>
              <w:pageBreakBefore w:val="0"/>
              <w:pBdr>
                <w:bottom w:val="none" w:color="auto" w:sz="0" w:space="0"/>
              </w:pBdr>
              <w:tabs>
                <w:tab w:val="clear" w:pos="4153"/>
                <w:tab w:val="clear" w:pos="8306"/>
              </w:tabs>
              <w:kinsoku/>
              <w:wordWrap/>
              <w:overflowPunct/>
              <w:topLinePunct w:val="0"/>
              <w:autoSpaceDE/>
              <w:autoSpaceDN/>
              <w:bidi w:val="0"/>
              <w:snapToGrid w:val="0"/>
              <w:spacing w:line="480" w:lineRule="exact"/>
              <w:ind w:right="0"/>
              <w:textAlignment w:val="auto"/>
              <w:rPr>
                <w:rFonts w:hint="eastAsia" w:ascii="宋体" w:hAnsi="宋体" w:eastAsia="宋体" w:cs="宋体"/>
                <w:kern w:val="2"/>
                <w:sz w:val="22"/>
                <w:szCs w:val="22"/>
              </w:rPr>
            </w:pPr>
            <w:r>
              <w:rPr>
                <w:rFonts w:hint="eastAsia" w:ascii="宋体" w:hAnsi="宋体" w:eastAsia="宋体" w:cs="宋体"/>
                <w:kern w:val="2"/>
                <w:sz w:val="22"/>
                <w:szCs w:val="22"/>
              </w:rPr>
              <w:t>审查指标</w:t>
            </w:r>
          </w:p>
        </w:tc>
        <w:tc>
          <w:tcPr>
            <w:tcW w:w="1909" w:type="pct"/>
            <w:tcBorders>
              <w:bottom w:val="single" w:color="auto" w:sz="4" w:space="0"/>
            </w:tcBorders>
            <w:vAlign w:val="center"/>
          </w:tcPr>
          <w:p w14:paraId="6559C4EB">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审查标准</w:t>
            </w:r>
          </w:p>
        </w:tc>
        <w:tc>
          <w:tcPr>
            <w:tcW w:w="1332" w:type="pct"/>
            <w:tcBorders>
              <w:bottom w:val="single" w:color="auto" w:sz="4" w:space="0"/>
            </w:tcBorders>
            <w:vAlign w:val="center"/>
          </w:tcPr>
          <w:p w14:paraId="1B44A966">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格式要求</w:t>
            </w:r>
          </w:p>
        </w:tc>
      </w:tr>
      <w:tr w14:paraId="43714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vAlign w:val="center"/>
          </w:tcPr>
          <w:p w14:paraId="28C7F4A9">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1</w:t>
            </w:r>
          </w:p>
        </w:tc>
        <w:tc>
          <w:tcPr>
            <w:tcW w:w="1294" w:type="pct"/>
            <w:vAlign w:val="center"/>
          </w:tcPr>
          <w:p w14:paraId="0D96CC4D">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开标一览表</w:t>
            </w:r>
          </w:p>
        </w:tc>
        <w:tc>
          <w:tcPr>
            <w:tcW w:w="1909" w:type="pct"/>
            <w:vAlign w:val="center"/>
          </w:tcPr>
          <w:p w14:paraId="2DE93F07">
            <w:pPr>
              <w:keepNext w:val="0"/>
              <w:keepLines w:val="0"/>
              <w:pageBreakBefore w:val="0"/>
              <w:kinsoku/>
              <w:wordWrap/>
              <w:overflowPunct/>
              <w:topLinePunct w:val="0"/>
              <w:autoSpaceDE/>
              <w:autoSpaceDN/>
              <w:bidi w:val="0"/>
              <w:spacing w:after="50" w:line="480" w:lineRule="exact"/>
              <w:ind w:right="0"/>
              <w:jc w:val="left"/>
              <w:textAlignment w:val="auto"/>
              <w:rPr>
                <w:rFonts w:hint="eastAsia" w:ascii="宋体" w:hAnsi="宋体" w:eastAsia="宋体" w:cs="宋体"/>
                <w:sz w:val="22"/>
                <w:szCs w:val="22"/>
              </w:rPr>
            </w:pPr>
            <w:r>
              <w:rPr>
                <w:rFonts w:hint="eastAsia" w:ascii="宋体" w:hAnsi="宋体" w:eastAsia="宋体" w:cs="宋体"/>
                <w:sz w:val="22"/>
                <w:szCs w:val="22"/>
              </w:rPr>
              <w:t>格式、填写要求符合招标文件规定并加盖投标人电子签章</w:t>
            </w:r>
          </w:p>
        </w:tc>
        <w:tc>
          <w:tcPr>
            <w:tcW w:w="1332" w:type="pct"/>
            <w:vAlign w:val="center"/>
          </w:tcPr>
          <w:p w14:paraId="77B7F022">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详见第六章投标文件格式。</w:t>
            </w:r>
          </w:p>
        </w:tc>
      </w:tr>
      <w:tr w14:paraId="076F8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vAlign w:val="center"/>
          </w:tcPr>
          <w:p w14:paraId="19E3F1A7">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2</w:t>
            </w:r>
          </w:p>
        </w:tc>
        <w:tc>
          <w:tcPr>
            <w:tcW w:w="1294" w:type="pct"/>
            <w:vAlign w:val="center"/>
          </w:tcPr>
          <w:p w14:paraId="665E9CE6">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投标函</w:t>
            </w:r>
          </w:p>
        </w:tc>
        <w:tc>
          <w:tcPr>
            <w:tcW w:w="1909" w:type="pct"/>
            <w:vAlign w:val="center"/>
          </w:tcPr>
          <w:p w14:paraId="46D5B716">
            <w:pPr>
              <w:keepNext w:val="0"/>
              <w:keepLines w:val="0"/>
              <w:pageBreakBefore w:val="0"/>
              <w:kinsoku/>
              <w:wordWrap/>
              <w:overflowPunct/>
              <w:topLinePunct w:val="0"/>
              <w:autoSpaceDE/>
              <w:autoSpaceDN/>
              <w:bidi w:val="0"/>
              <w:spacing w:after="50" w:line="480" w:lineRule="exact"/>
              <w:ind w:right="0"/>
              <w:jc w:val="left"/>
              <w:textAlignment w:val="auto"/>
              <w:rPr>
                <w:rFonts w:hint="eastAsia" w:ascii="宋体" w:hAnsi="宋体" w:eastAsia="宋体" w:cs="宋体"/>
                <w:sz w:val="22"/>
                <w:szCs w:val="22"/>
              </w:rPr>
            </w:pPr>
            <w:r>
              <w:rPr>
                <w:rFonts w:hint="eastAsia" w:ascii="宋体" w:hAnsi="宋体" w:eastAsia="宋体" w:cs="宋体"/>
                <w:sz w:val="22"/>
                <w:szCs w:val="22"/>
              </w:rPr>
              <w:t>格式、填写要求符合招标文件规定并加盖投标人电子签章</w:t>
            </w:r>
          </w:p>
        </w:tc>
        <w:tc>
          <w:tcPr>
            <w:tcW w:w="1332" w:type="pct"/>
            <w:vAlign w:val="center"/>
          </w:tcPr>
          <w:p w14:paraId="21CB0825">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详见第六章投标文件格式。</w:t>
            </w:r>
          </w:p>
        </w:tc>
      </w:tr>
      <w:tr w14:paraId="7193F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vAlign w:val="center"/>
          </w:tcPr>
          <w:p w14:paraId="29908E5E">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3</w:t>
            </w:r>
          </w:p>
        </w:tc>
        <w:tc>
          <w:tcPr>
            <w:tcW w:w="1294" w:type="pct"/>
            <w:vAlign w:val="center"/>
          </w:tcPr>
          <w:p w14:paraId="27443078">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授权书</w:t>
            </w:r>
          </w:p>
        </w:tc>
        <w:tc>
          <w:tcPr>
            <w:tcW w:w="1909" w:type="pct"/>
            <w:vAlign w:val="center"/>
          </w:tcPr>
          <w:p w14:paraId="4FC86E14">
            <w:pPr>
              <w:keepNext w:val="0"/>
              <w:keepLines w:val="0"/>
              <w:pageBreakBefore w:val="0"/>
              <w:kinsoku/>
              <w:wordWrap/>
              <w:overflowPunct/>
              <w:topLinePunct w:val="0"/>
              <w:autoSpaceDE/>
              <w:autoSpaceDN/>
              <w:bidi w:val="0"/>
              <w:spacing w:after="50" w:line="480" w:lineRule="exact"/>
              <w:ind w:right="0"/>
              <w:jc w:val="left"/>
              <w:textAlignment w:val="auto"/>
              <w:rPr>
                <w:rFonts w:hint="eastAsia" w:ascii="宋体" w:hAnsi="宋体" w:eastAsia="宋体" w:cs="宋体"/>
                <w:sz w:val="22"/>
                <w:szCs w:val="22"/>
              </w:rPr>
            </w:pPr>
            <w:r>
              <w:rPr>
                <w:rFonts w:hint="eastAsia" w:ascii="宋体" w:hAnsi="宋体" w:eastAsia="宋体" w:cs="宋体"/>
                <w:sz w:val="22"/>
                <w:szCs w:val="22"/>
              </w:rPr>
              <w:t>格式、填写要求符合招标文件规定并加盖投标人电子签章</w:t>
            </w:r>
          </w:p>
        </w:tc>
        <w:tc>
          <w:tcPr>
            <w:tcW w:w="1332" w:type="pct"/>
            <w:vAlign w:val="center"/>
          </w:tcPr>
          <w:p w14:paraId="297DF5E2">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法定代表人参加投标的无需此件，提供身份证明即可。详见第六章投标文件格式。</w:t>
            </w:r>
          </w:p>
        </w:tc>
      </w:tr>
      <w:tr w14:paraId="6873E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vAlign w:val="center"/>
          </w:tcPr>
          <w:p w14:paraId="5BFD9684">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4</w:t>
            </w:r>
          </w:p>
        </w:tc>
        <w:tc>
          <w:tcPr>
            <w:tcW w:w="1294" w:type="pct"/>
            <w:vAlign w:val="center"/>
          </w:tcPr>
          <w:p w14:paraId="4DC89408">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投标报价</w:t>
            </w:r>
          </w:p>
        </w:tc>
        <w:tc>
          <w:tcPr>
            <w:tcW w:w="1909" w:type="pct"/>
            <w:vAlign w:val="center"/>
          </w:tcPr>
          <w:p w14:paraId="13956DCA">
            <w:pPr>
              <w:keepNext w:val="0"/>
              <w:keepLines w:val="0"/>
              <w:pageBreakBefore w:val="0"/>
              <w:kinsoku/>
              <w:wordWrap/>
              <w:overflowPunct/>
              <w:topLinePunct w:val="0"/>
              <w:autoSpaceDE/>
              <w:autoSpaceDN/>
              <w:bidi w:val="0"/>
              <w:spacing w:after="50" w:line="480" w:lineRule="exact"/>
              <w:ind w:right="0"/>
              <w:jc w:val="left"/>
              <w:textAlignment w:val="auto"/>
              <w:rPr>
                <w:rFonts w:hint="eastAsia" w:ascii="宋体" w:hAnsi="宋体" w:eastAsia="宋体" w:cs="宋体"/>
                <w:sz w:val="22"/>
                <w:szCs w:val="22"/>
              </w:rPr>
            </w:pPr>
            <w:r>
              <w:rPr>
                <w:rFonts w:hint="eastAsia" w:ascii="宋体" w:hAnsi="宋体" w:eastAsia="宋体" w:cs="宋体"/>
                <w:sz w:val="22"/>
                <w:szCs w:val="22"/>
              </w:rPr>
              <w:t>符合招标文件投标人须知正文第9条要求</w:t>
            </w:r>
          </w:p>
        </w:tc>
        <w:tc>
          <w:tcPr>
            <w:tcW w:w="1332" w:type="pct"/>
            <w:vAlign w:val="center"/>
          </w:tcPr>
          <w:p w14:paraId="3BF04BA4">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详见第六章投标文件格式。</w:t>
            </w:r>
          </w:p>
        </w:tc>
      </w:tr>
      <w:tr w14:paraId="07D1B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vAlign w:val="center"/>
          </w:tcPr>
          <w:p w14:paraId="5978B098">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5</w:t>
            </w:r>
          </w:p>
        </w:tc>
        <w:tc>
          <w:tcPr>
            <w:tcW w:w="1294" w:type="pct"/>
            <w:vAlign w:val="center"/>
          </w:tcPr>
          <w:p w14:paraId="2789A493">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商务响应情况</w:t>
            </w:r>
          </w:p>
        </w:tc>
        <w:tc>
          <w:tcPr>
            <w:tcW w:w="1909" w:type="pct"/>
            <w:vAlign w:val="center"/>
          </w:tcPr>
          <w:p w14:paraId="0EC6A3AF">
            <w:pPr>
              <w:keepNext w:val="0"/>
              <w:keepLines w:val="0"/>
              <w:pageBreakBefore w:val="0"/>
              <w:kinsoku/>
              <w:wordWrap/>
              <w:overflowPunct/>
              <w:topLinePunct w:val="0"/>
              <w:autoSpaceDE/>
              <w:autoSpaceDN/>
              <w:bidi w:val="0"/>
              <w:spacing w:after="50" w:line="480" w:lineRule="exact"/>
              <w:ind w:right="0"/>
              <w:jc w:val="left"/>
              <w:textAlignment w:val="auto"/>
              <w:rPr>
                <w:rFonts w:hint="eastAsia" w:ascii="宋体" w:hAnsi="宋体" w:eastAsia="宋体" w:cs="宋体"/>
                <w:sz w:val="22"/>
                <w:szCs w:val="22"/>
              </w:rPr>
            </w:pPr>
            <w:r>
              <w:rPr>
                <w:rFonts w:hint="eastAsia" w:ascii="宋体" w:hAnsi="宋体" w:eastAsia="宋体" w:cs="宋体"/>
                <w:sz w:val="22"/>
                <w:szCs w:val="22"/>
              </w:rPr>
              <w:t>符合招标文件采购需求中对付款方式、</w:t>
            </w:r>
            <w:r>
              <w:rPr>
                <w:rFonts w:hint="eastAsia" w:ascii="宋体" w:hAnsi="宋体" w:eastAsia="宋体" w:cs="宋体"/>
                <w:sz w:val="22"/>
                <w:szCs w:val="22"/>
                <w:lang w:eastAsia="zh-CN"/>
              </w:rPr>
              <w:t>合同履行期限</w:t>
            </w:r>
            <w:r>
              <w:rPr>
                <w:rFonts w:hint="eastAsia" w:ascii="宋体" w:hAnsi="宋体" w:eastAsia="宋体" w:cs="宋体"/>
                <w:sz w:val="22"/>
                <w:szCs w:val="22"/>
              </w:rPr>
              <w:t>、供货及安装地点、免费质保期等实质性要求</w:t>
            </w:r>
          </w:p>
        </w:tc>
        <w:tc>
          <w:tcPr>
            <w:tcW w:w="1332" w:type="pct"/>
            <w:vAlign w:val="center"/>
          </w:tcPr>
          <w:p w14:paraId="31EA70E2">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详见第六章投标文件格式。</w:t>
            </w:r>
          </w:p>
        </w:tc>
      </w:tr>
      <w:tr w14:paraId="1659B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vAlign w:val="center"/>
          </w:tcPr>
          <w:p w14:paraId="2224FB81">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6</w:t>
            </w:r>
          </w:p>
        </w:tc>
        <w:tc>
          <w:tcPr>
            <w:tcW w:w="1294" w:type="pct"/>
            <w:vAlign w:val="center"/>
          </w:tcPr>
          <w:p w14:paraId="0EE79EB2">
            <w:pPr>
              <w:keepNext w:val="0"/>
              <w:keepLines w:val="0"/>
              <w:pageBreakBefore w:val="0"/>
              <w:kinsoku/>
              <w:wordWrap/>
              <w:overflowPunct/>
              <w:topLinePunct w:val="0"/>
              <w:autoSpaceDE/>
              <w:autoSpaceDN/>
              <w:bidi w:val="0"/>
              <w:spacing w:after="50" w:line="480" w:lineRule="exact"/>
              <w:ind w:right="0"/>
              <w:jc w:val="center"/>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技术参数要求</w:t>
            </w:r>
          </w:p>
        </w:tc>
        <w:tc>
          <w:tcPr>
            <w:tcW w:w="1909" w:type="pct"/>
            <w:vAlign w:val="center"/>
          </w:tcPr>
          <w:p w14:paraId="470CC3B7">
            <w:pPr>
              <w:keepNext w:val="0"/>
              <w:keepLines w:val="0"/>
              <w:pageBreakBefore w:val="0"/>
              <w:kinsoku/>
              <w:wordWrap/>
              <w:overflowPunct/>
              <w:topLinePunct w:val="0"/>
              <w:autoSpaceDE/>
              <w:autoSpaceDN/>
              <w:bidi w:val="0"/>
              <w:spacing w:after="50" w:line="480" w:lineRule="exact"/>
              <w:ind w:right="0"/>
              <w:jc w:val="left"/>
              <w:textAlignment w:val="auto"/>
              <w:rPr>
                <w:rFonts w:hint="eastAsia" w:ascii="宋体" w:hAnsi="宋体" w:eastAsia="宋体" w:cs="宋体"/>
                <w:sz w:val="22"/>
                <w:szCs w:val="22"/>
                <w:lang w:eastAsia="zh-CN"/>
              </w:rPr>
            </w:pPr>
            <w:r>
              <w:rPr>
                <w:rFonts w:hint="eastAsia" w:ascii="宋体" w:hAnsi="宋体" w:eastAsia="宋体" w:cs="宋体"/>
                <w:sz w:val="22"/>
                <w:szCs w:val="22"/>
              </w:rPr>
              <w:t>符合招标文件第三章采购需求中要求</w:t>
            </w:r>
            <w:r>
              <w:rPr>
                <w:rFonts w:hint="eastAsia" w:ascii="宋体" w:hAnsi="宋体" w:eastAsia="宋体" w:cs="宋体"/>
                <w:sz w:val="22"/>
                <w:szCs w:val="22"/>
                <w:lang w:eastAsia="zh-CN"/>
              </w:rPr>
              <w:t>：</w:t>
            </w:r>
            <w:r>
              <w:rPr>
                <w:rFonts w:hint="eastAsia" w:ascii="宋体" w:hAnsi="宋体" w:eastAsia="宋体" w:cs="宋体"/>
                <w:sz w:val="22"/>
                <w:szCs w:val="22"/>
              </w:rPr>
              <w:t>偏离范围和项数符合招标文件规定</w:t>
            </w:r>
            <w:r>
              <w:rPr>
                <w:rFonts w:hint="eastAsia" w:ascii="宋体" w:hAnsi="宋体" w:eastAsia="宋体" w:cs="宋体"/>
                <w:sz w:val="22"/>
                <w:szCs w:val="22"/>
                <w:lang w:eastAsia="zh-CN"/>
              </w:rPr>
              <w:t>。</w:t>
            </w:r>
          </w:p>
        </w:tc>
        <w:tc>
          <w:tcPr>
            <w:tcW w:w="1332" w:type="pct"/>
            <w:vAlign w:val="center"/>
          </w:tcPr>
          <w:p w14:paraId="472375E6">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p>
        </w:tc>
      </w:tr>
      <w:tr w14:paraId="11348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vAlign w:val="center"/>
          </w:tcPr>
          <w:p w14:paraId="4E2F63AC">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7</w:t>
            </w:r>
          </w:p>
        </w:tc>
        <w:tc>
          <w:tcPr>
            <w:tcW w:w="1294" w:type="pct"/>
            <w:vAlign w:val="center"/>
          </w:tcPr>
          <w:p w14:paraId="5B8A493F">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lang w:val="en-US" w:eastAsia="zh-CN"/>
              </w:rPr>
              <w:t>投标有效期</w:t>
            </w:r>
          </w:p>
        </w:tc>
        <w:tc>
          <w:tcPr>
            <w:tcW w:w="1909" w:type="pct"/>
            <w:vAlign w:val="center"/>
          </w:tcPr>
          <w:p w14:paraId="26D5FC06">
            <w:pPr>
              <w:keepNext w:val="0"/>
              <w:keepLines w:val="0"/>
              <w:pageBreakBefore w:val="0"/>
              <w:kinsoku/>
              <w:wordWrap/>
              <w:overflowPunct/>
              <w:topLinePunct w:val="0"/>
              <w:autoSpaceDE/>
              <w:autoSpaceDN/>
              <w:bidi w:val="0"/>
              <w:spacing w:after="50" w:line="480" w:lineRule="exact"/>
              <w:ind w:right="0"/>
              <w:jc w:val="left"/>
              <w:textAlignment w:val="auto"/>
              <w:rPr>
                <w:rFonts w:hint="eastAsia" w:ascii="宋体" w:hAnsi="宋体" w:eastAsia="宋体" w:cs="宋体"/>
                <w:sz w:val="22"/>
                <w:szCs w:val="22"/>
              </w:rPr>
            </w:pPr>
            <w:r>
              <w:rPr>
                <w:rFonts w:hint="eastAsia" w:ascii="宋体" w:hAnsi="宋体" w:eastAsia="宋体" w:cs="宋体"/>
                <w:sz w:val="22"/>
                <w:szCs w:val="22"/>
                <w:lang w:val="en-US" w:eastAsia="zh-CN"/>
              </w:rPr>
              <w:t>符合招标文件要求</w:t>
            </w:r>
          </w:p>
        </w:tc>
        <w:tc>
          <w:tcPr>
            <w:tcW w:w="1332" w:type="pct"/>
            <w:vAlign w:val="center"/>
          </w:tcPr>
          <w:p w14:paraId="47021E3B">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p>
        </w:tc>
      </w:tr>
      <w:tr w14:paraId="3EF39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vAlign w:val="center"/>
          </w:tcPr>
          <w:p w14:paraId="2653C030">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8</w:t>
            </w:r>
          </w:p>
        </w:tc>
        <w:tc>
          <w:tcPr>
            <w:tcW w:w="1294" w:type="pct"/>
            <w:vAlign w:val="center"/>
          </w:tcPr>
          <w:p w14:paraId="1DA4E5C0">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lang w:val="en-US" w:eastAsia="zh-CN"/>
              </w:rPr>
              <w:t>权利义务</w:t>
            </w:r>
          </w:p>
        </w:tc>
        <w:tc>
          <w:tcPr>
            <w:tcW w:w="1909" w:type="pct"/>
            <w:vAlign w:val="center"/>
          </w:tcPr>
          <w:p w14:paraId="40CA0912">
            <w:pPr>
              <w:keepNext w:val="0"/>
              <w:keepLines w:val="0"/>
              <w:pageBreakBefore w:val="0"/>
              <w:kinsoku/>
              <w:wordWrap/>
              <w:overflowPunct/>
              <w:topLinePunct w:val="0"/>
              <w:autoSpaceDE/>
              <w:autoSpaceDN/>
              <w:bidi w:val="0"/>
              <w:spacing w:after="50" w:line="480" w:lineRule="exact"/>
              <w:ind w:right="0"/>
              <w:jc w:val="left"/>
              <w:textAlignment w:val="auto"/>
              <w:rPr>
                <w:rFonts w:hint="eastAsia" w:ascii="宋体" w:hAnsi="宋体" w:eastAsia="宋体" w:cs="宋体"/>
                <w:sz w:val="22"/>
                <w:szCs w:val="22"/>
              </w:rPr>
            </w:pPr>
            <w:r>
              <w:rPr>
                <w:rFonts w:hint="eastAsia" w:ascii="宋体" w:hAnsi="宋体" w:eastAsia="宋体" w:cs="宋体"/>
                <w:sz w:val="22"/>
                <w:szCs w:val="22"/>
              </w:rPr>
              <w:t>符合招标文件合同条款要求</w:t>
            </w:r>
          </w:p>
        </w:tc>
        <w:tc>
          <w:tcPr>
            <w:tcW w:w="1332" w:type="pct"/>
            <w:vAlign w:val="center"/>
          </w:tcPr>
          <w:p w14:paraId="4C5A083F">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p>
        </w:tc>
      </w:tr>
      <w:tr w14:paraId="0D897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vAlign w:val="center"/>
          </w:tcPr>
          <w:p w14:paraId="6575437B">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9</w:t>
            </w:r>
          </w:p>
        </w:tc>
        <w:tc>
          <w:tcPr>
            <w:tcW w:w="1294" w:type="pct"/>
            <w:vAlign w:val="center"/>
          </w:tcPr>
          <w:p w14:paraId="2282F7CA">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rPr>
              <w:t>提供同一品牌</w:t>
            </w:r>
          </w:p>
          <w:p w14:paraId="74D82FE6">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rPr>
            </w:pPr>
            <w:r>
              <w:rPr>
                <w:rFonts w:hint="eastAsia" w:ascii="宋体" w:hAnsi="宋体" w:eastAsia="宋体" w:cs="宋体"/>
                <w:sz w:val="22"/>
                <w:szCs w:val="22"/>
                <w:lang w:val="en-US" w:eastAsia="zh-CN"/>
              </w:rPr>
              <w:t>核心</w:t>
            </w:r>
            <w:r>
              <w:rPr>
                <w:rFonts w:hint="eastAsia" w:ascii="宋体" w:hAnsi="宋体" w:eastAsia="宋体" w:cs="宋体"/>
                <w:sz w:val="22"/>
                <w:szCs w:val="22"/>
              </w:rPr>
              <w:t>产品</w:t>
            </w:r>
          </w:p>
        </w:tc>
        <w:tc>
          <w:tcPr>
            <w:tcW w:w="1909" w:type="pct"/>
            <w:vAlign w:val="center"/>
          </w:tcPr>
          <w:p w14:paraId="003359F2">
            <w:pPr>
              <w:keepNext w:val="0"/>
              <w:keepLines w:val="0"/>
              <w:pageBreakBefore w:val="0"/>
              <w:kinsoku/>
              <w:wordWrap/>
              <w:overflowPunct/>
              <w:topLinePunct w:val="0"/>
              <w:autoSpaceDE/>
              <w:autoSpaceDN/>
              <w:bidi w:val="0"/>
              <w:spacing w:after="50" w:line="480" w:lineRule="exact"/>
              <w:ind w:right="0"/>
              <w:jc w:val="left"/>
              <w:textAlignment w:val="auto"/>
              <w:rPr>
                <w:rFonts w:hint="eastAsia" w:ascii="宋体" w:hAnsi="宋体" w:eastAsia="宋体" w:cs="宋体"/>
                <w:sz w:val="22"/>
                <w:szCs w:val="22"/>
              </w:rPr>
            </w:pPr>
            <w:r>
              <w:rPr>
                <w:rFonts w:hint="eastAsia" w:ascii="宋体" w:hAnsi="宋体" w:eastAsia="宋体" w:cs="宋体"/>
                <w:sz w:val="22"/>
                <w:szCs w:val="22"/>
              </w:rPr>
              <w:t>提供核心产品</w:t>
            </w:r>
            <w:r>
              <w:rPr>
                <w:rFonts w:hint="eastAsia" w:ascii="宋体" w:hAnsi="宋体" w:eastAsia="宋体" w:cs="宋体"/>
                <w:sz w:val="22"/>
                <w:szCs w:val="22"/>
                <w:lang w:eastAsia="zh-CN"/>
              </w:rPr>
              <w:t>（标注▲的产品）</w:t>
            </w:r>
            <w:r>
              <w:rPr>
                <w:rFonts w:hint="eastAsia" w:ascii="宋体" w:hAnsi="宋体" w:eastAsia="宋体" w:cs="宋体"/>
                <w:sz w:val="22"/>
                <w:szCs w:val="22"/>
              </w:rPr>
              <w:t>为同一品牌且通过资格审查、符合性审查的不同投标人，按一家投标人计算，评审后得分最高的同品牌投标人获得中标人推荐资格。</w:t>
            </w:r>
          </w:p>
        </w:tc>
        <w:tc>
          <w:tcPr>
            <w:tcW w:w="1332" w:type="pct"/>
            <w:vAlign w:val="center"/>
          </w:tcPr>
          <w:p w14:paraId="13F36AB9">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p>
        </w:tc>
      </w:tr>
      <w:tr w14:paraId="6F343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shd w:val="clear" w:color="auto" w:fill="auto"/>
            <w:vAlign w:val="center"/>
          </w:tcPr>
          <w:p w14:paraId="3B4E360A">
            <w:pPr>
              <w:adjustRightInd w:val="0"/>
              <w:snapToGrid w:val="0"/>
              <w:spacing w:line="360" w:lineRule="auto"/>
              <w:ind w:right="-10" w:rightChars="0"/>
              <w:jc w:val="center"/>
              <w:rPr>
                <w:rFonts w:hint="eastAsia" w:cs="@仿宋_GB2312" w:asciiTheme="minorEastAsia" w:hAnsiTheme="minorEastAsia" w:eastAsiaTheme="minorEastAsia"/>
                <w:kern w:val="2"/>
                <w:sz w:val="22"/>
                <w:szCs w:val="18"/>
                <w:lang w:val="en-US" w:eastAsia="zh-CN" w:bidi="ar-SA"/>
              </w:rPr>
            </w:pPr>
            <w:r>
              <w:rPr>
                <w:rFonts w:hint="eastAsia" w:asciiTheme="minorEastAsia" w:hAnsiTheme="minorEastAsia" w:eastAsiaTheme="minorEastAsia"/>
                <w:sz w:val="22"/>
                <w:szCs w:val="18"/>
                <w:lang w:val="en-US" w:eastAsia="zh-CN"/>
              </w:rPr>
              <w:t>10</w:t>
            </w:r>
          </w:p>
        </w:tc>
        <w:tc>
          <w:tcPr>
            <w:tcW w:w="1294" w:type="pct"/>
            <w:shd w:val="clear" w:color="auto" w:fill="auto"/>
            <w:vAlign w:val="center"/>
          </w:tcPr>
          <w:p w14:paraId="4265BDFB">
            <w:pPr>
              <w:spacing w:after="50" w:line="360" w:lineRule="auto"/>
              <w:ind w:right="-10" w:rightChars="0"/>
              <w:jc w:val="center"/>
              <w:rPr>
                <w:rFonts w:hint="eastAsia" w:cs="@仿宋_GB2312" w:asciiTheme="minorEastAsia" w:hAnsiTheme="minorEastAsia" w:eastAsiaTheme="minorEastAsia"/>
                <w:kern w:val="2"/>
                <w:sz w:val="22"/>
                <w:szCs w:val="24"/>
                <w:lang w:val="en-US" w:eastAsia="zh-CN" w:bidi="ar-SA"/>
              </w:rPr>
            </w:pPr>
            <w:r>
              <w:rPr>
                <w:rFonts w:hint="eastAsia" w:asciiTheme="minorEastAsia" w:hAnsiTheme="minorEastAsia" w:eastAsiaTheme="minorEastAsia"/>
                <w:color w:val="auto"/>
                <w:sz w:val="22"/>
                <w:szCs w:val="24"/>
                <w:highlight w:val="none"/>
              </w:rPr>
              <w:t>技术响应情况</w:t>
            </w:r>
            <w:r>
              <w:rPr>
                <w:rFonts w:hint="eastAsia" w:asciiTheme="minorEastAsia" w:hAnsiTheme="minorEastAsia" w:eastAsiaTheme="minorEastAsia"/>
                <w:color w:val="auto"/>
                <w:sz w:val="22"/>
                <w:szCs w:val="24"/>
                <w:highlight w:val="none"/>
                <w:lang w:eastAsia="zh-CN"/>
              </w:rPr>
              <w:t>（</w:t>
            </w:r>
            <w:r>
              <w:rPr>
                <w:rFonts w:hint="eastAsia" w:asciiTheme="minorEastAsia" w:hAnsiTheme="minorEastAsia" w:eastAsiaTheme="minorEastAsia"/>
                <w:b/>
                <w:bCs/>
                <w:color w:val="auto"/>
                <w:sz w:val="22"/>
                <w:szCs w:val="24"/>
                <w:highlight w:val="none"/>
                <w:lang w:val="en-US" w:eastAsia="zh-CN"/>
              </w:rPr>
              <w:t>无标识指标项和标★指标项</w:t>
            </w:r>
            <w:r>
              <w:rPr>
                <w:rFonts w:hint="eastAsia" w:asciiTheme="minorEastAsia" w:hAnsiTheme="minorEastAsia" w:eastAsiaTheme="minorEastAsia"/>
                <w:color w:val="auto"/>
                <w:sz w:val="22"/>
                <w:szCs w:val="24"/>
                <w:highlight w:val="none"/>
                <w:lang w:eastAsia="zh-CN"/>
              </w:rPr>
              <w:t>）</w:t>
            </w:r>
          </w:p>
        </w:tc>
        <w:tc>
          <w:tcPr>
            <w:tcW w:w="1909" w:type="pct"/>
            <w:shd w:val="clear" w:color="auto" w:fill="auto"/>
            <w:vAlign w:val="center"/>
          </w:tcPr>
          <w:p w14:paraId="3FC2DEC6">
            <w:pPr>
              <w:spacing w:after="50" w:line="360" w:lineRule="auto"/>
              <w:ind w:right="-10" w:rightChars="0"/>
              <w:jc w:val="left"/>
              <w:rPr>
                <w:rFonts w:hint="eastAsia" w:asciiTheme="minorEastAsia" w:hAnsiTheme="minorEastAsia" w:eastAsiaTheme="minorEastAsia"/>
                <w:color w:val="auto"/>
                <w:sz w:val="22"/>
                <w:szCs w:val="24"/>
                <w:highlight w:val="none"/>
                <w:lang w:val="en-US" w:eastAsia="zh-CN"/>
              </w:rPr>
            </w:pPr>
            <w:r>
              <w:rPr>
                <w:rFonts w:hint="eastAsia" w:asciiTheme="minorEastAsia" w:hAnsiTheme="minorEastAsia" w:eastAsiaTheme="minorEastAsia"/>
                <w:b/>
                <w:bCs/>
                <w:color w:val="auto"/>
                <w:sz w:val="22"/>
                <w:szCs w:val="24"/>
                <w:highlight w:val="none"/>
                <w:lang w:val="en-US" w:eastAsia="zh-CN"/>
              </w:rPr>
              <w:t>无标识项：</w:t>
            </w:r>
            <w:r>
              <w:rPr>
                <w:rFonts w:hint="eastAsia" w:asciiTheme="minorEastAsia" w:hAnsiTheme="minorEastAsia" w:eastAsiaTheme="minorEastAsia"/>
                <w:color w:val="auto"/>
                <w:sz w:val="22"/>
                <w:szCs w:val="24"/>
                <w:highlight w:val="none"/>
                <w:lang w:val="en-US" w:eastAsia="zh-CN"/>
              </w:rPr>
              <w:t>5项以上（不含5项，若需求包含子项以最小标号计项）负偏离或未响应，将导致投标无效。</w:t>
            </w:r>
          </w:p>
          <w:p w14:paraId="0795CD92">
            <w:pPr>
              <w:spacing w:after="50" w:line="360" w:lineRule="auto"/>
              <w:ind w:right="-10" w:rightChars="0"/>
              <w:jc w:val="left"/>
              <w:rPr>
                <w:rFonts w:hint="eastAsia" w:cs="@仿宋_GB2312" w:asciiTheme="minorEastAsia" w:hAnsiTheme="minorEastAsia" w:eastAsiaTheme="minorEastAsia"/>
                <w:kern w:val="2"/>
                <w:sz w:val="22"/>
                <w:szCs w:val="24"/>
                <w:lang w:val="en-US" w:eastAsia="zh-CN" w:bidi="ar-SA"/>
              </w:rPr>
            </w:pPr>
            <w:r>
              <w:rPr>
                <w:rFonts w:hint="eastAsia" w:asciiTheme="minorEastAsia" w:hAnsiTheme="minorEastAsia" w:eastAsiaTheme="minorEastAsia"/>
                <w:b/>
                <w:bCs/>
                <w:color w:val="auto"/>
                <w:sz w:val="22"/>
                <w:szCs w:val="24"/>
                <w:highlight w:val="none"/>
                <w:lang w:val="en-US" w:eastAsia="zh-CN"/>
              </w:rPr>
              <w:t>标★指标项：</w:t>
            </w:r>
            <w:r>
              <w:rPr>
                <w:rFonts w:hint="eastAsia" w:asciiTheme="minorEastAsia" w:hAnsiTheme="minorEastAsia" w:eastAsiaTheme="minorEastAsia"/>
                <w:color w:val="auto"/>
                <w:sz w:val="22"/>
                <w:szCs w:val="24"/>
                <w:highlight w:val="none"/>
                <w:lang w:val="en-US" w:eastAsia="zh-CN"/>
              </w:rPr>
              <w:t>存在负偏离或未响应将导致投标无效。</w:t>
            </w:r>
          </w:p>
        </w:tc>
        <w:tc>
          <w:tcPr>
            <w:tcW w:w="1332" w:type="pct"/>
            <w:shd w:val="clear" w:color="auto" w:fill="auto"/>
            <w:vAlign w:val="center"/>
          </w:tcPr>
          <w:p w14:paraId="41E91632">
            <w:pPr>
              <w:adjustRightInd w:val="0"/>
              <w:snapToGrid w:val="0"/>
              <w:spacing w:line="360" w:lineRule="auto"/>
              <w:ind w:right="-10" w:rightChars="0"/>
              <w:jc w:val="center"/>
              <w:rPr>
                <w:rFonts w:hint="eastAsia" w:cs="@仿宋_GB2312" w:asciiTheme="minorEastAsia" w:hAnsiTheme="minorEastAsia" w:eastAsiaTheme="minorEastAsia"/>
                <w:kern w:val="2"/>
                <w:sz w:val="22"/>
                <w:szCs w:val="18"/>
                <w:lang w:val="en-US" w:eastAsia="zh-CN" w:bidi="ar-SA"/>
              </w:rPr>
            </w:pPr>
            <w:r>
              <w:rPr>
                <w:rFonts w:hint="eastAsia" w:asciiTheme="minorEastAsia" w:hAnsiTheme="minorEastAsia" w:eastAsiaTheme="minorEastAsia"/>
                <w:color w:val="auto"/>
                <w:sz w:val="22"/>
                <w:szCs w:val="18"/>
                <w:highlight w:val="none"/>
              </w:rPr>
              <w:t>详见第六章投标文件格式</w:t>
            </w:r>
            <w:r>
              <w:rPr>
                <w:rFonts w:hint="eastAsia" w:asciiTheme="minorEastAsia" w:hAnsiTheme="minorEastAsia" w:eastAsiaTheme="minorEastAsia"/>
                <w:color w:val="auto"/>
                <w:sz w:val="22"/>
                <w:szCs w:val="18"/>
                <w:highlight w:val="none"/>
                <w:lang w:eastAsia="zh-CN"/>
              </w:rPr>
              <w:t>。</w:t>
            </w:r>
          </w:p>
        </w:tc>
      </w:tr>
      <w:tr w14:paraId="5090E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vAlign w:val="center"/>
          </w:tcPr>
          <w:p w14:paraId="32D4E36D">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11</w:t>
            </w:r>
          </w:p>
        </w:tc>
        <w:tc>
          <w:tcPr>
            <w:tcW w:w="1294" w:type="pct"/>
            <w:vAlign w:val="center"/>
          </w:tcPr>
          <w:p w14:paraId="577097E4">
            <w:pPr>
              <w:keepNext w:val="0"/>
              <w:keepLines w:val="0"/>
              <w:pageBreakBefore w:val="0"/>
              <w:kinsoku/>
              <w:wordWrap/>
              <w:overflowPunct/>
              <w:topLinePunct w:val="0"/>
              <w:autoSpaceDE/>
              <w:autoSpaceDN/>
              <w:bidi w:val="0"/>
              <w:spacing w:after="50" w:line="480" w:lineRule="exact"/>
              <w:ind w:right="0"/>
              <w:jc w:val="center"/>
              <w:textAlignment w:val="auto"/>
              <w:rPr>
                <w:rFonts w:hint="eastAsia" w:ascii="宋体" w:hAnsi="宋体" w:eastAsia="宋体" w:cs="宋体"/>
                <w:b/>
                <w:bCs/>
                <w:sz w:val="22"/>
                <w:szCs w:val="22"/>
              </w:rPr>
            </w:pPr>
            <w:r>
              <w:rPr>
                <w:rFonts w:hint="eastAsia" w:ascii="宋体" w:hAnsi="宋体" w:eastAsia="宋体" w:cs="宋体"/>
                <w:b/>
                <w:bCs/>
                <w:sz w:val="22"/>
                <w:szCs w:val="22"/>
              </w:rPr>
              <w:t>低价说明</w:t>
            </w:r>
          </w:p>
        </w:tc>
        <w:tc>
          <w:tcPr>
            <w:tcW w:w="1909" w:type="pct"/>
            <w:vAlign w:val="center"/>
          </w:tcPr>
          <w:p w14:paraId="794F2F2F">
            <w:pPr>
              <w:keepNext w:val="0"/>
              <w:keepLines w:val="0"/>
              <w:pageBreakBefore w:val="0"/>
              <w:kinsoku/>
              <w:wordWrap/>
              <w:overflowPunct/>
              <w:topLinePunct w:val="0"/>
              <w:autoSpaceDE/>
              <w:autoSpaceDN/>
              <w:bidi w:val="0"/>
              <w:spacing w:after="50" w:line="480" w:lineRule="exact"/>
              <w:ind w:right="0"/>
              <w:jc w:val="left"/>
              <w:textAlignment w:val="auto"/>
              <w:rPr>
                <w:rFonts w:hint="eastAsia" w:ascii="宋体" w:hAnsi="宋体" w:eastAsia="宋体" w:cs="宋体"/>
                <w:b/>
                <w:bCs/>
                <w:sz w:val="22"/>
                <w:szCs w:val="22"/>
                <w:lang w:val="en-US" w:eastAsia="zh-CN"/>
              </w:rPr>
            </w:pPr>
            <w:r>
              <w:rPr>
                <w:rFonts w:hint="eastAsia" w:ascii="宋体" w:hAnsi="宋体" w:eastAsia="宋体" w:cs="宋体"/>
                <w:b/>
                <w:bCs/>
                <w:sz w:val="22"/>
                <w:szCs w:val="22"/>
              </w:rPr>
              <w:t>投标人的报价明显低于其他通过符合性审查投标人的报价，评标委员会要求其提供书面说明时，投标人不能证明其报价合理性的，投标无效</w:t>
            </w:r>
            <w:r>
              <w:rPr>
                <w:rFonts w:hint="eastAsia" w:ascii="宋体" w:hAnsi="宋体" w:eastAsia="宋体" w:cs="宋体"/>
                <w:b/>
                <w:bCs/>
                <w:sz w:val="22"/>
                <w:szCs w:val="22"/>
                <w:lang w:eastAsia="zh-CN"/>
              </w:rPr>
              <w:t>。</w:t>
            </w:r>
          </w:p>
        </w:tc>
        <w:tc>
          <w:tcPr>
            <w:tcW w:w="1332" w:type="pct"/>
            <w:vAlign w:val="center"/>
          </w:tcPr>
          <w:p w14:paraId="034E2756">
            <w:pPr>
              <w:keepNext w:val="0"/>
              <w:keepLines w:val="0"/>
              <w:pageBreakBefore w:val="0"/>
              <w:kinsoku/>
              <w:wordWrap/>
              <w:overflowPunct/>
              <w:topLinePunct w:val="0"/>
              <w:autoSpaceDE/>
              <w:autoSpaceDN/>
              <w:bidi w:val="0"/>
              <w:adjustRightInd w:val="0"/>
              <w:snapToGrid w:val="0"/>
              <w:spacing w:line="480" w:lineRule="exact"/>
              <w:ind w:right="0"/>
              <w:jc w:val="center"/>
              <w:textAlignment w:val="auto"/>
              <w:rPr>
                <w:rFonts w:hint="eastAsia" w:ascii="宋体" w:hAnsi="宋体" w:eastAsia="宋体" w:cs="宋体"/>
                <w:sz w:val="22"/>
                <w:szCs w:val="22"/>
              </w:rPr>
            </w:pPr>
          </w:p>
        </w:tc>
      </w:tr>
      <w:tr w14:paraId="2C9ED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3" w:type="pct"/>
            <w:shd w:val="clear" w:color="auto" w:fill="auto"/>
            <w:vAlign w:val="center"/>
          </w:tcPr>
          <w:p w14:paraId="7B4C3319">
            <w:pPr>
              <w:keepNext w:val="0"/>
              <w:keepLines w:val="0"/>
              <w:pageBreakBefore w:val="0"/>
              <w:kinsoku/>
              <w:wordWrap/>
              <w:overflowPunct/>
              <w:topLinePunct w:val="0"/>
              <w:autoSpaceDE/>
              <w:autoSpaceDN/>
              <w:bidi w:val="0"/>
              <w:adjustRightInd w:val="0"/>
              <w:snapToGrid w:val="0"/>
              <w:spacing w:line="480" w:lineRule="exact"/>
              <w:ind w:right="0" w:rightChars="0"/>
              <w:jc w:val="center"/>
              <w:textAlignment w:val="auto"/>
              <w:rPr>
                <w:rFonts w:hint="eastAsia" w:ascii="宋体" w:hAnsi="宋体" w:eastAsia="宋体" w:cs="宋体"/>
                <w:kern w:val="2"/>
                <w:sz w:val="22"/>
                <w:szCs w:val="22"/>
                <w:lang w:val="en-US" w:eastAsia="zh-CN" w:bidi="ar-SA"/>
              </w:rPr>
            </w:pPr>
            <w:r>
              <w:rPr>
                <w:rFonts w:hint="eastAsia" w:ascii="宋体" w:hAnsi="宋体" w:eastAsia="宋体" w:cs="宋体"/>
                <w:sz w:val="22"/>
                <w:szCs w:val="22"/>
                <w:lang w:val="en-US" w:eastAsia="zh-CN"/>
              </w:rPr>
              <w:t>12</w:t>
            </w:r>
          </w:p>
        </w:tc>
        <w:tc>
          <w:tcPr>
            <w:tcW w:w="1294" w:type="pct"/>
            <w:shd w:val="clear" w:color="auto" w:fill="auto"/>
            <w:vAlign w:val="center"/>
          </w:tcPr>
          <w:p w14:paraId="33FFA6E5">
            <w:pPr>
              <w:keepNext w:val="0"/>
              <w:keepLines w:val="0"/>
              <w:pageBreakBefore w:val="0"/>
              <w:kinsoku/>
              <w:wordWrap/>
              <w:overflowPunct/>
              <w:topLinePunct w:val="0"/>
              <w:autoSpaceDE/>
              <w:autoSpaceDN/>
              <w:bidi w:val="0"/>
              <w:spacing w:after="50" w:line="480" w:lineRule="exact"/>
              <w:ind w:right="0" w:rightChars="0"/>
              <w:jc w:val="center"/>
              <w:textAlignment w:val="auto"/>
              <w:rPr>
                <w:rFonts w:hint="eastAsia" w:ascii="宋体" w:hAnsi="宋体" w:eastAsia="宋体" w:cs="宋体"/>
                <w:kern w:val="2"/>
                <w:sz w:val="22"/>
                <w:szCs w:val="22"/>
                <w:lang w:val="en-US" w:eastAsia="zh-CN" w:bidi="ar-SA"/>
              </w:rPr>
            </w:pPr>
            <w:r>
              <w:rPr>
                <w:rFonts w:hint="eastAsia" w:ascii="宋体" w:hAnsi="宋体" w:eastAsia="宋体" w:cs="宋体"/>
                <w:sz w:val="22"/>
                <w:szCs w:val="22"/>
              </w:rPr>
              <w:t>其他要求</w:t>
            </w:r>
          </w:p>
        </w:tc>
        <w:tc>
          <w:tcPr>
            <w:tcW w:w="1909" w:type="pct"/>
            <w:shd w:val="clear" w:color="auto" w:fill="auto"/>
            <w:vAlign w:val="center"/>
          </w:tcPr>
          <w:p w14:paraId="5D1F5CBD">
            <w:pPr>
              <w:keepNext w:val="0"/>
              <w:keepLines w:val="0"/>
              <w:pageBreakBefore w:val="0"/>
              <w:kinsoku/>
              <w:wordWrap/>
              <w:overflowPunct/>
              <w:topLinePunct w:val="0"/>
              <w:autoSpaceDE/>
              <w:autoSpaceDN/>
              <w:bidi w:val="0"/>
              <w:spacing w:after="50" w:line="480" w:lineRule="exact"/>
              <w:ind w:right="0" w:rightChars="0"/>
              <w:jc w:val="center"/>
              <w:textAlignment w:val="auto"/>
              <w:rPr>
                <w:rFonts w:hint="eastAsia" w:ascii="宋体" w:hAnsi="宋体" w:eastAsia="宋体" w:cs="宋体"/>
                <w:kern w:val="2"/>
                <w:sz w:val="22"/>
                <w:szCs w:val="22"/>
                <w:lang w:val="en-US" w:eastAsia="zh-CN" w:bidi="ar-SA"/>
              </w:rPr>
            </w:pPr>
            <w:r>
              <w:rPr>
                <w:rFonts w:hint="eastAsia" w:ascii="宋体" w:hAnsi="宋体" w:eastAsia="宋体" w:cs="宋体"/>
                <w:sz w:val="22"/>
                <w:szCs w:val="22"/>
              </w:rPr>
              <w:t>符合法律、行政法规规定的其他条件或招标文件列明的其他实质性要求</w:t>
            </w:r>
          </w:p>
        </w:tc>
        <w:tc>
          <w:tcPr>
            <w:tcW w:w="1332" w:type="pct"/>
            <w:shd w:val="clear" w:color="auto" w:fill="auto"/>
            <w:vAlign w:val="center"/>
          </w:tcPr>
          <w:p w14:paraId="24268BDF">
            <w:pPr>
              <w:keepNext w:val="0"/>
              <w:keepLines w:val="0"/>
              <w:pageBreakBefore w:val="0"/>
              <w:kinsoku/>
              <w:wordWrap/>
              <w:overflowPunct/>
              <w:topLinePunct w:val="0"/>
              <w:autoSpaceDE/>
              <w:autoSpaceDN/>
              <w:bidi w:val="0"/>
              <w:adjustRightInd w:val="0"/>
              <w:snapToGrid w:val="0"/>
              <w:spacing w:line="480" w:lineRule="exact"/>
              <w:ind w:right="0" w:rightChars="0"/>
              <w:jc w:val="center"/>
              <w:textAlignment w:val="auto"/>
              <w:rPr>
                <w:rFonts w:hint="eastAsia" w:ascii="宋体" w:hAnsi="宋体" w:eastAsia="宋体" w:cs="宋体"/>
                <w:kern w:val="2"/>
                <w:sz w:val="22"/>
                <w:szCs w:val="22"/>
                <w:lang w:val="en-US" w:eastAsia="zh-CN" w:bidi="ar-SA"/>
              </w:rPr>
            </w:pPr>
          </w:p>
        </w:tc>
      </w:tr>
    </w:tbl>
    <w:p w14:paraId="4E7B77D5">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b/>
          <w:bCs/>
          <w:sz w:val="24"/>
        </w:rPr>
        <w:t>符合性审查指标通过标准：</w:t>
      </w:r>
      <w:r>
        <w:rPr>
          <w:rFonts w:hint="eastAsia" w:asciiTheme="minorEastAsia" w:hAnsiTheme="minorEastAsia" w:eastAsiaTheme="minorEastAsia"/>
          <w:sz w:val="24"/>
        </w:rPr>
        <w:t>投标人必须通过符合性审查表中的全部评审指标。</w:t>
      </w:r>
    </w:p>
    <w:p w14:paraId="19920699">
      <w:pPr>
        <w:spacing w:line="360" w:lineRule="auto"/>
        <w:ind w:firstLine="437"/>
        <w:outlineLvl w:val="2"/>
        <w:rPr>
          <w:rFonts w:hint="eastAsia" w:asciiTheme="minorEastAsia" w:hAnsiTheme="minorEastAsia" w:eastAsiaTheme="minorEastAsia"/>
          <w:sz w:val="24"/>
        </w:rPr>
      </w:pPr>
      <w:r>
        <w:rPr>
          <w:rFonts w:hint="eastAsia" w:asciiTheme="minorEastAsia" w:hAnsiTheme="minorEastAsia" w:eastAsiaTheme="minorEastAsia"/>
          <w:sz w:val="24"/>
        </w:rPr>
        <w:t>2.3详细审查</w:t>
      </w:r>
    </w:p>
    <w:p w14:paraId="3C50245E">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.3.1</w:t>
      </w:r>
      <w:r>
        <w:rPr>
          <w:rFonts w:hint="eastAsia" w:asciiTheme="minorEastAsia" w:hAnsiTheme="minorEastAsia" w:eastAsiaTheme="minorEastAsia"/>
          <w:sz w:val="24"/>
        </w:rPr>
        <w:t>评标委员会按照下表对投标文件进行详细审查和评分。</w:t>
      </w:r>
    </w:p>
    <w:p w14:paraId="0AC31A83">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.3.2</w:t>
      </w:r>
      <w:r>
        <w:rPr>
          <w:rFonts w:hint="eastAsia" w:asciiTheme="minorEastAsia" w:hAnsiTheme="minorEastAsia" w:eastAsiaTheme="minorEastAsia"/>
          <w:sz w:val="24"/>
        </w:rPr>
        <w:t>本项目综合评分满分为1</w:t>
      </w:r>
      <w:r>
        <w:rPr>
          <w:rFonts w:asciiTheme="minorEastAsia" w:hAnsiTheme="minorEastAsia" w:eastAsiaTheme="minorEastAsia"/>
          <w:sz w:val="24"/>
        </w:rPr>
        <w:t>00</w:t>
      </w:r>
      <w:r>
        <w:rPr>
          <w:rFonts w:hint="eastAsia" w:asciiTheme="minorEastAsia" w:hAnsiTheme="minorEastAsia" w:eastAsiaTheme="minorEastAsia"/>
          <w:sz w:val="24"/>
        </w:rPr>
        <w:t>分，其中：技术资信分值占总分值的权重为</w:t>
      </w:r>
      <w:r>
        <w:rPr>
          <w:rFonts w:hint="eastAsia" w:asciiTheme="minorEastAsia" w:hAnsiTheme="minorEastAsia" w:eastAsiaTheme="minorEastAsia"/>
          <w:sz w:val="24"/>
          <w:u w:val="single"/>
        </w:rPr>
        <w:t>70</w:t>
      </w:r>
      <w:r>
        <w:rPr>
          <w:rFonts w:asciiTheme="minorEastAsia" w:hAnsiTheme="minorEastAsia" w:eastAsiaTheme="minorEastAsia"/>
          <w:sz w:val="24"/>
          <w:u w:val="single"/>
        </w:rPr>
        <w:t xml:space="preserve"> </w:t>
      </w:r>
      <w:r>
        <w:rPr>
          <w:rFonts w:asciiTheme="minorEastAsia" w:hAnsiTheme="minorEastAsia" w:eastAsiaTheme="minorEastAsia"/>
          <w:sz w:val="24"/>
        </w:rPr>
        <w:t>%，价格分值占总分值的权重为</w:t>
      </w:r>
      <w:r>
        <w:rPr>
          <w:rFonts w:hint="eastAsia" w:asciiTheme="minorEastAsia" w:hAnsiTheme="minorEastAsia" w:eastAsiaTheme="minorEastAsia"/>
          <w:sz w:val="24"/>
          <w:u w:val="single"/>
        </w:rPr>
        <w:t>30</w:t>
      </w:r>
      <w:r>
        <w:rPr>
          <w:rFonts w:asciiTheme="minorEastAsia" w:hAnsiTheme="minorEastAsia" w:eastAsiaTheme="minorEastAsia"/>
          <w:sz w:val="24"/>
        </w:rPr>
        <w:t>%。具体评分细则如下：</w:t>
      </w:r>
    </w:p>
    <w:tbl>
      <w:tblPr>
        <w:tblStyle w:val="29"/>
        <w:tblW w:w="95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1066"/>
        <w:gridCol w:w="6525"/>
        <w:gridCol w:w="944"/>
      </w:tblGrid>
      <w:tr w14:paraId="072EB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32" w:type="dxa"/>
            <w:gridSpan w:val="2"/>
            <w:shd w:val="clear" w:color="auto" w:fill="FFFFFF"/>
            <w:noWrap w:val="0"/>
            <w:vAlign w:val="center"/>
          </w:tcPr>
          <w:p w14:paraId="456A6B71">
            <w:pPr>
              <w:pStyle w:val="26"/>
              <w:keepNext w:val="0"/>
              <w:keepLines w:val="0"/>
              <w:pageBreakBefore w:val="0"/>
              <w:tabs>
                <w:tab w:val="left" w:pos="397"/>
              </w:tabs>
              <w:kinsoku/>
              <w:wordWrap/>
              <w:overflowPunct/>
              <w:topLinePunct w:val="0"/>
              <w:autoSpaceDE/>
              <w:autoSpaceDN/>
              <w:bidi w:val="0"/>
              <w:spacing w:after="0" w:line="360" w:lineRule="auto"/>
              <w:ind w:firstLine="0" w:firstLineChars="0"/>
              <w:jc w:val="center"/>
              <w:textAlignment w:val="auto"/>
              <w:rPr>
                <w:rFonts w:hint="eastAsia" w:ascii="宋体" w:hAnsi="宋体" w:eastAsia="宋体" w:cs="宋体"/>
                <w:color w:val="000000"/>
                <w:sz w:val="22"/>
                <w:szCs w:val="22"/>
                <w:lang w:val="zh-CN"/>
              </w:rPr>
            </w:pPr>
            <w:r>
              <w:rPr>
                <w:rFonts w:hint="eastAsia" w:ascii="宋体" w:hAnsi="宋体" w:eastAsia="宋体" w:cs="宋体"/>
                <w:color w:val="000000"/>
                <w:sz w:val="22"/>
                <w:szCs w:val="22"/>
                <w:lang w:val="zh-CN"/>
              </w:rPr>
              <w:br w:type="page"/>
            </w:r>
            <w:r>
              <w:rPr>
                <w:rFonts w:hint="eastAsia" w:ascii="宋体" w:hAnsi="宋体" w:eastAsia="宋体" w:cs="宋体"/>
                <w:color w:val="000000"/>
                <w:sz w:val="22"/>
                <w:szCs w:val="22"/>
                <w:lang w:val="zh-CN"/>
              </w:rPr>
              <w:t>评审内容</w:t>
            </w:r>
          </w:p>
        </w:tc>
        <w:tc>
          <w:tcPr>
            <w:tcW w:w="6525" w:type="dxa"/>
            <w:shd w:val="clear" w:color="auto" w:fill="auto"/>
            <w:noWrap w:val="0"/>
            <w:vAlign w:val="center"/>
          </w:tcPr>
          <w:p w14:paraId="63C90B6D">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000000"/>
                <w:sz w:val="22"/>
                <w:szCs w:val="22"/>
                <w:lang w:val="zh-CN"/>
              </w:rPr>
            </w:pPr>
            <w:r>
              <w:rPr>
                <w:rFonts w:hint="eastAsia" w:ascii="宋体" w:hAnsi="宋体" w:eastAsia="宋体" w:cs="宋体"/>
                <w:color w:val="000000"/>
                <w:sz w:val="22"/>
                <w:szCs w:val="22"/>
                <w:lang w:val="zh-CN"/>
              </w:rPr>
              <w:t>评审细则</w:t>
            </w:r>
          </w:p>
        </w:tc>
        <w:tc>
          <w:tcPr>
            <w:tcW w:w="944" w:type="dxa"/>
            <w:shd w:val="clear" w:color="auto" w:fill="FFFFFF"/>
            <w:noWrap w:val="0"/>
            <w:vAlign w:val="center"/>
          </w:tcPr>
          <w:p w14:paraId="2D79D5DF">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000000"/>
                <w:sz w:val="22"/>
                <w:szCs w:val="22"/>
                <w:lang w:val="zh-CN"/>
              </w:rPr>
            </w:pPr>
            <w:r>
              <w:rPr>
                <w:rFonts w:hint="eastAsia" w:ascii="宋体" w:hAnsi="宋体" w:eastAsia="宋体" w:cs="宋体"/>
                <w:color w:val="000000"/>
                <w:sz w:val="22"/>
                <w:szCs w:val="22"/>
                <w:lang w:val="zh-CN"/>
              </w:rPr>
              <w:t>得分</w:t>
            </w:r>
          </w:p>
        </w:tc>
      </w:tr>
      <w:tr w14:paraId="66983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6" w:type="dxa"/>
            <w:vMerge w:val="restart"/>
            <w:shd w:val="clear" w:color="auto" w:fill="FFFFFF"/>
            <w:noWrap w:val="0"/>
            <w:vAlign w:val="center"/>
          </w:tcPr>
          <w:p w14:paraId="6A1C78AF">
            <w:pPr>
              <w:pStyle w:val="8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highlight w:val="none"/>
                <w:lang w:val="en-US" w:eastAsia="zh-CN"/>
              </w:rPr>
              <w:t>技术资信</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lang w:val="en-US" w:eastAsia="zh-CN"/>
              </w:rPr>
              <w:t>1</w:t>
            </w:r>
            <w:r>
              <w:rPr>
                <w:rFonts w:hint="eastAsia" w:eastAsia="宋体" w:cs="宋体"/>
                <w:color w:val="000000"/>
                <w:sz w:val="22"/>
                <w:szCs w:val="22"/>
                <w:highlight w:val="none"/>
                <w:lang w:val="en-US" w:eastAsia="zh-CN"/>
              </w:rPr>
              <w:t>5</w:t>
            </w:r>
            <w:r>
              <w:rPr>
                <w:rFonts w:hint="eastAsia" w:ascii="宋体" w:hAnsi="宋体" w:eastAsia="宋体" w:cs="宋体"/>
                <w:color w:val="000000"/>
                <w:sz w:val="22"/>
                <w:szCs w:val="22"/>
                <w:highlight w:val="none"/>
                <w:lang w:val="en-US" w:eastAsia="zh-CN"/>
              </w:rPr>
              <w:t>分</w:t>
            </w:r>
            <w:r>
              <w:rPr>
                <w:rFonts w:hint="eastAsia" w:ascii="宋体" w:hAnsi="宋体" w:eastAsia="宋体" w:cs="宋体"/>
                <w:color w:val="000000"/>
                <w:sz w:val="22"/>
                <w:szCs w:val="22"/>
                <w:highlight w:val="none"/>
                <w:lang w:eastAsia="zh-CN"/>
              </w:rPr>
              <w:t>）</w:t>
            </w:r>
          </w:p>
        </w:tc>
        <w:tc>
          <w:tcPr>
            <w:tcW w:w="1066" w:type="dxa"/>
            <w:shd w:val="clear" w:color="auto" w:fill="FFFFFF"/>
            <w:noWrap w:val="0"/>
            <w:vAlign w:val="center"/>
          </w:tcPr>
          <w:p w14:paraId="308BBCAA">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 w:val="0"/>
                <w:bCs w:val="0"/>
                <w:color w:val="000000"/>
                <w:sz w:val="22"/>
                <w:szCs w:val="22"/>
                <w:lang w:val="en-US" w:eastAsia="zh-CN"/>
              </w:rPr>
            </w:pPr>
            <w:r>
              <w:rPr>
                <w:rFonts w:hint="eastAsia" w:ascii="宋体" w:hAnsi="宋体" w:eastAsia="宋体" w:cs="宋体"/>
                <w:b w:val="0"/>
                <w:bCs w:val="0"/>
                <w:spacing w:val="-2"/>
                <w:kern w:val="0"/>
                <w:sz w:val="22"/>
                <w:szCs w:val="22"/>
                <w:lang w:val="en-US" w:eastAsia="zh-CN" w:bidi="ar-SA"/>
              </w:rPr>
              <w:t>投标人业绩</w:t>
            </w:r>
          </w:p>
        </w:tc>
        <w:tc>
          <w:tcPr>
            <w:tcW w:w="6525" w:type="dxa"/>
            <w:shd w:val="clear" w:color="auto" w:fill="FFFFFF"/>
            <w:noWrap w:val="0"/>
            <w:vAlign w:val="center"/>
          </w:tcPr>
          <w:p w14:paraId="306A9E3D">
            <w:pPr>
              <w:keepNext w:val="0"/>
              <w:keepLines w:val="0"/>
              <w:pageBreakBefore w:val="0"/>
              <w:widowControl/>
              <w:numPr>
                <w:ilvl w:val="0"/>
                <w:numId w:val="0"/>
              </w:numPr>
              <w:kinsoku/>
              <w:wordWrap/>
              <w:overflowPunct/>
              <w:topLinePunct w:val="0"/>
              <w:autoSpaceDE/>
              <w:autoSpaceDN/>
              <w:bidi w:val="0"/>
              <w:spacing w:line="360" w:lineRule="auto"/>
              <w:textAlignment w:val="auto"/>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自2022年4月1日以来(以合同签订时间为准)，投标人具有为党政机关（或事业单位）提供</w:t>
            </w:r>
            <w:r>
              <w:rPr>
                <w:rFonts w:hint="eastAsia" w:ascii="宋体" w:hAnsi="宋体" w:eastAsia="宋体" w:cs="宋体"/>
                <w:kern w:val="0"/>
                <w:sz w:val="22"/>
                <w:szCs w:val="22"/>
                <w:lang w:eastAsia="zh-CN"/>
              </w:rPr>
              <w:t>生命探测仪供货项目业绩的</w:t>
            </w:r>
            <w:r>
              <w:rPr>
                <w:rFonts w:hint="eastAsia" w:ascii="宋体" w:hAnsi="宋体" w:eastAsia="宋体" w:cs="宋体"/>
                <w:kern w:val="0"/>
                <w:sz w:val="22"/>
                <w:szCs w:val="22"/>
              </w:rPr>
              <w:t>，每</w:t>
            </w:r>
            <w:r>
              <w:rPr>
                <w:rFonts w:hint="eastAsia" w:ascii="宋体" w:hAnsi="宋体" w:eastAsia="宋体" w:cs="宋体"/>
                <w:kern w:val="0"/>
                <w:sz w:val="22"/>
                <w:szCs w:val="22"/>
                <w:lang w:eastAsia="zh-CN"/>
              </w:rPr>
              <w:t>提供</w:t>
            </w:r>
            <w:r>
              <w:rPr>
                <w:rFonts w:hint="eastAsia" w:ascii="宋体" w:hAnsi="宋体" w:eastAsia="宋体" w:cs="宋体"/>
                <w:kern w:val="0"/>
                <w:sz w:val="22"/>
                <w:szCs w:val="22"/>
              </w:rPr>
              <w:t>1个业绩得</w:t>
            </w:r>
            <w:r>
              <w:rPr>
                <w:rFonts w:hint="eastAsia" w:ascii="宋体" w:hAnsi="宋体" w:eastAsia="宋体" w:cs="宋体"/>
                <w:kern w:val="0"/>
                <w:sz w:val="22"/>
                <w:szCs w:val="22"/>
                <w:lang w:val="en-US" w:eastAsia="zh-CN"/>
              </w:rPr>
              <w:t>2</w:t>
            </w:r>
            <w:r>
              <w:rPr>
                <w:rFonts w:hint="eastAsia" w:ascii="宋体" w:hAnsi="宋体" w:eastAsia="宋体" w:cs="宋体"/>
                <w:kern w:val="0"/>
                <w:sz w:val="22"/>
                <w:szCs w:val="22"/>
              </w:rPr>
              <w:t>分，</w:t>
            </w:r>
            <w:r>
              <w:rPr>
                <w:rFonts w:hint="eastAsia" w:ascii="宋体" w:hAnsi="宋体" w:eastAsia="宋体" w:cs="宋体"/>
                <w:kern w:val="0"/>
                <w:sz w:val="22"/>
                <w:szCs w:val="22"/>
                <w:lang w:eastAsia="zh-CN"/>
              </w:rPr>
              <w:t>满分</w:t>
            </w:r>
            <w:r>
              <w:rPr>
                <w:rFonts w:hint="eastAsia" w:ascii="宋体" w:hAnsi="宋体" w:eastAsia="宋体" w:cs="宋体"/>
                <w:kern w:val="0"/>
                <w:sz w:val="22"/>
                <w:szCs w:val="22"/>
                <w:lang w:val="en-US" w:eastAsia="zh-CN"/>
              </w:rPr>
              <w:t>10</w:t>
            </w:r>
            <w:r>
              <w:rPr>
                <w:rFonts w:hint="eastAsia" w:ascii="宋体" w:hAnsi="宋体" w:eastAsia="宋体" w:cs="宋体"/>
                <w:kern w:val="0"/>
                <w:sz w:val="22"/>
                <w:szCs w:val="22"/>
              </w:rPr>
              <w:t>分。</w:t>
            </w:r>
          </w:p>
          <w:p w14:paraId="3E1C5CAD">
            <w:pPr>
              <w:pStyle w:val="84"/>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color w:val="0000FF"/>
                <w:kern w:val="2"/>
                <w:sz w:val="22"/>
                <w:szCs w:val="22"/>
                <w:lang w:val="en-US" w:eastAsia="zh-CN" w:bidi="ar-SA"/>
              </w:rPr>
              <w:t>注:（1）以上业绩须提供业绩合同和中标通知书的扫描件或影印件，如合同无法体现项目内容、签订时间、规模等内容的，须另附原业主单位加盖公章的证明材料，并获得评委认可，否则不得分；（2）中标通知书和合同中标后提供原件供采购人核查。</w:t>
            </w:r>
          </w:p>
        </w:tc>
        <w:tc>
          <w:tcPr>
            <w:tcW w:w="944" w:type="dxa"/>
            <w:shd w:val="clear" w:color="auto" w:fill="FFFFFF"/>
            <w:noWrap w:val="0"/>
            <w:vAlign w:val="center"/>
          </w:tcPr>
          <w:p w14:paraId="3874B684">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b w:val="0"/>
                <w:bCs w:val="0"/>
                <w:color w:val="000000"/>
                <w:sz w:val="22"/>
                <w:szCs w:val="22"/>
                <w:lang w:val="en-US" w:eastAsia="zh-CN" w:bidi="en-US"/>
              </w:rPr>
            </w:pPr>
            <w:r>
              <w:rPr>
                <w:rFonts w:hint="eastAsia" w:ascii="宋体" w:hAnsi="宋体" w:eastAsia="宋体" w:cs="宋体"/>
                <w:b w:val="0"/>
                <w:bCs w:val="0"/>
                <w:spacing w:val="-2"/>
                <w:kern w:val="0"/>
                <w:sz w:val="22"/>
                <w:szCs w:val="22"/>
                <w:lang w:val="en-US" w:eastAsia="zh-CN" w:bidi="ar-SA"/>
              </w:rPr>
              <w:t>0-10分</w:t>
            </w:r>
          </w:p>
        </w:tc>
      </w:tr>
      <w:tr w14:paraId="5FA83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6" w:type="dxa"/>
            <w:vMerge w:val="continue"/>
            <w:shd w:val="clear" w:color="auto" w:fill="FFFFFF"/>
            <w:noWrap w:val="0"/>
            <w:vAlign w:val="center"/>
          </w:tcPr>
          <w:p w14:paraId="58A835F4">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sz w:val="22"/>
                <w:szCs w:val="22"/>
                <w:highlight w:val="none"/>
                <w:lang w:eastAsia="zh-CN"/>
              </w:rPr>
            </w:pPr>
          </w:p>
        </w:tc>
        <w:tc>
          <w:tcPr>
            <w:tcW w:w="1066" w:type="dxa"/>
            <w:shd w:val="clear" w:color="auto" w:fill="FFFFFF"/>
            <w:noWrap w:val="0"/>
            <w:vAlign w:val="center"/>
          </w:tcPr>
          <w:p w14:paraId="0B05B0FC">
            <w:pPr>
              <w:pStyle w:val="10"/>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eastAsia="zh-CN"/>
              </w:rPr>
              <w:t>投标人实力</w:t>
            </w:r>
          </w:p>
        </w:tc>
        <w:tc>
          <w:tcPr>
            <w:tcW w:w="6525" w:type="dxa"/>
            <w:shd w:val="clear" w:color="auto" w:fill="FFFFFF"/>
            <w:noWrap w:val="0"/>
            <w:vAlign w:val="center"/>
          </w:tcPr>
          <w:p w14:paraId="0485D628">
            <w:pPr>
              <w:keepNext w:val="0"/>
              <w:keepLines w:val="0"/>
              <w:pageBreakBefore w:val="0"/>
              <w:widowControl/>
              <w:numPr>
                <w:ilvl w:val="0"/>
                <w:numId w:val="0"/>
              </w:numPr>
              <w:kinsoku/>
              <w:wordWrap/>
              <w:overflowPunct/>
              <w:topLinePunct w:val="0"/>
              <w:autoSpaceDE/>
              <w:autoSpaceDN/>
              <w:bidi w:val="0"/>
              <w:spacing w:line="360" w:lineRule="auto"/>
              <w:textAlignment w:val="auto"/>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投标人具有安防三级资质的，得1分，具有二级及以上得2分；</w:t>
            </w:r>
          </w:p>
          <w:p w14:paraId="5C0C2D2F">
            <w:pPr>
              <w:keepNext w:val="0"/>
              <w:keepLines w:val="0"/>
              <w:pageBreakBefore w:val="0"/>
              <w:widowControl/>
              <w:numPr>
                <w:ilvl w:val="0"/>
                <w:numId w:val="0"/>
              </w:numPr>
              <w:kinsoku/>
              <w:wordWrap/>
              <w:overflowPunct/>
              <w:topLinePunct w:val="0"/>
              <w:autoSpaceDE/>
              <w:autoSpaceDN/>
              <w:bidi w:val="0"/>
              <w:spacing w:line="360" w:lineRule="auto"/>
              <w:textAlignment w:val="auto"/>
              <w:rPr>
                <w:rFonts w:hint="eastAsia" w:ascii="宋体" w:hAnsi="宋体" w:eastAsia="宋体" w:cs="宋体"/>
                <w:kern w:val="0"/>
                <w:sz w:val="22"/>
                <w:szCs w:val="22"/>
                <w:lang w:val="en-US" w:eastAsia="zh-CN"/>
              </w:rPr>
            </w:pPr>
            <w:r>
              <w:rPr>
                <w:rFonts w:hint="eastAsia" w:ascii="宋体" w:hAnsi="宋体" w:eastAsia="宋体" w:cs="宋体"/>
                <w:color w:val="0000FF"/>
                <w:kern w:val="2"/>
                <w:sz w:val="22"/>
                <w:szCs w:val="22"/>
                <w:lang w:val="en-US" w:eastAsia="zh-CN" w:bidi="ar-SA"/>
              </w:rPr>
              <w:t>注：以上所有证书须提供在有效期内证书扫描件， 否则不得分。</w:t>
            </w:r>
          </w:p>
        </w:tc>
        <w:tc>
          <w:tcPr>
            <w:tcW w:w="944" w:type="dxa"/>
            <w:shd w:val="clear" w:color="auto" w:fill="FFFFFF"/>
            <w:noWrap w:val="0"/>
            <w:vAlign w:val="center"/>
          </w:tcPr>
          <w:p w14:paraId="791FDC18">
            <w:pPr>
              <w:pStyle w:val="83"/>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000000"/>
                <w:sz w:val="22"/>
                <w:szCs w:val="22"/>
                <w:lang w:val="en-US" w:eastAsia="zh-CN" w:bidi="en-US"/>
              </w:rPr>
            </w:pPr>
            <w:r>
              <w:rPr>
                <w:rFonts w:hint="eastAsia" w:ascii="宋体" w:hAnsi="宋体" w:eastAsia="宋体" w:cs="宋体"/>
                <w:color w:val="000000"/>
                <w:sz w:val="22"/>
                <w:szCs w:val="22"/>
                <w:lang w:val="en-US" w:eastAsia="zh-CN" w:bidi="en-US"/>
              </w:rPr>
              <w:t>0-</w:t>
            </w:r>
            <w:r>
              <w:rPr>
                <w:rFonts w:hint="eastAsia" w:eastAsia="宋体" w:cs="宋体"/>
                <w:color w:val="000000"/>
                <w:sz w:val="22"/>
                <w:szCs w:val="22"/>
                <w:lang w:val="en-US" w:eastAsia="zh-CN" w:bidi="en-US"/>
              </w:rPr>
              <w:t>2</w:t>
            </w:r>
            <w:r>
              <w:rPr>
                <w:rFonts w:hint="eastAsia" w:ascii="宋体" w:hAnsi="宋体" w:eastAsia="宋体" w:cs="宋体"/>
                <w:color w:val="000000"/>
                <w:sz w:val="22"/>
                <w:szCs w:val="22"/>
                <w:lang w:val="en-US" w:eastAsia="zh-CN" w:bidi="en-US"/>
              </w:rPr>
              <w:t>分</w:t>
            </w:r>
          </w:p>
        </w:tc>
      </w:tr>
      <w:tr w14:paraId="0F635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6" w:type="dxa"/>
            <w:vMerge w:val="continue"/>
            <w:shd w:val="clear" w:color="auto" w:fill="FFFFFF"/>
            <w:noWrap w:val="0"/>
            <w:vAlign w:val="center"/>
          </w:tcPr>
          <w:p w14:paraId="25956B1D">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sz w:val="22"/>
                <w:szCs w:val="22"/>
                <w:highlight w:val="none"/>
                <w:lang w:eastAsia="zh-CN"/>
              </w:rPr>
            </w:pPr>
          </w:p>
        </w:tc>
        <w:tc>
          <w:tcPr>
            <w:tcW w:w="1066" w:type="dxa"/>
            <w:shd w:val="clear" w:color="auto" w:fill="FFFFFF"/>
            <w:noWrap w:val="0"/>
            <w:vAlign w:val="center"/>
          </w:tcPr>
          <w:p w14:paraId="05C009A6">
            <w:pPr>
              <w:pStyle w:val="10"/>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eastAsia="zh-CN"/>
              </w:rPr>
              <w:t>体系认证</w:t>
            </w:r>
          </w:p>
        </w:tc>
        <w:tc>
          <w:tcPr>
            <w:tcW w:w="6525" w:type="dxa"/>
            <w:shd w:val="clear" w:color="auto" w:fill="FFFFFF"/>
            <w:noWrap w:val="0"/>
            <w:vAlign w:val="center"/>
          </w:tcPr>
          <w:p w14:paraId="518CFF8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kern w:val="0"/>
                <w:sz w:val="22"/>
                <w:szCs w:val="22"/>
                <w:lang w:bidi="ar"/>
              </w:rPr>
            </w:pPr>
            <w:r>
              <w:rPr>
                <w:rFonts w:hint="eastAsia" w:ascii="宋体" w:hAnsi="宋体" w:eastAsia="宋体" w:cs="宋体"/>
                <w:kern w:val="0"/>
                <w:sz w:val="22"/>
                <w:szCs w:val="22"/>
                <w:lang w:bidi="ar"/>
              </w:rPr>
              <w:t>投标人具有经中国国家认证认可监督管理委员会认证机构颁发有效的质量管理体系认证证书、环境管理体系认证证书、职业健康安全管理体系认证证书，且体系证书在有效期内，每提供一项有效认证证书得1分，满分3分。</w:t>
            </w:r>
          </w:p>
          <w:p w14:paraId="5DD0019C">
            <w:pPr>
              <w:keepNext w:val="0"/>
              <w:keepLines w:val="0"/>
              <w:pageBreakBefore w:val="0"/>
              <w:widowControl/>
              <w:numPr>
                <w:ilvl w:val="0"/>
                <w:numId w:val="0"/>
              </w:numPr>
              <w:kinsoku/>
              <w:wordWrap/>
              <w:overflowPunct/>
              <w:topLinePunct w:val="0"/>
              <w:autoSpaceDE/>
              <w:autoSpaceDN/>
              <w:bidi w:val="0"/>
              <w:spacing w:line="360" w:lineRule="auto"/>
              <w:textAlignment w:val="auto"/>
              <w:rPr>
                <w:rFonts w:hint="eastAsia" w:ascii="宋体" w:hAnsi="宋体" w:eastAsia="宋体" w:cs="宋体"/>
                <w:kern w:val="0"/>
                <w:sz w:val="22"/>
                <w:szCs w:val="22"/>
                <w:lang w:val="en-US" w:eastAsia="zh-CN"/>
              </w:rPr>
            </w:pPr>
            <w:r>
              <w:rPr>
                <w:rFonts w:hint="eastAsia" w:ascii="宋体" w:hAnsi="宋体" w:eastAsia="宋体" w:cs="宋体"/>
                <w:color w:val="0B1AE9"/>
                <w:kern w:val="0"/>
                <w:sz w:val="22"/>
                <w:szCs w:val="22"/>
                <w:lang w:bidi="ar"/>
              </w:rPr>
              <w:t>注：投标文件中提供上述证书扫描件或影印件及管理体系证书全国认证认可信息公共服务平台网站证书信息查询截图，未提供有效资料的不得分。</w:t>
            </w:r>
          </w:p>
        </w:tc>
        <w:tc>
          <w:tcPr>
            <w:tcW w:w="944" w:type="dxa"/>
            <w:shd w:val="clear" w:color="auto" w:fill="FFFFFF"/>
            <w:noWrap w:val="0"/>
            <w:vAlign w:val="center"/>
          </w:tcPr>
          <w:p w14:paraId="73EE26D5">
            <w:pPr>
              <w:pStyle w:val="83"/>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000000"/>
                <w:sz w:val="22"/>
                <w:szCs w:val="22"/>
                <w:lang w:val="en-US" w:eastAsia="zh-CN" w:bidi="en-US"/>
              </w:rPr>
            </w:pPr>
            <w:r>
              <w:rPr>
                <w:rFonts w:hint="eastAsia" w:ascii="宋体" w:hAnsi="宋体" w:eastAsia="宋体" w:cs="宋体"/>
                <w:color w:val="000000"/>
                <w:sz w:val="22"/>
                <w:szCs w:val="22"/>
                <w:lang w:val="en-US" w:eastAsia="zh-CN" w:bidi="en-US"/>
              </w:rPr>
              <w:t>0-3分</w:t>
            </w:r>
          </w:p>
        </w:tc>
      </w:tr>
      <w:tr w14:paraId="64265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6" w:type="dxa"/>
            <w:vMerge w:val="restart"/>
            <w:shd w:val="clear" w:color="auto" w:fill="FFFFFF"/>
            <w:noWrap w:val="0"/>
            <w:vAlign w:val="center"/>
          </w:tcPr>
          <w:p w14:paraId="6CBB077F">
            <w:pPr>
              <w:keepNext w:val="0"/>
              <w:keepLines w:val="0"/>
              <w:pageBreakBefore w:val="0"/>
              <w:widowControl/>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kern w:val="0"/>
                <w:sz w:val="22"/>
                <w:szCs w:val="22"/>
                <w:highlight w:val="none"/>
              </w:rPr>
            </w:pPr>
            <w:r>
              <w:rPr>
                <w:rFonts w:hint="eastAsia" w:ascii="宋体" w:hAnsi="宋体" w:eastAsia="宋体" w:cs="宋体"/>
                <w:kern w:val="0"/>
                <w:sz w:val="22"/>
                <w:szCs w:val="22"/>
                <w:highlight w:val="none"/>
              </w:rPr>
              <w:t>技术标评审</w:t>
            </w:r>
          </w:p>
          <w:p w14:paraId="7456346B">
            <w:pPr>
              <w:pStyle w:val="8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highlight w:val="none"/>
              </w:rPr>
              <w:t>（</w:t>
            </w:r>
            <w:r>
              <w:rPr>
                <w:rFonts w:hint="eastAsia" w:ascii="宋体" w:hAnsi="宋体" w:eastAsia="宋体" w:cs="宋体"/>
                <w:color w:val="000000"/>
                <w:sz w:val="22"/>
                <w:szCs w:val="22"/>
                <w:highlight w:val="none"/>
                <w:lang w:val="en-US" w:eastAsia="zh-CN"/>
              </w:rPr>
              <w:t>5</w:t>
            </w:r>
            <w:r>
              <w:rPr>
                <w:rFonts w:hint="eastAsia" w:eastAsia="宋体" w:cs="宋体"/>
                <w:color w:val="000000"/>
                <w:sz w:val="22"/>
                <w:szCs w:val="22"/>
                <w:highlight w:val="none"/>
                <w:lang w:val="en-US" w:eastAsia="zh-CN"/>
              </w:rPr>
              <w:t>5</w:t>
            </w:r>
            <w:r>
              <w:rPr>
                <w:rFonts w:hint="eastAsia" w:ascii="宋体" w:hAnsi="宋体" w:eastAsia="宋体" w:cs="宋体"/>
                <w:color w:val="000000"/>
                <w:sz w:val="22"/>
                <w:szCs w:val="22"/>
                <w:highlight w:val="none"/>
              </w:rPr>
              <w:t>分）</w:t>
            </w:r>
          </w:p>
        </w:tc>
        <w:tc>
          <w:tcPr>
            <w:tcW w:w="1066" w:type="dxa"/>
            <w:shd w:val="clear" w:color="auto" w:fill="FFFFFF"/>
            <w:noWrap w:val="0"/>
            <w:vAlign w:val="center"/>
          </w:tcPr>
          <w:p w14:paraId="0C4558A2">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 w:val="0"/>
                <w:bCs w:val="0"/>
                <w:spacing w:val="-2"/>
                <w:kern w:val="0"/>
                <w:sz w:val="22"/>
                <w:szCs w:val="22"/>
                <w:lang w:val="en-US" w:eastAsia="zh-CN" w:bidi="ar-SA"/>
              </w:rPr>
            </w:pPr>
            <w:r>
              <w:rPr>
                <w:rFonts w:hint="eastAsia" w:ascii="宋体" w:hAnsi="宋体" w:eastAsia="宋体" w:cs="宋体"/>
                <w:b w:val="0"/>
                <w:bCs w:val="0"/>
                <w:spacing w:val="-2"/>
                <w:kern w:val="0"/>
                <w:sz w:val="22"/>
                <w:szCs w:val="22"/>
                <w:lang w:val="en-US" w:eastAsia="zh-CN" w:bidi="ar-SA"/>
              </w:rPr>
              <w:t>技术指标参数及响应程度</w:t>
            </w:r>
          </w:p>
        </w:tc>
        <w:tc>
          <w:tcPr>
            <w:tcW w:w="6525" w:type="dxa"/>
            <w:shd w:val="clear" w:color="auto" w:fill="FFFFFF"/>
            <w:noWrap w:val="0"/>
            <w:vAlign w:val="center"/>
          </w:tcPr>
          <w:p w14:paraId="0F6B348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pacing w:val="-2"/>
                <w:kern w:val="0"/>
                <w:sz w:val="22"/>
                <w:szCs w:val="22"/>
                <w:lang w:val="en-US" w:eastAsia="zh-CN" w:bidi="ar-SA"/>
              </w:rPr>
            </w:pPr>
            <w:r>
              <w:rPr>
                <w:rFonts w:hint="eastAsia" w:ascii="宋体" w:hAnsi="宋体" w:eastAsia="宋体" w:cs="宋体"/>
                <w:color w:val="000000"/>
                <w:sz w:val="22"/>
                <w:szCs w:val="22"/>
                <w:highlight w:val="none"/>
                <w:lang w:val="en-US" w:eastAsia="zh-CN"/>
              </w:rPr>
              <w:t>根据投标人所投产品对招标文件采购需求中的技术参数及要求的响应情况进行评分：</w:t>
            </w:r>
          </w:p>
          <w:p w14:paraId="614A8133">
            <w:pPr>
              <w:keepNext w:val="0"/>
              <w:keepLines w:val="0"/>
              <w:pageBreakBefore w:val="0"/>
              <w:widowControl/>
              <w:numPr>
                <w:ilvl w:val="0"/>
                <w:numId w:val="0"/>
              </w:numPr>
              <w:kinsoku/>
              <w:wordWrap/>
              <w:overflowPunct/>
              <w:topLinePunct w:val="0"/>
              <w:autoSpaceDE/>
              <w:autoSpaceDN/>
              <w:bidi w:val="0"/>
              <w:spacing w:line="360" w:lineRule="auto"/>
              <w:textAlignment w:val="auto"/>
              <w:rPr>
                <w:rFonts w:hint="eastAsia" w:ascii="宋体" w:hAnsi="宋体" w:eastAsia="宋体" w:cs="宋体"/>
                <w:b w:val="0"/>
                <w:bCs w:val="0"/>
                <w:spacing w:val="-2"/>
                <w:kern w:val="0"/>
                <w:sz w:val="22"/>
                <w:szCs w:val="22"/>
                <w:lang w:val="en-US" w:eastAsia="zh-CN" w:bidi="ar-SA"/>
              </w:rPr>
            </w:pPr>
            <w:r>
              <w:rPr>
                <w:rFonts w:hint="eastAsia" w:ascii="宋体" w:hAnsi="宋体" w:eastAsia="宋体" w:cs="宋体"/>
                <w:color w:val="000000"/>
                <w:sz w:val="22"/>
                <w:szCs w:val="22"/>
                <w:highlight w:val="none"/>
                <w:lang w:val="en-US" w:eastAsia="zh-CN"/>
              </w:rPr>
              <w:t>标</w:t>
            </w:r>
            <w:r>
              <w:rPr>
                <w:rFonts w:hint="eastAsia" w:ascii="宋体" w:hAnsi="宋体" w:eastAsia="宋体" w:cs="宋体"/>
                <w:color w:val="000000"/>
                <w:kern w:val="0"/>
                <w:sz w:val="22"/>
                <w:szCs w:val="22"/>
                <w:highlight w:val="none"/>
                <w:lang w:eastAsia="zh-CN"/>
              </w:rPr>
              <w:t>■</w:t>
            </w:r>
            <w:r>
              <w:rPr>
                <w:rFonts w:hint="eastAsia" w:ascii="宋体" w:hAnsi="宋体" w:eastAsia="宋体" w:cs="宋体"/>
                <w:color w:val="000000"/>
                <w:sz w:val="22"/>
                <w:szCs w:val="22"/>
                <w:highlight w:val="none"/>
                <w:lang w:val="en-US" w:eastAsia="zh-CN"/>
              </w:rPr>
              <w:t>指标项</w:t>
            </w:r>
            <w:r>
              <w:rPr>
                <w:rFonts w:hint="eastAsia" w:ascii="宋体" w:hAnsi="宋体" w:eastAsia="宋体" w:cs="宋体"/>
                <w:b w:val="0"/>
                <w:bCs w:val="0"/>
                <w:spacing w:val="-2"/>
                <w:kern w:val="0"/>
                <w:sz w:val="22"/>
                <w:szCs w:val="22"/>
                <w:lang w:val="en-US" w:eastAsia="zh-CN" w:bidi="ar-SA"/>
              </w:rPr>
              <w:t>，</w:t>
            </w:r>
            <w:r>
              <w:rPr>
                <w:rFonts w:hint="eastAsia" w:ascii="宋体" w:hAnsi="宋体" w:eastAsia="宋体" w:cs="宋体"/>
                <w:color w:val="000000"/>
                <w:sz w:val="22"/>
                <w:szCs w:val="22"/>
                <w:highlight w:val="none"/>
                <w:lang w:val="en-US" w:eastAsia="zh-CN"/>
              </w:rPr>
              <w:t>每一项满足或优于招标文件该指标的得2分，共20项，共计40分。</w:t>
            </w:r>
          </w:p>
          <w:p w14:paraId="454A1717">
            <w:pPr>
              <w:keepNext w:val="0"/>
              <w:keepLines w:val="0"/>
              <w:pageBreakBefore w:val="0"/>
              <w:widowControl/>
              <w:numPr>
                <w:ilvl w:val="0"/>
                <w:numId w:val="0"/>
              </w:numPr>
              <w:kinsoku/>
              <w:wordWrap/>
              <w:overflowPunct/>
              <w:topLinePunct w:val="0"/>
              <w:autoSpaceDE/>
              <w:autoSpaceDN/>
              <w:bidi w:val="0"/>
              <w:spacing w:line="360" w:lineRule="auto"/>
              <w:textAlignment w:val="auto"/>
              <w:rPr>
                <w:rFonts w:hint="eastAsia" w:ascii="宋体" w:hAnsi="宋体" w:eastAsia="宋体" w:cs="宋体"/>
                <w:b w:val="0"/>
                <w:bCs w:val="0"/>
                <w:spacing w:val="-2"/>
                <w:kern w:val="0"/>
                <w:sz w:val="22"/>
                <w:szCs w:val="22"/>
                <w:lang w:val="en-US" w:eastAsia="zh-CN" w:bidi="ar-SA"/>
              </w:rPr>
            </w:pPr>
            <w:r>
              <w:rPr>
                <w:rFonts w:hint="eastAsia" w:ascii="宋体" w:hAnsi="宋体" w:eastAsia="宋体" w:cs="宋体"/>
                <w:color w:val="0000FF"/>
                <w:kern w:val="2"/>
                <w:sz w:val="22"/>
                <w:szCs w:val="22"/>
                <w:lang w:val="en-US" w:eastAsia="zh-CN" w:bidi="ar-SA"/>
              </w:rPr>
              <w:t>注：采购需求清单及技术规格中如要求提供证明材料的，其证明材料作为评审依据。</w:t>
            </w:r>
          </w:p>
        </w:tc>
        <w:tc>
          <w:tcPr>
            <w:tcW w:w="944" w:type="dxa"/>
            <w:shd w:val="clear" w:color="auto" w:fill="FFFFFF"/>
            <w:noWrap w:val="0"/>
            <w:vAlign w:val="center"/>
          </w:tcPr>
          <w:p w14:paraId="24EB5A8E">
            <w:pPr>
              <w:pStyle w:val="83"/>
              <w:keepNext w:val="0"/>
              <w:keepLines w:val="0"/>
              <w:pageBreakBefore w:val="0"/>
              <w:kinsoku/>
              <w:wordWrap/>
              <w:overflowPunct/>
              <w:topLinePunct w:val="0"/>
              <w:autoSpaceDE/>
              <w:autoSpaceDN/>
              <w:bidi w:val="0"/>
              <w:spacing w:line="360" w:lineRule="auto"/>
              <w:jc w:val="center"/>
              <w:textAlignment w:val="auto"/>
              <w:rPr>
                <w:rStyle w:val="66"/>
                <w:rFonts w:hint="eastAsia" w:ascii="宋体" w:hAnsi="宋体" w:eastAsia="宋体" w:cs="宋体"/>
                <w:b w:val="0"/>
                <w:bCs w:val="0"/>
                <w:color w:val="auto"/>
                <w:kern w:val="0"/>
                <w:sz w:val="22"/>
                <w:szCs w:val="22"/>
              </w:rPr>
            </w:pPr>
            <w:r>
              <w:rPr>
                <w:rFonts w:hint="eastAsia" w:ascii="宋体" w:hAnsi="宋体" w:eastAsia="宋体" w:cs="宋体"/>
                <w:color w:val="000000"/>
                <w:sz w:val="22"/>
                <w:szCs w:val="22"/>
                <w:highlight w:val="none"/>
                <w:lang w:val="en-US" w:eastAsia="zh-CN" w:bidi="en-US"/>
              </w:rPr>
              <w:t>0-40分</w:t>
            </w:r>
          </w:p>
        </w:tc>
      </w:tr>
      <w:tr w14:paraId="43E2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6" w:type="dxa"/>
            <w:vMerge w:val="continue"/>
            <w:shd w:val="clear" w:color="auto" w:fill="FFFFFF"/>
            <w:noWrap w:val="0"/>
            <w:vAlign w:val="center"/>
          </w:tcPr>
          <w:p w14:paraId="39027033">
            <w:pPr>
              <w:pStyle w:val="8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sz w:val="22"/>
                <w:szCs w:val="22"/>
              </w:rPr>
            </w:pPr>
          </w:p>
        </w:tc>
        <w:tc>
          <w:tcPr>
            <w:tcW w:w="1066" w:type="dxa"/>
            <w:shd w:val="clear" w:color="auto" w:fill="FFFFFF"/>
            <w:noWrap w:val="0"/>
            <w:vAlign w:val="center"/>
          </w:tcPr>
          <w:p w14:paraId="5DCACD12">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00"/>
                <w:kern w:val="0"/>
                <w:sz w:val="22"/>
                <w:szCs w:val="22"/>
                <w:lang w:val="en-US" w:eastAsia="zh-CN" w:bidi="ar"/>
              </w:rPr>
            </w:pPr>
            <w:r>
              <w:rPr>
                <w:rFonts w:hint="eastAsia" w:ascii="宋体" w:hAnsi="宋体" w:eastAsia="宋体" w:cs="宋体"/>
                <w:color w:val="000000"/>
                <w:sz w:val="22"/>
                <w:szCs w:val="22"/>
                <w:highlight w:val="none"/>
                <w:lang w:eastAsia="zh-CN"/>
              </w:rPr>
              <w:t>供货</w:t>
            </w:r>
            <w:r>
              <w:rPr>
                <w:rFonts w:hint="eastAsia" w:ascii="宋体" w:hAnsi="宋体" w:eastAsia="宋体" w:cs="宋体"/>
                <w:color w:val="000000"/>
                <w:sz w:val="22"/>
                <w:szCs w:val="22"/>
                <w:highlight w:val="none"/>
              </w:rPr>
              <w:t>安装、调试、验收方案</w:t>
            </w:r>
          </w:p>
        </w:tc>
        <w:tc>
          <w:tcPr>
            <w:tcW w:w="6525" w:type="dxa"/>
            <w:shd w:val="clear" w:color="auto" w:fill="FFFFFF"/>
            <w:noWrap w:val="0"/>
            <w:vAlign w:val="center"/>
          </w:tcPr>
          <w:p w14:paraId="180ADAA1">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根据投标人提供的供货方案、施工进度管理方案、培训方案等资料进行横向评审：</w:t>
            </w:r>
          </w:p>
          <w:p w14:paraId="1F3E072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1.供货方案完整、施工管理进度方案详细、可行性高，培训方案及资料具体，计4-5分；</w:t>
            </w:r>
          </w:p>
          <w:p w14:paraId="16A8EB4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2.供货方案较完整、施工管理进度方案较详细、可行性较高，提供培训方案及资料较具体，计2-3分；</w:t>
            </w:r>
          </w:p>
          <w:p w14:paraId="5A304018">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3.供货方案不完整、施工管理进度方案一般、可行性低，培训方案及资料不具体，计0-1分。</w:t>
            </w:r>
          </w:p>
          <w:p w14:paraId="008A9594">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color w:val="000000"/>
                <w:sz w:val="22"/>
                <w:szCs w:val="22"/>
                <w:highlight w:val="none"/>
              </w:rPr>
              <w:t>4.方案明显错误或未提供的不得分。</w:t>
            </w:r>
          </w:p>
        </w:tc>
        <w:tc>
          <w:tcPr>
            <w:tcW w:w="944" w:type="dxa"/>
            <w:shd w:val="clear" w:color="auto" w:fill="FFFFFF"/>
            <w:noWrap w:val="0"/>
            <w:vAlign w:val="center"/>
          </w:tcPr>
          <w:p w14:paraId="2A1639EC">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 w:val="0"/>
                <w:bCs w:val="0"/>
                <w:color w:val="000000"/>
                <w:sz w:val="22"/>
                <w:szCs w:val="22"/>
                <w:lang w:val="en-US" w:eastAsia="en-US" w:bidi="en-US"/>
              </w:rPr>
            </w:pPr>
            <w:r>
              <w:rPr>
                <w:rStyle w:val="66"/>
                <w:rFonts w:hint="eastAsia" w:ascii="宋体" w:hAnsi="宋体" w:eastAsia="宋体" w:cs="宋体"/>
                <w:b w:val="0"/>
                <w:bCs w:val="0"/>
                <w:color w:val="auto"/>
                <w:kern w:val="0"/>
                <w:sz w:val="22"/>
                <w:szCs w:val="22"/>
              </w:rPr>
              <w:t>0-</w:t>
            </w:r>
            <w:r>
              <w:rPr>
                <w:rStyle w:val="66"/>
                <w:rFonts w:hint="eastAsia" w:ascii="宋体" w:hAnsi="宋体" w:eastAsia="宋体" w:cs="宋体"/>
                <w:b w:val="0"/>
                <w:bCs w:val="0"/>
                <w:color w:val="auto"/>
                <w:kern w:val="0"/>
                <w:sz w:val="22"/>
                <w:szCs w:val="22"/>
                <w:lang w:val="en-US" w:eastAsia="zh-CN"/>
              </w:rPr>
              <w:t>5</w:t>
            </w:r>
            <w:r>
              <w:rPr>
                <w:rStyle w:val="66"/>
                <w:rFonts w:hint="eastAsia" w:ascii="宋体" w:hAnsi="宋体" w:eastAsia="宋体" w:cs="宋体"/>
                <w:b w:val="0"/>
                <w:bCs w:val="0"/>
                <w:color w:val="auto"/>
                <w:kern w:val="0"/>
                <w:sz w:val="22"/>
                <w:szCs w:val="22"/>
              </w:rPr>
              <w:t>分</w:t>
            </w:r>
          </w:p>
        </w:tc>
      </w:tr>
      <w:tr w14:paraId="77410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6" w:type="dxa"/>
            <w:vMerge w:val="continue"/>
            <w:shd w:val="clear" w:color="auto" w:fill="FFFFFF"/>
            <w:noWrap w:val="0"/>
            <w:vAlign w:val="center"/>
          </w:tcPr>
          <w:p w14:paraId="42F1398D">
            <w:pPr>
              <w:pStyle w:val="8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sz w:val="22"/>
                <w:szCs w:val="22"/>
              </w:rPr>
            </w:pPr>
          </w:p>
        </w:tc>
        <w:tc>
          <w:tcPr>
            <w:tcW w:w="1066" w:type="dxa"/>
            <w:shd w:val="clear" w:color="auto" w:fill="FFFFFF"/>
            <w:noWrap w:val="0"/>
            <w:vAlign w:val="center"/>
          </w:tcPr>
          <w:p w14:paraId="4FEBACA3">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22"/>
                <w:szCs w:val="22"/>
                <w:lang w:eastAsia="zh-CN"/>
              </w:rPr>
            </w:pPr>
            <w:r>
              <w:rPr>
                <w:rFonts w:hint="eastAsia" w:ascii="宋体" w:hAnsi="宋体" w:eastAsia="宋体" w:cs="宋体"/>
                <w:sz w:val="22"/>
                <w:szCs w:val="22"/>
                <w:lang w:val="en-US" w:eastAsia="zh-CN"/>
              </w:rPr>
              <w:t>保密方案</w:t>
            </w:r>
          </w:p>
        </w:tc>
        <w:tc>
          <w:tcPr>
            <w:tcW w:w="6525" w:type="dxa"/>
            <w:shd w:val="clear" w:color="auto" w:fill="FFFFFF"/>
            <w:noWrap w:val="0"/>
            <w:vAlign w:val="center"/>
          </w:tcPr>
          <w:p w14:paraId="699F0B62">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宋体" w:hAnsi="宋体" w:eastAsia="宋体" w:cs="宋体"/>
                <w:bCs/>
                <w:sz w:val="22"/>
                <w:szCs w:val="22"/>
              </w:rPr>
            </w:pPr>
            <w:r>
              <w:rPr>
                <w:rFonts w:hint="eastAsia" w:ascii="宋体" w:hAnsi="宋体" w:eastAsia="宋体" w:cs="宋体"/>
                <w:sz w:val="22"/>
                <w:szCs w:val="22"/>
                <w:lang w:val="en-US" w:eastAsia="zh-CN"/>
              </w:rPr>
              <w:t>根据所提供的保密方案，针对项目有具体的保密措施和保密机制的，</w:t>
            </w:r>
            <w:r>
              <w:rPr>
                <w:rFonts w:hint="eastAsia" w:ascii="宋体" w:hAnsi="宋体" w:eastAsia="宋体" w:cs="宋体"/>
                <w:sz w:val="22"/>
                <w:szCs w:val="22"/>
              </w:rPr>
              <w:t>由</w:t>
            </w:r>
            <w:r>
              <w:rPr>
                <w:rFonts w:hint="eastAsia" w:ascii="宋体" w:hAnsi="宋体" w:eastAsia="宋体" w:cs="宋体"/>
                <w:sz w:val="22"/>
                <w:szCs w:val="22"/>
                <w:lang w:eastAsia="zh-CN"/>
              </w:rPr>
              <w:t>评审小组</w:t>
            </w:r>
            <w:r>
              <w:rPr>
                <w:rFonts w:hint="eastAsia" w:ascii="宋体" w:hAnsi="宋体" w:eastAsia="宋体" w:cs="宋体"/>
                <w:sz w:val="22"/>
                <w:szCs w:val="22"/>
              </w:rPr>
              <w:t>进行综合评分，优秀的得</w:t>
            </w:r>
            <w:r>
              <w:rPr>
                <w:rFonts w:hint="eastAsia" w:ascii="宋体" w:hAnsi="宋体" w:eastAsia="宋体" w:cs="宋体"/>
                <w:sz w:val="22"/>
                <w:szCs w:val="22"/>
                <w:lang w:val="en-US" w:eastAsia="zh-CN"/>
              </w:rPr>
              <w:t>4-5</w:t>
            </w:r>
            <w:r>
              <w:rPr>
                <w:rFonts w:hint="eastAsia" w:ascii="宋体" w:hAnsi="宋体" w:eastAsia="宋体" w:cs="宋体"/>
                <w:sz w:val="22"/>
                <w:szCs w:val="22"/>
              </w:rPr>
              <w:t>分，良好的得</w:t>
            </w:r>
            <w:r>
              <w:rPr>
                <w:rFonts w:hint="eastAsia" w:ascii="宋体" w:hAnsi="宋体" w:eastAsia="宋体" w:cs="宋体"/>
                <w:sz w:val="22"/>
                <w:szCs w:val="22"/>
                <w:lang w:val="en-US" w:eastAsia="zh-CN"/>
              </w:rPr>
              <w:t>2-3</w:t>
            </w:r>
            <w:r>
              <w:rPr>
                <w:rFonts w:hint="eastAsia" w:ascii="宋体" w:hAnsi="宋体" w:eastAsia="宋体" w:cs="宋体"/>
                <w:sz w:val="22"/>
                <w:szCs w:val="22"/>
              </w:rPr>
              <w:t>分，一般的得</w:t>
            </w:r>
            <w:r>
              <w:rPr>
                <w:rFonts w:hint="eastAsia" w:ascii="宋体" w:hAnsi="宋体" w:eastAsia="宋体" w:cs="宋体"/>
                <w:sz w:val="22"/>
                <w:szCs w:val="22"/>
                <w:lang w:val="en-US" w:eastAsia="zh-CN"/>
              </w:rPr>
              <w:t>0-1</w:t>
            </w:r>
            <w:r>
              <w:rPr>
                <w:rFonts w:hint="eastAsia" w:ascii="宋体" w:hAnsi="宋体" w:eastAsia="宋体" w:cs="宋体"/>
                <w:sz w:val="22"/>
                <w:szCs w:val="22"/>
              </w:rPr>
              <w:t>分</w:t>
            </w:r>
            <w:r>
              <w:rPr>
                <w:rFonts w:hint="eastAsia" w:ascii="宋体" w:hAnsi="宋体" w:eastAsia="宋体" w:cs="宋体"/>
                <w:sz w:val="22"/>
                <w:szCs w:val="22"/>
                <w:lang w:val="en-US" w:eastAsia="zh-CN"/>
              </w:rPr>
              <w:t>,未提供不得分</w:t>
            </w:r>
            <w:r>
              <w:rPr>
                <w:rFonts w:hint="eastAsia" w:ascii="宋体" w:hAnsi="宋体" w:eastAsia="宋体" w:cs="宋体"/>
                <w:sz w:val="22"/>
                <w:szCs w:val="22"/>
              </w:rPr>
              <w:t>。</w:t>
            </w:r>
            <w:r>
              <w:rPr>
                <w:rFonts w:hint="eastAsia" w:ascii="宋体" w:hAnsi="宋体" w:eastAsia="宋体" w:cs="宋体"/>
                <w:sz w:val="22"/>
                <w:szCs w:val="22"/>
                <w:highlight w:val="none"/>
              </w:rPr>
              <w:t xml:space="preserve"> </w:t>
            </w:r>
          </w:p>
        </w:tc>
        <w:tc>
          <w:tcPr>
            <w:tcW w:w="944" w:type="dxa"/>
            <w:shd w:val="clear" w:color="auto" w:fill="FFFFFF"/>
            <w:noWrap w:val="0"/>
            <w:vAlign w:val="center"/>
          </w:tcPr>
          <w:p w14:paraId="32CE4ABE">
            <w:pPr>
              <w:pStyle w:val="83"/>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 w:val="0"/>
                <w:bCs w:val="0"/>
                <w:color w:val="000000"/>
                <w:sz w:val="22"/>
                <w:szCs w:val="22"/>
                <w:lang w:val="en-US" w:eastAsia="en-US" w:bidi="en-US"/>
              </w:rPr>
            </w:pPr>
            <w:r>
              <w:rPr>
                <w:rFonts w:hint="eastAsia" w:ascii="宋体" w:hAnsi="宋体" w:eastAsia="宋体" w:cs="宋体"/>
                <w:color w:val="000000"/>
                <w:sz w:val="22"/>
                <w:szCs w:val="22"/>
                <w:lang w:val="en-US" w:eastAsia="en-US" w:bidi="en-US"/>
              </w:rPr>
              <w:t>0-</w:t>
            </w:r>
            <w:r>
              <w:rPr>
                <w:rFonts w:hint="eastAsia" w:eastAsia="宋体" w:cs="宋体"/>
                <w:color w:val="000000"/>
                <w:sz w:val="22"/>
                <w:szCs w:val="22"/>
                <w:lang w:val="en-US" w:eastAsia="zh-CN" w:bidi="en-US"/>
              </w:rPr>
              <w:t>5</w:t>
            </w:r>
            <w:r>
              <w:rPr>
                <w:rFonts w:hint="eastAsia" w:ascii="宋体" w:hAnsi="宋体" w:eastAsia="宋体" w:cs="宋体"/>
                <w:color w:val="000000"/>
                <w:sz w:val="22"/>
                <w:szCs w:val="22"/>
                <w:lang w:val="en-US" w:eastAsia="zh-CN" w:bidi="en-US"/>
              </w:rPr>
              <w:t>分</w:t>
            </w:r>
          </w:p>
        </w:tc>
      </w:tr>
      <w:tr w14:paraId="61E50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6" w:type="dxa"/>
            <w:vMerge w:val="continue"/>
            <w:shd w:val="clear" w:color="auto" w:fill="FFFFFF"/>
            <w:noWrap w:val="0"/>
            <w:vAlign w:val="center"/>
          </w:tcPr>
          <w:p w14:paraId="5CBAAB1D">
            <w:pPr>
              <w:pStyle w:val="8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sz w:val="22"/>
                <w:szCs w:val="22"/>
              </w:rPr>
            </w:pPr>
          </w:p>
        </w:tc>
        <w:tc>
          <w:tcPr>
            <w:tcW w:w="1066" w:type="dxa"/>
            <w:shd w:val="clear" w:color="auto" w:fill="FFFFFF"/>
            <w:noWrap w:val="0"/>
            <w:vAlign w:val="center"/>
          </w:tcPr>
          <w:p w14:paraId="161AF4FC">
            <w:pPr>
              <w:pStyle w:val="14"/>
              <w:keepNext w:val="0"/>
              <w:keepLines w:val="0"/>
              <w:pageBreakBefore w:val="0"/>
              <w:tabs>
                <w:tab w:val="left" w:pos="5890"/>
                <w:tab w:val="left" w:leader="middleDot" w:pos="8108"/>
              </w:tabs>
              <w:kinsoku/>
              <w:wordWrap/>
              <w:overflowPunct/>
              <w:topLinePunct w:val="0"/>
              <w:autoSpaceDE/>
              <w:autoSpaceDN/>
              <w:bidi w:val="0"/>
              <w:spacing w:line="360" w:lineRule="auto"/>
              <w:jc w:val="center"/>
              <w:textAlignment w:val="auto"/>
              <w:rPr>
                <w:rFonts w:hint="eastAsia" w:ascii="宋体" w:hAnsi="宋体" w:eastAsia="宋体" w:cs="宋体"/>
                <w:b w:val="0"/>
                <w:bCs w:val="0"/>
                <w:color w:val="000000"/>
                <w:sz w:val="22"/>
                <w:szCs w:val="22"/>
                <w:lang w:val="zh-CN"/>
              </w:rPr>
            </w:pPr>
            <w:r>
              <w:rPr>
                <w:rFonts w:hint="eastAsia" w:ascii="宋体" w:hAnsi="宋体" w:eastAsia="宋体" w:cs="宋体"/>
                <w:bCs/>
                <w:sz w:val="22"/>
                <w:szCs w:val="22"/>
                <w:lang w:eastAsia="zh-CN"/>
              </w:rPr>
              <w:t>售后及</w:t>
            </w:r>
            <w:r>
              <w:rPr>
                <w:rFonts w:hint="eastAsia" w:ascii="宋体" w:hAnsi="宋体" w:eastAsia="宋体" w:cs="宋体"/>
                <w:bCs/>
                <w:sz w:val="22"/>
                <w:szCs w:val="22"/>
              </w:rPr>
              <w:t>维保服务方案</w:t>
            </w:r>
          </w:p>
        </w:tc>
        <w:tc>
          <w:tcPr>
            <w:tcW w:w="6525" w:type="dxa"/>
            <w:shd w:val="clear" w:color="auto" w:fill="FFFFFF"/>
            <w:noWrap w:val="0"/>
            <w:vAlign w:val="center"/>
          </w:tcPr>
          <w:p w14:paraId="6421CB39">
            <w:pPr>
              <w:pStyle w:val="9"/>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根据投标人提供的售后服务承诺书中的售后服务内容、形式、响应时间、故障排除合同、惩罚措施、人员培训计划、质量保证措施、维修单位名称及地点等情况进行综合评定，优得4-5分，良得2-3分，一般0-1分，方案明显错误或未提供的不得分。</w:t>
            </w:r>
          </w:p>
          <w:p w14:paraId="4823684A">
            <w:pPr>
              <w:pStyle w:val="9"/>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val="0"/>
                <w:bCs w:val="0"/>
                <w:color w:val="000000"/>
                <w:kern w:val="0"/>
                <w:sz w:val="22"/>
                <w:szCs w:val="22"/>
                <w:highlight w:val="none"/>
                <w:lang w:val="zh-CN" w:eastAsia="zh-CN" w:bidi="ar"/>
              </w:rPr>
            </w:pPr>
            <w:r>
              <w:rPr>
                <w:rFonts w:hint="eastAsia" w:ascii="宋体" w:hAnsi="宋体" w:eastAsia="宋体" w:cs="宋体"/>
                <w:color w:val="0000FF"/>
                <w:kern w:val="2"/>
                <w:sz w:val="22"/>
                <w:szCs w:val="22"/>
                <w:lang w:val="en-US" w:eastAsia="zh-CN" w:bidi="ar-SA"/>
              </w:rPr>
              <w:t>注：针对本项目，中标后需提供投标产品生产厂家出具的《售后服务承诺函》。</w:t>
            </w:r>
          </w:p>
        </w:tc>
        <w:tc>
          <w:tcPr>
            <w:tcW w:w="944" w:type="dxa"/>
            <w:shd w:val="clear" w:color="auto" w:fill="FFFFFF"/>
            <w:noWrap w:val="0"/>
            <w:vAlign w:val="center"/>
          </w:tcPr>
          <w:p w14:paraId="6C883F98">
            <w:pPr>
              <w:pStyle w:val="83"/>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 w:val="0"/>
                <w:bCs w:val="0"/>
                <w:color w:val="000000"/>
                <w:sz w:val="22"/>
                <w:szCs w:val="22"/>
                <w:lang w:val="zh-CN"/>
              </w:rPr>
            </w:pPr>
            <w:r>
              <w:rPr>
                <w:rFonts w:hint="eastAsia" w:ascii="宋体" w:hAnsi="宋体" w:eastAsia="宋体" w:cs="宋体"/>
                <w:b w:val="0"/>
                <w:bCs w:val="0"/>
                <w:color w:val="000000"/>
                <w:sz w:val="22"/>
                <w:szCs w:val="22"/>
                <w:lang w:val="en-US" w:eastAsia="en-US" w:bidi="en-US"/>
              </w:rPr>
              <w:t>0-</w:t>
            </w:r>
            <w:r>
              <w:rPr>
                <w:rFonts w:hint="eastAsia" w:ascii="宋体" w:hAnsi="宋体" w:eastAsia="宋体" w:cs="宋体"/>
                <w:b w:val="0"/>
                <w:bCs w:val="0"/>
                <w:color w:val="000000"/>
                <w:sz w:val="22"/>
                <w:szCs w:val="22"/>
                <w:lang w:val="en-US" w:eastAsia="zh-CN" w:bidi="en-US"/>
              </w:rPr>
              <w:t>5分</w:t>
            </w:r>
          </w:p>
        </w:tc>
      </w:tr>
      <w:tr w14:paraId="4379B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6" w:type="dxa"/>
            <w:noWrap w:val="0"/>
            <w:vAlign w:val="center"/>
          </w:tcPr>
          <w:p w14:paraId="0B245514">
            <w:pPr>
              <w:keepNext w:val="0"/>
              <w:keepLines w:val="0"/>
              <w:pageBreakBefore w:val="0"/>
              <w:widowControl/>
              <w:tabs>
                <w:tab w:val="center" w:pos="434"/>
              </w:tabs>
              <w:kinsoku/>
              <w:wordWrap/>
              <w:overflowPunct/>
              <w:topLinePunct w:val="0"/>
              <w:autoSpaceDE/>
              <w:autoSpaceDN/>
              <w:bidi w:val="0"/>
              <w:spacing w:line="360" w:lineRule="auto"/>
              <w:jc w:val="center"/>
              <w:textAlignment w:val="auto"/>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sz w:val="22"/>
                <w:szCs w:val="22"/>
              </w:rPr>
              <w:t>报价部分</w:t>
            </w:r>
            <w:r>
              <w:rPr>
                <w:rFonts w:hint="eastAsia" w:ascii="宋体" w:hAnsi="宋体" w:eastAsia="宋体" w:cs="宋体"/>
                <w:color w:val="auto"/>
                <w:kern w:val="0"/>
                <w:sz w:val="22"/>
                <w:szCs w:val="22"/>
              </w:rPr>
              <w:t>（</w:t>
            </w:r>
            <w:r>
              <w:rPr>
                <w:rFonts w:hint="eastAsia" w:ascii="宋体" w:hAnsi="宋体" w:eastAsia="宋体" w:cs="宋体"/>
                <w:color w:val="auto"/>
                <w:kern w:val="0"/>
                <w:sz w:val="22"/>
                <w:szCs w:val="22"/>
                <w:lang w:val="en-US" w:eastAsia="zh-CN"/>
              </w:rPr>
              <w:t>30</w:t>
            </w:r>
            <w:r>
              <w:rPr>
                <w:rFonts w:hint="eastAsia" w:ascii="宋体" w:hAnsi="宋体" w:eastAsia="宋体" w:cs="宋体"/>
                <w:color w:val="auto"/>
                <w:kern w:val="0"/>
                <w:sz w:val="22"/>
                <w:szCs w:val="22"/>
              </w:rPr>
              <w:t>分）</w:t>
            </w:r>
          </w:p>
        </w:tc>
        <w:tc>
          <w:tcPr>
            <w:tcW w:w="8535" w:type="dxa"/>
            <w:gridSpan w:val="3"/>
            <w:noWrap w:val="0"/>
            <w:vAlign w:val="center"/>
          </w:tcPr>
          <w:p w14:paraId="4A05EAC9">
            <w:pPr>
              <w:pStyle w:val="83"/>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价格分统一采用低价优先法，即满足招标文件要求且投标价格最低的投标报价为评标基准价，其价格分为满分 30 分。其他投标人的价格分统一按照下列公式计算：</w:t>
            </w:r>
          </w:p>
          <w:p w14:paraId="2940978A">
            <w:pPr>
              <w:pStyle w:val="83"/>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投标报价得分＝（评标基准价/投标报价）× 30 ％×100</w:t>
            </w:r>
          </w:p>
          <w:p w14:paraId="1F78D575">
            <w:pPr>
              <w:pStyle w:val="83"/>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b w:val="0"/>
                <w:bCs w:val="0"/>
                <w:color w:val="000000"/>
                <w:sz w:val="22"/>
                <w:szCs w:val="22"/>
                <w:lang w:val="en-US" w:eastAsia="en-US" w:bidi="en-US"/>
              </w:rPr>
            </w:pPr>
            <w:r>
              <w:rPr>
                <w:rFonts w:hint="eastAsia" w:ascii="宋体" w:hAnsi="宋体" w:eastAsia="宋体" w:cs="宋体"/>
                <w:color w:val="0000FF"/>
                <w:sz w:val="22"/>
                <w:szCs w:val="22"/>
              </w:rPr>
              <w:t>（小数点后保留两位有效数字，四舍五入）</w:t>
            </w:r>
          </w:p>
        </w:tc>
      </w:tr>
    </w:tbl>
    <w:p w14:paraId="7165E7B5">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.3.3</w:t>
      </w:r>
      <w:r>
        <w:rPr>
          <w:rFonts w:hint="eastAsia" w:asciiTheme="minorEastAsia" w:hAnsiTheme="minorEastAsia" w:eastAsiaTheme="minorEastAsia"/>
          <w:sz w:val="24"/>
        </w:rPr>
        <w:t>分值汇总</w:t>
      </w:r>
    </w:p>
    <w:p w14:paraId="457A2823">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评标委员会各成员应当独立对每个</w:t>
      </w:r>
      <w:r>
        <w:rPr>
          <w:rFonts w:hint="eastAsia" w:asciiTheme="minorEastAsia" w:hAnsiTheme="minorEastAsia" w:eastAsiaTheme="minorEastAsia"/>
          <w:sz w:val="24"/>
        </w:rPr>
        <w:t>有效</w:t>
      </w:r>
      <w:r>
        <w:rPr>
          <w:rFonts w:asciiTheme="minorEastAsia" w:hAnsiTheme="minorEastAsia" w:eastAsiaTheme="minorEastAsia"/>
          <w:sz w:val="24"/>
        </w:rPr>
        <w:t>投标人的投标文件进行评</w:t>
      </w:r>
      <w:r>
        <w:rPr>
          <w:rFonts w:hint="eastAsia" w:asciiTheme="minorEastAsia" w:hAnsiTheme="minorEastAsia" w:eastAsiaTheme="minorEastAsia"/>
          <w:sz w:val="24"/>
        </w:rPr>
        <w:t>分</w:t>
      </w:r>
      <w:r>
        <w:rPr>
          <w:rFonts w:asciiTheme="minorEastAsia" w:hAnsiTheme="minorEastAsia" w:eastAsiaTheme="minorEastAsia"/>
          <w:sz w:val="24"/>
        </w:rPr>
        <w:t>，并汇总每个投</w:t>
      </w:r>
      <w:r>
        <w:rPr>
          <w:rFonts w:hint="eastAsia" w:asciiTheme="minorEastAsia" w:hAnsiTheme="minorEastAsia" w:eastAsiaTheme="minorEastAsia"/>
          <w:sz w:val="24"/>
        </w:rPr>
        <w:t>标人的得分。取各位评委评分之平均值，四舍五入保留至小数点后两位数，</w:t>
      </w:r>
      <w:r>
        <w:rPr>
          <w:rFonts w:asciiTheme="minorEastAsia" w:hAnsiTheme="minorEastAsia" w:eastAsiaTheme="minorEastAsia"/>
          <w:sz w:val="24"/>
        </w:rPr>
        <w:t>得到该投标</w:t>
      </w:r>
      <w:r>
        <w:rPr>
          <w:rFonts w:hint="eastAsia" w:asciiTheme="minorEastAsia" w:hAnsiTheme="minorEastAsia" w:eastAsiaTheme="minorEastAsia"/>
          <w:sz w:val="24"/>
        </w:rPr>
        <w:t>人</w:t>
      </w:r>
      <w:r>
        <w:rPr>
          <w:rFonts w:asciiTheme="minorEastAsia" w:hAnsiTheme="minorEastAsia" w:eastAsiaTheme="minorEastAsia"/>
          <w:sz w:val="24"/>
        </w:rPr>
        <w:t>的技术资信分</w:t>
      </w:r>
      <w:r>
        <w:rPr>
          <w:rFonts w:hint="eastAsia" w:asciiTheme="minorEastAsia" w:hAnsiTheme="minorEastAsia" w:eastAsiaTheme="minorEastAsia"/>
          <w:sz w:val="24"/>
        </w:rPr>
        <w:t>。</w:t>
      </w:r>
    </w:p>
    <w:p w14:paraId="6C00823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将投标</w:t>
      </w:r>
      <w:r>
        <w:rPr>
          <w:rFonts w:hint="eastAsia" w:asciiTheme="minorEastAsia" w:hAnsiTheme="minorEastAsia" w:eastAsiaTheme="minorEastAsia"/>
          <w:sz w:val="24"/>
        </w:rPr>
        <w:t>人</w:t>
      </w:r>
      <w:r>
        <w:rPr>
          <w:rFonts w:asciiTheme="minorEastAsia" w:hAnsiTheme="minorEastAsia" w:eastAsiaTheme="minorEastAsia"/>
          <w:sz w:val="24"/>
        </w:rPr>
        <w:t>的技术资信分加上根据上述标准计算出的价格分，即为该投标</w:t>
      </w:r>
      <w:r>
        <w:rPr>
          <w:rFonts w:hint="eastAsia" w:asciiTheme="minorEastAsia" w:hAnsiTheme="minorEastAsia" w:eastAsiaTheme="minorEastAsia"/>
          <w:sz w:val="24"/>
        </w:rPr>
        <w:t>人</w:t>
      </w:r>
      <w:r>
        <w:rPr>
          <w:rFonts w:asciiTheme="minorEastAsia" w:hAnsiTheme="minorEastAsia" w:eastAsiaTheme="minorEastAsia"/>
          <w:sz w:val="24"/>
        </w:rPr>
        <w:t>的综合总得分。</w:t>
      </w:r>
    </w:p>
    <w:p w14:paraId="7712E2BC">
      <w:pPr>
        <w:spacing w:line="360" w:lineRule="auto"/>
        <w:ind w:firstLine="435"/>
        <w:rPr>
          <w:rFonts w:hint="eastAsia" w:asciiTheme="minorEastAsia" w:hAnsiTheme="minorEastAsia" w:eastAsiaTheme="minorEastAsia"/>
          <w:b/>
          <w:bCs/>
          <w:sz w:val="24"/>
        </w:rPr>
      </w:pPr>
      <w:r>
        <w:rPr>
          <w:rFonts w:hint="eastAsia" w:asciiTheme="minorEastAsia" w:hAnsiTheme="minorEastAsia" w:eastAsiaTheme="minorEastAsia"/>
          <w:b/>
          <w:bCs/>
          <w:sz w:val="24"/>
        </w:rPr>
        <w:t>三、无效投标条款</w:t>
      </w:r>
    </w:p>
    <w:p w14:paraId="7DEAEB51">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3.1投标文件有下列情形之一的,其投标文件拒收:</w:t>
      </w:r>
    </w:p>
    <w:p w14:paraId="423B9B4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 未在开标截止时间前通过网上招标投标系统递交有效电子投标文件的，开标系统不予接收，投标将被拒绝。</w:t>
      </w:r>
    </w:p>
    <w:p w14:paraId="614A7737">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投标企业接到远程解密指令后，须在规定时间内解密。因投标人自身原因导致投标文件在规定时间内未能解密、解密失败或解密超时，投标文件无效；解密时间：从本项目解密程序开始时计时，至完成投标文件解密时间，不得超过60分钟，否则投标文件将被拒绝。</w:t>
      </w:r>
    </w:p>
    <w:p w14:paraId="54E3A542">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3.2投标人有下列情形之一的,资格审查后其投标作无效投标处理：</w:t>
      </w:r>
    </w:p>
    <w:p w14:paraId="5CDF7146">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(1)投标人为本项目提供招标代理服务的；</w:t>
      </w:r>
    </w:p>
    <w:p w14:paraId="39C010B6">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(2)投标人与在本项目代理机构存在相互任职或工作的；</w:t>
      </w:r>
    </w:p>
    <w:p w14:paraId="6A183AE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(3)招标公告写明专门面向中小企业采购，投标人提供的货物非中小企业制造的；</w:t>
      </w:r>
    </w:p>
    <w:p w14:paraId="56E89F37">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(4)要求供应商以联合体形式参加采购活动，投标人非联合体或者联合协议中中小企业合同金额未达到应当达到的比例；</w:t>
      </w:r>
    </w:p>
    <w:p w14:paraId="5E2AF749">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(5)要求获得采购合同的供应商向中小企业分包，投标人未提供分包意向协议或者分包意向协议中中小企业合同金额未达到应当达到的比例；</w:t>
      </w:r>
    </w:p>
    <w:p w14:paraId="193A9BC8">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(6)评标专家无法查看并检验电子投标文件中相关资料的；</w:t>
      </w:r>
    </w:p>
    <w:p w14:paraId="5BB63621">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(7)联合体投标未提交联合体协议的；</w:t>
      </w:r>
    </w:p>
    <w:p w14:paraId="1E883FCB">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(8)责令停产停业的；</w:t>
      </w:r>
    </w:p>
    <w:p w14:paraId="2A9A9788">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(9)暂停或者取消参与政府采购项目资格的；</w:t>
      </w:r>
    </w:p>
    <w:p w14:paraId="45CB188A">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(10)投标人单位负责人为同一人或者存在（直接）控股、管理关系的不同单位的；</w:t>
      </w:r>
    </w:p>
    <w:p w14:paraId="27A3B8DE">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(11)投标人基本资格条件和特定资格条件中有一项及以上不符合要求的；</w:t>
      </w:r>
    </w:p>
    <w:p w14:paraId="470E55BC">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(12)开标时查询投标文件制作机器码、文件创建标识码及造价软件加密锁号。若存在投标文件制作机器码或创建标识码或造价软件加密锁号信息与其他投标人雷同的，投标无效、进行信用信息披露，行政监管部门将依据线索依法查处；</w:t>
      </w:r>
    </w:p>
    <w:p w14:paraId="736093BB">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(13)其它情形，经评标委员会委提出按无效投标处理，并经公共资源交易监督部门核准的；</w:t>
      </w:r>
    </w:p>
    <w:p w14:paraId="2CF8ED1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(14)投标人投标MAC地址或投标人联系人或联系电话相同的，由评标委员会否决其投标，并报告监管部门作不良行为处理和进一步调查；</w:t>
      </w:r>
    </w:p>
    <w:p w14:paraId="27FACD2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(15)投标人单方面出现其他投标人材料的；</w:t>
      </w:r>
    </w:p>
    <w:p w14:paraId="6E110470">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(16)招标公告未写明允许采购进口产品，投标人所投产品为进口产品的；</w:t>
      </w:r>
    </w:p>
    <w:p w14:paraId="55083580">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(17)招标文件规定的其它无效投标情形。</w:t>
      </w:r>
    </w:p>
    <w:p w14:paraId="504CAA4B">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3.3 投标人有下列情形之一的,符合性审查后其投标按无效投标处理：</w:t>
      </w:r>
    </w:p>
    <w:p w14:paraId="347A952A">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(1)投标文件签字、盖章不全，经评标委员会一致认定对开评标内容有实质性影响并经公共资源交易监督部门核准的；</w:t>
      </w:r>
    </w:p>
    <w:p w14:paraId="3B8AF84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(2)未按规定的格式填写导致实质性内容不全以及实质上不响应，或者关键字迹模糊、无法辨认; 经公共资源交易监督部门核准的；</w:t>
      </w:r>
    </w:p>
    <w:p w14:paraId="7356FF7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(3)同一投标人提交两个以上不同的投标文件或者投标报价，但招标文件规定提交备选方案的除外；</w:t>
      </w:r>
    </w:p>
    <w:p w14:paraId="6755A138">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(4)投标文件没有对招标文件的实质性要求和条件作出响应;</w:t>
      </w:r>
    </w:p>
    <w:p w14:paraId="0FC6BA93">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(5)投标报价超出规定的投标限价或公布的采购预算的或投标人的投标报价各项单价高于招标文件给定的单价最高限价；</w:t>
      </w:r>
    </w:p>
    <w:p w14:paraId="34FF14B4">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(6)不按评标委员会要求澄清、说明或补正的，或者评标委员会根据招标文件的规定对投标文件的计算错误进行修正后，投标人不接受修正的投标报价的。</w:t>
      </w:r>
    </w:p>
    <w:p w14:paraId="757511F2">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(7)其它情形，经评标委员会委提出按无效投标处理，并经公共资源交易监督部门核准的；</w:t>
      </w:r>
    </w:p>
    <w:p w14:paraId="35BCB5C5">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(8)投标文件含有采购人不能接受的附加条件的；</w:t>
      </w:r>
    </w:p>
    <w:p w14:paraId="11A77D4E">
      <w:pPr>
        <w:spacing w:line="360" w:lineRule="auto"/>
        <w:ind w:firstLine="435"/>
        <w:rPr>
          <w:rFonts w:hint="eastAsia" w:asciiTheme="minorEastAsia" w:hAnsiTheme="minorEastAsia" w:eastAsiaTheme="minorEastAsia"/>
          <w:b/>
          <w:bCs/>
          <w:color w:val="FF0000"/>
          <w:sz w:val="24"/>
          <w:highlight w:val="none"/>
        </w:rPr>
      </w:pPr>
      <w:r>
        <w:rPr>
          <w:rFonts w:hint="eastAsia" w:asciiTheme="minorEastAsia" w:hAnsiTheme="minorEastAsia" w:eastAsiaTheme="minorEastAsia"/>
          <w:b/>
          <w:bCs/>
          <w:color w:val="FF0000"/>
          <w:sz w:val="24"/>
          <w:highlight w:val="none"/>
        </w:rPr>
        <w:t>(9)投标人的报价明显低于其他通过符合性审查投标人的报价，评标委员会要求其提供书面说明时，投标人不能证明其报价合理性的。</w:t>
      </w:r>
    </w:p>
    <w:p w14:paraId="666DC624">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招标文</w:t>
      </w:r>
      <w:r>
        <w:rPr>
          <w:rFonts w:hint="eastAsia" w:asciiTheme="minorEastAsia" w:hAnsiTheme="minorEastAsia" w:eastAsiaTheme="minorEastAsia"/>
          <w:color w:val="auto"/>
          <w:sz w:val="24"/>
        </w:rPr>
        <w:t>件规定的其它无效投</w:t>
      </w:r>
      <w:r>
        <w:rPr>
          <w:rFonts w:hint="eastAsia" w:asciiTheme="minorEastAsia" w:hAnsiTheme="minorEastAsia" w:eastAsiaTheme="minorEastAsia"/>
          <w:sz w:val="24"/>
        </w:rPr>
        <w:t>标情形。</w:t>
      </w:r>
    </w:p>
    <w:p w14:paraId="77C19D3F">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3.4 投标人有下列情形之一的, 详细评审后其投标按无效投标处理：</w:t>
      </w:r>
    </w:p>
    <w:p w14:paraId="5F48CF37">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(1)投标产品不符合必须强制执行的国家标准的；</w:t>
      </w:r>
    </w:p>
    <w:p w14:paraId="5A3FCE11">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(2)投标人有串通投标、弄虚作假、行贿等违法行为；</w:t>
      </w:r>
    </w:p>
    <w:p w14:paraId="40E407AC">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(3)投标文件含有违反国家法律、法规的内容，或附有采购人不能接受的条件的；</w:t>
      </w:r>
    </w:p>
    <w:p w14:paraId="22D833EE">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(4)报价明显低于其他投标人，且不能证明报价合理性的投标无效；</w:t>
      </w:r>
    </w:p>
    <w:p w14:paraId="7391D695">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(5)拒不确认评标委员会评审修正的投标无效；</w:t>
      </w:r>
    </w:p>
    <w:p w14:paraId="58E30D79">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(6)其它情形，经评标委员会委提出按无效投标处理，并经公共资源交易监督部门核准的；</w:t>
      </w:r>
    </w:p>
    <w:p w14:paraId="73510C33">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(7)招标文件规定的其它无效投标情形。</w:t>
      </w:r>
      <w:r>
        <w:rPr>
          <w:rFonts w:asciiTheme="minorEastAsia" w:hAnsiTheme="minorEastAsia" w:eastAsiaTheme="minorEastAsia"/>
          <w:sz w:val="24"/>
        </w:rPr>
        <w:br w:type="page"/>
      </w:r>
    </w:p>
    <w:p w14:paraId="2B6FEA35">
      <w:pPr>
        <w:spacing w:line="360" w:lineRule="auto"/>
        <w:jc w:val="center"/>
        <w:outlineLvl w:val="0"/>
        <w:rPr>
          <w:rFonts w:hint="eastAsia" w:asciiTheme="minorEastAsia" w:hAnsiTheme="minorEastAsia" w:eastAsiaTheme="minorEastAsia"/>
          <w:b/>
          <w:sz w:val="28"/>
        </w:rPr>
      </w:pPr>
      <w:bookmarkStart w:id="51" w:name="_Toc4682"/>
      <w:r>
        <w:rPr>
          <w:rFonts w:hint="eastAsia" w:asciiTheme="minorEastAsia" w:hAnsiTheme="minorEastAsia" w:eastAsiaTheme="minorEastAsia"/>
          <w:b/>
          <w:sz w:val="28"/>
        </w:rPr>
        <w:t xml:space="preserve">第五章  </w:t>
      </w:r>
      <w:r>
        <w:rPr>
          <w:rFonts w:asciiTheme="minorEastAsia" w:hAnsiTheme="minorEastAsia" w:eastAsiaTheme="minorEastAsia"/>
          <w:b/>
          <w:sz w:val="28"/>
        </w:rPr>
        <w:t>政府采购合同</w:t>
      </w:r>
      <w:bookmarkEnd w:id="51"/>
    </w:p>
    <w:p w14:paraId="6E641986">
      <w:pPr>
        <w:pStyle w:val="10"/>
        <w:spacing w:after="0" w:line="360" w:lineRule="auto"/>
        <w:rPr>
          <w:rFonts w:hint="eastAsia" w:ascii="宋体" w:hAnsi="宋体" w:eastAsia="宋体" w:cs="宋体"/>
          <w:b/>
          <w:bCs/>
          <w:spacing w:val="-20"/>
          <w:kern w:val="44"/>
          <w:sz w:val="24"/>
        </w:rPr>
      </w:pPr>
    </w:p>
    <w:p w14:paraId="02C1D0B9">
      <w:pPr>
        <w:pStyle w:val="10"/>
        <w:spacing w:after="0" w:line="360" w:lineRule="auto"/>
        <w:jc w:val="center"/>
        <w:rPr>
          <w:rFonts w:hint="eastAsia" w:ascii="宋体" w:hAnsi="宋体" w:eastAsia="宋体" w:cs="宋体"/>
          <w:b/>
          <w:bCs/>
          <w:spacing w:val="-20"/>
          <w:kern w:val="44"/>
          <w:sz w:val="24"/>
        </w:rPr>
      </w:pPr>
    </w:p>
    <w:p w14:paraId="40C90ADC">
      <w:pPr>
        <w:spacing w:line="360" w:lineRule="auto"/>
        <w:rPr>
          <w:rFonts w:hint="eastAsia" w:ascii="宋体" w:hAnsi="宋体" w:eastAsia="宋体" w:cs="宋体"/>
          <w:b/>
          <w:bCs/>
          <w:spacing w:val="-20"/>
          <w:kern w:val="44"/>
          <w:sz w:val="24"/>
          <w:szCs w:val="24"/>
        </w:rPr>
      </w:pPr>
    </w:p>
    <w:p w14:paraId="778EB9AE">
      <w:pPr>
        <w:pStyle w:val="10"/>
        <w:rPr>
          <w:rFonts w:hint="eastAsia" w:ascii="宋体" w:hAnsi="宋体" w:eastAsia="宋体" w:cs="宋体"/>
          <w:b/>
          <w:bCs/>
          <w:spacing w:val="-20"/>
          <w:kern w:val="44"/>
          <w:sz w:val="24"/>
        </w:rPr>
      </w:pPr>
    </w:p>
    <w:p w14:paraId="48CECDD2">
      <w:pPr>
        <w:pStyle w:val="10"/>
        <w:rPr>
          <w:rFonts w:hint="eastAsia" w:ascii="宋体" w:hAnsi="宋体" w:eastAsia="宋体" w:cs="宋体"/>
          <w:b/>
          <w:bCs/>
          <w:spacing w:val="-20"/>
          <w:kern w:val="44"/>
          <w:sz w:val="24"/>
        </w:rPr>
      </w:pPr>
    </w:p>
    <w:p w14:paraId="081BEBF8">
      <w:pPr>
        <w:spacing w:line="360" w:lineRule="auto"/>
        <w:rPr>
          <w:rFonts w:hint="eastAsia" w:ascii="宋体" w:hAnsi="宋体" w:eastAsia="宋体" w:cs="宋体"/>
          <w:b/>
          <w:bCs/>
          <w:spacing w:val="-20"/>
          <w:kern w:val="44"/>
          <w:sz w:val="24"/>
          <w:szCs w:val="24"/>
        </w:rPr>
      </w:pPr>
    </w:p>
    <w:p w14:paraId="169FC531">
      <w:pPr>
        <w:pStyle w:val="10"/>
        <w:spacing w:line="360" w:lineRule="auto"/>
        <w:rPr>
          <w:rFonts w:hint="eastAsia"/>
        </w:rPr>
      </w:pPr>
    </w:p>
    <w:p w14:paraId="3FF65E28">
      <w:pPr>
        <w:spacing w:line="360" w:lineRule="auto"/>
        <w:rPr>
          <w:rFonts w:hint="eastAsia" w:ascii="宋体" w:hAnsi="宋体" w:eastAsia="宋体" w:cs="宋体"/>
          <w:b/>
          <w:bCs/>
          <w:spacing w:val="-20"/>
          <w:kern w:val="44"/>
          <w:sz w:val="24"/>
          <w:szCs w:val="24"/>
        </w:rPr>
      </w:pPr>
    </w:p>
    <w:p w14:paraId="167BD1B6">
      <w:pPr>
        <w:spacing w:line="360" w:lineRule="auto"/>
        <w:ind w:left="420" w:leftChars="200"/>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安徽省淝河监狱生命探测仪采购项目</w:t>
      </w:r>
      <w:r>
        <w:rPr>
          <w:rFonts w:hint="eastAsia" w:ascii="宋体" w:hAnsi="宋体" w:eastAsia="宋体" w:cs="宋体"/>
          <w:sz w:val="24"/>
          <w:szCs w:val="24"/>
          <w:u w:val="single"/>
        </w:rPr>
        <w:t xml:space="preserve"> </w:t>
      </w:r>
    </w:p>
    <w:p w14:paraId="73FD7531">
      <w:pPr>
        <w:spacing w:line="360" w:lineRule="auto"/>
        <w:ind w:left="420" w:leftChars="200"/>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42FD00BA">
      <w:pPr>
        <w:spacing w:line="360" w:lineRule="auto"/>
        <w:ind w:left="420" w:leftChars="200"/>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14:paraId="42C53D6A">
      <w:pPr>
        <w:spacing w:line="360" w:lineRule="auto"/>
        <w:ind w:left="420" w:leftChars="200"/>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安徽省淝河监狱</w:t>
      </w:r>
      <w:r>
        <w:rPr>
          <w:rFonts w:hint="eastAsia" w:ascii="宋体" w:hAnsi="宋体" w:eastAsia="宋体" w:cs="宋体"/>
          <w:sz w:val="24"/>
          <w:szCs w:val="24"/>
          <w:u w:val="single"/>
        </w:rPr>
        <w:t xml:space="preserve">     </w:t>
      </w:r>
    </w:p>
    <w:p w14:paraId="7D58B057">
      <w:pPr>
        <w:spacing w:line="360" w:lineRule="auto"/>
        <w:ind w:left="420" w:leftChars="200"/>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乙方（中标人）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0F4C4BA5">
      <w:pPr>
        <w:spacing w:line="360" w:lineRule="auto"/>
        <w:ind w:left="420" w:leftChars="200"/>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14:paraId="2653A342">
      <w:pPr>
        <w:spacing w:line="360" w:lineRule="auto"/>
        <w:rPr>
          <w:rFonts w:hint="eastAsia" w:ascii="宋体" w:hAnsi="宋体" w:eastAsia="宋体" w:cs="宋体"/>
          <w:sz w:val="24"/>
          <w:szCs w:val="24"/>
        </w:rPr>
      </w:pPr>
    </w:p>
    <w:p w14:paraId="6BAC64E6">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5127F3E7">
      <w:pPr>
        <w:spacing w:line="360" w:lineRule="auto"/>
        <w:jc w:val="center"/>
        <w:outlineLvl w:val="1"/>
        <w:rPr>
          <w:rFonts w:hint="eastAsia" w:asciiTheme="minorEastAsia" w:hAnsiTheme="minorEastAsia" w:eastAsiaTheme="minorEastAsia"/>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4"/>
          <w14:textFill>
            <w14:solidFill>
              <w14:schemeClr w14:val="tx1"/>
            </w14:solidFill>
          </w14:textFill>
        </w:rPr>
        <w:t>使 用 说 明</w:t>
      </w:r>
    </w:p>
    <w:p w14:paraId="2F61DA39">
      <w:pPr>
        <w:spacing w:line="360" w:lineRule="auto"/>
        <w:ind w:firstLine="480" w:firstLineChars="200"/>
        <w:rPr>
          <w:rFonts w:hint="eastAsia" w:ascii="宋体" w:hAnsi="宋体" w:eastAsia="宋体" w:cs="宋体"/>
          <w:sz w:val="24"/>
          <w:szCs w:val="24"/>
        </w:rPr>
      </w:pPr>
    </w:p>
    <w:p w14:paraId="20040AB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1.本合同标准文本适用于购买现成货物的采购项目，不包括需要供应商定制开发、创新研发的货物采购项目。</w:t>
      </w:r>
    </w:p>
    <w:p w14:paraId="42D4335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2.本合同标准文本为政府采购货物买卖合同编制提供参考，可以结合采购项目具体情况，对文本作必要的调整修订后使用。</w:t>
      </w:r>
    </w:p>
    <w:p w14:paraId="3FEEA6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3.本合同标准文本各条款中，如涉及填写多家供应商、制造商，多种采购标的、分包主要内容等信息的，可根据采购项目具体情况添加信息项。</w:t>
      </w:r>
    </w:p>
    <w:p w14:paraId="096319F1">
      <w:pPr>
        <w:spacing w:line="360" w:lineRule="auto"/>
        <w:ind w:firstLine="480" w:firstLineChars="200"/>
        <w:rPr>
          <w:rFonts w:hint="eastAsia" w:ascii="宋体" w:hAnsi="宋体" w:eastAsia="宋体" w:cs="宋体"/>
          <w:sz w:val="24"/>
          <w:szCs w:val="24"/>
        </w:rPr>
        <w:sectPr>
          <w:headerReference r:id="rId5" w:type="default"/>
          <w:footerReference r:id="rId6" w:type="default"/>
          <w:pgSz w:w="11906" w:h="16838"/>
          <w:pgMar w:top="1440" w:right="1080" w:bottom="1440" w:left="1080" w:header="851" w:footer="992" w:gutter="0"/>
          <w:pgNumType w:start="1"/>
          <w:cols w:space="425" w:num="1"/>
          <w:docGrid w:type="lines" w:linePitch="312" w:charSpace="0"/>
        </w:sectPr>
      </w:pPr>
    </w:p>
    <w:p w14:paraId="00AE2783">
      <w:pPr>
        <w:spacing w:line="360" w:lineRule="auto"/>
        <w:jc w:val="center"/>
        <w:outlineLvl w:val="1"/>
        <w:rPr>
          <w:rFonts w:hint="eastAsia" w:asciiTheme="minorEastAsia" w:hAnsiTheme="minorEastAsia" w:eastAsiaTheme="minorEastAsia"/>
          <w:b/>
          <w:color w:val="000000" w:themeColor="text1"/>
          <w:sz w:val="24"/>
          <w14:textFill>
            <w14:solidFill>
              <w14:schemeClr w14:val="tx1"/>
            </w14:solidFill>
          </w14:textFill>
        </w:rPr>
      </w:pPr>
      <w:bookmarkStart w:id="52" w:name="_Toc22209"/>
      <w:r>
        <w:rPr>
          <w:rFonts w:hint="eastAsia" w:asciiTheme="minorEastAsia" w:hAnsiTheme="minorEastAsia" w:eastAsiaTheme="minorEastAsia"/>
          <w:b/>
          <w:color w:val="000000" w:themeColor="text1"/>
          <w:sz w:val="24"/>
          <w14:textFill>
            <w14:solidFill>
              <w14:schemeClr w14:val="tx1"/>
            </w14:solidFill>
          </w14:textFill>
        </w:rPr>
        <w:t>第一节 政府采购合同协议书</w:t>
      </w:r>
      <w:bookmarkEnd w:id="52"/>
    </w:p>
    <w:p w14:paraId="610F32F3">
      <w:pPr>
        <w:adjustRightInd w:val="0"/>
        <w:snapToGrid w:val="0"/>
        <w:spacing w:line="360" w:lineRule="auto"/>
        <w:rPr>
          <w:rFonts w:hint="eastAsia" w:ascii="宋体" w:hAnsi="宋体" w:eastAsia="宋体" w:cs="宋体"/>
          <w:sz w:val="24"/>
          <w:szCs w:val="24"/>
        </w:rPr>
      </w:pPr>
    </w:p>
    <w:p w14:paraId="050602BA">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安徽省淝河监狱</w:t>
      </w:r>
      <w:r>
        <w:rPr>
          <w:rFonts w:hint="eastAsia" w:ascii="宋体" w:hAnsi="宋体" w:eastAsia="宋体" w:cs="宋体"/>
          <w:sz w:val="24"/>
          <w:szCs w:val="24"/>
          <w:u w:val="single"/>
        </w:rPr>
        <w:t xml:space="preserve">     </w:t>
      </w:r>
      <w:r>
        <w:rPr>
          <w:rFonts w:hint="eastAsia" w:ascii="宋体" w:hAnsi="宋体" w:eastAsia="宋体" w:cs="宋体"/>
          <w:sz w:val="24"/>
          <w:szCs w:val="24"/>
        </w:rPr>
        <w:t>（采购人、受采购人委托签订合同的单位或采购文件约定的合同甲方）</w:t>
      </w:r>
    </w:p>
    <w:p w14:paraId="2F7C448A">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乙方1（全称）：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14:paraId="00581016">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14:paraId="0A950488">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乙方3（全称）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14:paraId="3683BFB3">
      <w:pPr>
        <w:spacing w:line="360" w:lineRule="auto"/>
        <w:rPr>
          <w:rFonts w:hint="eastAsia" w:ascii="宋体" w:hAnsi="宋体" w:eastAsia="宋体" w:cs="宋体"/>
          <w:sz w:val="24"/>
          <w:szCs w:val="24"/>
        </w:rPr>
      </w:pPr>
    </w:p>
    <w:p w14:paraId="28BA7282">
      <w:pPr>
        <w:pStyle w:val="12"/>
        <w:adjustRightInd w:val="0"/>
        <w:snapToGrid w:val="0"/>
        <w:spacing w:after="0"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5B99741E">
      <w:pPr>
        <w:numPr>
          <w:ilvl w:val="0"/>
          <w:numId w:val="2"/>
        </w:num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项目信息</w:t>
      </w:r>
    </w:p>
    <w:p w14:paraId="4006D401">
      <w:pPr>
        <w:pStyle w:val="12"/>
        <w:numPr>
          <w:ilvl w:val="0"/>
          <w:numId w:val="3"/>
        </w:numPr>
        <w:adjustRightInd w:val="0"/>
        <w:snapToGrid w:val="0"/>
        <w:spacing w:after="0" w:line="360" w:lineRule="auto"/>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安徽省淝河监狱生命探测仪采购项目</w:t>
      </w:r>
      <w:r>
        <w:rPr>
          <w:rFonts w:hint="eastAsia" w:ascii="宋体" w:hAnsi="宋体" w:eastAsia="宋体" w:cs="宋体"/>
          <w:sz w:val="24"/>
          <w:szCs w:val="24"/>
          <w:u w:val="single"/>
        </w:rPr>
        <w:t xml:space="preserve">    </w:t>
      </w:r>
    </w:p>
    <w:p w14:paraId="6C6F9A89">
      <w:pPr>
        <w:pStyle w:val="12"/>
        <w:numPr>
          <w:ilvl w:val="255"/>
          <w:numId w:val="0"/>
        </w:numPr>
        <w:tabs>
          <w:tab w:val="left" w:pos="999"/>
        </w:tabs>
        <w:adjustRightInd w:val="0"/>
        <w:snapToGrid w:val="0"/>
        <w:spacing w:after="0" w:line="360" w:lineRule="auto"/>
        <w:rPr>
          <w:rFonts w:hint="eastAsia" w:ascii="宋体" w:hAnsi="宋体" w:eastAsia="宋体" w:cs="宋体"/>
          <w:sz w:val="24"/>
          <w:szCs w:val="24"/>
        </w:rPr>
      </w:pPr>
      <w:r>
        <w:rPr>
          <w:rFonts w:hint="eastAsia" w:ascii="宋体" w:hAnsi="宋体" w:eastAsia="宋体" w:cs="宋体"/>
          <w:sz w:val="24"/>
          <w:szCs w:val="24"/>
        </w:rPr>
        <w:t xml:space="preserve">         采购项目编号：</w:t>
      </w:r>
      <w:r>
        <w:rPr>
          <w:rFonts w:hint="eastAsia" w:ascii="宋体" w:hAnsi="宋体" w:eastAsia="宋体" w:cs="宋体"/>
          <w:sz w:val="24"/>
          <w:szCs w:val="24"/>
          <w:u w:val="single"/>
        </w:rPr>
        <w:t xml:space="preserve">                       </w:t>
      </w:r>
    </w:p>
    <w:p w14:paraId="1365F05B">
      <w:pPr>
        <w:pStyle w:val="12"/>
        <w:adjustRightInd w:val="0"/>
        <w:snapToGrid w:val="0"/>
        <w:spacing w:after="0"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8A734B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（3）项目内容：</w:t>
      </w:r>
    </w:p>
    <w:p w14:paraId="56325DF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采购标的及数量（台/套</w:t>
      </w:r>
      <w:r>
        <w:rPr>
          <w:rFonts w:hint="eastAsia" w:ascii="宋体" w:hAnsi="宋体" w:eastAsia="宋体" w:cs="宋体"/>
          <w:sz w:val="24"/>
          <w:szCs w:val="24"/>
          <w:lang w:val="en"/>
        </w:rPr>
        <w:t>/个/架/组等</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CE1708B">
      <w:pPr>
        <w:numPr>
          <w:ilvl w:val="255"/>
          <w:numId w:val="0"/>
        </w:numPr>
        <w:adjustRightInd w:val="0"/>
        <w:snapToGrid w:val="0"/>
        <w:spacing w:line="360" w:lineRule="auto"/>
        <w:ind w:firstLine="480" w:firstLineChars="200"/>
        <w:rPr>
          <w:rFonts w:hint="eastAsia" w:ascii="宋体" w:hAnsi="宋体" w:eastAsia="宋体" w:cs="宋体"/>
          <w:sz w:val="24"/>
          <w:szCs w:val="24"/>
          <w:lang w:val="en"/>
        </w:rPr>
      </w:pPr>
      <w:r>
        <w:rPr>
          <w:rFonts w:hint="eastAsia" w:ascii="宋体" w:hAnsi="宋体" w:eastAsia="宋体" w:cs="宋体"/>
          <w:sz w:val="24"/>
          <w:szCs w:val="24"/>
        </w:rPr>
        <w:t xml:space="preserve">     品牌：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
        </w:rPr>
        <w:t xml:space="preserve">     </w:t>
      </w:r>
      <w:r>
        <w:rPr>
          <w:rFonts w:hint="eastAsia" w:ascii="宋体" w:hAnsi="宋体" w:eastAsia="宋体" w:cs="宋体"/>
          <w:sz w:val="24"/>
          <w:szCs w:val="24"/>
        </w:rPr>
        <w:t>规格型号：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
        </w:rPr>
        <w:t xml:space="preserve">   </w:t>
      </w:r>
    </w:p>
    <w:p w14:paraId="0FC9B403">
      <w:pPr>
        <w:adjustRightInd w:val="0"/>
        <w:snapToGrid w:val="0"/>
        <w:spacing w:line="360" w:lineRule="auto"/>
        <w:ind w:firstLine="1080" w:firstLineChars="450"/>
        <w:rPr>
          <w:rFonts w:hint="eastAsia" w:ascii="宋体" w:hAnsi="宋体" w:eastAsia="宋体" w:cs="宋体"/>
          <w:sz w:val="24"/>
          <w:szCs w:val="24"/>
          <w:u w:val="single"/>
        </w:rPr>
      </w:pPr>
      <w:r>
        <w:rPr>
          <w:rFonts w:hint="eastAsia" w:ascii="宋体" w:hAnsi="宋体" w:eastAsia="宋体" w:cs="宋体"/>
          <w:sz w:val="24"/>
          <w:szCs w:val="24"/>
        </w:rPr>
        <w:t>采购标的的技术要求、商务要求具体见附件。</w:t>
      </w:r>
    </w:p>
    <w:p w14:paraId="4D7A8C52">
      <w:pPr>
        <w:numPr>
          <w:ilvl w:val="255"/>
          <w:numId w:val="0"/>
        </w:numPr>
        <w:adjustRightInd w:val="0"/>
        <w:snapToGrid w:val="0"/>
        <w:spacing w:line="360" w:lineRule="auto"/>
        <w:ind w:firstLine="1080" w:firstLineChars="450"/>
        <w:rPr>
          <w:rFonts w:hint="eastAsia" w:ascii="宋体" w:hAnsi="宋体" w:eastAsia="宋体" w:cs="宋体"/>
          <w:sz w:val="24"/>
          <w:szCs w:val="24"/>
        </w:rPr>
      </w:pPr>
      <w:r>
        <w:rPr>
          <w:rFonts w:hint="eastAsia" w:ascii="宋体" w:hAnsi="宋体" w:eastAsia="宋体" w:cs="宋体"/>
          <w:sz w:val="24"/>
          <w:szCs w:val="24"/>
        </w:rPr>
        <w:t>①涉及信息类产品，请填写该产品关键部件的品牌、型号：</w:t>
      </w:r>
    </w:p>
    <w:p w14:paraId="4360B0BD">
      <w:pPr>
        <w:numPr>
          <w:ilvl w:val="255"/>
          <w:numId w:val="0"/>
        </w:numPr>
        <w:adjustRightInd w:val="0"/>
        <w:snapToGrid w:val="0"/>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sz w:val="24"/>
          <w:szCs w:val="24"/>
        </w:rPr>
        <w:t xml:space="preserve">     标的名称：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
        </w:rPr>
        <w:t xml:space="preserve">               </w:t>
      </w:r>
      <w:r>
        <w:rPr>
          <w:rFonts w:hint="eastAsia" w:ascii="宋体" w:hAnsi="宋体" w:eastAsia="宋体" w:cs="宋体"/>
          <w:kern w:val="0"/>
          <w:sz w:val="24"/>
          <w:szCs w:val="24"/>
          <w:u w:val="single"/>
        </w:rPr>
        <w:t xml:space="preserve">    </w:t>
      </w:r>
    </w:p>
    <w:p w14:paraId="1F93C923">
      <w:pPr>
        <w:numPr>
          <w:ilvl w:val="255"/>
          <w:numId w:val="0"/>
        </w:num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关键部件：</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sz w:val="24"/>
          <w:szCs w:val="24"/>
        </w:rPr>
        <w:t>品牌：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型号：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454E148">
      <w:pPr>
        <w:pStyle w:val="76"/>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kern w:val="2"/>
          <w:sz w:val="24"/>
          <w:szCs w:val="24"/>
        </w:rPr>
        <w:t>关键部件</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品牌：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型号：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37A73ED">
      <w:pPr>
        <w:pStyle w:val="76"/>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     关键部件：</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品牌：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型号：</w:t>
      </w:r>
      <w:r>
        <w:rPr>
          <w:rFonts w:hint="eastAsia" w:ascii="宋体" w:hAnsi="宋体" w:eastAsia="宋体" w:cs="宋体"/>
          <w:sz w:val="24"/>
          <w:szCs w:val="24"/>
          <w:u w:val="single"/>
        </w:rPr>
        <w:t xml:space="preserve">       </w:t>
      </w:r>
    </w:p>
    <w:p w14:paraId="3ED66205">
      <w:pPr>
        <w:pStyle w:val="76"/>
        <w:numPr>
          <w:ilvl w:val="255"/>
          <w:numId w:val="0"/>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1254B508">
      <w:pPr>
        <w:pStyle w:val="76"/>
        <w:numPr>
          <w:ilvl w:val="255"/>
          <w:numId w:val="0"/>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②涉及车辆采购，请填写是否属于新能源汽车：</w:t>
      </w:r>
    </w:p>
    <w:p w14:paraId="6A96E2F5">
      <w:pPr>
        <w:pStyle w:val="76"/>
        <w:numPr>
          <w:ilvl w:val="255"/>
          <w:numId w:val="0"/>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rPr>
        <w:t>是，《政府采购品目分类目录》底级品目名称：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数量：</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金额：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D658A92">
      <w:pPr>
        <w:pStyle w:val="76"/>
        <w:numPr>
          <w:ilvl w:val="255"/>
          <w:numId w:val="0"/>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sym w:font="Wingdings" w:char="00FE"/>
      </w:r>
      <w:r>
        <w:rPr>
          <w:rFonts w:hint="eastAsia" w:ascii="宋体" w:hAnsi="宋体" w:eastAsia="宋体" w:cs="宋体"/>
          <w:sz w:val="24"/>
          <w:szCs w:val="24"/>
        </w:rPr>
        <w:t>否</w:t>
      </w:r>
    </w:p>
    <w:p w14:paraId="70E1546A">
      <w:pPr>
        <w:pStyle w:val="76"/>
        <w:numPr>
          <w:ilvl w:val="255"/>
          <w:numId w:val="0"/>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
        </w:rPr>
        <w:t>4</w:t>
      </w:r>
      <w:r>
        <w:rPr>
          <w:rFonts w:hint="eastAsia" w:ascii="宋体" w:hAnsi="宋体" w:eastAsia="宋体" w:cs="宋体"/>
          <w:sz w:val="24"/>
          <w:szCs w:val="24"/>
        </w:rPr>
        <w:t>）政府采购组织形式：</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政府集中采购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部门集中采购  </w:t>
      </w:r>
      <w:r>
        <w:rPr>
          <w:rFonts w:hint="eastAsia" w:ascii="宋体" w:hAnsi="宋体" w:eastAsia="宋体" w:cs="宋体"/>
          <w:sz w:val="24"/>
          <w:szCs w:val="24"/>
        </w:rPr>
        <w:sym w:font="Wingdings" w:char="00FE"/>
      </w:r>
      <w:r>
        <w:rPr>
          <w:rFonts w:hint="eastAsia" w:ascii="宋体" w:hAnsi="宋体" w:eastAsia="宋体" w:cs="宋体"/>
          <w:sz w:val="24"/>
          <w:szCs w:val="24"/>
        </w:rPr>
        <w:t>分散采购</w:t>
      </w:r>
    </w:p>
    <w:p w14:paraId="0397C495">
      <w:pPr>
        <w:pStyle w:val="76"/>
        <w:numPr>
          <w:ilvl w:val="255"/>
          <w:numId w:val="0"/>
        </w:numPr>
        <w:snapToGrid w:val="0"/>
        <w:spacing w:line="360" w:lineRule="auto"/>
        <w:ind w:firstLine="42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rPr>
        <w:t>5</w:t>
      </w:r>
      <w:r>
        <w:rPr>
          <w:rFonts w:hint="eastAsia" w:ascii="宋体" w:hAnsi="宋体" w:eastAsia="宋体" w:cs="宋体"/>
          <w:sz w:val="24"/>
          <w:szCs w:val="24"/>
        </w:rPr>
        <w:t>）政府采购方式：</w:t>
      </w:r>
      <w:r>
        <w:rPr>
          <w:rFonts w:hint="eastAsia" w:ascii="宋体" w:hAnsi="宋体" w:eastAsia="宋体" w:cs="宋体"/>
          <w:sz w:val="24"/>
          <w:szCs w:val="24"/>
        </w:rPr>
        <w:sym w:font="Wingdings" w:char="00FE"/>
      </w:r>
      <w:r>
        <w:rPr>
          <w:rFonts w:hint="eastAsia" w:ascii="宋体" w:hAnsi="宋体" w:eastAsia="宋体" w:cs="宋体"/>
          <w:sz w:val="24"/>
          <w:szCs w:val="24"/>
        </w:rPr>
        <w:t xml:space="preserve">公开招标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邀请招标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竞争性谈判 </w:t>
      </w:r>
      <w:r>
        <w:rPr>
          <w:rFonts w:hint="eastAsia" w:ascii="宋体" w:hAnsi="宋体" w:eastAsia="宋体" w:cs="宋体"/>
          <w:sz w:val="24"/>
          <w:szCs w:val="24"/>
        </w:rPr>
        <w:sym w:font="Wingdings" w:char="00A8"/>
      </w:r>
      <w:r>
        <w:rPr>
          <w:rFonts w:hint="eastAsia" w:ascii="宋体" w:hAnsi="宋体" w:eastAsia="宋体" w:cs="宋体"/>
          <w:sz w:val="24"/>
          <w:szCs w:val="24"/>
        </w:rPr>
        <w:t>竞争性磋商</w:t>
      </w:r>
    </w:p>
    <w:p w14:paraId="00D02ABD">
      <w:pPr>
        <w:pStyle w:val="76"/>
        <w:numPr>
          <w:ilvl w:val="255"/>
          <w:numId w:val="0"/>
        </w:numPr>
        <w:snapToGrid w:val="0"/>
        <w:spacing w:line="360" w:lineRule="auto"/>
        <w:ind w:firstLine="420"/>
        <w:rPr>
          <w:rFonts w:hint="eastAsia"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询价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单一来源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框架协议 </w:t>
      </w:r>
      <w:r>
        <w:rPr>
          <w:rFonts w:hint="eastAsia" w:ascii="宋体" w:hAnsi="宋体" w:eastAsia="宋体" w:cs="宋体"/>
          <w:sz w:val="24"/>
          <w:szCs w:val="24"/>
        </w:rPr>
        <w:sym w:font="Wingdings" w:char="00A8"/>
      </w:r>
      <w:r>
        <w:rPr>
          <w:rFonts w:hint="eastAsia" w:ascii="宋体" w:hAnsi="宋体" w:eastAsia="宋体" w:cs="宋体"/>
          <w:sz w:val="24"/>
          <w:szCs w:val="24"/>
        </w:rPr>
        <w:t>其他：</w:t>
      </w:r>
      <w:r>
        <w:rPr>
          <w:rFonts w:hint="eastAsia" w:ascii="宋体" w:hAnsi="宋体" w:eastAsia="宋体" w:cs="宋体"/>
          <w:sz w:val="24"/>
          <w:szCs w:val="24"/>
          <w:u w:val="single"/>
        </w:rPr>
        <w:t xml:space="preserve">          </w:t>
      </w:r>
    </w:p>
    <w:p w14:paraId="4F180B3F">
      <w:pPr>
        <w:pStyle w:val="76"/>
        <w:numPr>
          <w:ilvl w:val="255"/>
          <w:numId w:val="0"/>
        </w:numPr>
        <w:snapToGrid w:val="0"/>
        <w:spacing w:line="360" w:lineRule="auto"/>
        <w:ind w:firstLine="420"/>
        <w:rPr>
          <w:rFonts w:hint="eastAsia" w:ascii="宋体" w:hAnsi="宋体" w:eastAsia="宋体" w:cs="宋体"/>
          <w:sz w:val="24"/>
          <w:szCs w:val="24"/>
        </w:rPr>
      </w:pPr>
      <w:r>
        <w:rPr>
          <w:rFonts w:hint="eastAsia" w:ascii="宋体" w:hAnsi="宋体" w:eastAsia="宋体" w:cs="宋体"/>
          <w:sz w:val="24"/>
          <w:szCs w:val="24"/>
        </w:rPr>
        <w:t>（注：在框架协议采购的第二阶段，可选择使用该合同文本）</w:t>
      </w:r>
    </w:p>
    <w:p w14:paraId="4145F48F">
      <w:pPr>
        <w:pStyle w:val="76"/>
        <w:numPr>
          <w:ilvl w:val="255"/>
          <w:numId w:val="0"/>
        </w:numPr>
        <w:snapToGrid w:val="0"/>
        <w:spacing w:line="360" w:lineRule="auto"/>
        <w:ind w:firstLine="240" w:firstLineChars="100"/>
        <w:rPr>
          <w:rFonts w:hint="eastAsia" w:ascii="宋体" w:hAnsi="宋体" w:eastAsia="宋体" w:cs="宋体"/>
          <w:kern w:val="2"/>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
        </w:rPr>
        <w:t>6</w:t>
      </w:r>
      <w:r>
        <w:rPr>
          <w:rFonts w:hint="eastAsia" w:ascii="宋体" w:hAnsi="宋体" w:eastAsia="宋体" w:cs="宋体"/>
          <w:sz w:val="24"/>
          <w:szCs w:val="24"/>
        </w:rPr>
        <w:t>）</w:t>
      </w:r>
      <w:r>
        <w:rPr>
          <w:rFonts w:hint="eastAsia" w:ascii="宋体" w:hAnsi="宋体" w:eastAsia="宋体" w:cs="宋体"/>
          <w:kern w:val="2"/>
          <w:sz w:val="24"/>
          <w:szCs w:val="24"/>
        </w:rPr>
        <w:t>中标（成交）采购标的制造商是否为中小企业：</w:t>
      </w:r>
      <w:r>
        <w:rPr>
          <w:rFonts w:hint="eastAsia" w:ascii="宋体" w:hAnsi="宋体" w:eastAsia="宋体" w:cs="宋体"/>
          <w:kern w:val="2"/>
          <w:sz w:val="24"/>
          <w:szCs w:val="24"/>
        </w:rPr>
        <w:sym w:font="Wingdings" w:char="00A8"/>
      </w:r>
      <w:r>
        <w:rPr>
          <w:rFonts w:hint="eastAsia" w:ascii="宋体" w:hAnsi="宋体" w:eastAsia="宋体" w:cs="宋体"/>
          <w:kern w:val="2"/>
          <w:sz w:val="24"/>
          <w:szCs w:val="24"/>
        </w:rPr>
        <w:t xml:space="preserve">是      </w:t>
      </w:r>
      <w:r>
        <w:rPr>
          <w:rFonts w:hint="eastAsia" w:ascii="宋体" w:hAnsi="宋体" w:eastAsia="宋体" w:cs="宋体"/>
          <w:kern w:val="2"/>
          <w:sz w:val="24"/>
          <w:szCs w:val="24"/>
        </w:rPr>
        <w:sym w:font="Wingdings" w:char="00A8"/>
      </w:r>
      <w:r>
        <w:rPr>
          <w:rFonts w:hint="eastAsia" w:ascii="宋体" w:hAnsi="宋体" w:eastAsia="宋体" w:cs="宋体"/>
          <w:kern w:val="2"/>
          <w:sz w:val="24"/>
          <w:szCs w:val="24"/>
        </w:rPr>
        <w:t>否</w:t>
      </w:r>
    </w:p>
    <w:p w14:paraId="25D71322">
      <w:pPr>
        <w:numPr>
          <w:ilvl w:val="255"/>
          <w:numId w:val="0"/>
        </w:numPr>
        <w:adjustRightInd w:val="0"/>
        <w:snapToGrid w:val="0"/>
        <w:spacing w:line="360" w:lineRule="auto"/>
        <w:rPr>
          <w:rFonts w:hint="eastAsia" w:ascii="宋体" w:hAnsi="宋体" w:eastAsia="宋体" w:cs="宋体"/>
          <w:iCs/>
          <w:sz w:val="24"/>
          <w:szCs w:val="24"/>
          <w:highlight w:val="yellow"/>
        </w:rPr>
      </w:pPr>
      <w:r>
        <w:rPr>
          <w:rFonts w:hint="eastAsia" w:ascii="宋体" w:hAnsi="宋体" w:eastAsia="宋体" w:cs="宋体"/>
          <w:sz w:val="24"/>
          <w:szCs w:val="24"/>
        </w:rPr>
        <w:t xml:space="preserve">         本合同是否为专门面向中小企业的采购合同（中小企业预留合同）：</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highlight w:val="none"/>
        </w:rPr>
        <w:t xml:space="preserve"> </w:t>
      </w:r>
      <w:r>
        <w:rPr>
          <w:rFonts w:hint="eastAsia" w:ascii="宋体" w:hAnsi="宋体" w:eastAsia="宋体" w:cs="宋体"/>
          <w:iCs/>
          <w:sz w:val="24"/>
          <w:szCs w:val="24"/>
          <w:highlight w:val="none"/>
        </w:rPr>
        <w:sym w:font="Wingdings" w:char="00FE"/>
      </w:r>
      <w:r>
        <w:rPr>
          <w:rFonts w:hint="eastAsia" w:ascii="宋体" w:hAnsi="宋体" w:eastAsia="宋体" w:cs="宋体"/>
          <w:iCs/>
          <w:sz w:val="24"/>
          <w:szCs w:val="24"/>
          <w:highlight w:val="none"/>
        </w:rPr>
        <w:t>否</w:t>
      </w:r>
    </w:p>
    <w:p w14:paraId="5626A2D3">
      <w:pPr>
        <w:numPr>
          <w:ilvl w:val="255"/>
          <w:numId w:val="0"/>
        </w:numPr>
        <w:adjustRightInd w:val="0"/>
        <w:snapToGrid w:val="0"/>
        <w:spacing w:line="360" w:lineRule="auto"/>
        <w:rPr>
          <w:rFonts w:hint="eastAsia" w:ascii="宋体" w:hAnsi="宋体" w:eastAsia="宋体" w:cs="宋体"/>
          <w:iCs/>
          <w:sz w:val="24"/>
          <w:szCs w:val="24"/>
        </w:rPr>
      </w:pPr>
      <w:r>
        <w:rPr>
          <w:rFonts w:hint="eastAsia" w:ascii="宋体" w:hAnsi="宋体" w:eastAsia="宋体" w:cs="宋体"/>
          <w:sz w:val="24"/>
          <w:szCs w:val="24"/>
        </w:rPr>
        <w:t xml:space="preserve">         若本项目不专门面向中小企业采购，是否给予小微企业评审优惠：</w:t>
      </w:r>
      <w:r>
        <w:rPr>
          <w:rFonts w:hint="eastAsia" w:ascii="宋体" w:hAnsi="宋体" w:eastAsia="宋体" w:cs="宋体"/>
          <w:iCs/>
          <w:sz w:val="24"/>
          <w:szCs w:val="24"/>
          <w:highlight w:val="none"/>
        </w:rPr>
        <w:sym w:font="Wingdings" w:char="00FE"/>
      </w:r>
      <w:r>
        <w:rPr>
          <w:rFonts w:hint="eastAsia" w:ascii="宋体" w:hAnsi="宋体" w:eastAsia="宋体" w:cs="宋体"/>
          <w:iCs/>
          <w:sz w:val="24"/>
          <w:szCs w:val="24"/>
          <w:highlight w:val="none"/>
        </w:rPr>
        <w:t>是</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07CD1053">
      <w:pPr>
        <w:numPr>
          <w:ilvl w:val="255"/>
          <w:numId w:val="0"/>
        </w:numPr>
        <w:adjustRightInd w:val="0"/>
        <w:snapToGrid w:val="0"/>
        <w:spacing w:line="360" w:lineRule="auto"/>
        <w:rPr>
          <w:rFonts w:hint="eastAsia" w:ascii="宋体" w:hAnsi="宋体" w:eastAsia="宋体" w:cs="宋体"/>
          <w:iCs/>
          <w:sz w:val="24"/>
          <w:szCs w:val="24"/>
        </w:rPr>
      </w:pPr>
      <w:r>
        <w:rPr>
          <w:rFonts w:hint="eastAsia" w:ascii="宋体" w:hAnsi="宋体" w:eastAsia="宋体" w:cs="宋体"/>
          <w:sz w:val="24"/>
          <w:szCs w:val="24"/>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76B62E79">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527482B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FE"/>
      </w:r>
      <w:r>
        <w:rPr>
          <w:rFonts w:hint="eastAsia" w:ascii="宋体" w:hAnsi="宋体" w:eastAsia="宋体" w:cs="宋体"/>
          <w:iCs/>
          <w:sz w:val="24"/>
          <w:szCs w:val="24"/>
        </w:rPr>
        <w:t>否</w:t>
      </w:r>
    </w:p>
    <w:p w14:paraId="68E71F91">
      <w:pPr>
        <w:adjustRightInd w:val="0"/>
        <w:snapToGrid w:val="0"/>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 xml:space="preserve"> 分包主要内容：</w:t>
      </w:r>
      <w:r>
        <w:rPr>
          <w:rFonts w:hint="eastAsia" w:ascii="宋体" w:hAnsi="宋体" w:eastAsia="宋体" w:cs="宋体"/>
          <w:sz w:val="24"/>
          <w:szCs w:val="24"/>
          <w:u w:val="single"/>
        </w:rPr>
        <w:t xml:space="preserve">                                            </w:t>
      </w:r>
    </w:p>
    <w:p w14:paraId="775EE5A9">
      <w:pPr>
        <w:adjustRightInd w:val="0"/>
        <w:snapToGrid w:val="0"/>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 xml:space="preserve"> 分包供应商/制造商名称（如供应商和制造商不同，请分别填写）：</w:t>
      </w:r>
    </w:p>
    <w:p w14:paraId="436F021C">
      <w:pPr>
        <w:adjustRightInd w:val="0"/>
        <w:snapToGrid w:val="0"/>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94BD603">
      <w:pPr>
        <w:adjustRightInd w:val="0"/>
        <w:snapToGrid w:val="0"/>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 xml:space="preserve"> 分包供应商/制造商类型（如果供应商和制造商不同，只填写制造商类型）：</w:t>
      </w:r>
    </w:p>
    <w:p w14:paraId="6F69DC0E">
      <w:pPr>
        <w:adjustRightInd w:val="0"/>
        <w:snapToGrid w:val="0"/>
        <w:spacing w:line="360" w:lineRule="auto"/>
        <w:ind w:firstLine="960" w:firstLineChars="400"/>
        <w:rPr>
          <w:rFonts w:hint="eastAsia" w:ascii="宋体" w:hAnsi="宋体" w:eastAsia="宋体" w:cs="宋体"/>
          <w:iCs/>
          <w:sz w:val="24"/>
          <w:szCs w:val="24"/>
        </w:rPr>
      </w:pP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小微型企业  </w:t>
      </w:r>
    </w:p>
    <w:p w14:paraId="4D57217A">
      <w:pPr>
        <w:adjustRightInd w:val="0"/>
        <w:snapToGrid w:val="0"/>
        <w:spacing w:line="360" w:lineRule="auto"/>
        <w:ind w:firstLine="960" w:firstLineChars="400"/>
        <w:rPr>
          <w:rFonts w:hint="eastAsia" w:ascii="宋体" w:hAnsi="宋体" w:eastAsia="宋体" w:cs="宋体"/>
          <w:sz w:val="24"/>
          <w:szCs w:val="24"/>
        </w:rPr>
      </w:pP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残疾人福利性单位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监狱企业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其他</w:t>
      </w:r>
    </w:p>
    <w:p w14:paraId="189A6CE8">
      <w:pPr>
        <w:numPr>
          <w:ilvl w:val="255"/>
          <w:numId w:val="0"/>
        </w:numPr>
        <w:adjustRightInd w:val="0"/>
        <w:snapToGrid w:val="0"/>
        <w:spacing w:line="360" w:lineRule="auto"/>
        <w:rPr>
          <w:rFonts w:hint="eastAsia" w:ascii="宋体" w:hAnsi="宋体" w:eastAsia="宋体" w:cs="宋体"/>
          <w:iCs/>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
        </w:rPr>
        <w:t>8</w:t>
      </w:r>
      <w:r>
        <w:rPr>
          <w:rFonts w:hint="eastAsia" w:ascii="宋体" w:hAnsi="宋体" w:eastAsia="宋体" w:cs="宋体"/>
          <w:sz w:val="24"/>
          <w:szCs w:val="24"/>
        </w:rPr>
        <w:t>）中标（成交）供应商是否为外商投资企业：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010A3FCE">
      <w:pPr>
        <w:pStyle w:val="76"/>
        <w:tabs>
          <w:tab w:val="left" w:pos="1340"/>
        </w:tabs>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 xml:space="preserve">     外商投资企业类型：</w:t>
      </w:r>
      <w:r>
        <w:rPr>
          <w:rFonts w:hint="eastAsia" w:ascii="宋体" w:hAnsi="宋体" w:eastAsia="宋体" w:cs="宋体"/>
          <w:iCs/>
          <w:sz w:val="24"/>
          <w:szCs w:val="24"/>
        </w:rPr>
        <w:sym w:font="Wingdings" w:char="00A8"/>
      </w:r>
      <w:r>
        <w:rPr>
          <w:rFonts w:hint="eastAsia" w:ascii="宋体" w:hAnsi="宋体" w:eastAsia="宋体" w:cs="宋体"/>
          <w:sz w:val="24"/>
          <w:szCs w:val="24"/>
        </w:rPr>
        <w:t xml:space="preserve">全部由外国投资者投资  </w:t>
      </w:r>
      <w:r>
        <w:rPr>
          <w:rFonts w:hint="eastAsia" w:ascii="宋体" w:hAnsi="宋体" w:eastAsia="宋体" w:cs="宋体"/>
          <w:iCs/>
          <w:sz w:val="24"/>
          <w:szCs w:val="24"/>
        </w:rPr>
        <w:sym w:font="Wingdings" w:char="00A8"/>
      </w:r>
      <w:r>
        <w:rPr>
          <w:rFonts w:hint="eastAsia" w:ascii="宋体" w:hAnsi="宋体" w:eastAsia="宋体" w:cs="宋体"/>
          <w:iCs/>
          <w:sz w:val="24"/>
          <w:szCs w:val="24"/>
        </w:rPr>
        <w:t>部分由外国投资者投资</w:t>
      </w:r>
    </w:p>
    <w:p w14:paraId="25843E83">
      <w:pPr>
        <w:numPr>
          <w:ilvl w:val="255"/>
          <w:numId w:val="0"/>
        </w:num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rPr>
        <w:t>9</w:t>
      </w:r>
      <w:r>
        <w:rPr>
          <w:rFonts w:hint="eastAsia" w:ascii="宋体" w:hAnsi="宋体" w:eastAsia="宋体" w:cs="宋体"/>
          <w:sz w:val="24"/>
          <w:szCs w:val="24"/>
        </w:rPr>
        <w:t>）是否涉及进口产品：</w:t>
      </w:r>
    </w:p>
    <w:p w14:paraId="57632106">
      <w:pPr>
        <w:numPr>
          <w:ilvl w:val="255"/>
          <w:numId w:val="0"/>
        </w:numPr>
        <w:adjustRightInd w:val="0"/>
        <w:snapToGrid w:val="0"/>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rPr>
        <w:t>是，《政府采购品目分类目录》底级品目名称：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金额：</w:t>
      </w:r>
      <w:r>
        <w:rPr>
          <w:rFonts w:hint="eastAsia" w:ascii="宋体" w:hAnsi="宋体" w:eastAsia="宋体" w:cs="宋体"/>
          <w:sz w:val="24"/>
          <w:szCs w:val="24"/>
          <w:u w:val="single"/>
        </w:rPr>
        <w:t xml:space="preserve">        </w:t>
      </w:r>
    </w:p>
    <w:p w14:paraId="2B8CBC4A">
      <w:pPr>
        <w:numPr>
          <w:ilvl w:val="255"/>
          <w:numId w:val="0"/>
        </w:numPr>
        <w:adjustRightInd w:val="0"/>
        <w:snapToGrid w:val="0"/>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 xml:space="preserve">        国别：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品牌：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规格型号：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8802FAF">
      <w:pPr>
        <w:adjustRightInd w:val="0"/>
        <w:snapToGrid w:val="0"/>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sym w:font="Wingdings" w:char="00FE"/>
      </w:r>
      <w:r>
        <w:rPr>
          <w:rFonts w:hint="eastAsia" w:ascii="宋体" w:hAnsi="宋体" w:eastAsia="宋体" w:cs="宋体"/>
          <w:sz w:val="24"/>
          <w:szCs w:val="24"/>
        </w:rPr>
        <w:t>否</w:t>
      </w:r>
    </w:p>
    <w:p w14:paraId="3E696FF1">
      <w:pPr>
        <w:numPr>
          <w:ilvl w:val="255"/>
          <w:numId w:val="0"/>
        </w:numPr>
        <w:tabs>
          <w:tab w:val="left" w:pos="740"/>
        </w:tabs>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（1</w:t>
      </w:r>
      <w:r>
        <w:rPr>
          <w:rFonts w:hint="eastAsia" w:ascii="宋体" w:hAnsi="宋体" w:eastAsia="宋体" w:cs="宋体"/>
          <w:sz w:val="24"/>
          <w:szCs w:val="24"/>
          <w:lang w:val="en"/>
        </w:rPr>
        <w:t>0</w:t>
      </w:r>
      <w:r>
        <w:rPr>
          <w:rFonts w:hint="eastAsia" w:ascii="宋体" w:hAnsi="宋体" w:eastAsia="宋体" w:cs="宋体"/>
          <w:sz w:val="24"/>
          <w:szCs w:val="24"/>
        </w:rPr>
        <w:t>）是否涉及节能产品：</w:t>
      </w:r>
    </w:p>
    <w:p w14:paraId="5852023A">
      <w:pPr>
        <w:numPr>
          <w:ilvl w:val="255"/>
          <w:numId w:val="0"/>
        </w:numPr>
        <w:tabs>
          <w:tab w:val="left" w:pos="740"/>
        </w:tabs>
        <w:adjustRightInd w:val="0"/>
        <w:snapToGrid w:val="0"/>
        <w:spacing w:line="360" w:lineRule="auto"/>
        <w:rPr>
          <w:rFonts w:hint="eastAsia" w:ascii="宋体" w:hAnsi="宋体" w:eastAsia="宋体" w:cs="宋体"/>
          <w:iCs/>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rPr>
        <w:t>是，《节能产品政府采购品目清单》的底级品目名称：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门 </w:t>
      </w:r>
      <w:r>
        <w:rPr>
          <w:rFonts w:hint="eastAsia" w:ascii="宋体" w:hAnsi="宋体" w:eastAsia="宋体" w:cs="宋体"/>
          <w:iCs/>
          <w:sz w:val="24"/>
          <w:szCs w:val="24"/>
        </w:rPr>
        <w:t xml:space="preserve">    </w:t>
      </w:r>
    </w:p>
    <w:p w14:paraId="614F4966">
      <w:pPr>
        <w:numPr>
          <w:ilvl w:val="255"/>
          <w:numId w:val="0"/>
        </w:numPr>
        <w:tabs>
          <w:tab w:val="left" w:pos="740"/>
        </w:tabs>
        <w:adjustRightInd w:val="0"/>
        <w:snapToGrid w:val="0"/>
        <w:spacing w:line="360" w:lineRule="auto"/>
        <w:rPr>
          <w:rFonts w:hint="eastAsia" w:ascii="宋体" w:hAnsi="宋体" w:eastAsia="宋体" w:cs="宋体"/>
          <w:iCs/>
          <w:sz w:val="24"/>
          <w:szCs w:val="24"/>
        </w:rPr>
      </w:pP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强制采购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优先采购    </w:t>
      </w:r>
    </w:p>
    <w:p w14:paraId="6D80B7CF">
      <w:pPr>
        <w:numPr>
          <w:ilvl w:val="255"/>
          <w:numId w:val="0"/>
        </w:numPr>
        <w:tabs>
          <w:tab w:val="left" w:pos="740"/>
        </w:tabs>
        <w:adjustRightInd w:val="0"/>
        <w:snapToGrid w:val="0"/>
        <w:spacing w:line="360" w:lineRule="auto"/>
        <w:rPr>
          <w:rFonts w:hint="eastAsia" w:ascii="宋体" w:hAnsi="宋体" w:eastAsia="宋体" w:cs="宋体"/>
          <w:sz w:val="24"/>
          <w:szCs w:val="24"/>
        </w:rPr>
      </w:pPr>
      <w:r>
        <w:rPr>
          <w:rFonts w:hint="eastAsia" w:ascii="宋体" w:hAnsi="宋体" w:eastAsia="宋体" w:cs="宋体"/>
          <w:iCs/>
          <w:sz w:val="24"/>
          <w:szCs w:val="24"/>
        </w:rPr>
        <w:t xml:space="preserve">         </w:t>
      </w:r>
      <w:r>
        <w:rPr>
          <w:rFonts w:hint="eastAsia" w:ascii="宋体" w:hAnsi="宋体" w:eastAsia="宋体" w:cs="宋体"/>
          <w:sz w:val="24"/>
          <w:szCs w:val="24"/>
        </w:rPr>
        <w:sym w:font="Wingdings" w:char="00FE"/>
      </w:r>
      <w:r>
        <w:rPr>
          <w:rFonts w:hint="eastAsia" w:ascii="宋体" w:hAnsi="宋体" w:eastAsia="宋体" w:cs="宋体"/>
          <w:sz w:val="24"/>
          <w:szCs w:val="24"/>
        </w:rPr>
        <w:t>否</w:t>
      </w:r>
    </w:p>
    <w:p w14:paraId="480D408F">
      <w:pPr>
        <w:numPr>
          <w:ilvl w:val="255"/>
          <w:numId w:val="0"/>
        </w:numPr>
        <w:tabs>
          <w:tab w:val="left" w:pos="740"/>
        </w:tabs>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是否涉及环境标志产品：</w:t>
      </w:r>
    </w:p>
    <w:p w14:paraId="42F4D1FA">
      <w:pPr>
        <w:numPr>
          <w:ilvl w:val="255"/>
          <w:numId w:val="0"/>
        </w:numPr>
        <w:tabs>
          <w:tab w:val="left" w:pos="740"/>
        </w:tabs>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sym w:font="Wingdings" w:char="00FE"/>
      </w:r>
      <w:r>
        <w:rPr>
          <w:rFonts w:hint="eastAsia" w:ascii="宋体" w:hAnsi="宋体" w:eastAsia="宋体" w:cs="宋体"/>
          <w:sz w:val="24"/>
          <w:szCs w:val="24"/>
        </w:rPr>
        <w:t>是，《环境标志产品政府采购品目清单》的底级品目名称：</w:t>
      </w:r>
      <w:r>
        <w:rPr>
          <w:rFonts w:hint="eastAsia" w:ascii="宋体" w:hAnsi="宋体" w:eastAsia="宋体" w:cs="宋体"/>
          <w:sz w:val="24"/>
          <w:szCs w:val="24"/>
          <w:u w:val="single"/>
        </w:rPr>
        <w:t xml:space="preserve">         </w:t>
      </w:r>
      <w:r>
        <w:rPr>
          <w:rFonts w:hint="eastAsia" w:ascii="宋体" w:hAnsi="宋体" w:eastAsia="宋体" w:cs="宋体"/>
          <w:iCs/>
          <w:sz w:val="24"/>
          <w:szCs w:val="24"/>
        </w:rPr>
        <w:t xml:space="preserve"> </w:t>
      </w:r>
    </w:p>
    <w:p w14:paraId="41A97A72">
      <w:pPr>
        <w:numPr>
          <w:ilvl w:val="255"/>
          <w:numId w:val="0"/>
        </w:numPr>
        <w:tabs>
          <w:tab w:val="left" w:pos="740"/>
        </w:tabs>
        <w:adjustRightInd w:val="0"/>
        <w:snapToGrid w:val="0"/>
        <w:spacing w:line="360" w:lineRule="auto"/>
        <w:rPr>
          <w:rFonts w:hint="eastAsia" w:ascii="宋体" w:hAnsi="宋体" w:eastAsia="宋体" w:cs="宋体"/>
          <w:iCs/>
          <w:sz w:val="24"/>
          <w:szCs w:val="24"/>
        </w:rPr>
      </w:pP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强制采购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优先采购    </w:t>
      </w:r>
    </w:p>
    <w:p w14:paraId="12DA947B">
      <w:pPr>
        <w:numPr>
          <w:ilvl w:val="255"/>
          <w:numId w:val="0"/>
        </w:numPr>
        <w:tabs>
          <w:tab w:val="left" w:pos="740"/>
        </w:tabs>
        <w:adjustRightInd w:val="0"/>
        <w:snapToGrid w:val="0"/>
        <w:spacing w:line="360" w:lineRule="auto"/>
        <w:rPr>
          <w:rFonts w:hint="eastAsia" w:ascii="宋体" w:hAnsi="宋体" w:eastAsia="宋体" w:cs="宋体"/>
          <w:sz w:val="24"/>
          <w:szCs w:val="24"/>
        </w:rPr>
      </w:pPr>
      <w:r>
        <w:rPr>
          <w:rFonts w:hint="eastAsia" w:ascii="宋体" w:hAnsi="宋体" w:eastAsia="宋体" w:cs="宋体"/>
          <w:i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14:paraId="1B8B035C">
      <w:pPr>
        <w:pStyle w:val="76"/>
        <w:numPr>
          <w:ilvl w:val="255"/>
          <w:numId w:val="0"/>
        </w:numPr>
        <w:snapToGrid w:val="0"/>
        <w:spacing w:line="360" w:lineRule="auto"/>
        <w:rPr>
          <w:rFonts w:hint="eastAsia" w:ascii="宋体" w:hAnsi="宋体" w:eastAsia="宋体" w:cs="宋体"/>
          <w:kern w:val="2"/>
          <w:sz w:val="24"/>
          <w:szCs w:val="24"/>
        </w:rPr>
      </w:pPr>
      <w:r>
        <w:rPr>
          <w:rFonts w:hint="eastAsia" w:ascii="宋体" w:hAnsi="宋体" w:eastAsia="宋体" w:cs="宋体"/>
          <w:sz w:val="24"/>
          <w:szCs w:val="24"/>
        </w:rPr>
        <w:t xml:space="preserve">          </w:t>
      </w:r>
      <w:r>
        <w:rPr>
          <w:rFonts w:hint="eastAsia" w:ascii="宋体" w:hAnsi="宋体" w:eastAsia="宋体" w:cs="宋体"/>
          <w:kern w:val="2"/>
          <w:sz w:val="24"/>
          <w:szCs w:val="24"/>
        </w:rPr>
        <w:t xml:space="preserve">是否涉及绿色产品： </w:t>
      </w:r>
    </w:p>
    <w:p w14:paraId="73B4020B">
      <w:pPr>
        <w:pStyle w:val="76"/>
        <w:spacing w:line="360" w:lineRule="auto"/>
        <w:ind w:firstLine="420" w:firstLineChars="0"/>
        <w:rPr>
          <w:rFonts w:hint="eastAsia" w:ascii="宋体" w:hAnsi="宋体" w:eastAsia="宋体" w:cs="宋体"/>
          <w:sz w:val="24"/>
          <w:szCs w:val="24"/>
          <w:u w:val="single"/>
        </w:rPr>
      </w:pPr>
      <w:r>
        <w:rPr>
          <w:rFonts w:hint="eastAsia" w:ascii="宋体" w:hAnsi="宋体" w:eastAsia="宋体" w:cs="宋体"/>
          <w:kern w:val="2"/>
          <w:sz w:val="24"/>
          <w:szCs w:val="24"/>
        </w:rPr>
        <w:t xml:space="preserve">     </w:t>
      </w:r>
      <w:r>
        <w:rPr>
          <w:rFonts w:hint="eastAsia" w:ascii="宋体" w:hAnsi="宋体" w:eastAsia="宋体" w:cs="宋体"/>
          <w:kern w:val="2"/>
          <w:sz w:val="24"/>
          <w:szCs w:val="24"/>
        </w:rPr>
        <w:sym w:font="Wingdings" w:char="00A8"/>
      </w:r>
      <w:r>
        <w:rPr>
          <w:rFonts w:hint="eastAsia" w:ascii="宋体" w:hAnsi="宋体" w:eastAsia="宋体" w:cs="宋体"/>
          <w:kern w:val="2"/>
          <w:sz w:val="24"/>
          <w:szCs w:val="24"/>
        </w:rPr>
        <w:t>是，绿色产品政府采购相关政策确定的底级品目名称：</w:t>
      </w:r>
      <w:r>
        <w:rPr>
          <w:rFonts w:hint="eastAsia" w:ascii="宋体" w:hAnsi="宋体" w:eastAsia="宋体" w:cs="宋体"/>
          <w:sz w:val="24"/>
          <w:szCs w:val="24"/>
          <w:u w:val="single"/>
        </w:rPr>
        <w:t xml:space="preserve">         </w:t>
      </w:r>
    </w:p>
    <w:p w14:paraId="56E3889F">
      <w:pPr>
        <w:numPr>
          <w:ilvl w:val="255"/>
          <w:numId w:val="0"/>
        </w:numPr>
        <w:tabs>
          <w:tab w:val="left" w:pos="740"/>
        </w:tabs>
        <w:adjustRightInd w:val="0"/>
        <w:snapToGrid w:val="0"/>
        <w:spacing w:line="360" w:lineRule="auto"/>
        <w:rPr>
          <w:rFonts w:hint="eastAsia" w:ascii="宋体" w:hAnsi="宋体" w:eastAsia="宋体" w:cs="宋体"/>
          <w:iCs/>
          <w:sz w:val="24"/>
          <w:szCs w:val="24"/>
        </w:rPr>
      </w:pP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强制采购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优先采购    </w:t>
      </w:r>
    </w:p>
    <w:p w14:paraId="59768AA6">
      <w:pPr>
        <w:pStyle w:val="76"/>
        <w:spacing w:line="360" w:lineRule="auto"/>
        <w:ind w:firstLine="420" w:firstLineChars="0"/>
        <w:rPr>
          <w:rFonts w:hint="eastAsia" w:ascii="宋体" w:hAnsi="宋体" w:eastAsia="宋体" w:cs="宋体"/>
          <w:sz w:val="24"/>
          <w:szCs w:val="24"/>
        </w:rPr>
      </w:pPr>
      <w:r>
        <w:rPr>
          <w:rFonts w:hint="eastAsia" w:ascii="宋体" w:hAnsi="宋体" w:eastAsia="宋体" w:cs="宋体"/>
          <w:kern w:val="2"/>
          <w:sz w:val="24"/>
          <w:szCs w:val="24"/>
        </w:rPr>
        <w:t xml:space="preserve">     </w:t>
      </w:r>
      <w:r>
        <w:rPr>
          <w:rFonts w:hint="eastAsia" w:ascii="宋体" w:hAnsi="宋体" w:eastAsia="宋体" w:cs="宋体"/>
          <w:kern w:val="2"/>
          <w:sz w:val="24"/>
          <w:szCs w:val="24"/>
        </w:rPr>
        <w:sym w:font="Wingdings" w:char="00FE"/>
      </w:r>
      <w:r>
        <w:rPr>
          <w:rFonts w:hint="eastAsia" w:ascii="宋体" w:hAnsi="宋体" w:eastAsia="宋体" w:cs="宋体"/>
          <w:kern w:val="2"/>
          <w:sz w:val="24"/>
          <w:szCs w:val="24"/>
        </w:rPr>
        <w:t>否</w:t>
      </w:r>
    </w:p>
    <w:p w14:paraId="05A0E777">
      <w:pPr>
        <w:numPr>
          <w:ilvl w:val="255"/>
          <w:numId w:val="0"/>
        </w:num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（1</w:t>
      </w:r>
      <w:r>
        <w:rPr>
          <w:rFonts w:hint="eastAsia" w:ascii="宋体" w:hAnsi="宋体" w:eastAsia="宋体" w:cs="宋体"/>
          <w:sz w:val="24"/>
          <w:szCs w:val="24"/>
          <w:lang w:val="en"/>
        </w:rPr>
        <w:t>1</w:t>
      </w:r>
      <w:r>
        <w:rPr>
          <w:rFonts w:hint="eastAsia" w:ascii="宋体" w:hAnsi="宋体" w:eastAsia="宋体" w:cs="宋体"/>
          <w:sz w:val="24"/>
          <w:szCs w:val="24"/>
        </w:rPr>
        <w:t>）涉及商品包装和快递包装的，是否参考《商品包装政府采购需求标准（试行）》、《快递包装政府采购需求标准（试行）》明确产品及相关快递服务的具体包装要求：</w:t>
      </w:r>
    </w:p>
    <w:p w14:paraId="4AF8FA3B">
      <w:pPr>
        <w:numPr>
          <w:ilvl w:val="255"/>
          <w:numId w:val="0"/>
        </w:numPr>
        <w:adjustRightInd w:val="0"/>
        <w:snapToGrid w:val="0"/>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sym w:font="Wingdings" w:char="00FE"/>
      </w:r>
      <w:r>
        <w:rPr>
          <w:rFonts w:hint="eastAsia" w:ascii="宋体" w:hAnsi="宋体" w:eastAsia="宋体" w:cs="宋体"/>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否      </w:t>
      </w:r>
      <w:r>
        <w:rPr>
          <w:rFonts w:hint="eastAsia" w:ascii="宋体" w:hAnsi="宋体" w:eastAsia="宋体" w:cs="宋体"/>
          <w:sz w:val="24"/>
          <w:szCs w:val="24"/>
        </w:rPr>
        <w:sym w:font="Wingdings" w:char="00A8"/>
      </w:r>
      <w:r>
        <w:rPr>
          <w:rFonts w:hint="eastAsia" w:ascii="宋体" w:hAnsi="宋体" w:eastAsia="宋体" w:cs="宋体"/>
          <w:sz w:val="24"/>
          <w:szCs w:val="24"/>
        </w:rPr>
        <w:t>不涉及</w:t>
      </w:r>
    </w:p>
    <w:p w14:paraId="1F06A942">
      <w:pPr>
        <w:numPr>
          <w:ilvl w:val="0"/>
          <w:numId w:val="2"/>
        </w:num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合同金额</w:t>
      </w:r>
    </w:p>
    <w:p w14:paraId="3063C92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p>
    <w:p w14:paraId="152B7DEC">
      <w:pPr>
        <w:adjustRightInd w:val="0"/>
        <w:snapToGrid w:val="0"/>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大写：</w:t>
      </w:r>
      <w:r>
        <w:rPr>
          <w:rFonts w:hint="eastAsia" w:ascii="宋体" w:hAnsi="宋体" w:eastAsia="宋体" w:cs="宋体"/>
          <w:sz w:val="24"/>
          <w:szCs w:val="24"/>
          <w:u w:val="single"/>
        </w:rPr>
        <w:t xml:space="preserve">                           </w:t>
      </w:r>
    </w:p>
    <w:p w14:paraId="5AF47D9F">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分包金额（如有）小写：</w:t>
      </w:r>
      <w:r>
        <w:rPr>
          <w:rFonts w:hint="eastAsia" w:ascii="宋体" w:hAnsi="宋体" w:eastAsia="宋体" w:cs="宋体"/>
          <w:sz w:val="24"/>
          <w:szCs w:val="24"/>
          <w:u w:val="single"/>
        </w:rPr>
        <w:t xml:space="preserve">                   </w:t>
      </w:r>
    </w:p>
    <w:p w14:paraId="182EA93B">
      <w:pPr>
        <w:adjustRightInd w:val="0"/>
        <w:snapToGrid w:val="0"/>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大写：</w:t>
      </w:r>
      <w:r>
        <w:rPr>
          <w:rFonts w:hint="eastAsia" w:ascii="宋体" w:hAnsi="宋体" w:eastAsia="宋体" w:cs="宋体"/>
          <w:sz w:val="24"/>
          <w:szCs w:val="24"/>
          <w:u w:val="single"/>
        </w:rPr>
        <w:t xml:space="preserve">                       </w:t>
      </w:r>
    </w:p>
    <w:p w14:paraId="351C37AB">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（注：固定单价合同应填写单价和最高限价）</w:t>
      </w:r>
    </w:p>
    <w:p w14:paraId="5B2C22B3">
      <w:pPr>
        <w:numPr>
          <w:ilvl w:val="255"/>
          <w:numId w:val="0"/>
        </w:num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（2）合同定价方式（采用组合定价方式的，可以勾选多项）：</w:t>
      </w:r>
    </w:p>
    <w:p w14:paraId="16884DF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FE"/>
      </w:r>
      <w:r>
        <w:rPr>
          <w:rFonts w:hint="eastAsia" w:ascii="宋体" w:hAnsi="宋体" w:eastAsia="宋体" w:cs="宋体"/>
          <w:iCs/>
          <w:sz w:val="24"/>
          <w:szCs w:val="24"/>
        </w:rPr>
        <w:t xml:space="preserve">固定单价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固定费率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绩效激励 </w:t>
      </w:r>
      <w:r>
        <w:rPr>
          <w:rFonts w:hint="eastAsia" w:ascii="宋体" w:hAnsi="宋体" w:eastAsia="宋体" w:cs="宋体"/>
          <w:iCs/>
          <w:sz w:val="24"/>
          <w:szCs w:val="24"/>
        </w:rPr>
        <w:sym w:font="Wingdings" w:char="00A8"/>
      </w:r>
      <w:r>
        <w:rPr>
          <w:rFonts w:hint="eastAsia" w:ascii="宋体" w:hAnsi="宋体" w:eastAsia="宋体" w:cs="宋体"/>
          <w:iCs/>
          <w:sz w:val="24"/>
          <w:szCs w:val="24"/>
        </w:rPr>
        <w:t>其他</w:t>
      </w:r>
      <w:r>
        <w:rPr>
          <w:rFonts w:hint="eastAsia" w:ascii="宋体" w:hAnsi="宋体" w:eastAsia="宋体" w:cs="宋体"/>
          <w:sz w:val="24"/>
          <w:szCs w:val="24"/>
          <w:u w:val="single"/>
        </w:rPr>
        <w:t xml:space="preserve">       </w:t>
      </w:r>
    </w:p>
    <w:p w14:paraId="69FEF9CC">
      <w:pPr>
        <w:pStyle w:val="77"/>
        <w:spacing w:line="360" w:lineRule="auto"/>
        <w:ind w:firstLine="480"/>
        <w:rPr>
          <w:rFonts w:hint="eastAsia" w:ascii="宋体" w:hAnsi="宋体" w:eastAsia="宋体" w:cs="宋体"/>
          <w:sz w:val="24"/>
          <w:szCs w:val="24"/>
        </w:rPr>
      </w:pPr>
      <w:r>
        <w:rPr>
          <w:rFonts w:hint="eastAsia" w:ascii="宋体" w:hAnsi="宋体" w:eastAsia="宋体" w:cs="宋体"/>
          <w:sz w:val="24"/>
          <w:szCs w:val="24"/>
        </w:rPr>
        <w:t>（3）付款方式（按项目实际勾选填写）：</w:t>
      </w:r>
    </w:p>
    <w:p w14:paraId="7597126D">
      <w:pPr>
        <w:adjustRightInd w:val="0"/>
        <w:snapToGrid w:val="0"/>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（应明确一次性支付合同款项的条件）                    </w:t>
      </w:r>
    </w:p>
    <w:p w14:paraId="6590A29D">
      <w:pPr>
        <w:snapToGrid w:val="0"/>
        <w:spacing w:line="360" w:lineRule="auto"/>
        <w:ind w:firstLine="720" w:firstLineChars="3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FE"/>
      </w:r>
      <w:r>
        <w:rPr>
          <w:rFonts w:hint="eastAsia" w:ascii="宋体" w:hAnsi="宋体" w:eastAsia="宋体" w:cs="宋体"/>
          <w:sz w:val="24"/>
          <w:szCs w:val="24"/>
          <w:highlight w:val="none"/>
        </w:rPr>
        <w:t>分期付款：</w:t>
      </w:r>
      <w:r>
        <w:rPr>
          <w:rFonts w:hint="eastAsia" w:ascii="宋体" w:hAnsi="宋体" w:eastAsia="宋体" w:cs="宋体"/>
          <w:sz w:val="24"/>
          <w:szCs w:val="24"/>
          <w:highlight w:val="none"/>
          <w:u w:val="single"/>
        </w:rPr>
        <w:t xml:space="preserve"> </w:t>
      </w:r>
      <w:r>
        <w:rPr>
          <w:rFonts w:hint="eastAsia" w:ascii="宋体" w:hAnsi="宋体" w:eastAsia="宋体"/>
          <w:b w:val="0"/>
          <w:sz w:val="24"/>
          <w:u w:val="single"/>
        </w:rPr>
        <w:t>合同签订</w:t>
      </w:r>
      <w:r>
        <w:rPr>
          <w:rFonts w:hint="eastAsia" w:ascii="宋体" w:hAnsi="宋体" w:eastAsia="宋体"/>
          <w:b w:val="0"/>
          <w:sz w:val="24"/>
          <w:u w:val="single"/>
          <w:lang w:val="en-US" w:eastAsia="zh-CN"/>
        </w:rPr>
        <w:t>后预付</w:t>
      </w:r>
      <w:r>
        <w:rPr>
          <w:rFonts w:hint="eastAsia" w:ascii="宋体" w:hAnsi="宋体" w:eastAsia="宋体"/>
          <w:b w:val="0"/>
          <w:sz w:val="24"/>
          <w:u w:val="single"/>
        </w:rPr>
        <w:t>合同价款的</w:t>
      </w:r>
      <w:r>
        <w:rPr>
          <w:rFonts w:hint="eastAsia" w:ascii="宋体" w:hAnsi="宋体" w:eastAsia="宋体"/>
          <w:b w:val="0"/>
          <w:sz w:val="24"/>
          <w:u w:val="single"/>
          <w:lang w:val="en-US" w:eastAsia="zh-CN"/>
        </w:rPr>
        <w:t>4</w:t>
      </w:r>
      <w:r>
        <w:rPr>
          <w:rFonts w:hint="eastAsia" w:ascii="宋体" w:hAnsi="宋体" w:eastAsia="宋体"/>
          <w:b w:val="0"/>
          <w:sz w:val="24"/>
          <w:u w:val="single"/>
        </w:rPr>
        <w:t>0%，</w:t>
      </w:r>
      <w:r>
        <w:rPr>
          <w:rFonts w:hint="eastAsia" w:ascii="宋体" w:hAnsi="宋体" w:eastAsia="宋体"/>
          <w:b w:val="0"/>
          <w:sz w:val="24"/>
          <w:u w:val="single"/>
          <w:lang w:val="en-US" w:eastAsia="zh-CN"/>
        </w:rPr>
        <w:t>货物到场</w:t>
      </w:r>
      <w:r>
        <w:rPr>
          <w:rFonts w:hint="eastAsia" w:ascii="宋体" w:hAnsi="宋体" w:eastAsia="宋体"/>
          <w:b w:val="0"/>
          <w:sz w:val="24"/>
          <w:u w:val="single"/>
        </w:rPr>
        <w:t>安装调试并正常使用后付至合同价款的</w:t>
      </w:r>
      <w:r>
        <w:rPr>
          <w:rFonts w:hint="eastAsia" w:ascii="宋体" w:hAnsi="宋体" w:eastAsia="宋体"/>
          <w:b w:val="0"/>
          <w:sz w:val="24"/>
          <w:u w:val="single"/>
          <w:lang w:val="en-US" w:eastAsia="zh-CN"/>
        </w:rPr>
        <w:t>8</w:t>
      </w:r>
      <w:r>
        <w:rPr>
          <w:rFonts w:hint="eastAsia" w:ascii="宋体" w:hAnsi="宋体" w:eastAsia="宋体"/>
          <w:b w:val="0"/>
          <w:sz w:val="24"/>
          <w:u w:val="single"/>
        </w:rPr>
        <w:t>0%，经采购人验收合格后付至合同价款的100%。</w:t>
      </w:r>
      <w:r>
        <w:rPr>
          <w:rFonts w:hint="eastAsia" w:ascii="宋体" w:hAnsi="宋体" w:eastAsia="宋体"/>
          <w:b w:val="0"/>
          <w:sz w:val="24"/>
          <w:u w:val="single"/>
          <w:lang w:eastAsia="zh-CN"/>
        </w:rPr>
        <w:t>（付款前，中标方需提供符合甲方要求的增值税发票）</w:t>
      </w:r>
    </w:p>
    <w:p w14:paraId="0E330C7E">
      <w:pPr>
        <w:adjustRightInd w:val="0"/>
        <w:snapToGrid w:val="0"/>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14:paraId="05B67635">
      <w:pPr>
        <w:adjustRightInd w:val="0"/>
        <w:snapToGrid w:val="0"/>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14:paraId="6316505B">
      <w:pPr>
        <w:numPr>
          <w:ilvl w:val="0"/>
          <w:numId w:val="2"/>
        </w:numPr>
        <w:adjustRightInd w:val="0"/>
        <w:snapToGrid w:val="0"/>
        <w:spacing w:line="360" w:lineRule="auto"/>
        <w:ind w:firstLine="482" w:firstLineChars="200"/>
        <w:rPr>
          <w:rFonts w:hint="eastAsia" w:ascii="宋体" w:hAnsi="宋体" w:eastAsia="宋体" w:cs="宋体"/>
          <w:b/>
          <w:sz w:val="24"/>
          <w:szCs w:val="24"/>
          <w:u w:val="single"/>
        </w:rPr>
      </w:pPr>
      <w:r>
        <w:rPr>
          <w:rFonts w:hint="eastAsia" w:ascii="宋体" w:hAnsi="宋体" w:eastAsia="宋体" w:cs="宋体"/>
          <w:b/>
          <w:sz w:val="24"/>
          <w:szCs w:val="24"/>
        </w:rPr>
        <w:t>合同履行</w:t>
      </w:r>
    </w:p>
    <w:p w14:paraId="43B7017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77D2000">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（2）履约地点</w:t>
      </w:r>
      <w:r>
        <w:rPr>
          <w:rFonts w:hint="eastAsia" w:ascii="宋体" w:hAnsi="宋体" w:eastAsia="宋体" w:cs="宋体"/>
          <w:bCs/>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合肥</w:t>
      </w:r>
      <w:r>
        <w:rPr>
          <w:rFonts w:hint="eastAsia" w:ascii="宋体" w:hAnsi="宋体" w:eastAsia="宋体" w:cs="宋体"/>
          <w:sz w:val="24"/>
          <w:szCs w:val="24"/>
          <w:u w:val="single"/>
        </w:rPr>
        <w:t xml:space="preserve">市      </w:t>
      </w:r>
    </w:p>
    <w:p w14:paraId="5BA3F1E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（3）履约担保：</w:t>
      </w:r>
      <w:r>
        <w:rPr>
          <w:rFonts w:hint="eastAsia" w:ascii="宋体" w:hAnsi="宋体" w:eastAsia="宋体" w:cs="宋体"/>
          <w:sz w:val="24"/>
          <w:szCs w:val="24"/>
        </w:rPr>
        <w:t>是否收取履约保证金：</w:t>
      </w:r>
      <w:r>
        <w:rPr>
          <w:rFonts w:hint="eastAsia" w:ascii="宋体" w:hAnsi="宋体" w:eastAsia="宋体" w:cs="宋体"/>
          <w:sz w:val="24"/>
          <w:szCs w:val="24"/>
        </w:rPr>
        <w:sym w:font="Wingdings" w:char="00FE"/>
      </w:r>
      <w:r>
        <w:rPr>
          <w:rFonts w:hint="eastAsia" w:ascii="宋体" w:hAnsi="宋体" w:eastAsia="宋体" w:cs="宋体"/>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14:paraId="16DC84D3">
      <w:pPr>
        <w:pStyle w:val="76"/>
        <w:spacing w:line="360" w:lineRule="auto"/>
        <w:ind w:firstLine="480"/>
        <w:rPr>
          <w:rFonts w:hint="eastAsia" w:ascii="宋体" w:hAnsi="宋体" w:eastAsia="宋体" w:cs="宋体"/>
          <w:sz w:val="24"/>
          <w:szCs w:val="24"/>
        </w:rPr>
      </w:pPr>
      <w:r>
        <w:rPr>
          <w:rFonts w:hint="eastAsia" w:ascii="宋体" w:hAnsi="宋体" w:eastAsia="宋体" w:cs="宋体"/>
          <w:bCs/>
          <w:sz w:val="24"/>
          <w:szCs w:val="24"/>
        </w:rPr>
        <w:t xml:space="preserve">  </w:t>
      </w:r>
      <w:r>
        <w:rPr>
          <w:rFonts w:hint="eastAsia" w:ascii="宋体" w:hAnsi="宋体" w:eastAsia="宋体" w:cs="宋体"/>
          <w:sz w:val="24"/>
          <w:szCs w:val="24"/>
        </w:rPr>
        <w:t xml:space="preserve">  收取履约保证金形式：</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rPr>
        <w:sym w:font="Wingdings" w:char="00FE"/>
      </w:r>
      <w:r>
        <w:rPr>
          <w:rFonts w:hint="eastAsia" w:ascii="宋体" w:hAnsi="宋体" w:eastAsia="宋体" w:cs="宋体"/>
          <w:bCs/>
          <w:sz w:val="24"/>
          <w:szCs w:val="24"/>
          <w:u w:val="single"/>
        </w:rPr>
        <w:t xml:space="preserve">转账/电汇 </w:t>
      </w:r>
      <w:r>
        <w:rPr>
          <w:rFonts w:hint="eastAsia" w:ascii="宋体" w:hAnsi="宋体" w:eastAsia="宋体" w:cs="宋体"/>
          <w:bCs/>
          <w:sz w:val="24"/>
          <w:szCs w:val="24"/>
          <w:u w:val="single"/>
        </w:rPr>
        <w:sym w:font="Wingdings" w:char="00FE"/>
      </w:r>
      <w:r>
        <w:rPr>
          <w:rFonts w:hint="eastAsia" w:ascii="宋体" w:hAnsi="宋体" w:eastAsia="宋体" w:cs="宋体"/>
          <w:bCs/>
          <w:sz w:val="24"/>
          <w:szCs w:val="24"/>
          <w:u w:val="single"/>
        </w:rPr>
        <w:t xml:space="preserve">支票 </w:t>
      </w:r>
      <w:r>
        <w:rPr>
          <w:rFonts w:hint="eastAsia" w:ascii="宋体" w:hAnsi="宋体" w:eastAsia="宋体" w:cs="宋体"/>
          <w:bCs/>
          <w:sz w:val="24"/>
          <w:szCs w:val="24"/>
          <w:u w:val="single"/>
        </w:rPr>
        <w:sym w:font="Wingdings" w:char="00FE"/>
      </w:r>
      <w:r>
        <w:rPr>
          <w:rFonts w:hint="eastAsia" w:ascii="宋体" w:hAnsi="宋体" w:eastAsia="宋体" w:cs="宋体"/>
          <w:bCs/>
          <w:sz w:val="24"/>
          <w:szCs w:val="24"/>
          <w:u w:val="single"/>
        </w:rPr>
        <w:t xml:space="preserve">汇票 </w:t>
      </w:r>
      <w:r>
        <w:rPr>
          <w:rFonts w:hint="eastAsia" w:ascii="宋体" w:hAnsi="宋体" w:eastAsia="宋体" w:cs="宋体"/>
          <w:bCs/>
          <w:sz w:val="24"/>
          <w:szCs w:val="24"/>
          <w:u w:val="single"/>
        </w:rPr>
        <w:sym w:font="Wingdings" w:char="00FE"/>
      </w:r>
      <w:r>
        <w:rPr>
          <w:rFonts w:hint="eastAsia" w:ascii="宋体" w:hAnsi="宋体" w:eastAsia="宋体" w:cs="宋体"/>
          <w:bCs/>
          <w:sz w:val="24"/>
          <w:szCs w:val="24"/>
          <w:u w:val="single"/>
        </w:rPr>
        <w:t xml:space="preserve">本票 </w:t>
      </w:r>
      <w:r>
        <w:rPr>
          <w:rFonts w:hint="eastAsia" w:ascii="宋体" w:hAnsi="宋体" w:eastAsia="宋体" w:cs="宋体"/>
          <w:bCs/>
          <w:sz w:val="24"/>
          <w:szCs w:val="24"/>
          <w:u w:val="single"/>
        </w:rPr>
        <w:sym w:font="Wingdings" w:char="00FE"/>
      </w:r>
      <w:r>
        <w:rPr>
          <w:rFonts w:hint="eastAsia" w:ascii="宋体" w:hAnsi="宋体" w:eastAsia="宋体" w:cs="宋体"/>
          <w:bCs/>
          <w:sz w:val="24"/>
          <w:szCs w:val="24"/>
          <w:u w:val="single"/>
        </w:rPr>
        <w:t xml:space="preserve">保险 </w:t>
      </w:r>
      <w:r>
        <w:rPr>
          <w:rFonts w:hint="eastAsia" w:ascii="宋体" w:hAnsi="宋体" w:eastAsia="宋体" w:cs="宋体"/>
          <w:bCs/>
          <w:sz w:val="24"/>
          <w:szCs w:val="24"/>
          <w:u w:val="single"/>
        </w:rPr>
        <w:sym w:font="Wingdings" w:char="00FE"/>
      </w:r>
      <w:r>
        <w:rPr>
          <w:rFonts w:hint="eastAsia" w:ascii="宋体" w:hAnsi="宋体" w:eastAsia="宋体" w:cs="宋体"/>
          <w:bCs/>
          <w:sz w:val="24"/>
          <w:szCs w:val="24"/>
          <w:u w:val="single"/>
        </w:rPr>
        <w:t xml:space="preserve">保函 </w:t>
      </w:r>
    </w:p>
    <w:p w14:paraId="43246591">
      <w:pPr>
        <w:pStyle w:val="76"/>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    收取履约保证金金额：</w:t>
      </w:r>
      <w:r>
        <w:rPr>
          <w:rFonts w:hint="eastAsia" w:ascii="宋体" w:hAnsi="宋体" w:eastAsia="宋体" w:cs="宋体"/>
          <w:bCs/>
          <w:sz w:val="24"/>
          <w:szCs w:val="24"/>
          <w:u w:val="single"/>
        </w:rPr>
        <w:t xml:space="preserve">                            </w:t>
      </w:r>
    </w:p>
    <w:p w14:paraId="27A06783">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 xml:space="preserve">    履约担保期限：</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①采用银行转账方式：政府采购验收合格后，一次性退还；②采用支票、汇票、本票、保函等方式：有效期为自合同签订之日起至供货期满后止。</w:t>
      </w:r>
    </w:p>
    <w:p w14:paraId="3FE75B66">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p>
    <w:p w14:paraId="077CC53E">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bCs/>
          <w:sz w:val="24"/>
          <w:szCs w:val="24"/>
        </w:rPr>
        <w:t>（5）风险处置措施和替代方案：</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14:paraId="44188BD4">
      <w:pPr>
        <w:numPr>
          <w:ilvl w:val="0"/>
          <w:numId w:val="2"/>
        </w:num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合同验收</w:t>
      </w:r>
    </w:p>
    <w:p w14:paraId="172BF4D4">
      <w:pPr>
        <w:numPr>
          <w:ilvl w:val="0"/>
          <w:numId w:val="4"/>
        </w:num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FE"/>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14:paraId="6FD94E6E">
      <w:pPr>
        <w:adjustRightInd w:val="0"/>
        <w:snapToGrid w:val="0"/>
        <w:spacing w:line="360" w:lineRule="auto"/>
        <w:rPr>
          <w:rFonts w:hint="eastAsia" w:ascii="宋体" w:hAnsi="宋体" w:eastAsia="宋体" w:cs="宋体"/>
          <w:bCs/>
          <w:sz w:val="24"/>
          <w:szCs w:val="24"/>
        </w:rPr>
      </w:pPr>
      <w:r>
        <w:rPr>
          <w:rFonts w:hint="eastAsia" w:ascii="宋体" w:hAnsi="宋体" w:eastAsia="宋体" w:cs="宋体"/>
          <w:bCs/>
          <w:sz w:val="24"/>
          <w:szCs w:val="24"/>
        </w:rPr>
        <w:t xml:space="preserve">         验收主体：</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安徽省淝河监狱</w:t>
      </w:r>
      <w:r>
        <w:rPr>
          <w:rFonts w:hint="eastAsia" w:ascii="宋体" w:hAnsi="宋体" w:eastAsia="宋体" w:cs="宋体"/>
          <w:bCs/>
          <w:sz w:val="24"/>
          <w:szCs w:val="24"/>
          <w:u w:val="single"/>
        </w:rPr>
        <w:t xml:space="preserve">                  </w:t>
      </w:r>
    </w:p>
    <w:p w14:paraId="4DBAC787">
      <w:pPr>
        <w:adjustRightInd w:val="0"/>
        <w:snapToGrid w:val="0"/>
        <w:spacing w:line="360" w:lineRule="auto"/>
        <w:rPr>
          <w:rFonts w:hint="eastAsia" w:ascii="宋体" w:hAnsi="宋体" w:eastAsia="宋体" w:cs="宋体"/>
          <w:bCs/>
          <w:sz w:val="24"/>
          <w:szCs w:val="24"/>
        </w:rPr>
      </w:pPr>
      <w:r>
        <w:rPr>
          <w:rFonts w:hint="eastAsia" w:ascii="宋体" w:hAnsi="宋体" w:eastAsia="宋体" w:cs="宋体"/>
          <w:bCs/>
          <w:sz w:val="24"/>
          <w:szCs w:val="24"/>
        </w:rPr>
        <w:t xml:space="preserve">        是否邀请本项目的其他供应商参加验收：</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08AFAD19">
      <w:pPr>
        <w:adjustRightInd w:val="0"/>
        <w:snapToGrid w:val="0"/>
        <w:spacing w:line="360" w:lineRule="auto"/>
        <w:ind w:firstLine="960" w:firstLineChars="400"/>
        <w:rPr>
          <w:rFonts w:hint="eastAsia" w:ascii="宋体" w:hAnsi="宋体" w:eastAsia="宋体" w:cs="宋体"/>
          <w:bCs/>
          <w:sz w:val="24"/>
          <w:szCs w:val="24"/>
        </w:rPr>
      </w:pPr>
      <w:r>
        <w:rPr>
          <w:rFonts w:hint="eastAsia" w:ascii="宋体" w:hAnsi="宋体" w:eastAsia="宋体" w:cs="宋体"/>
          <w:bCs/>
          <w:sz w:val="24"/>
          <w:szCs w:val="24"/>
        </w:rPr>
        <w:t>是否邀请专家参加验收：</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77C2584C">
      <w:pPr>
        <w:adjustRightInd w:val="0"/>
        <w:snapToGrid w:val="0"/>
        <w:spacing w:line="360" w:lineRule="auto"/>
        <w:ind w:firstLine="960" w:firstLineChars="400"/>
        <w:rPr>
          <w:rFonts w:hint="eastAsia" w:ascii="宋体" w:hAnsi="宋体" w:eastAsia="宋体" w:cs="宋体"/>
          <w:bCs/>
          <w:sz w:val="24"/>
          <w:szCs w:val="24"/>
        </w:rPr>
      </w:pPr>
      <w:r>
        <w:rPr>
          <w:rFonts w:hint="eastAsia" w:ascii="宋体" w:hAnsi="宋体" w:eastAsia="宋体" w:cs="宋体"/>
          <w:bCs/>
          <w:sz w:val="24"/>
          <w:szCs w:val="24"/>
        </w:rPr>
        <w:t>是否邀请服务对象参加验收：</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74E95F04">
      <w:pPr>
        <w:adjustRightInd w:val="0"/>
        <w:snapToGrid w:val="0"/>
        <w:spacing w:line="360" w:lineRule="auto"/>
        <w:ind w:firstLine="960" w:firstLineChars="400"/>
        <w:rPr>
          <w:rFonts w:hint="eastAsia" w:ascii="宋体" w:hAnsi="宋体" w:eastAsia="宋体" w:cs="宋体"/>
          <w:bCs/>
          <w:sz w:val="24"/>
          <w:szCs w:val="24"/>
        </w:rPr>
      </w:pPr>
      <w:r>
        <w:rPr>
          <w:rFonts w:hint="eastAsia" w:ascii="宋体" w:hAnsi="宋体" w:eastAsia="宋体" w:cs="宋体"/>
          <w:bCs/>
          <w:sz w:val="24"/>
          <w:szCs w:val="24"/>
        </w:rPr>
        <w:t>是否邀请第三方检测机构参加验收：</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4A4AFC1A">
      <w:pPr>
        <w:adjustRightInd w:val="0"/>
        <w:snapToGrid w:val="0"/>
        <w:spacing w:line="360" w:lineRule="auto"/>
        <w:ind w:firstLine="960" w:firstLineChars="400"/>
        <w:rPr>
          <w:rFonts w:hint="eastAsia" w:ascii="宋体" w:hAnsi="宋体" w:eastAsia="宋体" w:cs="宋体"/>
          <w:bCs/>
          <w:sz w:val="24"/>
          <w:szCs w:val="24"/>
        </w:rPr>
      </w:pPr>
      <w:r>
        <w:rPr>
          <w:rFonts w:hint="eastAsia" w:ascii="宋体" w:hAnsi="宋体" w:eastAsia="宋体" w:cs="宋体"/>
          <w:bCs/>
          <w:sz w:val="24"/>
          <w:szCs w:val="24"/>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42D62BB8">
      <w:pPr>
        <w:adjustRightInd w:val="0"/>
        <w:snapToGrid w:val="0"/>
        <w:spacing w:line="360" w:lineRule="auto"/>
        <w:ind w:firstLine="960" w:firstLineChars="400"/>
        <w:rPr>
          <w:rFonts w:hint="eastAsia" w:ascii="宋体" w:hAnsi="宋体" w:eastAsia="宋体" w:cs="宋体"/>
          <w:bCs/>
          <w:sz w:val="24"/>
          <w:szCs w:val="24"/>
          <w:u w:val="single"/>
        </w:rPr>
      </w:pPr>
      <w:r>
        <w:rPr>
          <w:rFonts w:hint="eastAsia" w:ascii="宋体" w:hAnsi="宋体" w:eastAsia="宋体" w:cs="宋体"/>
          <w:bCs/>
          <w:sz w:val="24"/>
          <w:szCs w:val="24"/>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u w:val="single"/>
        </w:rPr>
        <w:t>（应明确对被破坏的检测产品的处理方式）</w:t>
      </w:r>
    </w:p>
    <w:p w14:paraId="3ACF716E">
      <w:pPr>
        <w:adjustRightInd w:val="0"/>
        <w:snapToGrid w:val="0"/>
        <w:spacing w:line="360" w:lineRule="auto"/>
        <w:ind w:firstLine="960" w:firstLineChars="400"/>
        <w:rPr>
          <w:rFonts w:hint="eastAsia"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4EE2003F">
      <w:pPr>
        <w:adjustRightInd w:val="0"/>
        <w:snapToGrid w:val="0"/>
        <w:spacing w:line="360" w:lineRule="auto"/>
        <w:ind w:firstLine="960" w:firstLineChars="400"/>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14:paraId="4DB2933F">
      <w:pPr>
        <w:adjustRightInd w:val="0"/>
        <w:snapToGrid w:val="0"/>
        <w:spacing w:line="360" w:lineRule="auto"/>
        <w:ind w:firstLine="480" w:firstLineChars="200"/>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 xml:space="preserve">（计划于何时验收/供应商提出验收申请之日起5日内组织验收） </w:t>
      </w:r>
    </w:p>
    <w:p w14:paraId="4427E66D">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FE"/>
      </w:r>
      <w:r>
        <w:rPr>
          <w:rFonts w:hint="eastAsia" w:ascii="宋体" w:hAnsi="宋体" w:eastAsia="宋体" w:cs="宋体"/>
          <w:bCs/>
          <w:sz w:val="24"/>
          <w:szCs w:val="24"/>
        </w:rPr>
        <w:t xml:space="preserve">一次性验收         </w:t>
      </w:r>
    </w:p>
    <w:p w14:paraId="1CD0FC7E">
      <w:pPr>
        <w:adjustRightInd w:val="0"/>
        <w:snapToGrid w:val="0"/>
        <w:spacing w:line="360" w:lineRule="auto"/>
        <w:rPr>
          <w:rFonts w:hint="eastAsia"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u w:val="single"/>
        </w:rPr>
        <w:t xml:space="preserve"> （应明确分期</w:t>
      </w:r>
      <w:r>
        <w:rPr>
          <w:rFonts w:hint="eastAsia" w:ascii="宋体" w:hAnsi="宋体" w:eastAsia="宋体" w:cs="宋体"/>
          <w:bCs/>
          <w:sz w:val="24"/>
          <w:szCs w:val="24"/>
          <w:u w:val="single"/>
          <w:lang w:val="en"/>
        </w:rPr>
        <w:t>/分项验收的工作安排</w:t>
      </w:r>
      <w:r>
        <w:rPr>
          <w:rFonts w:hint="eastAsia" w:ascii="宋体" w:hAnsi="宋体" w:eastAsia="宋体" w:cs="宋体"/>
          <w:bCs/>
          <w:sz w:val="24"/>
          <w:szCs w:val="24"/>
          <w:u w:val="single"/>
        </w:rPr>
        <w:t xml:space="preserve">）  </w:t>
      </w:r>
    </w:p>
    <w:p w14:paraId="54D05016">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按采购人单位规定执行                    </w:t>
      </w:r>
    </w:p>
    <w:p w14:paraId="2EE842FA">
      <w:pPr>
        <w:adjustRightInd w:val="0"/>
        <w:snapToGrid w:val="0"/>
        <w:spacing w:line="360" w:lineRule="auto"/>
        <w:ind w:firstLine="480" w:firstLineChars="200"/>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（应当包括每一项技术和商务要求的履约情况，特别是落实政府采购扶持中小企业，支持绿色发展和乡村振兴等政策情况）                                      </w:t>
      </w:r>
    </w:p>
    <w:p w14:paraId="21EE3778">
      <w:pPr>
        <w:adjustRightInd w:val="0"/>
        <w:snapToGrid w:val="0"/>
        <w:spacing w:line="360" w:lineRule="auto"/>
        <w:ind w:firstLine="480" w:firstLineChars="200"/>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符合国家标准                    </w:t>
      </w:r>
    </w:p>
    <w:p w14:paraId="7374A959">
      <w:pPr>
        <w:pStyle w:val="76"/>
        <w:spacing w:line="360" w:lineRule="auto"/>
        <w:ind w:firstLine="480"/>
        <w:rPr>
          <w:rFonts w:hint="eastAsia" w:ascii="宋体" w:hAnsi="宋体" w:eastAsia="宋体" w:cs="宋体"/>
          <w:sz w:val="24"/>
          <w:szCs w:val="24"/>
        </w:rPr>
      </w:pPr>
      <w:r>
        <w:rPr>
          <w:rFonts w:hint="eastAsia" w:ascii="宋体" w:hAnsi="宋体" w:eastAsia="宋体" w:cs="宋体"/>
          <w:bCs/>
          <w:sz w:val="24"/>
          <w:szCs w:val="24"/>
        </w:rPr>
        <w:t>（7）是否以采购活动中供应商提供的样品作为参考：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FE"/>
      </w:r>
      <w:r>
        <w:rPr>
          <w:rFonts w:hint="eastAsia" w:ascii="宋体" w:hAnsi="宋体" w:eastAsia="宋体" w:cs="宋体"/>
          <w:bCs/>
          <w:sz w:val="24"/>
          <w:szCs w:val="24"/>
        </w:rPr>
        <w:t>否</w:t>
      </w:r>
    </w:p>
    <w:p w14:paraId="3DC93723">
      <w:pPr>
        <w:adjustRightInd w:val="0"/>
        <w:snapToGrid w:val="0"/>
        <w:spacing w:line="360" w:lineRule="auto"/>
        <w:ind w:firstLine="480" w:firstLineChars="200"/>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          </w:t>
      </w:r>
    </w:p>
    <w:p w14:paraId="1C86406C">
      <w:pPr>
        <w:numPr>
          <w:ilvl w:val="0"/>
          <w:numId w:val="2"/>
        </w:num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组成合同的文件</w:t>
      </w:r>
    </w:p>
    <w:p w14:paraId="0D1D8E4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14:paraId="798C13F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（1）政府采购合同协议书及其变更、补充协议</w:t>
      </w:r>
    </w:p>
    <w:p w14:paraId="4426E1D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（2）政府采购合同专用条款</w:t>
      </w:r>
    </w:p>
    <w:p w14:paraId="7FD9684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（3）政府采购合同通用条款</w:t>
      </w:r>
    </w:p>
    <w:p w14:paraId="662A867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（4）中标（成交）通知书</w:t>
      </w:r>
    </w:p>
    <w:p w14:paraId="6B1EFDE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（5）投标（响应）文件</w:t>
      </w:r>
    </w:p>
    <w:p w14:paraId="6A43B35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（6）采购文件</w:t>
      </w:r>
    </w:p>
    <w:p w14:paraId="6A02D6E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（7）有关技术文件，图纸</w:t>
      </w:r>
    </w:p>
    <w:p w14:paraId="4F159131">
      <w:pPr>
        <w:pStyle w:val="76"/>
        <w:spacing w:line="360" w:lineRule="auto"/>
        <w:ind w:firstLine="480"/>
        <w:rPr>
          <w:rFonts w:hint="eastAsia" w:ascii="宋体" w:hAnsi="宋体" w:eastAsia="宋体" w:cs="宋体"/>
          <w:kern w:val="2"/>
          <w:sz w:val="24"/>
          <w:szCs w:val="24"/>
        </w:rPr>
      </w:pPr>
      <w:r>
        <w:rPr>
          <w:rFonts w:hint="eastAsia" w:ascii="宋体" w:hAnsi="宋体" w:eastAsia="宋体" w:cs="宋体"/>
          <w:sz w:val="24"/>
          <w:szCs w:val="24"/>
        </w:rPr>
        <w:t>（8）</w:t>
      </w:r>
      <w:r>
        <w:rPr>
          <w:rFonts w:hint="eastAsia" w:ascii="宋体" w:hAnsi="宋体" w:eastAsia="宋体" w:cs="宋体"/>
          <w:color w:val="000000" w:themeColor="text1"/>
          <w:kern w:val="2"/>
          <w:sz w:val="24"/>
          <w:szCs w:val="24"/>
          <w14:textFill>
            <w14:solidFill>
              <w14:schemeClr w14:val="tx1"/>
            </w14:solidFill>
          </w14:textFill>
        </w:rPr>
        <w:t>国家法律、行政法规和规章制度规定或合同约定的作为合同组成部分的其他文件</w:t>
      </w:r>
    </w:p>
    <w:p w14:paraId="59948983">
      <w:pPr>
        <w:numPr>
          <w:ilvl w:val="0"/>
          <w:numId w:val="2"/>
        </w:num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合同生效</w:t>
      </w:r>
    </w:p>
    <w:p w14:paraId="071E0D9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双方签字盖章后  </w:t>
      </w:r>
      <w:r>
        <w:rPr>
          <w:rFonts w:hint="eastAsia" w:ascii="宋体" w:hAnsi="宋体" w:eastAsia="宋体" w:cs="宋体"/>
          <w:sz w:val="24"/>
          <w:szCs w:val="24"/>
        </w:rPr>
        <w:t>生效。</w:t>
      </w:r>
    </w:p>
    <w:p w14:paraId="6DD39157">
      <w:pPr>
        <w:numPr>
          <w:ilvl w:val="0"/>
          <w:numId w:val="2"/>
        </w:num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合同份数</w:t>
      </w:r>
    </w:p>
    <w:p w14:paraId="2C0A108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肆</w:t>
      </w:r>
      <w:r>
        <w:rPr>
          <w:rFonts w:hint="eastAsia" w:ascii="宋体" w:hAnsi="宋体" w:eastAsia="宋体" w:cs="宋体"/>
          <w:sz w:val="24"/>
          <w:szCs w:val="24"/>
        </w:rPr>
        <w:t>份，甲方执</w:t>
      </w:r>
      <w:r>
        <w:rPr>
          <w:rFonts w:hint="eastAsia" w:ascii="宋体" w:hAnsi="宋体" w:eastAsia="宋体" w:cs="宋体"/>
          <w:sz w:val="24"/>
          <w:szCs w:val="24"/>
          <w:u w:val="single"/>
        </w:rPr>
        <w:t>贰</w:t>
      </w:r>
      <w:r>
        <w:rPr>
          <w:rFonts w:hint="eastAsia" w:ascii="宋体" w:hAnsi="宋体" w:eastAsia="宋体" w:cs="宋体"/>
          <w:sz w:val="24"/>
          <w:szCs w:val="24"/>
        </w:rPr>
        <w:t>份，乙方执</w:t>
      </w:r>
      <w:r>
        <w:rPr>
          <w:rFonts w:hint="eastAsia" w:ascii="宋体" w:hAnsi="宋体" w:eastAsia="宋体" w:cs="宋体"/>
          <w:sz w:val="24"/>
          <w:szCs w:val="24"/>
          <w:u w:val="single"/>
        </w:rPr>
        <w:t>贰</w:t>
      </w:r>
      <w:r>
        <w:rPr>
          <w:rFonts w:hint="eastAsia" w:ascii="宋体" w:hAnsi="宋体" w:eastAsia="宋体" w:cs="宋体"/>
          <w:sz w:val="24"/>
          <w:szCs w:val="24"/>
        </w:rPr>
        <w:t>份，均具有同等法律效力。</w:t>
      </w:r>
    </w:p>
    <w:p w14:paraId="2C80686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0F424C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14:paraId="1085925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附件：具体标的及其技术要求和商务要求、联合协议、分包意向协议等。</w:t>
      </w:r>
    </w:p>
    <w:p w14:paraId="65FFB89F">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7099D67F">
      <w:pPr>
        <w:pStyle w:val="77"/>
        <w:spacing w:line="360" w:lineRule="auto"/>
        <w:ind w:firstLine="480"/>
        <w:rPr>
          <w:rFonts w:hint="eastAsia" w:ascii="宋体" w:hAnsi="宋体" w:eastAsia="宋体" w:cs="宋体"/>
          <w:sz w:val="24"/>
          <w:szCs w:val="24"/>
        </w:rPr>
      </w:pPr>
    </w:p>
    <w:tbl>
      <w:tblPr>
        <w:tblStyle w:val="2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46F8332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0EA2631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3BEECC16">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乙方（供应商）</w:t>
            </w:r>
          </w:p>
        </w:tc>
      </w:tr>
      <w:tr w14:paraId="11EAAD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7D9A4079">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3478F4FC">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7FB78754">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单位名称（公章或合同章）</w:t>
            </w:r>
          </w:p>
        </w:tc>
        <w:tc>
          <w:tcPr>
            <w:tcW w:w="1259" w:type="pct"/>
            <w:tcBorders>
              <w:top w:val="single" w:color="auto" w:sz="2" w:space="0"/>
              <w:left w:val="single" w:color="auto" w:sz="2" w:space="0"/>
              <w:bottom w:val="single" w:color="auto" w:sz="2" w:space="0"/>
            </w:tcBorders>
            <w:vAlign w:val="center"/>
          </w:tcPr>
          <w:p w14:paraId="335CC972">
            <w:pPr>
              <w:adjustRightInd w:val="0"/>
              <w:snapToGrid w:val="0"/>
              <w:spacing w:line="360" w:lineRule="auto"/>
              <w:jc w:val="center"/>
              <w:rPr>
                <w:rFonts w:hint="eastAsia" w:ascii="宋体" w:hAnsi="宋体" w:eastAsia="宋体" w:cs="宋体"/>
                <w:spacing w:val="20"/>
                <w:sz w:val="24"/>
                <w:szCs w:val="24"/>
              </w:rPr>
            </w:pPr>
          </w:p>
        </w:tc>
      </w:tr>
      <w:tr w14:paraId="0EE3E08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3D2C510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p w14:paraId="00146363">
            <w:pPr>
              <w:adjustRightInd w:val="0"/>
              <w:snapToGrid w:val="0"/>
              <w:spacing w:line="360" w:lineRule="auto"/>
              <w:ind w:firstLine="115" w:firstLineChars="48"/>
              <w:jc w:val="center"/>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4DB8B684">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14:paraId="0AC90A4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p w14:paraId="71C2E92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14:paraId="4048BEC4">
            <w:pPr>
              <w:adjustRightInd w:val="0"/>
              <w:snapToGrid w:val="0"/>
              <w:spacing w:line="360" w:lineRule="auto"/>
              <w:jc w:val="center"/>
              <w:rPr>
                <w:rFonts w:hint="eastAsia" w:ascii="宋体" w:hAnsi="宋体" w:eastAsia="宋体" w:cs="宋体"/>
                <w:sz w:val="24"/>
                <w:szCs w:val="24"/>
              </w:rPr>
            </w:pPr>
          </w:p>
        </w:tc>
      </w:tr>
      <w:tr w14:paraId="079DB92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5B760F57">
            <w:pPr>
              <w:adjustRightInd w:val="0"/>
              <w:snapToGrid w:val="0"/>
              <w:spacing w:line="360" w:lineRule="auto"/>
              <w:jc w:val="center"/>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14:paraId="414FFABD">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74EAAD40">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拥有者性别</w:t>
            </w:r>
          </w:p>
        </w:tc>
        <w:tc>
          <w:tcPr>
            <w:tcW w:w="1259" w:type="pct"/>
            <w:tcBorders>
              <w:top w:val="single" w:color="auto" w:sz="2" w:space="0"/>
              <w:left w:val="single" w:color="auto" w:sz="2" w:space="0"/>
              <w:bottom w:val="single" w:color="auto" w:sz="2" w:space="0"/>
            </w:tcBorders>
            <w:vAlign w:val="center"/>
          </w:tcPr>
          <w:p w14:paraId="5651EC25">
            <w:pPr>
              <w:adjustRightInd w:val="0"/>
              <w:snapToGrid w:val="0"/>
              <w:spacing w:line="360" w:lineRule="auto"/>
              <w:jc w:val="center"/>
              <w:rPr>
                <w:rFonts w:hint="eastAsia" w:ascii="宋体" w:hAnsi="宋体" w:eastAsia="宋体" w:cs="宋体"/>
                <w:spacing w:val="20"/>
                <w:sz w:val="24"/>
                <w:szCs w:val="24"/>
              </w:rPr>
            </w:pPr>
          </w:p>
        </w:tc>
      </w:tr>
      <w:tr w14:paraId="27B5752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FBBF6A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18698863">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676FD79A">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住  所</w:t>
            </w:r>
          </w:p>
        </w:tc>
        <w:tc>
          <w:tcPr>
            <w:tcW w:w="1259" w:type="pct"/>
            <w:tcBorders>
              <w:top w:val="single" w:color="auto" w:sz="2" w:space="0"/>
              <w:left w:val="single" w:color="auto" w:sz="2" w:space="0"/>
              <w:bottom w:val="single" w:color="auto" w:sz="2" w:space="0"/>
            </w:tcBorders>
            <w:vAlign w:val="center"/>
          </w:tcPr>
          <w:p w14:paraId="17CF0CA7">
            <w:pPr>
              <w:adjustRightInd w:val="0"/>
              <w:snapToGrid w:val="0"/>
              <w:spacing w:line="360" w:lineRule="auto"/>
              <w:jc w:val="center"/>
              <w:rPr>
                <w:rFonts w:hint="eastAsia" w:ascii="宋体" w:hAnsi="宋体" w:eastAsia="宋体" w:cs="宋体"/>
                <w:spacing w:val="20"/>
                <w:sz w:val="24"/>
                <w:szCs w:val="24"/>
              </w:rPr>
            </w:pPr>
          </w:p>
        </w:tc>
      </w:tr>
      <w:tr w14:paraId="25BA22A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6612AE2">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768F7F57">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12E85601">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14:paraId="3477ACAA">
            <w:pPr>
              <w:adjustRightInd w:val="0"/>
              <w:snapToGrid w:val="0"/>
              <w:spacing w:line="360" w:lineRule="auto"/>
              <w:jc w:val="center"/>
              <w:rPr>
                <w:rFonts w:hint="eastAsia" w:ascii="宋体" w:hAnsi="宋体" w:eastAsia="宋体" w:cs="宋体"/>
                <w:spacing w:val="20"/>
                <w:sz w:val="24"/>
                <w:szCs w:val="24"/>
              </w:rPr>
            </w:pPr>
          </w:p>
        </w:tc>
      </w:tr>
      <w:tr w14:paraId="2EFD43F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9B6104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5D5D4FB5">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5F3F59E4">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14:paraId="0620E3FF">
            <w:pPr>
              <w:adjustRightInd w:val="0"/>
              <w:snapToGrid w:val="0"/>
              <w:spacing w:line="360" w:lineRule="auto"/>
              <w:jc w:val="center"/>
              <w:rPr>
                <w:rFonts w:hint="eastAsia" w:ascii="宋体" w:hAnsi="宋体" w:eastAsia="宋体" w:cs="宋体"/>
                <w:spacing w:val="20"/>
                <w:sz w:val="24"/>
                <w:szCs w:val="24"/>
              </w:rPr>
            </w:pPr>
          </w:p>
        </w:tc>
      </w:tr>
      <w:tr w14:paraId="5843965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AF0C45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45BFD962">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758B7231">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通信地址</w:t>
            </w:r>
          </w:p>
        </w:tc>
        <w:tc>
          <w:tcPr>
            <w:tcW w:w="1259" w:type="pct"/>
            <w:tcBorders>
              <w:top w:val="single" w:color="auto" w:sz="2" w:space="0"/>
              <w:left w:val="single" w:color="auto" w:sz="2" w:space="0"/>
              <w:bottom w:val="single" w:color="auto" w:sz="2" w:space="0"/>
            </w:tcBorders>
            <w:vAlign w:val="center"/>
          </w:tcPr>
          <w:p w14:paraId="70D6DC3F">
            <w:pPr>
              <w:adjustRightInd w:val="0"/>
              <w:snapToGrid w:val="0"/>
              <w:spacing w:line="360" w:lineRule="auto"/>
              <w:jc w:val="center"/>
              <w:rPr>
                <w:rFonts w:hint="eastAsia" w:ascii="宋体" w:hAnsi="宋体" w:eastAsia="宋体" w:cs="宋体"/>
                <w:spacing w:val="20"/>
                <w:sz w:val="24"/>
                <w:szCs w:val="24"/>
              </w:rPr>
            </w:pPr>
          </w:p>
        </w:tc>
      </w:tr>
      <w:tr w14:paraId="2C7B17E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C08AA0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1B74FD82">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3741B264">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14:paraId="05581073">
            <w:pPr>
              <w:adjustRightInd w:val="0"/>
              <w:snapToGrid w:val="0"/>
              <w:spacing w:line="360" w:lineRule="auto"/>
              <w:jc w:val="center"/>
              <w:rPr>
                <w:rFonts w:hint="eastAsia" w:ascii="宋体" w:hAnsi="宋体" w:eastAsia="宋体" w:cs="宋体"/>
                <w:spacing w:val="20"/>
                <w:sz w:val="24"/>
                <w:szCs w:val="24"/>
              </w:rPr>
            </w:pPr>
          </w:p>
        </w:tc>
      </w:tr>
      <w:tr w14:paraId="761E8BF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B134DAF">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7AA8933">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74351FBB">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14:paraId="438D80B2">
            <w:pPr>
              <w:adjustRightInd w:val="0"/>
              <w:snapToGrid w:val="0"/>
              <w:spacing w:line="360" w:lineRule="auto"/>
              <w:jc w:val="center"/>
              <w:rPr>
                <w:rFonts w:hint="eastAsia" w:ascii="宋体" w:hAnsi="宋体" w:eastAsia="宋体" w:cs="宋体"/>
                <w:spacing w:val="20"/>
                <w:sz w:val="24"/>
                <w:szCs w:val="24"/>
              </w:rPr>
            </w:pPr>
          </w:p>
        </w:tc>
      </w:tr>
      <w:tr w14:paraId="5649706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77A93D2">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7ABF399B">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6C39FEB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14:paraId="2758C269">
            <w:pPr>
              <w:adjustRightInd w:val="0"/>
              <w:snapToGrid w:val="0"/>
              <w:spacing w:line="360" w:lineRule="auto"/>
              <w:jc w:val="center"/>
              <w:rPr>
                <w:rFonts w:hint="eastAsia" w:ascii="宋体" w:hAnsi="宋体" w:eastAsia="宋体" w:cs="宋体"/>
                <w:spacing w:val="20"/>
                <w:sz w:val="24"/>
                <w:szCs w:val="24"/>
              </w:rPr>
            </w:pPr>
          </w:p>
        </w:tc>
      </w:tr>
      <w:tr w14:paraId="0A11DBA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42F8B67">
            <w:pPr>
              <w:adjustRightInd w:val="0"/>
              <w:snapToGrid w:val="0"/>
              <w:spacing w:line="360" w:lineRule="auto"/>
              <w:jc w:val="center"/>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4E47FE6B">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17B617A">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14:paraId="3123DAD0">
            <w:pPr>
              <w:adjustRightInd w:val="0"/>
              <w:snapToGrid w:val="0"/>
              <w:spacing w:line="360" w:lineRule="auto"/>
              <w:jc w:val="center"/>
              <w:rPr>
                <w:rFonts w:hint="eastAsia" w:ascii="宋体" w:hAnsi="宋体" w:eastAsia="宋体" w:cs="宋体"/>
                <w:spacing w:val="20"/>
                <w:sz w:val="24"/>
                <w:szCs w:val="24"/>
              </w:rPr>
            </w:pPr>
          </w:p>
        </w:tc>
      </w:tr>
      <w:tr w14:paraId="553744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7B42181">
            <w:pPr>
              <w:adjustRightInd w:val="0"/>
              <w:snapToGrid w:val="0"/>
              <w:spacing w:line="360" w:lineRule="auto"/>
              <w:jc w:val="center"/>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5BB88E80">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2C34A49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14:paraId="2467112A">
            <w:pPr>
              <w:adjustRightInd w:val="0"/>
              <w:snapToGrid w:val="0"/>
              <w:spacing w:line="360" w:lineRule="auto"/>
              <w:jc w:val="center"/>
              <w:rPr>
                <w:rFonts w:hint="eastAsia" w:ascii="宋体" w:hAnsi="宋体" w:eastAsia="宋体" w:cs="宋体"/>
                <w:spacing w:val="20"/>
                <w:sz w:val="24"/>
                <w:szCs w:val="24"/>
              </w:rPr>
            </w:pPr>
          </w:p>
        </w:tc>
      </w:tr>
      <w:tr w14:paraId="5ED87AE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65CBA77">
            <w:pPr>
              <w:adjustRightInd w:val="0"/>
              <w:snapToGrid w:val="0"/>
              <w:spacing w:line="360" w:lineRule="auto"/>
              <w:jc w:val="center"/>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36B231B7">
            <w:pPr>
              <w:adjustRightInd w:val="0"/>
              <w:snapToGrid w:val="0"/>
              <w:spacing w:line="360" w:lineRule="auto"/>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75B11494">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14:paraId="5EFAB65C">
            <w:pPr>
              <w:adjustRightInd w:val="0"/>
              <w:snapToGrid w:val="0"/>
              <w:spacing w:line="360" w:lineRule="auto"/>
              <w:jc w:val="center"/>
              <w:rPr>
                <w:rFonts w:hint="eastAsia" w:ascii="宋体" w:hAnsi="宋体" w:eastAsia="宋体" w:cs="宋体"/>
                <w:spacing w:val="20"/>
                <w:sz w:val="24"/>
                <w:szCs w:val="24"/>
              </w:rPr>
            </w:pPr>
          </w:p>
        </w:tc>
      </w:tr>
      <w:tr w14:paraId="16ADE73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FFF11A1">
            <w:pPr>
              <w:pStyle w:val="12"/>
              <w:adjustRightInd w:val="0"/>
              <w:snapToGrid w:val="0"/>
              <w:spacing w:before="156" w:beforeLines="50" w:after="0" w:line="360" w:lineRule="auto"/>
              <w:ind w:left="0" w:leftChars="0"/>
              <w:jc w:val="left"/>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14:paraId="4A15CB92">
      <w:pPr>
        <w:pStyle w:val="3"/>
        <w:adjustRightInd w:val="0"/>
        <w:snapToGrid w:val="0"/>
        <w:spacing w:before="156" w:beforeLines="50" w:line="360" w:lineRule="auto"/>
        <w:jc w:val="center"/>
        <w:rPr>
          <w:rFonts w:hint="eastAsia" w:ascii="宋体" w:hAnsi="宋体" w:eastAsia="宋体" w:cs="宋体"/>
          <w:sz w:val="24"/>
          <w:szCs w:val="24"/>
        </w:rPr>
      </w:pPr>
      <w:r>
        <w:rPr>
          <w:rFonts w:hint="eastAsia" w:ascii="宋体" w:hAnsi="宋体" w:eastAsia="宋体" w:cs="宋体"/>
          <w:sz w:val="24"/>
          <w:szCs w:val="24"/>
          <w:u w:val="single"/>
        </w:rPr>
        <w:br w:type="page"/>
      </w:r>
      <w:bookmarkStart w:id="53" w:name="_Toc27624"/>
      <w:r>
        <w:rPr>
          <w:rFonts w:hint="eastAsia" w:cs="@仿宋_GB2312" w:asciiTheme="minorEastAsia" w:hAnsiTheme="minorEastAsia" w:eastAsiaTheme="minorEastAsia"/>
          <w:bCs w:val="0"/>
          <w:color w:val="000000" w:themeColor="text1"/>
          <w:sz w:val="24"/>
          <w:szCs w:val="20"/>
          <w14:textFill>
            <w14:solidFill>
              <w14:schemeClr w14:val="tx1"/>
            </w14:solidFill>
          </w14:textFill>
        </w:rPr>
        <w:t>第二节 政府采购合同通用条款</w:t>
      </w:r>
      <w:bookmarkEnd w:id="53"/>
    </w:p>
    <w:p w14:paraId="5CE23941">
      <w:pPr>
        <w:tabs>
          <w:tab w:val="left" w:pos="8820"/>
          <w:tab w:val="left" w:pos="9345"/>
          <w:tab w:val="left" w:pos="9765"/>
        </w:tabs>
        <w:adjustRightInd w:val="0"/>
        <w:snapToGrid w:val="0"/>
        <w:spacing w:line="360" w:lineRule="auto"/>
        <w:jc w:val="left"/>
        <w:rPr>
          <w:rFonts w:hint="eastAsia" w:ascii="宋体" w:hAnsi="宋体" w:eastAsia="宋体" w:cs="宋体"/>
          <w:b/>
          <w:bCs/>
          <w:sz w:val="24"/>
          <w:szCs w:val="24"/>
        </w:rPr>
      </w:pPr>
      <w:r>
        <w:rPr>
          <w:rFonts w:hint="eastAsia" w:ascii="宋体" w:hAnsi="宋体" w:eastAsia="宋体" w:cs="宋体"/>
          <w:b/>
          <w:sz w:val="24"/>
          <w:szCs w:val="24"/>
        </w:rPr>
        <w:t xml:space="preserve">1. </w:t>
      </w:r>
      <w:r>
        <w:rPr>
          <w:rFonts w:hint="eastAsia" w:ascii="宋体" w:hAnsi="宋体" w:eastAsia="宋体" w:cs="宋体"/>
          <w:b/>
          <w:bCs/>
          <w:sz w:val="24"/>
          <w:szCs w:val="24"/>
        </w:rPr>
        <w:t>定义</w:t>
      </w:r>
    </w:p>
    <w:p w14:paraId="243C36A0">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1.1合同当事人</w:t>
      </w:r>
    </w:p>
    <w:p w14:paraId="7C615FEA">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（1）采购人（以下称甲方）是指使用财政性资金，通过政府采购方式向供应商购买货物及其相关服务的国家机关、事业单位、团体组织。</w:t>
      </w:r>
    </w:p>
    <w:p w14:paraId="71FAD778">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（2）供应商（以下称乙方）是指参加政府采购活动并且中标（成交），向采购人提供合同约定的货物及其相关服务的法人、非法人组织或者自然人。</w:t>
      </w:r>
    </w:p>
    <w:p w14:paraId="68B3F60D">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sz w:val="24"/>
          <w:szCs w:val="24"/>
        </w:rPr>
        <w:t>。</w:t>
      </w:r>
    </w:p>
    <w:p w14:paraId="3A6E0026">
      <w:pPr>
        <w:tabs>
          <w:tab w:val="left" w:pos="570"/>
          <w:tab w:val="left" w:pos="9240"/>
          <w:tab w:val="left" w:pos="9555"/>
        </w:tabs>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1.2本合同下列术语应解释为：</w:t>
      </w:r>
    </w:p>
    <w:p w14:paraId="17691619">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sz w:val="24"/>
          <w:szCs w:val="24"/>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themeColor="text1"/>
          <w:sz w:val="24"/>
          <w:szCs w:val="24"/>
          <w14:textFill>
            <w14:solidFill>
              <w14:schemeClr w14:val="tx1"/>
            </w14:solidFill>
          </w14:textFill>
        </w:rPr>
        <w:t>国家法律、行政法规和规章制度规定或合同约定的作为合同组成部分的其他文件</w:t>
      </w:r>
      <w:r>
        <w:rPr>
          <w:rFonts w:hint="eastAsia" w:ascii="宋体" w:hAnsi="宋体" w:eastAsia="宋体" w:cs="宋体"/>
          <w:sz w:val="24"/>
          <w:szCs w:val="24"/>
        </w:rPr>
        <w:t>。</w:t>
      </w:r>
    </w:p>
    <w:p w14:paraId="584BB901">
      <w:pPr>
        <w:tabs>
          <w:tab w:val="left" w:pos="570"/>
          <w:tab w:val="left" w:pos="9240"/>
          <w:tab w:val="left" w:pos="9555"/>
        </w:tabs>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（2）“合同价款”系指根据本合同规定乙方在全面履行合同义务后甲方应支付给乙方的价款。</w:t>
      </w:r>
    </w:p>
    <w:p w14:paraId="7C6F1C59">
      <w:pPr>
        <w:tabs>
          <w:tab w:val="left" w:pos="570"/>
          <w:tab w:val="left" w:pos="9240"/>
          <w:tab w:val="left" w:pos="9555"/>
        </w:tabs>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（3）“货物”系指乙方根据本合同规定须向甲方提供的各种形态和种类的物品，包括原材料、设备、产品（</w:t>
      </w:r>
      <w:r>
        <w:rPr>
          <w:rFonts w:hint="eastAsia" w:ascii="宋体" w:hAnsi="宋体" w:eastAsia="宋体" w:cs="宋体"/>
          <w:color w:val="000000" w:themeColor="text1"/>
          <w:sz w:val="24"/>
          <w:szCs w:val="24"/>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lang w:val="en"/>
          <w14:textFill>
            <w14:solidFill>
              <w14:schemeClr w14:val="tx1"/>
            </w14:solidFill>
          </w14:textFill>
        </w:rPr>
        <w:t>其他</w:t>
      </w:r>
      <w:r>
        <w:rPr>
          <w:rFonts w:hint="eastAsia" w:ascii="宋体" w:hAnsi="宋体" w:eastAsia="宋体" w:cs="宋体"/>
          <w:color w:val="000000" w:themeColor="text1"/>
          <w:sz w:val="24"/>
          <w:szCs w:val="24"/>
          <w14:textFill>
            <w14:solidFill>
              <w14:schemeClr w14:val="tx1"/>
            </w14:solidFill>
          </w14:textFill>
        </w:rPr>
        <w:t>技术资料和材料等。</w:t>
      </w:r>
    </w:p>
    <w:p w14:paraId="24ECB318">
      <w:pPr>
        <w:adjustRightInd w:val="0"/>
        <w:snapToGrid w:val="0"/>
        <w:spacing w:line="360" w:lineRule="auto"/>
        <w:ind w:firstLine="480" w:firstLineChars="200"/>
        <w:jc w:val="left"/>
        <w:rPr>
          <w:rFonts w:hint="eastAsia" w:ascii="宋体" w:hAnsi="宋体" w:eastAsia="宋体" w:cs="宋体"/>
          <w:color w:val="000000" w:themeColor="text1"/>
          <w:sz w:val="24"/>
          <w:szCs w:val="24"/>
          <w:highlight w:val="yellow"/>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sz w:val="24"/>
          <w:szCs w:val="24"/>
        </w:rPr>
        <w:t>相关</w:t>
      </w:r>
      <w:r>
        <w:rPr>
          <w:rFonts w:hint="eastAsia" w:ascii="宋体" w:hAnsi="宋体" w:eastAsia="宋体" w:cs="宋体"/>
          <w:color w:val="000000" w:themeColor="text1"/>
          <w:sz w:val="24"/>
          <w:szCs w:val="24"/>
          <w14:textFill>
            <w14:solidFill>
              <w14:schemeClr w14:val="tx1"/>
            </w14:solidFill>
          </w14:textFill>
        </w:rPr>
        <w:t>服务”系指根据合同规定，乙方应提供的与货物有关的技术、管理和</w:t>
      </w:r>
      <w:r>
        <w:rPr>
          <w:rFonts w:hint="eastAsia" w:ascii="宋体" w:hAnsi="宋体" w:eastAsia="宋体" w:cs="宋体"/>
          <w:color w:val="000000" w:themeColor="text1"/>
          <w:sz w:val="24"/>
          <w:szCs w:val="24"/>
          <w:lang w:val="en"/>
          <w14:textFill>
            <w14:solidFill>
              <w14:schemeClr w14:val="tx1"/>
            </w14:solidFill>
          </w14:textFill>
        </w:rPr>
        <w:t>其他</w:t>
      </w:r>
      <w:r>
        <w:rPr>
          <w:rFonts w:hint="eastAsia" w:ascii="宋体" w:hAnsi="宋体" w:eastAsia="宋体" w:cs="宋体"/>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宋体" w:hAnsi="宋体" w:eastAsia="宋体" w:cs="宋体"/>
          <w:color w:val="000000" w:themeColor="text1"/>
          <w:sz w:val="24"/>
          <w:szCs w:val="24"/>
          <w:lang w:val="en"/>
          <w14:textFill>
            <w14:solidFill>
              <w14:schemeClr w14:val="tx1"/>
            </w14:solidFill>
          </w14:textFill>
        </w:rPr>
        <w:t>其他</w:t>
      </w:r>
      <w:r>
        <w:rPr>
          <w:rFonts w:hint="eastAsia" w:ascii="宋体" w:hAnsi="宋体" w:eastAsia="宋体" w:cs="宋体"/>
          <w:color w:val="000000" w:themeColor="text1"/>
          <w:sz w:val="24"/>
          <w:szCs w:val="24"/>
          <w14:textFill>
            <w14:solidFill>
              <w14:schemeClr w14:val="tx1"/>
            </w14:solidFill>
          </w14:textFill>
        </w:rPr>
        <w:t>义务。</w:t>
      </w:r>
    </w:p>
    <w:p w14:paraId="47F80402">
      <w:pPr>
        <w:adjustRightInd w:val="0"/>
        <w:snapToGrid w:val="0"/>
        <w:spacing w:line="360" w:lineRule="auto"/>
        <w:ind w:firstLine="480" w:firstLineChars="200"/>
        <w:jc w:val="left"/>
        <w:rPr>
          <w:rFonts w:hint="eastAsia" w:ascii="宋体" w:hAnsi="宋体" w:eastAsia="宋体" w:cs="宋体"/>
          <w:color w:val="000000" w:themeColor="text1"/>
          <w:sz w:val="24"/>
          <w:szCs w:val="24"/>
          <w:highlight w:val="yellow"/>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76CA2D6A">
      <w:pPr>
        <w:tabs>
          <w:tab w:val="left" w:pos="570"/>
          <w:tab w:val="left" w:pos="9240"/>
          <w:tab w:val="left" w:pos="9555"/>
        </w:tabs>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w:t>
      </w:r>
      <w:r>
        <w:rPr>
          <w:rFonts w:hint="eastAsia" w:ascii="宋体" w:hAnsi="宋体" w:eastAsia="宋体" w:cs="宋体"/>
          <w:sz w:val="24"/>
          <w:szCs w:val="24"/>
        </w:rPr>
        <w:t>“联合体”系指由两个以上的自然人、法人或者非法人组织组成，以一个供应商的身份共同参加政府采购的主体</w:t>
      </w:r>
      <w:r>
        <w:rPr>
          <w:rFonts w:hint="eastAsia" w:ascii="宋体" w:hAnsi="宋体" w:eastAsia="宋体" w:cs="宋体"/>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宋体"/>
          <w:b/>
          <w:bCs/>
          <w:color w:val="000000" w:themeColor="text1"/>
          <w:sz w:val="24"/>
          <w:szCs w:val="24"/>
          <w14:textFill>
            <w14:solidFill>
              <w14:schemeClr w14:val="tx1"/>
            </w14:solidFill>
          </w14:textFill>
        </w:rPr>
        <w:t>政府采购合同专用条款</w:t>
      </w:r>
      <w:r>
        <w:rPr>
          <w:rFonts w:hint="eastAsia" w:ascii="宋体" w:hAnsi="宋体" w:eastAsia="宋体" w:cs="宋体"/>
          <w:color w:val="000000" w:themeColor="text1"/>
          <w:sz w:val="24"/>
          <w:szCs w:val="24"/>
          <w14:textFill>
            <w14:solidFill>
              <w14:schemeClr w14:val="tx1"/>
            </w14:solidFill>
          </w14:textFill>
        </w:rPr>
        <w:t>】。</w:t>
      </w:r>
    </w:p>
    <w:p w14:paraId="6175B322">
      <w:pPr>
        <w:tabs>
          <w:tab w:val="left" w:pos="570"/>
          <w:tab w:val="left" w:pos="9240"/>
          <w:tab w:val="left" w:pos="9555"/>
        </w:tabs>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（7）其他术语解释，见【</w:t>
      </w:r>
      <w:r>
        <w:rPr>
          <w:rFonts w:hint="eastAsia" w:ascii="宋体" w:hAnsi="宋体" w:eastAsia="宋体" w:cs="宋体"/>
          <w:b/>
          <w:bCs/>
          <w:color w:val="000000" w:themeColor="text1"/>
          <w:sz w:val="24"/>
          <w:szCs w:val="24"/>
          <w14:textFill>
            <w14:solidFill>
              <w14:schemeClr w14:val="tx1"/>
            </w14:solidFill>
          </w14:textFill>
        </w:rPr>
        <w:t>政府采购合同专用条款</w:t>
      </w:r>
      <w:r>
        <w:rPr>
          <w:rFonts w:hint="eastAsia" w:ascii="宋体" w:hAnsi="宋体" w:eastAsia="宋体" w:cs="宋体"/>
          <w:color w:val="000000" w:themeColor="text1"/>
          <w:sz w:val="24"/>
          <w:szCs w:val="24"/>
          <w14:textFill>
            <w14:solidFill>
              <w14:schemeClr w14:val="tx1"/>
            </w14:solidFill>
          </w14:textFill>
        </w:rPr>
        <w:t>】。</w:t>
      </w:r>
    </w:p>
    <w:p w14:paraId="7923CACA">
      <w:pPr>
        <w:numPr>
          <w:ilvl w:val="0"/>
          <w:numId w:val="5"/>
        </w:numPr>
        <w:autoSpaceDE w:val="0"/>
        <w:autoSpaceDN w:val="0"/>
        <w:adjustRightInd w:val="0"/>
        <w:snapToGrid w:val="0"/>
        <w:spacing w:line="360" w:lineRule="auto"/>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合同标的及金额</w:t>
      </w:r>
    </w:p>
    <w:p w14:paraId="2326A632">
      <w:pPr>
        <w:autoSpaceDE w:val="0"/>
        <w:autoSpaceDN w:val="0"/>
        <w:adjustRightInd w:val="0"/>
        <w:snapToGrid w:val="0"/>
        <w:spacing w:line="360" w:lineRule="auto"/>
        <w:ind w:firstLine="480" w:firstLineChars="200"/>
        <w:jc w:val="left"/>
        <w:rPr>
          <w:rFonts w:hint="eastAsia" w:ascii="宋体" w:hAnsi="宋体" w:eastAsia="宋体" w:cs="宋体"/>
          <w:b/>
          <w:bCs/>
          <w:i/>
          <w:i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rFonts w:hint="eastAsia" w:ascii="宋体" w:hAnsi="宋体" w:eastAsia="宋体" w:cs="宋体"/>
          <w:color w:val="000000" w:themeColor="text1"/>
          <w:sz w:val="24"/>
          <w:szCs w:val="24"/>
          <w:lang w:val="en"/>
          <w14:textFill>
            <w14:solidFill>
              <w14:schemeClr w14:val="tx1"/>
            </w14:solidFill>
          </w14:textFill>
        </w:rPr>
        <w:t>其他</w:t>
      </w:r>
      <w:r>
        <w:rPr>
          <w:rFonts w:hint="eastAsia" w:ascii="宋体" w:hAnsi="宋体" w:eastAsia="宋体" w:cs="宋体"/>
          <w:color w:val="000000" w:themeColor="text1"/>
          <w:sz w:val="24"/>
          <w:szCs w:val="24"/>
          <w14:textFill>
            <w14:solidFill>
              <w14:schemeClr w14:val="tx1"/>
            </w14:solidFill>
          </w14:textFill>
        </w:rPr>
        <w:t>任何费用。</w:t>
      </w:r>
    </w:p>
    <w:p w14:paraId="0CB7B4FB">
      <w:pPr>
        <w:adjustRightInd w:val="0"/>
        <w:snapToGrid w:val="0"/>
        <w:spacing w:line="360"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3. 履行合同的时间、地点和方式</w:t>
      </w:r>
    </w:p>
    <w:p w14:paraId="28EC7AC1">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3.1 </w:t>
      </w:r>
      <w:r>
        <w:rPr>
          <w:rFonts w:hint="eastAsia" w:ascii="宋体" w:hAnsi="宋体" w:eastAsia="宋体" w:cs="宋体"/>
          <w:sz w:val="24"/>
          <w:szCs w:val="24"/>
        </w:rPr>
        <w:t>乙方应当在约定的时间、地点，按照约定方式履行合同。</w:t>
      </w:r>
    </w:p>
    <w:p w14:paraId="516AAD78">
      <w:pPr>
        <w:autoSpaceDE w:val="0"/>
        <w:autoSpaceDN w:val="0"/>
        <w:adjustRightInd w:val="0"/>
        <w:snapToGrid w:val="0"/>
        <w:spacing w:line="360" w:lineRule="auto"/>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4. 甲方的权利和义务</w:t>
      </w:r>
    </w:p>
    <w:p w14:paraId="22AB75B1">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2B8E5C8C">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64635CA6">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00286D50">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4.4 甲方应当按照合同约定及时对交付的货物进行验收，</w:t>
      </w:r>
      <w:r>
        <w:rPr>
          <w:rFonts w:hint="eastAsia" w:ascii="宋体" w:hAnsi="宋体" w:eastAsia="宋体" w:cs="宋体"/>
          <w:sz w:val="24"/>
          <w:szCs w:val="24"/>
        </w:rPr>
        <w:t>未</w:t>
      </w:r>
      <w:r>
        <w:rPr>
          <w:rFonts w:hint="eastAsia" w:ascii="宋体" w:hAnsi="宋体" w:eastAsia="宋体" w:cs="宋体"/>
          <w:color w:val="000000" w:themeColor="text1"/>
          <w:sz w:val="24"/>
          <w:szCs w:val="24"/>
          <w14:textFill>
            <w14:solidFill>
              <w14:schemeClr w14:val="tx1"/>
            </w14:solidFill>
          </w14:textFill>
        </w:rPr>
        <w:t>在</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约定的期限内对乙方履约提出任何异议或者向乙方作出任何说明的，</w:t>
      </w:r>
      <w:r>
        <w:rPr>
          <w:rFonts w:hint="eastAsia" w:ascii="宋体" w:hAnsi="宋体" w:eastAsia="宋体" w:cs="宋体"/>
          <w:color w:val="000000" w:themeColor="text1"/>
          <w:sz w:val="24"/>
          <w:szCs w:val="24"/>
          <w14:textFill>
            <w14:solidFill>
              <w14:schemeClr w14:val="tx1"/>
            </w14:solidFill>
          </w14:textFill>
        </w:rPr>
        <w:t>视为验收通过。</w:t>
      </w:r>
    </w:p>
    <w:p w14:paraId="38E02BF6">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091339EB">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4.6 国家法律法规规定及</w:t>
      </w:r>
      <w:r>
        <w:rPr>
          <w:rFonts w:hint="eastAsia" w:ascii="宋体" w:hAnsi="宋体" w:eastAsia="宋体" w:cs="宋体"/>
          <w:b/>
          <w:bCs/>
          <w:sz w:val="24"/>
          <w:szCs w:val="24"/>
        </w:rPr>
        <w:t>【政府采购合同专用条款】</w:t>
      </w:r>
      <w:r>
        <w:rPr>
          <w:rFonts w:hint="eastAsia" w:ascii="宋体" w:hAnsi="宋体" w:eastAsia="宋体" w:cs="宋体"/>
          <w:color w:val="000000" w:themeColor="text1"/>
          <w:sz w:val="24"/>
          <w:szCs w:val="24"/>
          <w14:textFill>
            <w14:solidFill>
              <w14:schemeClr w14:val="tx1"/>
            </w14:solidFill>
          </w14:textFill>
        </w:rPr>
        <w:t>约定应由甲方承担的其他义务和责任。</w:t>
      </w:r>
    </w:p>
    <w:p w14:paraId="28B60F85">
      <w:pPr>
        <w:autoSpaceDE w:val="0"/>
        <w:autoSpaceDN w:val="0"/>
        <w:adjustRightInd w:val="0"/>
        <w:snapToGrid w:val="0"/>
        <w:spacing w:line="360" w:lineRule="auto"/>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5. 乙方的权利和义务</w:t>
      </w:r>
    </w:p>
    <w:p w14:paraId="47EB985F">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5.1 签署合同后，乙方应确定项目负责人（或项目联系人），负责与本合同有关的事务。</w:t>
      </w:r>
    </w:p>
    <w:p w14:paraId="22570900">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6F6FB57D">
      <w:pPr>
        <w:pStyle w:val="10"/>
        <w:spacing w:after="0" w:line="360" w:lineRule="auto"/>
        <w:ind w:firstLine="422" w:firstLineChars="176"/>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5.3乙方有权根据合同约定向甲方收取合同价款。</w:t>
      </w:r>
    </w:p>
    <w:p w14:paraId="0F8994C0">
      <w:pPr>
        <w:pStyle w:val="10"/>
        <w:spacing w:after="0" w:line="360" w:lineRule="auto"/>
        <w:ind w:firstLine="422" w:firstLineChars="176"/>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5.4国家法律法规规定及</w:t>
      </w:r>
      <w:r>
        <w:rPr>
          <w:rFonts w:hint="eastAsia" w:ascii="宋体" w:hAnsi="宋体" w:eastAsia="宋体" w:cs="宋体"/>
          <w:b/>
          <w:bCs/>
          <w:sz w:val="24"/>
        </w:rPr>
        <w:t>【政府采购合同专用条款】</w:t>
      </w:r>
      <w:r>
        <w:rPr>
          <w:rFonts w:hint="eastAsia" w:ascii="宋体" w:hAnsi="宋体" w:eastAsia="宋体" w:cs="宋体"/>
          <w:sz w:val="24"/>
        </w:rPr>
        <w:t>约定应</w:t>
      </w:r>
      <w:r>
        <w:rPr>
          <w:rFonts w:hint="eastAsia" w:ascii="宋体" w:hAnsi="宋体" w:eastAsia="宋体" w:cs="宋体"/>
          <w:color w:val="000000" w:themeColor="text1"/>
          <w:sz w:val="24"/>
          <w14:textFill>
            <w14:solidFill>
              <w14:schemeClr w14:val="tx1"/>
            </w14:solidFill>
          </w14:textFill>
        </w:rPr>
        <w:t>由乙方承担的其他义务和责任。</w:t>
      </w:r>
    </w:p>
    <w:p w14:paraId="601BEC6B">
      <w:pPr>
        <w:numPr>
          <w:ilvl w:val="0"/>
          <w:numId w:val="6"/>
        </w:numPr>
        <w:autoSpaceDE w:val="0"/>
        <w:autoSpaceDN w:val="0"/>
        <w:adjustRightInd w:val="0"/>
        <w:snapToGrid w:val="0"/>
        <w:spacing w:line="360" w:lineRule="auto"/>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合同履行</w:t>
      </w:r>
    </w:p>
    <w:p w14:paraId="29904DA9">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6.1 甲乙双方应当按照</w:t>
      </w:r>
      <w:r>
        <w:rPr>
          <w:rFonts w:hint="eastAsia" w:ascii="宋体" w:hAnsi="宋体" w:eastAsia="宋体" w:cs="宋体"/>
          <w:b/>
          <w:bCs/>
          <w:sz w:val="24"/>
          <w:szCs w:val="24"/>
        </w:rPr>
        <w:t>【政府采购合同专用条款】</w:t>
      </w:r>
      <w:r>
        <w:rPr>
          <w:rFonts w:hint="eastAsia" w:ascii="宋体" w:hAnsi="宋体" w:eastAsia="宋体" w:cs="宋体"/>
          <w:color w:val="000000" w:themeColor="text1"/>
          <w:sz w:val="24"/>
          <w:szCs w:val="24"/>
          <w14:textFill>
            <w14:solidFill>
              <w14:schemeClr w14:val="tx1"/>
            </w14:solidFill>
          </w14:textFill>
        </w:rPr>
        <w:t>约定顺序履行合同义务；如果没有先后顺序的，应当同时履行。</w:t>
      </w:r>
    </w:p>
    <w:p w14:paraId="3F7D2BBA">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7145EDBC">
      <w:pPr>
        <w:adjustRightInd w:val="0"/>
        <w:snapToGrid w:val="0"/>
        <w:spacing w:line="360" w:lineRule="auto"/>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7. 货物包装、运输、保险和交付要求</w:t>
      </w:r>
    </w:p>
    <w:p w14:paraId="3D576532">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7.1 本合同</w:t>
      </w:r>
      <w:r>
        <w:rPr>
          <w:rFonts w:hint="eastAsia" w:ascii="宋体" w:hAnsi="宋体" w:eastAsia="宋体" w:cs="宋体"/>
          <w:bCs/>
          <w:color w:val="000000" w:themeColor="text1"/>
          <w:sz w:val="24"/>
          <w:szCs w:val="24"/>
          <w14:textFill>
            <w14:solidFill>
              <w14:schemeClr w14:val="tx1"/>
            </w14:solidFill>
          </w14:textFill>
        </w:rPr>
        <w:t>涉及商品包装、快递包装的，</w:t>
      </w:r>
      <w:r>
        <w:rPr>
          <w:rFonts w:hint="eastAsia" w:ascii="宋体" w:hAnsi="宋体" w:eastAsia="宋体" w:cs="宋体"/>
          <w:color w:val="000000" w:themeColor="text1"/>
          <w:sz w:val="24"/>
          <w:szCs w:val="24"/>
          <w14:textFill>
            <w14:solidFill>
              <w14:schemeClr w14:val="tx1"/>
            </w14:solidFill>
          </w14:textFill>
        </w:rPr>
        <w:t>除</w:t>
      </w:r>
      <w:r>
        <w:rPr>
          <w:rFonts w:hint="eastAsia" w:ascii="宋体" w:hAnsi="宋体" w:eastAsia="宋体" w:cs="宋体"/>
          <w:b/>
          <w:color w:val="000000" w:themeColor="text1"/>
          <w:sz w:val="24"/>
          <w:szCs w:val="24"/>
          <w14:textFill>
            <w14:solidFill>
              <w14:schemeClr w14:val="tx1"/>
            </w14:solidFill>
          </w14:textFill>
        </w:rPr>
        <w:t>【政府采购合同专用条款】</w:t>
      </w:r>
      <w:r>
        <w:rPr>
          <w:rFonts w:hint="eastAsia" w:ascii="宋体" w:hAnsi="宋体" w:eastAsia="宋体" w:cs="宋体"/>
          <w:bCs/>
          <w:color w:val="000000" w:themeColor="text1"/>
          <w:sz w:val="24"/>
          <w:szCs w:val="24"/>
          <w14:textFill>
            <w14:solidFill>
              <w14:schemeClr w14:val="tx1"/>
            </w14:solidFill>
          </w14:textFill>
        </w:rPr>
        <w:t>另有约定外，</w:t>
      </w:r>
      <w:r>
        <w:rPr>
          <w:rFonts w:hint="eastAsia" w:ascii="宋体" w:hAnsi="宋体" w:eastAsia="宋体" w:cs="宋体"/>
          <w:color w:val="000000" w:themeColor="text1"/>
          <w:sz w:val="24"/>
          <w:szCs w:val="24"/>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14:textFill>
            <w14:solidFill>
              <w14:schemeClr w14:val="tx1"/>
            </w14:solidFill>
          </w14:textFill>
        </w:rPr>
        <w:t>【政府采购合同专用条款】</w:t>
      </w:r>
      <w:r>
        <w:rPr>
          <w:rFonts w:hint="eastAsia" w:ascii="宋体" w:hAnsi="宋体" w:eastAsia="宋体" w:cs="宋体"/>
          <w:bCs/>
          <w:color w:val="000000" w:themeColor="text1"/>
          <w:sz w:val="24"/>
          <w:szCs w:val="24"/>
          <w14:textFill>
            <w14:solidFill>
              <w14:schemeClr w14:val="tx1"/>
            </w14:solidFill>
          </w14:textFill>
        </w:rPr>
        <w:t>约定的</w:t>
      </w:r>
      <w:r>
        <w:rPr>
          <w:rFonts w:hint="eastAsia" w:ascii="宋体" w:hAnsi="宋体" w:eastAsia="宋体" w:cs="宋体"/>
          <w:color w:val="000000" w:themeColor="text1"/>
          <w:sz w:val="24"/>
          <w:szCs w:val="24"/>
          <w14:textFill>
            <w14:solidFill>
              <w14:schemeClr w14:val="tx1"/>
            </w14:solidFill>
          </w14:textFill>
        </w:rPr>
        <w:t>指定现场。</w:t>
      </w:r>
    </w:p>
    <w:p w14:paraId="52BE4DD9">
      <w:pPr>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7.2 除</w:t>
      </w:r>
      <w:r>
        <w:rPr>
          <w:rFonts w:hint="eastAsia" w:ascii="宋体" w:hAnsi="宋体" w:eastAsia="宋体" w:cs="宋体"/>
          <w:b/>
          <w:color w:val="000000" w:themeColor="text1"/>
          <w:sz w:val="24"/>
          <w:szCs w:val="24"/>
          <w14:textFill>
            <w14:solidFill>
              <w14:schemeClr w14:val="tx1"/>
            </w14:solidFill>
          </w14:textFill>
        </w:rPr>
        <w:t>【政府采购合同专用条款】</w:t>
      </w:r>
      <w:r>
        <w:rPr>
          <w:rFonts w:hint="eastAsia" w:ascii="宋体" w:hAnsi="宋体" w:eastAsia="宋体" w:cs="宋体"/>
          <w:bCs/>
          <w:color w:val="000000" w:themeColor="text1"/>
          <w:sz w:val="24"/>
          <w:szCs w:val="24"/>
          <w14:textFill>
            <w14:solidFill>
              <w14:schemeClr w14:val="tx1"/>
            </w14:solidFill>
          </w14:textFill>
        </w:rPr>
        <w:t>另有约定外，</w:t>
      </w:r>
      <w:r>
        <w:rPr>
          <w:rFonts w:hint="eastAsia" w:ascii="宋体" w:hAnsi="宋体" w:eastAsia="宋体" w:cs="宋体"/>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547E8C7C">
      <w:pPr>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7.3 货物保险要求按</w:t>
      </w:r>
      <w:r>
        <w:rPr>
          <w:rFonts w:hint="eastAsia" w:ascii="宋体" w:hAnsi="宋体" w:eastAsia="宋体" w:cs="宋体"/>
          <w:b/>
          <w:color w:val="000000" w:themeColor="text1"/>
          <w:sz w:val="24"/>
          <w:szCs w:val="24"/>
          <w14:textFill>
            <w14:solidFill>
              <w14:schemeClr w14:val="tx1"/>
            </w14:solidFill>
          </w14:textFill>
        </w:rPr>
        <w:t>【政府采购合同专用条款】</w:t>
      </w:r>
      <w:r>
        <w:rPr>
          <w:rFonts w:hint="eastAsia" w:ascii="宋体" w:hAnsi="宋体" w:eastAsia="宋体" w:cs="宋体"/>
          <w:bCs/>
          <w:color w:val="000000" w:themeColor="text1"/>
          <w:sz w:val="24"/>
          <w:szCs w:val="24"/>
          <w14:textFill>
            <w14:solidFill>
              <w14:schemeClr w14:val="tx1"/>
            </w14:solidFill>
          </w14:textFill>
        </w:rPr>
        <w:t>规定执行</w:t>
      </w:r>
      <w:r>
        <w:rPr>
          <w:rFonts w:hint="eastAsia" w:ascii="宋体" w:hAnsi="宋体" w:eastAsia="宋体" w:cs="宋体"/>
          <w:color w:val="000000" w:themeColor="text1"/>
          <w:sz w:val="24"/>
          <w:szCs w:val="24"/>
          <w14:textFill>
            <w14:solidFill>
              <w14:schemeClr w14:val="tx1"/>
            </w14:solidFill>
          </w14:textFill>
        </w:rPr>
        <w:t>。</w:t>
      </w:r>
    </w:p>
    <w:p w14:paraId="1924AB9E">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50EFD873">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7.5 </w:t>
      </w:r>
      <w:r>
        <w:rPr>
          <w:rFonts w:hint="eastAsia" w:ascii="宋体" w:hAnsi="宋体" w:eastAsia="宋体" w:cs="宋体"/>
          <w:color w:val="000000"/>
          <w:sz w:val="24"/>
          <w:szCs w:val="24"/>
        </w:rPr>
        <w:t>乙方在运输到达之前应提前通知甲方，并提示货物运输装卸的注意事项，甲方配合乙方做好货物的接收工作。</w:t>
      </w:r>
    </w:p>
    <w:p w14:paraId="49F2A52E">
      <w:pPr>
        <w:pStyle w:val="76"/>
        <w:spacing w:line="360" w:lineRule="auto"/>
        <w:ind w:firstLine="480"/>
        <w:rPr>
          <w:rFonts w:hint="eastAsia" w:ascii="宋体" w:hAnsi="宋体" w:eastAsia="宋体" w:cs="宋体"/>
          <w:sz w:val="24"/>
          <w:szCs w:val="24"/>
        </w:rPr>
      </w:pPr>
      <w:r>
        <w:rPr>
          <w:rFonts w:hint="eastAsia" w:ascii="宋体" w:hAnsi="宋体" w:eastAsia="宋体" w:cs="宋体"/>
          <w:color w:val="000000" w:themeColor="text1"/>
          <w:kern w:val="2"/>
          <w:sz w:val="24"/>
          <w:szCs w:val="24"/>
          <w14:textFill>
            <w14:solidFill>
              <w14:schemeClr w14:val="tx1"/>
            </w14:solidFill>
          </w14:textFill>
        </w:rPr>
        <w:t xml:space="preserve">7.6 </w:t>
      </w:r>
      <w:r>
        <w:rPr>
          <w:rFonts w:hint="eastAsia" w:ascii="宋体" w:hAnsi="宋体" w:eastAsia="宋体" w:cs="宋体"/>
          <w:color w:val="000000"/>
          <w:kern w:val="2"/>
          <w:sz w:val="24"/>
          <w:szCs w:val="24"/>
        </w:rPr>
        <w:t>如因包装、运输问题导致货物</w:t>
      </w:r>
      <w:r>
        <w:rPr>
          <w:rFonts w:hint="eastAsia" w:ascii="宋体" w:hAnsi="宋体" w:eastAsia="宋体" w:cs="宋体"/>
          <w:color w:val="000000" w:themeColor="text1"/>
          <w:kern w:val="2"/>
          <w:sz w:val="24"/>
          <w:szCs w:val="24"/>
          <w14:textFill>
            <w14:solidFill>
              <w14:schemeClr w14:val="tx1"/>
            </w14:solidFill>
          </w14:textFill>
        </w:rPr>
        <w:t>损毁、丢失</w:t>
      </w:r>
      <w:r>
        <w:rPr>
          <w:rFonts w:hint="eastAsia" w:ascii="宋体" w:hAnsi="宋体" w:eastAsia="宋体" w:cs="宋体"/>
          <w:color w:val="000000"/>
          <w:kern w:val="2"/>
          <w:sz w:val="24"/>
          <w:szCs w:val="24"/>
        </w:rPr>
        <w:t>或者品质下降，甲方有权要求降价、换货、拒收部分或整批货物，由此产生的费用和损失，均由乙方承担。</w:t>
      </w:r>
    </w:p>
    <w:p w14:paraId="3FE47434">
      <w:pPr>
        <w:adjustRightInd w:val="0"/>
        <w:snapToGrid w:val="0"/>
        <w:spacing w:line="360" w:lineRule="auto"/>
        <w:jc w:val="left"/>
        <w:rPr>
          <w:rFonts w:hint="eastAsia" w:ascii="宋体" w:hAnsi="宋体" w:eastAsia="宋体" w:cs="宋体"/>
          <w:b/>
          <w:sz w:val="24"/>
          <w:szCs w:val="24"/>
        </w:rPr>
      </w:pPr>
      <w:r>
        <w:rPr>
          <w:rFonts w:hint="eastAsia" w:ascii="宋体" w:hAnsi="宋体" w:eastAsia="宋体" w:cs="宋体"/>
          <w:b/>
          <w:color w:val="000000" w:themeColor="text1"/>
          <w:sz w:val="24"/>
          <w:szCs w:val="24"/>
          <w14:textFill>
            <w14:solidFill>
              <w14:schemeClr w14:val="tx1"/>
            </w14:solidFill>
          </w14:textFill>
        </w:rPr>
        <w:t xml:space="preserve">8. </w:t>
      </w:r>
      <w:r>
        <w:rPr>
          <w:rFonts w:hint="eastAsia" w:ascii="宋体" w:hAnsi="宋体" w:eastAsia="宋体" w:cs="宋体"/>
          <w:b/>
          <w:sz w:val="24"/>
          <w:szCs w:val="24"/>
        </w:rPr>
        <w:t>质量标准和保证</w:t>
      </w:r>
    </w:p>
    <w:p w14:paraId="1E61BE06">
      <w:pPr>
        <w:pStyle w:val="14"/>
        <w:adjustRightInd w:val="0"/>
        <w:snapToGrid w:val="0"/>
        <w:spacing w:line="360" w:lineRule="auto"/>
        <w:ind w:firstLine="480" w:firstLineChars="200"/>
        <w:jc w:val="left"/>
        <w:rPr>
          <w:rFonts w:hint="eastAsia" w:hAnsi="宋体" w:eastAsia="宋体" w:cs="宋体"/>
          <w:b/>
          <w:sz w:val="24"/>
          <w:szCs w:val="24"/>
        </w:rPr>
      </w:pPr>
      <w:r>
        <w:rPr>
          <w:rFonts w:hint="eastAsia" w:hAnsi="宋体" w:eastAsia="宋体" w:cs="宋体"/>
          <w:sz w:val="24"/>
          <w:szCs w:val="24"/>
        </w:rPr>
        <w:t>8.1 质量标准</w:t>
      </w:r>
    </w:p>
    <w:p w14:paraId="1553181F">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（1）本合同下提供的货物应符合合同</w:t>
      </w:r>
      <w:r>
        <w:rPr>
          <w:rFonts w:hint="eastAsia" w:ascii="宋体" w:hAnsi="宋体" w:eastAsia="宋体" w:cs="宋体"/>
          <w:color w:val="000000"/>
          <w:sz w:val="24"/>
          <w:szCs w:val="24"/>
        </w:rPr>
        <w:t>约定的</w:t>
      </w:r>
      <w:r>
        <w:rPr>
          <w:rFonts w:hint="eastAsia" w:ascii="宋体" w:hAnsi="宋体" w:eastAsia="宋体" w:cs="宋体"/>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5FF6E680">
      <w:pPr>
        <w:pStyle w:val="14"/>
        <w:adjustRightInd w:val="0"/>
        <w:snapToGrid w:val="0"/>
        <w:spacing w:line="360" w:lineRule="auto"/>
        <w:ind w:firstLine="480" w:firstLineChars="200"/>
        <w:jc w:val="left"/>
        <w:rPr>
          <w:rFonts w:hint="eastAsia" w:hAnsi="宋体" w:eastAsia="宋体" w:cs="宋体"/>
          <w:sz w:val="24"/>
          <w:szCs w:val="24"/>
        </w:rPr>
      </w:pPr>
      <w:r>
        <w:rPr>
          <w:rFonts w:hint="eastAsia" w:hAnsi="宋体" w:eastAsia="宋体" w:cs="宋体"/>
          <w:sz w:val="24"/>
          <w:szCs w:val="24"/>
        </w:rPr>
        <w:t>（2）采用中华人民共和国法定计量单位。</w:t>
      </w:r>
    </w:p>
    <w:p w14:paraId="34DCB25F">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（3）乙方所提供的货物应符合国家有关安全、环保、卫生的规定。</w:t>
      </w:r>
    </w:p>
    <w:p w14:paraId="3C41CAB1">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（4）乙方应向甲方提交所提供货物的技术文件，包括相应的中文技术文件，如：产品目录、图纸、操作手册、使用说明、维护手册或服务指南等。上述文件应包装好随货物一同发运。</w:t>
      </w:r>
    </w:p>
    <w:p w14:paraId="73E7A4EB">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8.2 保证</w:t>
      </w:r>
    </w:p>
    <w:p w14:paraId="0B063EDC">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宋体" w:hAnsi="宋体" w:eastAsia="宋体" w:cs="宋体"/>
          <w:b/>
          <w:sz w:val="24"/>
          <w:szCs w:val="24"/>
        </w:rPr>
        <w:t>【政府采购合同专用条款】</w:t>
      </w:r>
      <w:r>
        <w:rPr>
          <w:rFonts w:hint="eastAsia" w:ascii="宋体" w:hAnsi="宋体" w:eastAsia="宋体" w:cs="宋体"/>
          <w:sz w:val="24"/>
          <w:szCs w:val="24"/>
        </w:rPr>
        <w:t>规定或乙方书面承诺（两者以较长的为准）的质量保证期内，本保证保持有效。</w:t>
      </w:r>
    </w:p>
    <w:p w14:paraId="70473DEF">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（2）在质量保证期内所发现的缺陷，甲方应尽快以书面形式通知乙方。</w:t>
      </w:r>
    </w:p>
    <w:p w14:paraId="713D48E5">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（3）乙方收到通知后，应在</w:t>
      </w:r>
      <w:r>
        <w:rPr>
          <w:rFonts w:hint="eastAsia" w:ascii="宋体" w:hAnsi="宋体" w:eastAsia="宋体" w:cs="宋体"/>
          <w:b/>
          <w:sz w:val="24"/>
          <w:szCs w:val="24"/>
        </w:rPr>
        <w:t>【政府采购合同专用条款】</w:t>
      </w:r>
      <w:r>
        <w:rPr>
          <w:rFonts w:hint="eastAsia" w:ascii="宋体" w:hAnsi="宋体" w:eastAsia="宋体" w:cs="宋体"/>
          <w:sz w:val="24"/>
          <w:szCs w:val="24"/>
        </w:rPr>
        <w:t>规定的响应时间内以合理的速度免费维修或更换有缺陷的货物或部件。</w:t>
      </w:r>
    </w:p>
    <w:p w14:paraId="3F63BEEB">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sz w:val="24"/>
          <w:szCs w:val="24"/>
        </w:rPr>
        <w:t>.1条规定以书面形式</w:t>
      </w:r>
      <w:r>
        <w:rPr>
          <w:rFonts w:hint="eastAsia" w:ascii="宋体" w:hAnsi="宋体" w:eastAsia="宋体" w:cs="宋体"/>
          <w:color w:val="000000" w:themeColor="text1"/>
          <w:sz w:val="24"/>
          <w:szCs w:val="24"/>
          <w14:textFill>
            <w14:solidFill>
              <w14:schemeClr w14:val="tx1"/>
            </w14:solidFill>
          </w14:textFill>
        </w:rPr>
        <w:t>追究</w:t>
      </w:r>
      <w:r>
        <w:rPr>
          <w:rFonts w:hint="eastAsia" w:ascii="宋体" w:hAnsi="宋体" w:eastAsia="宋体" w:cs="宋体"/>
          <w:sz w:val="24"/>
          <w:szCs w:val="24"/>
        </w:rPr>
        <w:t>乙方</w:t>
      </w:r>
      <w:r>
        <w:rPr>
          <w:rFonts w:hint="eastAsia" w:ascii="宋体" w:hAnsi="宋体" w:eastAsia="宋体" w:cs="宋体"/>
          <w:color w:val="000000" w:themeColor="text1"/>
          <w:sz w:val="24"/>
          <w:szCs w:val="24"/>
          <w14:textFill>
            <w14:solidFill>
              <w14:schemeClr w14:val="tx1"/>
            </w14:solidFill>
          </w14:textFill>
        </w:rPr>
        <w:t>的违约责任</w:t>
      </w:r>
      <w:r>
        <w:rPr>
          <w:rFonts w:hint="eastAsia" w:ascii="宋体" w:hAnsi="宋体" w:eastAsia="宋体" w:cs="宋体"/>
          <w:sz w:val="24"/>
          <w:szCs w:val="24"/>
        </w:rPr>
        <w:t>。</w:t>
      </w:r>
    </w:p>
    <w:p w14:paraId="13CE519B">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（5）乙方在约定的时间内未能弥补缺陷，甲方可采取必要的补救措施，但其风险和费用将由乙方承担，甲方根据合同约定对乙方行使的其他权利不受影响。</w:t>
      </w:r>
    </w:p>
    <w:p w14:paraId="101BD2F9">
      <w:pPr>
        <w:adjustRightInd w:val="0"/>
        <w:snapToGrid w:val="0"/>
        <w:spacing w:line="360" w:lineRule="auto"/>
        <w:jc w:val="left"/>
        <w:rPr>
          <w:rFonts w:hint="eastAsia" w:ascii="宋体" w:hAnsi="宋体" w:eastAsia="宋体" w:cs="宋体"/>
          <w:b/>
          <w:bCs/>
          <w:sz w:val="24"/>
          <w:szCs w:val="24"/>
        </w:rPr>
      </w:pPr>
      <w:r>
        <w:rPr>
          <w:rFonts w:hint="eastAsia" w:ascii="宋体" w:hAnsi="宋体" w:eastAsia="宋体" w:cs="宋体"/>
          <w:b/>
          <w:bCs/>
          <w:color w:val="000000" w:themeColor="text1"/>
          <w:sz w:val="24"/>
          <w:szCs w:val="24"/>
          <w14:textFill>
            <w14:solidFill>
              <w14:schemeClr w14:val="tx1"/>
            </w14:solidFill>
          </w14:textFill>
        </w:rPr>
        <w:t>9</w:t>
      </w:r>
      <w:r>
        <w:rPr>
          <w:rFonts w:hint="eastAsia" w:ascii="宋体" w:hAnsi="宋体" w:eastAsia="宋体" w:cs="宋体"/>
          <w:b/>
          <w:bCs/>
          <w:sz w:val="24"/>
          <w:szCs w:val="24"/>
        </w:rPr>
        <w:t>.</w:t>
      </w:r>
      <w:r>
        <w:rPr>
          <w:rFonts w:hint="eastAsia" w:ascii="宋体" w:hAnsi="宋体" w:eastAsia="宋体" w:cs="宋体"/>
          <w:b/>
          <w:bCs/>
          <w:color w:val="000000" w:themeColor="text1"/>
          <w:sz w:val="24"/>
          <w:szCs w:val="24"/>
          <w14:textFill>
            <w14:solidFill>
              <w14:schemeClr w14:val="tx1"/>
            </w14:solidFill>
          </w14:textFill>
        </w:rPr>
        <w:t xml:space="preserve"> </w:t>
      </w:r>
      <w:r>
        <w:rPr>
          <w:rFonts w:hint="eastAsia" w:ascii="宋体" w:hAnsi="宋体" w:eastAsia="宋体" w:cs="宋体"/>
          <w:b/>
          <w:bCs/>
          <w:sz w:val="24"/>
          <w:szCs w:val="24"/>
        </w:rPr>
        <w:t>权利瑕疵担保</w:t>
      </w:r>
    </w:p>
    <w:p w14:paraId="057A0489">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9.1 乙方保证对其出售的货物享有合法的权利。</w:t>
      </w:r>
    </w:p>
    <w:p w14:paraId="7FDB1964">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9.2 </w:t>
      </w:r>
      <w:r>
        <w:rPr>
          <w:rFonts w:hint="eastAsia" w:ascii="宋体" w:hAnsi="宋体" w:eastAsia="宋体" w:cs="宋体"/>
          <w:sz w:val="24"/>
          <w:szCs w:val="24"/>
        </w:rPr>
        <w:t>乙方保证在交付的货物上不存在抵押权等担保物权。</w:t>
      </w:r>
    </w:p>
    <w:p w14:paraId="564FDBB0">
      <w:pPr>
        <w:autoSpaceDE w:val="0"/>
        <w:autoSpaceDN w:val="0"/>
        <w:adjustRightInd w:val="0"/>
        <w:snapToGrid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9.3 如甲方使用上述货物构成对第三人侵权的，则由乙方承担全部责任。</w:t>
      </w:r>
    </w:p>
    <w:p w14:paraId="48092410">
      <w:pPr>
        <w:autoSpaceDE w:val="0"/>
        <w:autoSpaceDN w:val="0"/>
        <w:adjustRightInd w:val="0"/>
        <w:snapToGrid w:val="0"/>
        <w:spacing w:line="360" w:lineRule="auto"/>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10. 知识产权保护</w:t>
      </w:r>
    </w:p>
    <w:p w14:paraId="3A7AE531">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10.1 乙方对其所销售的货物应当享有知识产权或经权利人合法授权，保证没有侵犯任</w:t>
      </w:r>
      <w:r>
        <w:rPr>
          <w:rFonts w:hint="eastAsia" w:ascii="宋体" w:hAnsi="宋体" w:eastAsia="宋体" w:cs="宋体"/>
          <w:sz w:val="24"/>
          <w:szCs w:val="24"/>
        </w:rPr>
        <w:t>何第三人的知识产权等权利。</w:t>
      </w:r>
      <w:bookmarkStart w:id="54"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54"/>
      <w:r>
        <w:rPr>
          <w:rFonts w:hint="eastAsia" w:ascii="宋体" w:hAnsi="宋体" w:eastAsia="宋体" w:cs="宋体"/>
          <w:sz w:val="24"/>
          <w:szCs w:val="24"/>
        </w:rPr>
        <w:t>。</w:t>
      </w:r>
    </w:p>
    <w:p w14:paraId="17650A5E">
      <w:pPr>
        <w:autoSpaceDE w:val="0"/>
        <w:autoSpaceDN w:val="0"/>
        <w:adjustRightInd w:val="0"/>
        <w:snapToGrid w:val="0"/>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t>11. 保密义务</w:t>
      </w:r>
    </w:p>
    <w:p w14:paraId="578CE5E5">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14:paraId="1CB2C57F">
      <w:pPr>
        <w:autoSpaceDE w:val="0"/>
        <w:autoSpaceDN w:val="0"/>
        <w:adjustRightInd w:val="0"/>
        <w:snapToGrid w:val="0"/>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t>12. 合同价款支付</w:t>
      </w:r>
    </w:p>
    <w:p w14:paraId="2656DC6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12.1 合同价款支付按照国库集中支付制度及财政管理相关规定执行。</w:t>
      </w:r>
    </w:p>
    <w:p w14:paraId="7BEE1557">
      <w:pPr>
        <w:keepNext/>
        <w:keepLines/>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b w:val="0"/>
          <w:bCs w:val="0"/>
          <w:sz w:val="24"/>
          <w:szCs w:val="24"/>
        </w:rPr>
        <w:t>12.2 对于满足合同约定支付条件的，甲方原则上应当自收到发票后7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sz w:val="24"/>
          <w:szCs w:val="24"/>
        </w:rPr>
        <w:t>政府采购合同专用条款</w:t>
      </w:r>
      <w:r>
        <w:rPr>
          <w:rFonts w:hint="eastAsia" w:ascii="宋体" w:hAnsi="宋体" w:eastAsia="宋体" w:cs="宋体"/>
          <w:b w:val="0"/>
          <w:bCs w:val="0"/>
          <w:sz w:val="24"/>
          <w:szCs w:val="24"/>
        </w:rPr>
        <w:t>】中约定。</w:t>
      </w:r>
    </w:p>
    <w:p w14:paraId="2938C3D8">
      <w:pPr>
        <w:pStyle w:val="10"/>
        <w:spacing w:after="0" w:line="360" w:lineRule="auto"/>
        <w:rPr>
          <w:rFonts w:hint="eastAsia" w:ascii="宋体" w:hAnsi="宋体" w:eastAsia="宋体" w:cs="宋体"/>
          <w:b/>
          <w:bCs/>
          <w:sz w:val="24"/>
        </w:rPr>
      </w:pPr>
      <w:r>
        <w:rPr>
          <w:rFonts w:hint="eastAsia" w:ascii="宋体" w:hAnsi="宋体" w:eastAsia="宋体" w:cs="宋体"/>
          <w:b/>
          <w:bCs/>
          <w:sz w:val="24"/>
        </w:rPr>
        <w:t>13.</w:t>
      </w:r>
      <w:r>
        <w:rPr>
          <w:rFonts w:hint="eastAsia" w:ascii="宋体" w:hAnsi="宋体" w:eastAsia="宋体" w:cs="宋体"/>
          <w:b/>
          <w:bCs/>
          <w:sz w:val="24"/>
          <w:lang w:val="en-US"/>
        </w:rPr>
        <w:t xml:space="preserve"> </w:t>
      </w:r>
      <w:r>
        <w:rPr>
          <w:rFonts w:hint="eastAsia" w:ascii="宋体" w:hAnsi="宋体" w:eastAsia="宋体" w:cs="宋体"/>
          <w:b/>
          <w:bCs/>
          <w:sz w:val="24"/>
        </w:rPr>
        <w:t>履约保证金</w:t>
      </w:r>
    </w:p>
    <w:p w14:paraId="79EB5293">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13.1 乙方应当以支票、汇票、本票或者金融机构、担保机构出具的保函等非现金形式提交。</w:t>
      </w:r>
    </w:p>
    <w:p w14:paraId="79305C72">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13.2 如果乙方出现</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45C4F07F">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13.3 甲方在项目通过验收后按照</w:t>
      </w:r>
      <w:r>
        <w:rPr>
          <w:rFonts w:hint="eastAsia" w:ascii="宋体" w:hAnsi="宋体" w:eastAsia="宋体" w:cs="宋体"/>
          <w:b/>
          <w:sz w:val="24"/>
          <w:szCs w:val="24"/>
        </w:rPr>
        <w:t>【政府采购合同专用条款】</w:t>
      </w:r>
      <w:r>
        <w:rPr>
          <w:rFonts w:hint="eastAsia" w:ascii="宋体" w:hAnsi="宋体" w:eastAsia="宋体" w:cs="宋体"/>
          <w:sz w:val="24"/>
          <w:szCs w:val="24"/>
        </w:rPr>
        <w:t>规定的时间内将履约保证金退还乙方；逾期退还的，乙方可要求甲方支付违约金，违约金按照</w:t>
      </w:r>
      <w:r>
        <w:rPr>
          <w:rFonts w:hint="eastAsia" w:ascii="宋体" w:hAnsi="宋体" w:eastAsia="宋体" w:cs="宋体"/>
          <w:b/>
          <w:sz w:val="24"/>
          <w:szCs w:val="24"/>
        </w:rPr>
        <w:t>【政府采购合同专用条款】</w:t>
      </w:r>
      <w:r>
        <w:rPr>
          <w:rFonts w:hint="eastAsia" w:ascii="宋体" w:hAnsi="宋体" w:eastAsia="宋体" w:cs="宋体"/>
          <w:sz w:val="24"/>
          <w:szCs w:val="24"/>
        </w:rPr>
        <w:t>规定支付。</w:t>
      </w:r>
    </w:p>
    <w:p w14:paraId="1EC80043">
      <w:pPr>
        <w:autoSpaceDE w:val="0"/>
        <w:autoSpaceDN w:val="0"/>
        <w:adjustRightInd w:val="0"/>
        <w:snapToGrid w:val="0"/>
        <w:spacing w:line="360" w:lineRule="auto"/>
        <w:jc w:val="left"/>
        <w:rPr>
          <w:rFonts w:hint="eastAsia" w:ascii="宋体" w:hAnsi="宋体" w:eastAsia="宋体" w:cs="宋体"/>
          <w:b/>
          <w:sz w:val="24"/>
          <w:szCs w:val="24"/>
        </w:rPr>
      </w:pPr>
      <w:r>
        <w:rPr>
          <w:rFonts w:hint="eastAsia" w:ascii="宋体" w:hAnsi="宋体" w:eastAsia="宋体" w:cs="宋体"/>
          <w:b/>
          <w:bCs/>
          <w:sz w:val="24"/>
          <w:szCs w:val="24"/>
        </w:rPr>
        <w:t xml:space="preserve">14. </w:t>
      </w:r>
      <w:r>
        <w:rPr>
          <w:rFonts w:hint="eastAsia" w:ascii="宋体" w:hAnsi="宋体" w:eastAsia="宋体" w:cs="宋体"/>
          <w:b/>
          <w:sz w:val="24"/>
          <w:szCs w:val="24"/>
        </w:rPr>
        <w:t>售后服务</w:t>
      </w:r>
    </w:p>
    <w:p w14:paraId="754C55BB">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14.1 除项目不涉及或采购活动中明确约定无须承担外，乙方还应提供下列服务：</w:t>
      </w:r>
    </w:p>
    <w:p w14:paraId="6E2C4AEE">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（1）货物的现场移动、安装、调试、启动监督及技术支持；</w:t>
      </w:r>
    </w:p>
    <w:p w14:paraId="201C6404">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（2）提供货物组装和维修所需的专用工具和辅助材料；</w:t>
      </w:r>
    </w:p>
    <w:p w14:paraId="70DFD1F9">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（3）在</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约定的期限内对所有的货物实施运行监督、维修，但前提条件是该服务并不能免除乙方在质量保证期内所承担的义务；</w:t>
      </w:r>
    </w:p>
    <w:p w14:paraId="533AE869">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（4）在制造商所在地或指定现场就货物的安装、启动、运营、维护、废弃处置等对甲方操作人员进行培训；</w:t>
      </w:r>
    </w:p>
    <w:p w14:paraId="4AEBA7F6">
      <w:pPr>
        <w:pStyle w:val="76"/>
        <w:spacing w:line="360" w:lineRule="auto"/>
        <w:ind w:firstLine="480"/>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14:paraId="6F1492D6">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b/>
          <w:sz w:val="24"/>
          <w:szCs w:val="24"/>
        </w:rPr>
        <w:t>【政府采购合同专用条款】</w:t>
      </w:r>
      <w:r>
        <w:rPr>
          <w:rFonts w:hint="eastAsia" w:ascii="宋体" w:hAnsi="宋体" w:eastAsia="宋体" w:cs="宋体"/>
          <w:sz w:val="24"/>
          <w:szCs w:val="24"/>
        </w:rPr>
        <w:t>规定由乙方提供的其他服务。</w:t>
      </w:r>
    </w:p>
    <w:p w14:paraId="2C83E81A">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14.2 乙方提供的售后服务的费用已包含在合同价款中，甲方不再另行支付。</w:t>
      </w:r>
    </w:p>
    <w:p w14:paraId="37C946BA">
      <w:pPr>
        <w:adjustRightInd w:val="0"/>
        <w:snapToGrid w:val="0"/>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t>15. 违约责任</w:t>
      </w:r>
    </w:p>
    <w:p w14:paraId="06BF97DB">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15.1质量瑕疵的违约责任</w:t>
      </w:r>
    </w:p>
    <w:p w14:paraId="01E1C384">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乙方提供的产品不符合合同约定的质量标准或存在产品质量缺陷，甲方有权要求乙方根据</w:t>
      </w:r>
      <w:r>
        <w:rPr>
          <w:rFonts w:hint="eastAsia" w:ascii="宋体" w:hAnsi="宋体" w:eastAsia="宋体" w:cs="宋体"/>
          <w:b/>
          <w:sz w:val="24"/>
          <w:szCs w:val="24"/>
        </w:rPr>
        <w:t>【政府采购合同专用条款】</w:t>
      </w:r>
      <w:r>
        <w:rPr>
          <w:rFonts w:hint="eastAsia" w:ascii="宋体" w:hAnsi="宋体" w:eastAsia="宋体" w:cs="宋体"/>
          <w:bCs/>
          <w:sz w:val="24"/>
          <w:szCs w:val="24"/>
        </w:rPr>
        <w:t>要求</w:t>
      </w:r>
      <w:r>
        <w:rPr>
          <w:rFonts w:hint="eastAsia" w:ascii="宋体" w:hAnsi="宋体" w:eastAsia="宋体" w:cs="宋体"/>
          <w:sz w:val="24"/>
          <w:szCs w:val="24"/>
        </w:rPr>
        <w:t>及时修理、重作、更换，并承担由此给甲方造成的损失。</w:t>
      </w:r>
    </w:p>
    <w:p w14:paraId="72974D66">
      <w:pPr>
        <w:autoSpaceDE w:val="0"/>
        <w:autoSpaceDN w:val="0"/>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15.2 迟延交货的违约责任</w:t>
      </w:r>
    </w:p>
    <w:p w14:paraId="0AD55EDE">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4E9C5522">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（2）如果乙方没有按照合同规定的时间交货和提供相关服务，甲方有权从货款中扣除误期赔偿费而不影响合同项下的其他补救方法，赔偿费按</w:t>
      </w:r>
      <w:r>
        <w:rPr>
          <w:rFonts w:hint="eastAsia" w:ascii="宋体" w:hAnsi="宋体" w:eastAsia="宋体" w:cs="宋体"/>
          <w:b/>
          <w:sz w:val="24"/>
          <w:szCs w:val="24"/>
        </w:rPr>
        <w:t>【政府采购合同专用条款】</w:t>
      </w:r>
      <w:r>
        <w:rPr>
          <w:rFonts w:hint="eastAsia" w:ascii="宋体" w:hAnsi="宋体" w:eastAsia="宋体" w:cs="宋体"/>
          <w:sz w:val="24"/>
          <w:szCs w:val="24"/>
        </w:rPr>
        <w:t>规定执行。如果涉及公共利益，且赔偿金额无法弥补公共利益损失，甲方可要求继续履行或者采取其他补救措施。</w:t>
      </w:r>
    </w:p>
    <w:p w14:paraId="6E7F80C0">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15.3 迟延支付的违约责任</w:t>
      </w:r>
    </w:p>
    <w:p w14:paraId="61FBADA8">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甲方存在迟延支付乙方合同款项的，应当承担</w:t>
      </w:r>
      <w:r>
        <w:rPr>
          <w:rFonts w:hint="eastAsia" w:ascii="宋体" w:hAnsi="宋体" w:eastAsia="宋体" w:cs="宋体"/>
          <w:b/>
          <w:bCs/>
          <w:sz w:val="24"/>
          <w:szCs w:val="24"/>
        </w:rPr>
        <w:t>【政府采购合同专用条款】</w:t>
      </w:r>
      <w:r>
        <w:rPr>
          <w:rFonts w:hint="eastAsia" w:ascii="宋体" w:hAnsi="宋体" w:eastAsia="宋体" w:cs="宋体"/>
          <w:sz w:val="24"/>
          <w:szCs w:val="24"/>
        </w:rPr>
        <w:t>规定的逾期付款利息。</w:t>
      </w:r>
    </w:p>
    <w:p w14:paraId="6E3F080D">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bCs/>
          <w:sz w:val="24"/>
          <w:szCs w:val="24"/>
        </w:rPr>
        <w:t>15.4其他违约责任根据项目实际需要按</w:t>
      </w:r>
      <w:r>
        <w:rPr>
          <w:rFonts w:hint="eastAsia" w:ascii="宋体" w:hAnsi="宋体" w:eastAsia="宋体" w:cs="宋体"/>
          <w:b/>
          <w:bCs/>
          <w:sz w:val="24"/>
          <w:szCs w:val="24"/>
        </w:rPr>
        <w:t>【政府采购合同专用条款】</w:t>
      </w:r>
      <w:r>
        <w:rPr>
          <w:rFonts w:hint="eastAsia" w:ascii="宋体" w:hAnsi="宋体" w:eastAsia="宋体" w:cs="宋体"/>
          <w:sz w:val="24"/>
          <w:szCs w:val="24"/>
        </w:rPr>
        <w:t>规定执行。</w:t>
      </w:r>
    </w:p>
    <w:p w14:paraId="2E7DCEC0">
      <w:pPr>
        <w:numPr>
          <w:ilvl w:val="0"/>
          <w:numId w:val="7"/>
        </w:numPr>
        <w:autoSpaceDE w:val="0"/>
        <w:autoSpaceDN w:val="0"/>
        <w:adjustRightInd w:val="0"/>
        <w:snapToGrid w:val="0"/>
        <w:spacing w:line="360" w:lineRule="auto"/>
        <w:jc w:val="left"/>
        <w:rPr>
          <w:rFonts w:hint="eastAsia" w:ascii="宋体" w:hAnsi="宋体" w:eastAsia="宋体" w:cs="宋体"/>
          <w:b/>
          <w:sz w:val="24"/>
          <w:szCs w:val="24"/>
        </w:rPr>
      </w:pPr>
      <w:r>
        <w:rPr>
          <w:rFonts w:hint="eastAsia" w:ascii="宋体" w:hAnsi="宋体" w:eastAsia="宋体" w:cs="宋体"/>
          <w:b/>
          <w:sz w:val="24"/>
          <w:szCs w:val="24"/>
        </w:rPr>
        <w:t>合同变更、中止与终止</w:t>
      </w:r>
    </w:p>
    <w:p w14:paraId="5DDFF555">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16.1合同的变更</w:t>
      </w:r>
    </w:p>
    <w:p w14:paraId="1030E564">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政府采购合同履行中，在不改变合同其他条款的前提下，甲方可以在合同价款10%的范围内追加与合同标的相同的货物，并就此与乙方协商一致后签订补充协议。</w:t>
      </w:r>
    </w:p>
    <w:p w14:paraId="416FE8F9">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16.2合同的中止</w:t>
      </w:r>
    </w:p>
    <w:p w14:paraId="6E36D77B">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（1）合同履行过程中因供应商就采购文件、采购过程或结果提起投诉的，甲方认为有必要的，可以中止合同的履行。</w:t>
      </w:r>
    </w:p>
    <w:p w14:paraId="7B520F9F">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BB597AD">
      <w:pPr>
        <w:pStyle w:val="76"/>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（3）乙方分立、合并或者变更住所的，应当及时以书面形式告知甲方。乙方没有及时告知甲方，致使合同履行发生困难的，甲方可以中止合同履行并要求乙方承担由此给甲方造成的损失。</w:t>
      </w:r>
    </w:p>
    <w:p w14:paraId="79975B03">
      <w:pPr>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（4）甲方不得以行政区划调整、政府换届、机构或者职能调整以及相关责任人更替为由中止合同。</w:t>
      </w:r>
    </w:p>
    <w:p w14:paraId="7BD3EEC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16.3合同的终止</w:t>
      </w:r>
    </w:p>
    <w:p w14:paraId="1022A459">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（1）合同因有效期限届满而终止；</w:t>
      </w:r>
    </w:p>
    <w:p w14:paraId="1A283E20">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（2）乙方未按合同约定履行，构成根本性违约的，甲方有权终止合同，并追究乙方的违约责任。</w:t>
      </w:r>
    </w:p>
    <w:p w14:paraId="280326B2">
      <w:pPr>
        <w:pStyle w:val="76"/>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16.4 </w:t>
      </w:r>
      <w:r>
        <w:rPr>
          <w:rFonts w:hint="eastAsia" w:ascii="宋体" w:hAnsi="宋体" w:eastAsia="宋体" w:cs="宋体"/>
          <w:kern w:val="2"/>
          <w:sz w:val="24"/>
          <w:szCs w:val="24"/>
        </w:rPr>
        <w:t>涉及国家利益、社会公共利益的情形</w:t>
      </w:r>
    </w:p>
    <w:p w14:paraId="7347C094">
      <w:pPr>
        <w:pStyle w:val="76"/>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政府采购合同继续履行将损害国家利益和社会公共利益的，双方当事人应当变更、中止或者终止合同。有过错的一方应当承担赔偿责任，双方都有过错的，各自承担相应的责任。</w:t>
      </w:r>
    </w:p>
    <w:p w14:paraId="4A048030">
      <w:pPr>
        <w:autoSpaceDE w:val="0"/>
        <w:autoSpaceDN w:val="0"/>
        <w:adjustRightInd w:val="0"/>
        <w:snapToGrid w:val="0"/>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t>17. 合同分包</w:t>
      </w:r>
    </w:p>
    <w:p w14:paraId="075B5DAB">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17.1 乙方不得将合同转包给其他供应商。涉及合同分包的，乙方应根据采购文件和投标（响应）文件规定进行合同分包。</w:t>
      </w:r>
    </w:p>
    <w:p w14:paraId="1A8A8888">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17.2 乙方执行政府采购政策向中小企业依法分包的，乙方应当按采购文件和投标（响应）文件签订分包意向协议，分包意向协议属于本合同组成部分。</w:t>
      </w:r>
    </w:p>
    <w:p w14:paraId="6D184DEF">
      <w:pPr>
        <w:autoSpaceDE w:val="0"/>
        <w:autoSpaceDN w:val="0"/>
        <w:adjustRightInd w:val="0"/>
        <w:snapToGrid w:val="0"/>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t>18. 不可抗力</w:t>
      </w:r>
    </w:p>
    <w:p w14:paraId="499BB4E6">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18.1 不可抗力是指合同双方不能预见、不能避免且不能克服的客观情况。</w:t>
      </w:r>
    </w:p>
    <w:p w14:paraId="6EF74EF5">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18.2 任何一方对由于不可抗力造成的部分或全部不能履行合同不承担违约责任。但迟延履行后发生不可抗力的，不能免除责任。</w:t>
      </w:r>
    </w:p>
    <w:p w14:paraId="587F4459">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5D42098A">
      <w:pPr>
        <w:autoSpaceDE w:val="0"/>
        <w:autoSpaceDN w:val="0"/>
        <w:adjustRightInd w:val="0"/>
        <w:snapToGrid w:val="0"/>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t>19. 解决争议的方法</w:t>
      </w:r>
    </w:p>
    <w:p w14:paraId="631F816C">
      <w:pPr>
        <w:pStyle w:val="76"/>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3BEFF05F">
      <w:pPr>
        <w:pStyle w:val="76"/>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19.2 选择仲裁的，应在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14:paraId="73BD1297">
      <w:pPr>
        <w:pStyle w:val="76"/>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19.3 如甲乙双方有争议的事项不影响合同其他部分的履行，在争议解决期间，合同其他部分应当继续履行。</w:t>
      </w:r>
    </w:p>
    <w:p w14:paraId="6EEA6B41">
      <w:pPr>
        <w:autoSpaceDE w:val="0"/>
        <w:autoSpaceDN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b/>
          <w:sz w:val="24"/>
          <w:szCs w:val="24"/>
        </w:rPr>
        <w:t>20. 政府采购政策</w:t>
      </w:r>
    </w:p>
    <w:p w14:paraId="273E377D">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20.1 </w:t>
      </w:r>
      <w:r>
        <w:rPr>
          <w:rFonts w:hint="eastAsia" w:ascii="宋体" w:hAnsi="宋体" w:eastAsia="宋体" w:cs="宋体"/>
          <w:sz w:val="24"/>
          <w:szCs w:val="24"/>
          <w:lang w:val="en-GB"/>
        </w:rPr>
        <w:t>本合同应当按照规定执行政府采购政策。</w:t>
      </w:r>
    </w:p>
    <w:p w14:paraId="4F209FA1">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20.2 本合同依法执行政府采购政策的方式和内容，属于合同履约验收的范围。甲乙双方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sz w:val="24"/>
          <w:szCs w:val="24"/>
        </w:rPr>
        <w:t>，有过错的一方应当承担赔偿责任，双方都有过错的，各自承担相应的责任。</w:t>
      </w:r>
    </w:p>
    <w:p w14:paraId="0A53CCDE">
      <w:pPr>
        <w:pStyle w:val="10"/>
        <w:spacing w:after="0"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rPr>
        <w:t>0</w:t>
      </w:r>
      <w:r>
        <w:rPr>
          <w:rFonts w:hint="eastAsia" w:ascii="宋体" w:hAnsi="宋体" w:eastAsia="宋体" w:cs="宋体"/>
          <w:sz w:val="24"/>
        </w:rPr>
        <w:t>.</w:t>
      </w:r>
      <w:r>
        <w:rPr>
          <w:rFonts w:hint="eastAsia" w:ascii="宋体" w:hAnsi="宋体" w:eastAsia="宋体" w:cs="宋体"/>
          <w:sz w:val="24"/>
          <w:lang w:val="en-US"/>
        </w:rPr>
        <w:t>3</w:t>
      </w:r>
      <w:r>
        <w:rPr>
          <w:rFonts w:hint="eastAsia" w:ascii="宋体" w:hAnsi="宋体" w:eastAsia="宋体" w:cs="宋体"/>
          <w:sz w:val="24"/>
        </w:rPr>
        <w:t xml:space="preserve">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BAFE230">
      <w:pPr>
        <w:autoSpaceDE w:val="0"/>
        <w:autoSpaceDN w:val="0"/>
        <w:adjustRightInd w:val="0"/>
        <w:snapToGrid w:val="0"/>
        <w:spacing w:line="360" w:lineRule="auto"/>
        <w:jc w:val="left"/>
        <w:rPr>
          <w:rFonts w:hint="eastAsia" w:ascii="宋体" w:hAnsi="宋体" w:eastAsia="宋体" w:cs="宋体"/>
          <w:b/>
          <w:sz w:val="24"/>
          <w:szCs w:val="24"/>
        </w:rPr>
      </w:pPr>
      <w:r>
        <w:rPr>
          <w:rFonts w:hint="eastAsia" w:ascii="宋体" w:hAnsi="宋体" w:eastAsia="宋体" w:cs="宋体"/>
          <w:b/>
          <w:sz w:val="24"/>
          <w:szCs w:val="24"/>
        </w:rPr>
        <w:t>21. 法律适用</w:t>
      </w:r>
    </w:p>
    <w:p w14:paraId="6A27603B">
      <w:pPr>
        <w:pStyle w:val="76"/>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21.1 本合同的订立、生效、解释、履行及与本合同有关的争议解决，均适用法律、行政法规。</w:t>
      </w:r>
    </w:p>
    <w:p w14:paraId="3718E290">
      <w:pPr>
        <w:pStyle w:val="76"/>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21.2 本合同条款与法律、行政法规的强制性规定不一致的，双方当事人应按照法律、行政法规的强制性规定修改本合同的相关条款。</w:t>
      </w:r>
    </w:p>
    <w:p w14:paraId="4E27B802">
      <w:pPr>
        <w:numPr>
          <w:ilvl w:val="255"/>
          <w:numId w:val="0"/>
        </w:numPr>
        <w:autoSpaceDE w:val="0"/>
        <w:autoSpaceDN w:val="0"/>
        <w:adjustRightInd w:val="0"/>
        <w:snapToGrid w:val="0"/>
        <w:spacing w:line="360" w:lineRule="auto"/>
        <w:jc w:val="left"/>
        <w:rPr>
          <w:rFonts w:hint="eastAsia" w:ascii="宋体" w:hAnsi="宋体" w:eastAsia="宋体" w:cs="宋体"/>
          <w:b/>
          <w:sz w:val="24"/>
          <w:szCs w:val="24"/>
        </w:rPr>
      </w:pPr>
      <w:r>
        <w:rPr>
          <w:rFonts w:hint="eastAsia" w:ascii="宋体" w:hAnsi="宋体" w:eastAsia="宋体" w:cs="宋体"/>
          <w:b/>
          <w:sz w:val="24"/>
          <w:szCs w:val="24"/>
        </w:rPr>
        <w:t>22. 通知</w:t>
      </w:r>
    </w:p>
    <w:p w14:paraId="5160CD4A">
      <w:pPr>
        <w:pStyle w:val="76"/>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22.1 本合同任何一方向对方发出的通知、信件、数据电文等，应当发送至本合同第一部分《政府采购合同协议书》所约定的通讯地址、联系人、联系电话或电子邮箱。</w:t>
      </w:r>
    </w:p>
    <w:p w14:paraId="23550D70">
      <w:pPr>
        <w:pStyle w:val="76"/>
        <w:spacing w:line="360" w:lineRule="auto"/>
        <w:ind w:firstLine="0" w:firstLineChars="0"/>
        <w:jc w:val="both"/>
        <w:rPr>
          <w:rFonts w:hint="eastAsia" w:ascii="宋体" w:hAnsi="宋体" w:eastAsia="宋体" w:cs="宋体"/>
          <w:sz w:val="24"/>
          <w:szCs w:val="24"/>
        </w:rPr>
      </w:pPr>
      <w:r>
        <w:rPr>
          <w:rFonts w:hint="eastAsia" w:ascii="宋体" w:hAnsi="宋体" w:eastAsia="宋体" w:cs="宋体"/>
          <w:sz w:val="24"/>
          <w:szCs w:val="24"/>
        </w:rPr>
        <w:t xml:space="preserve">    22.2 一方当事人变更名称、住所、联系人、联系电话或电子邮箱等信息的，应当在变更后3日内及时书面通知对方，对方实际收到变更通知前的送达仍为有效送达。</w:t>
      </w:r>
    </w:p>
    <w:p w14:paraId="1C3E462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22.3本合同一方给另一方的通知均应采用书面形式，传真或快递送到本合同中规定的对方的地址和办理签收手续。</w:t>
      </w:r>
    </w:p>
    <w:p w14:paraId="4BF0F004">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22.4通知以送达之日或通知书中规定的生效之日起生效，两者中以较迟之日为准。</w:t>
      </w:r>
    </w:p>
    <w:p w14:paraId="5BC6231B">
      <w:pPr>
        <w:numPr>
          <w:ilvl w:val="0"/>
          <w:numId w:val="8"/>
        </w:numPr>
        <w:adjustRightInd w:val="0"/>
        <w:snapToGrid w:val="0"/>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t>合同未尽事项</w:t>
      </w:r>
    </w:p>
    <w:p w14:paraId="7E949E1B">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23.1合同未尽事项见</w:t>
      </w:r>
      <w:r>
        <w:rPr>
          <w:rFonts w:hint="eastAsia" w:ascii="宋体" w:hAnsi="宋体" w:eastAsia="宋体" w:cs="宋体"/>
          <w:b/>
          <w:sz w:val="24"/>
          <w:szCs w:val="24"/>
        </w:rPr>
        <w:t>【政府采购合同专用条款】</w:t>
      </w:r>
      <w:r>
        <w:rPr>
          <w:rFonts w:hint="eastAsia" w:ascii="宋体" w:hAnsi="宋体" w:eastAsia="宋体" w:cs="宋体"/>
          <w:bCs/>
          <w:sz w:val="24"/>
          <w:szCs w:val="24"/>
        </w:rPr>
        <w:t>。</w:t>
      </w:r>
    </w:p>
    <w:p w14:paraId="45E3254D">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bCs/>
          <w:sz w:val="24"/>
          <w:szCs w:val="24"/>
        </w:rPr>
        <w:t xml:space="preserve">    23.2 合同附件与合同正文具有同等的法律效力。</w:t>
      </w:r>
      <w:bookmarkStart w:id="55" w:name="_Toc20313"/>
    </w:p>
    <w:p w14:paraId="0EE9C6CF">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br w:type="page"/>
      </w:r>
    </w:p>
    <w:p w14:paraId="2063A337">
      <w:pPr>
        <w:pStyle w:val="3"/>
        <w:adjustRightInd w:val="0"/>
        <w:snapToGrid w:val="0"/>
        <w:spacing w:before="156" w:beforeLines="50" w:line="360" w:lineRule="auto"/>
        <w:jc w:val="center"/>
        <w:rPr>
          <w:rFonts w:hint="eastAsia" w:cs="@仿宋_GB2312" w:asciiTheme="minorEastAsia" w:hAnsiTheme="minorEastAsia" w:eastAsiaTheme="minorEastAsia"/>
          <w:bCs w:val="0"/>
          <w:color w:val="000000" w:themeColor="text1"/>
          <w:sz w:val="24"/>
          <w:szCs w:val="20"/>
          <w14:textFill>
            <w14:solidFill>
              <w14:schemeClr w14:val="tx1"/>
            </w14:solidFill>
          </w14:textFill>
        </w:rPr>
      </w:pPr>
      <w:r>
        <w:rPr>
          <w:rFonts w:hint="eastAsia" w:cs="@仿宋_GB2312" w:asciiTheme="minorEastAsia" w:hAnsiTheme="minorEastAsia" w:eastAsiaTheme="minorEastAsia"/>
          <w:bCs w:val="0"/>
          <w:color w:val="000000" w:themeColor="text1"/>
          <w:sz w:val="24"/>
          <w:szCs w:val="20"/>
          <w14:textFill>
            <w14:solidFill>
              <w14:schemeClr w14:val="tx1"/>
            </w14:solidFill>
          </w14:textFill>
        </w:rPr>
        <w:t>第三节 政府采购合同专用条款</w:t>
      </w:r>
      <w:bookmarkEnd w:id="55"/>
    </w:p>
    <w:tbl>
      <w:tblPr>
        <w:tblStyle w:val="2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2186"/>
        <w:gridCol w:w="4726"/>
      </w:tblGrid>
      <w:tr w14:paraId="56266D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D52724B">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38D85EC0">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第1.2（6）项</w:t>
            </w:r>
          </w:p>
        </w:tc>
        <w:tc>
          <w:tcPr>
            <w:tcW w:w="2186" w:type="dxa"/>
            <w:vAlign w:val="center"/>
          </w:tcPr>
          <w:p w14:paraId="6A139929">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联合体具体要求</w:t>
            </w:r>
          </w:p>
        </w:tc>
        <w:tc>
          <w:tcPr>
            <w:tcW w:w="4726" w:type="dxa"/>
            <w:vAlign w:val="center"/>
          </w:tcPr>
          <w:p w14:paraId="0D4FC69C">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不接受联合体</w:t>
            </w:r>
          </w:p>
        </w:tc>
      </w:tr>
      <w:tr w14:paraId="51C5EC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DBE6E2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62E7A50A">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第1.2（7）项</w:t>
            </w:r>
          </w:p>
        </w:tc>
        <w:tc>
          <w:tcPr>
            <w:tcW w:w="2186" w:type="dxa"/>
            <w:vAlign w:val="center"/>
          </w:tcPr>
          <w:p w14:paraId="4AB2DF02">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其他术语解释</w:t>
            </w:r>
          </w:p>
        </w:tc>
        <w:tc>
          <w:tcPr>
            <w:tcW w:w="4726" w:type="dxa"/>
            <w:vAlign w:val="center"/>
          </w:tcPr>
          <w:p w14:paraId="7B326E00">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无</w:t>
            </w:r>
          </w:p>
        </w:tc>
      </w:tr>
      <w:tr w14:paraId="1BBD7A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DA0553A">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11A67E23">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第4.4款</w:t>
            </w:r>
          </w:p>
        </w:tc>
        <w:tc>
          <w:tcPr>
            <w:tcW w:w="2186" w:type="dxa"/>
            <w:vAlign w:val="center"/>
          </w:tcPr>
          <w:p w14:paraId="5F535A5A">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履约验收中甲方提出异议或作出说明的期限</w:t>
            </w:r>
          </w:p>
        </w:tc>
        <w:tc>
          <w:tcPr>
            <w:tcW w:w="4726" w:type="dxa"/>
            <w:vAlign w:val="center"/>
          </w:tcPr>
          <w:p w14:paraId="37E08E58">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5个工作日内</w:t>
            </w:r>
          </w:p>
        </w:tc>
      </w:tr>
      <w:tr w14:paraId="0A0C1B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E7F40B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711EE79F">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第4.6款</w:t>
            </w:r>
          </w:p>
        </w:tc>
        <w:tc>
          <w:tcPr>
            <w:tcW w:w="2186" w:type="dxa"/>
            <w:vAlign w:val="center"/>
          </w:tcPr>
          <w:p w14:paraId="7242DE6E">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约定甲方承担的其他义务和责任</w:t>
            </w:r>
          </w:p>
        </w:tc>
        <w:tc>
          <w:tcPr>
            <w:tcW w:w="4726" w:type="dxa"/>
            <w:vAlign w:val="center"/>
          </w:tcPr>
          <w:p w14:paraId="3777570A">
            <w:pPr>
              <w:pStyle w:val="23"/>
              <w:keepNext w:val="0"/>
              <w:keepLines w:val="0"/>
              <w:pageBreakBefore w:val="0"/>
              <w:widowControl w:val="0"/>
              <w:kinsoku/>
              <w:wordWrap/>
              <w:overflowPunct w:val="0"/>
              <w:topLinePunct w:val="0"/>
              <w:bidi w:val="0"/>
              <w:adjustRightInd w:val="0"/>
              <w:spacing w:before="0" w:beforeAutospacing="0" w:after="0" w:afterAutospacing="0" w:line="360" w:lineRule="auto"/>
              <w:jc w:val="both"/>
              <w:textAlignment w:val="baseline"/>
              <w:rPr>
                <w:rFonts w:hint="eastAsia" w:ascii="宋体" w:hAnsi="宋体" w:eastAsia="宋体" w:cs="宋体"/>
                <w:sz w:val="24"/>
                <w:szCs w:val="24"/>
              </w:rPr>
            </w:pPr>
            <w:r>
              <w:rPr>
                <w:rFonts w:hint="eastAsia" w:ascii="宋体" w:hAnsi="宋体" w:eastAsia="宋体" w:cs="宋体"/>
                <w:sz w:val="24"/>
                <w:szCs w:val="24"/>
              </w:rPr>
              <w:t>(1)在合同生效后，非因产品质量问题，买方要求退货的，应向卖方偿付合同总价款的5%，作为违约金，违约金不足以补偿损失的，卖方有权要求甲方补足。</w:t>
            </w:r>
          </w:p>
          <w:p w14:paraId="7766FC7E">
            <w:pPr>
              <w:pStyle w:val="23"/>
              <w:keepNext w:val="0"/>
              <w:keepLines w:val="0"/>
              <w:pageBreakBefore w:val="0"/>
              <w:widowControl w:val="0"/>
              <w:kinsoku/>
              <w:wordWrap/>
              <w:overflowPunct w:val="0"/>
              <w:topLinePunct w:val="0"/>
              <w:bidi w:val="0"/>
              <w:adjustRightInd w:val="0"/>
              <w:spacing w:before="0" w:beforeAutospacing="0" w:after="0" w:afterAutospacing="0" w:line="360" w:lineRule="auto"/>
              <w:ind w:right="-334" w:rightChars="-159"/>
              <w:jc w:val="both"/>
              <w:textAlignment w:val="baseline"/>
              <w:rPr>
                <w:rFonts w:hint="eastAsia" w:ascii="宋体" w:hAnsi="宋体" w:eastAsia="宋体" w:cs="宋体"/>
                <w:sz w:val="24"/>
                <w:szCs w:val="24"/>
              </w:rPr>
            </w:pPr>
            <w:r>
              <w:rPr>
                <w:rFonts w:hint="eastAsia" w:ascii="宋体" w:hAnsi="宋体" w:eastAsia="宋体" w:cs="宋体"/>
                <w:sz w:val="24"/>
                <w:szCs w:val="24"/>
              </w:rPr>
              <w:t>(2)买方逾期付款的应按照逾期付款金额的每天万分之四支付逾期付款违约金。</w:t>
            </w:r>
          </w:p>
          <w:p w14:paraId="0CFE4A4D">
            <w:pPr>
              <w:pStyle w:val="23"/>
              <w:keepNext w:val="0"/>
              <w:keepLines w:val="0"/>
              <w:pageBreakBefore w:val="0"/>
              <w:widowControl w:val="0"/>
              <w:kinsoku/>
              <w:wordWrap/>
              <w:overflowPunct w:val="0"/>
              <w:topLinePunct w:val="0"/>
              <w:bidi w:val="0"/>
              <w:adjustRightInd w:val="0"/>
              <w:spacing w:before="0" w:beforeAutospacing="0" w:after="0" w:afterAutospacing="0" w:line="360" w:lineRule="auto"/>
              <w:jc w:val="both"/>
              <w:textAlignment w:val="baseline"/>
              <w:rPr>
                <w:rFonts w:hint="eastAsia" w:ascii="宋体" w:hAnsi="宋体" w:eastAsia="宋体" w:cs="宋体"/>
                <w:kern w:val="2"/>
                <w:sz w:val="24"/>
                <w:szCs w:val="24"/>
              </w:rPr>
            </w:pPr>
            <w:r>
              <w:rPr>
                <w:rFonts w:hint="eastAsia" w:ascii="宋体" w:hAnsi="宋体" w:eastAsia="宋体" w:cs="宋体"/>
                <w:sz w:val="24"/>
                <w:szCs w:val="24"/>
              </w:rPr>
              <w:t>(3)买方违反合同规定，无正当理由拒绝接收卖方交付的符合招标文件要求的合格标的物，应当承担卖方由此造成的损失。</w:t>
            </w:r>
          </w:p>
        </w:tc>
      </w:tr>
      <w:tr w14:paraId="49DC32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A0955A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573716D8">
            <w:pPr>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第5.4款</w:t>
            </w:r>
          </w:p>
        </w:tc>
        <w:tc>
          <w:tcPr>
            <w:tcW w:w="2186" w:type="dxa"/>
            <w:vAlign w:val="center"/>
          </w:tcPr>
          <w:p w14:paraId="3F34E6FC">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约定乙方承担的其他义务和责任</w:t>
            </w:r>
          </w:p>
        </w:tc>
        <w:tc>
          <w:tcPr>
            <w:tcW w:w="4726" w:type="dxa"/>
            <w:vAlign w:val="center"/>
          </w:tcPr>
          <w:p w14:paraId="7545FFD3">
            <w:pPr>
              <w:pStyle w:val="23"/>
              <w:keepNext w:val="0"/>
              <w:keepLines w:val="0"/>
              <w:pageBreakBefore w:val="0"/>
              <w:widowControl w:val="0"/>
              <w:kinsoku/>
              <w:wordWrap/>
              <w:overflowPunct w:val="0"/>
              <w:topLinePunct w:val="0"/>
              <w:bidi w:val="0"/>
              <w:adjustRightInd w:val="0"/>
              <w:spacing w:before="0" w:beforeAutospacing="0" w:after="0" w:afterAutospacing="0" w:line="360" w:lineRule="auto"/>
              <w:jc w:val="both"/>
              <w:textAlignment w:val="baseline"/>
              <w:rPr>
                <w:rFonts w:hint="eastAsia" w:ascii="宋体" w:hAnsi="宋体" w:eastAsia="宋体" w:cs="宋体"/>
                <w:sz w:val="24"/>
                <w:szCs w:val="24"/>
              </w:rPr>
            </w:pPr>
            <w:r>
              <w:rPr>
                <w:rFonts w:hint="eastAsia" w:ascii="宋体" w:hAnsi="宋体" w:eastAsia="宋体" w:cs="宋体"/>
                <w:sz w:val="24"/>
                <w:szCs w:val="24"/>
              </w:rPr>
              <w:t>(1)卖方不能交货（逾期超过五天视为不能交货），或交货不合格从而影响买方按期正常使用的，应向买方偿付合同总价款5%的违约金，违约金不足以补偿损失的，买方有权要求卖方补足。</w:t>
            </w:r>
          </w:p>
          <w:p w14:paraId="27FC9956">
            <w:pPr>
              <w:pStyle w:val="23"/>
              <w:keepNext w:val="0"/>
              <w:keepLines w:val="0"/>
              <w:pageBreakBefore w:val="0"/>
              <w:widowControl w:val="0"/>
              <w:kinsoku/>
              <w:wordWrap/>
              <w:overflowPunct w:val="0"/>
              <w:topLinePunct w:val="0"/>
              <w:bidi w:val="0"/>
              <w:adjustRightInd w:val="0"/>
              <w:spacing w:before="0" w:beforeAutospacing="0" w:after="0" w:afterAutospacing="0" w:line="360" w:lineRule="auto"/>
              <w:jc w:val="both"/>
              <w:textAlignment w:val="baseline"/>
              <w:rPr>
                <w:rFonts w:hint="eastAsia" w:ascii="宋体" w:hAnsi="宋体" w:eastAsia="宋体" w:cs="宋体"/>
                <w:sz w:val="24"/>
                <w:szCs w:val="24"/>
              </w:rPr>
            </w:pPr>
            <w:r>
              <w:rPr>
                <w:rFonts w:hint="eastAsia" w:ascii="宋体" w:hAnsi="宋体" w:eastAsia="宋体" w:cs="宋体"/>
                <w:sz w:val="24"/>
                <w:szCs w:val="24"/>
              </w:rPr>
              <w:t>(2)卖方逾期交货的，应在发货前与买方和政府采购管理部门协商，买方仍需求的，卖方应立即发货并应按照逾期交货部分货款的每天万分之四支付逾期交货违约金，同时承担买方因此遭致的损失费用。</w:t>
            </w:r>
          </w:p>
          <w:p w14:paraId="3CB3F812">
            <w:pPr>
              <w:keepNext w:val="0"/>
              <w:keepLines w:val="0"/>
              <w:pageBreakBefore w:val="0"/>
              <w:widowControl w:val="0"/>
              <w:kinsoku/>
              <w:wordWrap/>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3）卖方在收到买方提出的产品维保或者伴随服务要求之日起24小时内未提供相应的维保或者伴随服务，卖方应按照合同总价款的每天万分之四支付违约金。卖方如不按时提供相应的维保或者伴随服务，买方有权自行委托第三方进行维保或者提供相应服务，产生的费用应由卖方承担，如卖方不支付该费用，买方有权向卖方追偿。</w:t>
            </w:r>
          </w:p>
        </w:tc>
      </w:tr>
      <w:tr w14:paraId="7BABFC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540771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45975B6E">
            <w:pPr>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第6.1款</w:t>
            </w:r>
          </w:p>
        </w:tc>
        <w:tc>
          <w:tcPr>
            <w:tcW w:w="2186" w:type="dxa"/>
            <w:vAlign w:val="center"/>
          </w:tcPr>
          <w:p w14:paraId="352BAA15">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履行合同义务的顺序</w:t>
            </w:r>
          </w:p>
        </w:tc>
        <w:tc>
          <w:tcPr>
            <w:tcW w:w="4726" w:type="dxa"/>
            <w:vAlign w:val="center"/>
          </w:tcPr>
          <w:p w14:paraId="5EFE2D29">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同时履行</w:t>
            </w:r>
          </w:p>
        </w:tc>
      </w:tr>
      <w:tr w14:paraId="596FAA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60FFE350">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4A2AE7D3">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第7.1款</w:t>
            </w:r>
          </w:p>
        </w:tc>
        <w:tc>
          <w:tcPr>
            <w:tcW w:w="2186" w:type="dxa"/>
            <w:vAlign w:val="center"/>
          </w:tcPr>
          <w:p w14:paraId="79EF62C9">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包装特殊要求</w:t>
            </w:r>
          </w:p>
        </w:tc>
        <w:tc>
          <w:tcPr>
            <w:tcW w:w="4726" w:type="dxa"/>
            <w:vAlign w:val="center"/>
          </w:tcPr>
          <w:p w14:paraId="16ECA9DC">
            <w:pPr>
              <w:keepNext w:val="0"/>
              <w:keepLines w:val="0"/>
              <w:pageBreakBefore w:val="0"/>
              <w:widowControl w:val="0"/>
              <w:kinsoku/>
              <w:wordWrap/>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无</w:t>
            </w:r>
          </w:p>
        </w:tc>
      </w:tr>
      <w:tr w14:paraId="0FD748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7B915E4A">
            <w:pPr>
              <w:adjustRightInd w:val="0"/>
              <w:snapToGrid w:val="0"/>
              <w:spacing w:line="360" w:lineRule="auto"/>
              <w:jc w:val="center"/>
              <w:rPr>
                <w:rFonts w:hint="eastAsia" w:ascii="宋体" w:hAnsi="宋体" w:eastAsia="宋体" w:cs="宋体"/>
                <w:sz w:val="24"/>
                <w:szCs w:val="24"/>
              </w:rPr>
            </w:pPr>
          </w:p>
        </w:tc>
        <w:tc>
          <w:tcPr>
            <w:tcW w:w="2186" w:type="dxa"/>
            <w:vAlign w:val="center"/>
          </w:tcPr>
          <w:p w14:paraId="4B263140">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指定现场</w:t>
            </w:r>
          </w:p>
        </w:tc>
        <w:tc>
          <w:tcPr>
            <w:tcW w:w="4726" w:type="dxa"/>
            <w:vAlign w:val="center"/>
          </w:tcPr>
          <w:p w14:paraId="10231D56">
            <w:pPr>
              <w:keepNext w:val="0"/>
              <w:keepLines w:val="0"/>
              <w:pageBreakBefore w:val="0"/>
              <w:widowControl w:val="0"/>
              <w:kinsoku/>
              <w:wordWrap/>
              <w:topLinePunct w:val="0"/>
              <w:bidi w:val="0"/>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eastAsia="zh-CN"/>
              </w:rPr>
              <w:t>安徽省淝河监狱</w:t>
            </w:r>
            <w:r>
              <w:rPr>
                <w:rFonts w:hint="eastAsia" w:ascii="宋体" w:hAnsi="宋体" w:eastAsia="宋体" w:cs="宋体"/>
                <w:sz w:val="24"/>
                <w:szCs w:val="24"/>
                <w:highlight w:val="none"/>
                <w:lang w:val="en-US" w:eastAsia="zh-CN"/>
              </w:rPr>
              <w:t>招标人指定地点</w:t>
            </w:r>
          </w:p>
        </w:tc>
      </w:tr>
      <w:tr w14:paraId="0082C1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62F38F2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65238066">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第7.2款</w:t>
            </w:r>
          </w:p>
        </w:tc>
        <w:tc>
          <w:tcPr>
            <w:tcW w:w="2186" w:type="dxa"/>
            <w:vAlign w:val="center"/>
          </w:tcPr>
          <w:p w14:paraId="4B66D031">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运输特殊要求</w:t>
            </w:r>
          </w:p>
        </w:tc>
        <w:tc>
          <w:tcPr>
            <w:tcW w:w="4726" w:type="dxa"/>
            <w:vAlign w:val="center"/>
          </w:tcPr>
          <w:p w14:paraId="127497C7">
            <w:pPr>
              <w:keepNext w:val="0"/>
              <w:keepLines w:val="0"/>
              <w:pageBreakBefore w:val="0"/>
              <w:widowControl w:val="0"/>
              <w:kinsoku/>
              <w:wordWrap/>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无</w:t>
            </w:r>
          </w:p>
        </w:tc>
      </w:tr>
      <w:tr w14:paraId="7FCA67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115A7B3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64F25B3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第7.3款</w:t>
            </w:r>
          </w:p>
        </w:tc>
        <w:tc>
          <w:tcPr>
            <w:tcW w:w="2186" w:type="dxa"/>
            <w:vAlign w:val="center"/>
          </w:tcPr>
          <w:p w14:paraId="7890DC7D">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保险要求</w:t>
            </w:r>
          </w:p>
        </w:tc>
        <w:tc>
          <w:tcPr>
            <w:tcW w:w="4726" w:type="dxa"/>
            <w:vAlign w:val="center"/>
          </w:tcPr>
          <w:p w14:paraId="0A6BE0AF">
            <w:pPr>
              <w:keepNext w:val="0"/>
              <w:keepLines w:val="0"/>
              <w:pageBreakBefore w:val="0"/>
              <w:widowControl w:val="0"/>
              <w:kinsoku/>
              <w:wordWrap/>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无</w:t>
            </w:r>
          </w:p>
        </w:tc>
      </w:tr>
      <w:tr w14:paraId="061461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FF579C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503A521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第8.2（1）项</w:t>
            </w:r>
          </w:p>
        </w:tc>
        <w:tc>
          <w:tcPr>
            <w:tcW w:w="2186" w:type="dxa"/>
            <w:vAlign w:val="center"/>
          </w:tcPr>
          <w:p w14:paraId="4E87B36E">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质量保证期</w:t>
            </w:r>
          </w:p>
        </w:tc>
        <w:tc>
          <w:tcPr>
            <w:tcW w:w="4726" w:type="dxa"/>
            <w:vAlign w:val="center"/>
          </w:tcPr>
          <w:p w14:paraId="0B9CE67E">
            <w:pPr>
              <w:keepNext w:val="0"/>
              <w:keepLines w:val="0"/>
              <w:pageBreakBefore w:val="0"/>
              <w:widowControl w:val="0"/>
              <w:kinsoku/>
              <w:wordWrap/>
              <w:topLinePunct w:val="0"/>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highlight w:val="none"/>
              </w:rPr>
              <w:t>至少</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eastAsia="zh-CN"/>
              </w:rPr>
              <w:t>，</w:t>
            </w:r>
            <w:r>
              <w:rPr>
                <w:rFonts w:hint="eastAsia" w:ascii="宋体" w:hAnsi="宋体" w:eastAsia="宋体" w:cs="宋体"/>
                <w:color w:val="000000"/>
                <w:sz w:val="24"/>
                <w:szCs w:val="24"/>
                <w:highlight w:val="none"/>
              </w:rPr>
              <w:t>具体根据中标</w:t>
            </w:r>
            <w:r>
              <w:rPr>
                <w:rFonts w:hint="eastAsia" w:ascii="宋体" w:hAnsi="宋体" w:eastAsia="宋体" w:cs="宋体"/>
                <w:color w:val="000000"/>
                <w:sz w:val="24"/>
                <w:szCs w:val="24"/>
                <w:highlight w:val="none"/>
                <w:lang w:val="en-US" w:eastAsia="zh-CN"/>
              </w:rPr>
              <w:t>人</w:t>
            </w:r>
            <w:r>
              <w:rPr>
                <w:rFonts w:hint="eastAsia" w:ascii="宋体" w:hAnsi="宋体" w:eastAsia="宋体" w:cs="宋体"/>
                <w:color w:val="000000"/>
                <w:sz w:val="24"/>
                <w:szCs w:val="24"/>
                <w:highlight w:val="none"/>
              </w:rPr>
              <w:t>承诺的质保时间为准。</w:t>
            </w:r>
          </w:p>
        </w:tc>
      </w:tr>
      <w:tr w14:paraId="7A4003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5FBD9F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7D35B15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第8.2（3）项</w:t>
            </w:r>
          </w:p>
        </w:tc>
        <w:tc>
          <w:tcPr>
            <w:tcW w:w="2186" w:type="dxa"/>
            <w:vAlign w:val="center"/>
          </w:tcPr>
          <w:p w14:paraId="788CBF1C">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货物质量缺陷</w:t>
            </w:r>
          </w:p>
          <w:p w14:paraId="42D0540F">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响应时间</w:t>
            </w:r>
          </w:p>
        </w:tc>
        <w:tc>
          <w:tcPr>
            <w:tcW w:w="4726" w:type="dxa"/>
            <w:vAlign w:val="center"/>
          </w:tcPr>
          <w:p w14:paraId="6A8C709D">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2小时内</w:t>
            </w:r>
          </w:p>
        </w:tc>
      </w:tr>
      <w:tr w14:paraId="4B8700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B0059C3">
            <w:pPr>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35516579">
            <w:pPr>
              <w:pStyle w:val="76"/>
              <w:spacing w:line="36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第11.1款</w:t>
            </w:r>
          </w:p>
        </w:tc>
        <w:tc>
          <w:tcPr>
            <w:tcW w:w="2186" w:type="dxa"/>
            <w:vAlign w:val="center"/>
          </w:tcPr>
          <w:p w14:paraId="4A83C9C1">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其他应当保密的信息</w:t>
            </w:r>
          </w:p>
        </w:tc>
        <w:tc>
          <w:tcPr>
            <w:tcW w:w="4726" w:type="dxa"/>
            <w:vAlign w:val="center"/>
          </w:tcPr>
          <w:p w14:paraId="568F4A13">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无</w:t>
            </w:r>
          </w:p>
        </w:tc>
      </w:tr>
      <w:tr w14:paraId="00FB45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AEA4120">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6AA1714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第12.2款</w:t>
            </w:r>
          </w:p>
        </w:tc>
        <w:tc>
          <w:tcPr>
            <w:tcW w:w="2186" w:type="dxa"/>
            <w:vAlign w:val="center"/>
          </w:tcPr>
          <w:p w14:paraId="37CA4BC1">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合同价款支付时间</w:t>
            </w:r>
          </w:p>
        </w:tc>
        <w:tc>
          <w:tcPr>
            <w:tcW w:w="4726" w:type="dxa"/>
            <w:vAlign w:val="center"/>
          </w:tcPr>
          <w:p w14:paraId="34665B02">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5个工作日内</w:t>
            </w:r>
          </w:p>
        </w:tc>
      </w:tr>
      <w:tr w14:paraId="08A34F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6D6845D4">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3C0336C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第13.2款</w:t>
            </w:r>
          </w:p>
        </w:tc>
        <w:tc>
          <w:tcPr>
            <w:tcW w:w="2186" w:type="dxa"/>
            <w:vAlign w:val="center"/>
          </w:tcPr>
          <w:p w14:paraId="505186FA">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履约保证金不予退还的情形</w:t>
            </w:r>
          </w:p>
        </w:tc>
        <w:tc>
          <w:tcPr>
            <w:tcW w:w="4726" w:type="dxa"/>
            <w:vAlign w:val="center"/>
          </w:tcPr>
          <w:p w14:paraId="06BAFDC8">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无</w:t>
            </w:r>
          </w:p>
        </w:tc>
      </w:tr>
      <w:tr w14:paraId="6AB3CE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866B1D6">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586556C4">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第13.3款</w:t>
            </w:r>
          </w:p>
        </w:tc>
        <w:tc>
          <w:tcPr>
            <w:tcW w:w="2186" w:type="dxa"/>
            <w:vAlign w:val="center"/>
          </w:tcPr>
          <w:p w14:paraId="302FCBD8">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履约保证金退还时间及逾期退还的违约金</w:t>
            </w:r>
          </w:p>
        </w:tc>
        <w:tc>
          <w:tcPr>
            <w:tcW w:w="4726" w:type="dxa"/>
            <w:vAlign w:val="center"/>
          </w:tcPr>
          <w:p w14:paraId="793E1E32">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无</w:t>
            </w:r>
          </w:p>
        </w:tc>
      </w:tr>
      <w:tr w14:paraId="6FC7F6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C710764">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195116A6">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第14.1（3）项</w:t>
            </w:r>
          </w:p>
        </w:tc>
        <w:tc>
          <w:tcPr>
            <w:tcW w:w="2186" w:type="dxa"/>
            <w:vAlign w:val="center"/>
          </w:tcPr>
          <w:p w14:paraId="7FEFB2B9">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运行监督、维修期限</w:t>
            </w:r>
          </w:p>
        </w:tc>
        <w:tc>
          <w:tcPr>
            <w:tcW w:w="4726" w:type="dxa"/>
            <w:vAlign w:val="center"/>
          </w:tcPr>
          <w:p w14:paraId="17CE343D">
            <w:pPr>
              <w:keepNext w:val="0"/>
              <w:keepLines w:val="0"/>
              <w:pageBreakBefore w:val="0"/>
              <w:widowControl w:val="0"/>
              <w:kinsoku/>
              <w:wordWrap/>
              <w:topLinePunct w:val="0"/>
              <w:bidi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.中标人须提供至</w:t>
            </w:r>
            <w:r>
              <w:rPr>
                <w:rFonts w:hint="eastAsia" w:ascii="宋体" w:hAnsi="宋体" w:eastAsia="宋体" w:cs="宋体"/>
                <w:sz w:val="24"/>
                <w:szCs w:val="24"/>
                <w:highlight w:val="none"/>
              </w:rPr>
              <w:t>少</w:t>
            </w:r>
            <w:r>
              <w:rPr>
                <w:rFonts w:hint="eastAsia" w:ascii="宋体" w:hAnsi="宋体" w:eastAsia="宋体" w:cs="宋体"/>
                <w:sz w:val="24"/>
                <w:szCs w:val="24"/>
                <w:highlight w:val="none"/>
                <w:u w:val="single"/>
                <w:lang w:val="en-US" w:eastAsia="zh-CN"/>
              </w:rPr>
              <w:t>3</w:t>
            </w:r>
            <w:r>
              <w:rPr>
                <w:rFonts w:hint="eastAsia" w:ascii="宋体" w:hAnsi="宋体" w:eastAsia="宋体" w:cs="宋体"/>
                <w:sz w:val="24"/>
                <w:szCs w:val="24"/>
                <w:highlight w:val="none"/>
              </w:rPr>
              <w:t>年的运行</w:t>
            </w:r>
            <w:r>
              <w:rPr>
                <w:rFonts w:hint="eastAsia" w:ascii="宋体" w:hAnsi="宋体" w:eastAsia="宋体" w:cs="宋体"/>
                <w:sz w:val="24"/>
                <w:szCs w:val="24"/>
              </w:rPr>
              <w:t>监督</w:t>
            </w:r>
            <w:r>
              <w:rPr>
                <w:rFonts w:hint="eastAsia" w:ascii="宋体" w:hAnsi="宋体" w:eastAsia="宋体" w:cs="宋体"/>
                <w:color w:val="000000"/>
                <w:sz w:val="24"/>
                <w:szCs w:val="24"/>
              </w:rPr>
              <w:t>。具体根据中标</w:t>
            </w:r>
            <w:r>
              <w:rPr>
                <w:rFonts w:hint="eastAsia" w:ascii="宋体" w:hAnsi="宋体" w:eastAsia="宋体" w:cs="宋体"/>
                <w:color w:val="000000"/>
                <w:sz w:val="24"/>
                <w:szCs w:val="24"/>
                <w:lang w:val="en-US" w:eastAsia="zh-CN"/>
              </w:rPr>
              <w:t>人</w:t>
            </w:r>
            <w:r>
              <w:rPr>
                <w:rFonts w:hint="eastAsia" w:ascii="宋体" w:hAnsi="宋体" w:eastAsia="宋体" w:cs="宋体"/>
                <w:color w:val="000000"/>
                <w:sz w:val="24"/>
                <w:szCs w:val="24"/>
              </w:rPr>
              <w:t>承诺的质保时间为准。</w:t>
            </w:r>
          </w:p>
          <w:p w14:paraId="63373773">
            <w:pPr>
              <w:keepNext w:val="0"/>
              <w:keepLines w:val="0"/>
              <w:pageBreakBefore w:val="0"/>
              <w:widowControl w:val="0"/>
              <w:kinsoku/>
              <w:wordWrap/>
              <w:topLinePunct w:val="0"/>
              <w:bidi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2.中标人须设有维修服务电话，负责解答用户在货物使用中遇到的问题，及时提出解决问题的建议和操作方法。</w:t>
            </w:r>
          </w:p>
          <w:p w14:paraId="48A59EC0">
            <w:pPr>
              <w:keepNext w:val="0"/>
              <w:keepLines w:val="0"/>
              <w:pageBreakBefore w:val="0"/>
              <w:widowControl w:val="0"/>
              <w:kinsoku/>
              <w:wordWrap/>
              <w:topLinePunct w:val="0"/>
              <w:bidi w:val="0"/>
              <w:spacing w:line="360" w:lineRule="auto"/>
              <w:rPr>
                <w:rFonts w:hint="eastAsia" w:ascii="宋体" w:hAnsi="宋体" w:eastAsia="宋体" w:cs="宋体"/>
                <w:sz w:val="24"/>
                <w:szCs w:val="24"/>
              </w:rPr>
            </w:pPr>
            <w:r>
              <w:rPr>
                <w:rFonts w:hint="eastAsia" w:ascii="宋体" w:hAnsi="宋体" w:eastAsia="宋体" w:cs="宋体"/>
                <w:color w:val="000000"/>
                <w:sz w:val="24"/>
                <w:szCs w:val="24"/>
              </w:rPr>
              <w:t>3.售后服务响应时间：如</w:t>
            </w:r>
            <w:r>
              <w:rPr>
                <w:rFonts w:hint="eastAsia" w:ascii="宋体" w:hAnsi="宋体" w:eastAsia="宋体" w:cs="宋体"/>
                <w:sz w:val="24"/>
                <w:szCs w:val="24"/>
              </w:rPr>
              <w:t>货物出现故障，电话响应无法解决，中标人必须在接报修电话</w:t>
            </w:r>
            <w:r>
              <w:rPr>
                <w:rFonts w:hint="eastAsia" w:ascii="宋体" w:hAnsi="宋体" w:eastAsia="宋体" w:cs="宋体"/>
                <w:sz w:val="24"/>
                <w:szCs w:val="24"/>
                <w:u w:val="single"/>
              </w:rPr>
              <w:t xml:space="preserve"> 3个工作日</w:t>
            </w:r>
            <w:r>
              <w:rPr>
                <w:rFonts w:hint="eastAsia" w:ascii="宋体" w:hAnsi="宋体" w:eastAsia="宋体" w:cs="宋体"/>
                <w:sz w:val="24"/>
                <w:szCs w:val="24"/>
              </w:rPr>
              <w:t>内到现场并解决问题。</w:t>
            </w:r>
          </w:p>
        </w:tc>
      </w:tr>
      <w:tr w14:paraId="6BB8CE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F38EB6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76FD2EBA">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第14.1（5）项</w:t>
            </w:r>
          </w:p>
        </w:tc>
        <w:tc>
          <w:tcPr>
            <w:tcW w:w="2186" w:type="dxa"/>
            <w:vAlign w:val="center"/>
          </w:tcPr>
          <w:p w14:paraId="2513C1C2">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货物回收的约定</w:t>
            </w:r>
          </w:p>
        </w:tc>
        <w:tc>
          <w:tcPr>
            <w:tcW w:w="4726" w:type="dxa"/>
            <w:vAlign w:val="center"/>
          </w:tcPr>
          <w:p w14:paraId="1842F2D6">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无</w:t>
            </w:r>
          </w:p>
        </w:tc>
      </w:tr>
      <w:tr w14:paraId="7035A0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01BE7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6A8103D3">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第14.1（6）项</w:t>
            </w:r>
          </w:p>
        </w:tc>
        <w:tc>
          <w:tcPr>
            <w:tcW w:w="2186" w:type="dxa"/>
            <w:vAlign w:val="center"/>
          </w:tcPr>
          <w:p w14:paraId="72C1CD46">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4726" w:type="dxa"/>
            <w:vAlign w:val="center"/>
          </w:tcPr>
          <w:p w14:paraId="2A757B47">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按招标文件执行</w:t>
            </w:r>
          </w:p>
        </w:tc>
      </w:tr>
      <w:tr w14:paraId="6AD0D9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B813546">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581350EB">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第15.1款</w:t>
            </w:r>
          </w:p>
        </w:tc>
        <w:tc>
          <w:tcPr>
            <w:tcW w:w="2186" w:type="dxa"/>
            <w:vAlign w:val="center"/>
          </w:tcPr>
          <w:p w14:paraId="61C1FAB2">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修理、重作、更换相关具体规定</w:t>
            </w:r>
          </w:p>
        </w:tc>
        <w:tc>
          <w:tcPr>
            <w:tcW w:w="4726" w:type="dxa"/>
            <w:vAlign w:val="center"/>
          </w:tcPr>
          <w:p w14:paraId="194AC3E1">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保修期内两次修理仍不能正常使用的的必须更换新设备。</w:t>
            </w:r>
          </w:p>
        </w:tc>
      </w:tr>
      <w:tr w14:paraId="0F2354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E3E8B63">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5BC9A5E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第15.2（2）项</w:t>
            </w:r>
          </w:p>
        </w:tc>
        <w:tc>
          <w:tcPr>
            <w:tcW w:w="2186" w:type="dxa"/>
            <w:vAlign w:val="center"/>
          </w:tcPr>
          <w:p w14:paraId="529AB4A7">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迟延交货赔偿费</w:t>
            </w:r>
          </w:p>
        </w:tc>
        <w:tc>
          <w:tcPr>
            <w:tcW w:w="4726" w:type="dxa"/>
            <w:vAlign w:val="center"/>
          </w:tcPr>
          <w:p w14:paraId="4C2987F6">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(1)卖方不能交货（逾期超过五天视为不能交货），或交货不合格从而影响买方按期正常使用的，应向买方偿付合同总价款5%的违约金，违约金不足以补偿损失的，买方有权要求卖方补足。</w:t>
            </w:r>
          </w:p>
          <w:p w14:paraId="47216B31">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(2)卖方逾期交货的，应在发货前与买方和政府采购管理部门协商，买方仍需求的，卖方应立即发货并应按照逾期交货部分货款的每天万分之四支付逾期交货违约金，同时承担买方因此遭致的损失费用。</w:t>
            </w:r>
          </w:p>
        </w:tc>
      </w:tr>
      <w:tr w14:paraId="0D8113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31E29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2C27AA7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第15.3款</w:t>
            </w:r>
          </w:p>
        </w:tc>
        <w:tc>
          <w:tcPr>
            <w:tcW w:w="2186" w:type="dxa"/>
            <w:vAlign w:val="center"/>
          </w:tcPr>
          <w:p w14:paraId="68BB0A25">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逾期付款利息</w:t>
            </w:r>
          </w:p>
        </w:tc>
        <w:tc>
          <w:tcPr>
            <w:tcW w:w="4726" w:type="dxa"/>
            <w:vAlign w:val="center"/>
          </w:tcPr>
          <w:p w14:paraId="66A2531E">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无</w:t>
            </w:r>
          </w:p>
        </w:tc>
      </w:tr>
      <w:tr w14:paraId="3F4AA2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5AC93E8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7F0F3C4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第15.4款</w:t>
            </w:r>
          </w:p>
        </w:tc>
        <w:tc>
          <w:tcPr>
            <w:tcW w:w="2186" w:type="dxa"/>
            <w:tcBorders>
              <w:left w:val="single" w:color="auto" w:sz="2" w:space="0"/>
              <w:bottom w:val="single" w:color="auto" w:sz="2" w:space="0"/>
              <w:right w:val="single" w:color="auto" w:sz="2" w:space="0"/>
            </w:tcBorders>
            <w:vAlign w:val="center"/>
          </w:tcPr>
          <w:p w14:paraId="71244193">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其他违约责任</w:t>
            </w:r>
          </w:p>
        </w:tc>
        <w:tc>
          <w:tcPr>
            <w:tcW w:w="4726" w:type="dxa"/>
            <w:tcBorders>
              <w:left w:val="single" w:color="auto" w:sz="2" w:space="0"/>
              <w:bottom w:val="single" w:color="auto" w:sz="2" w:space="0"/>
            </w:tcBorders>
            <w:vAlign w:val="center"/>
          </w:tcPr>
          <w:p w14:paraId="3A328F2A">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合同一方不履行合同义务或者履行合同义务不符合约定的，应当承担继续履行、采取补救措施或者赔偿损失等违约责任。</w:t>
            </w:r>
          </w:p>
        </w:tc>
      </w:tr>
      <w:tr w14:paraId="4224B0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7C8442FF">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40EF677B">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第19.2款</w:t>
            </w:r>
          </w:p>
        </w:tc>
        <w:tc>
          <w:tcPr>
            <w:tcW w:w="2186" w:type="dxa"/>
            <w:tcBorders>
              <w:top w:val="single" w:color="auto" w:sz="2" w:space="0"/>
              <w:left w:val="single" w:color="auto" w:sz="2" w:space="0"/>
              <w:right w:val="single" w:color="auto" w:sz="2" w:space="0"/>
            </w:tcBorders>
            <w:vAlign w:val="center"/>
          </w:tcPr>
          <w:p w14:paraId="5EF84407">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解决争议的方法</w:t>
            </w:r>
          </w:p>
        </w:tc>
        <w:tc>
          <w:tcPr>
            <w:tcW w:w="4726" w:type="dxa"/>
            <w:tcBorders>
              <w:top w:val="single" w:color="auto" w:sz="2" w:space="0"/>
              <w:left w:val="single" w:color="auto" w:sz="2" w:space="0"/>
            </w:tcBorders>
            <w:vAlign w:val="center"/>
          </w:tcPr>
          <w:p w14:paraId="02F60F69">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因本合同及合同有关事项发生的争议，按下列第（1）种方式解决：</w:t>
            </w:r>
          </w:p>
          <w:p w14:paraId="1AD250B5">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lang w:eastAsia="zh-CN"/>
              </w:rPr>
              <w:t>合肥</w:t>
            </w:r>
            <w:r>
              <w:rPr>
                <w:rFonts w:hint="eastAsia" w:ascii="宋体" w:hAnsi="宋体" w:eastAsia="宋体" w:cs="宋体"/>
                <w:sz w:val="24"/>
                <w:szCs w:val="24"/>
              </w:rPr>
              <w:t>市仲裁委员会申请仲裁，仲裁地点为</w:t>
            </w:r>
            <w:r>
              <w:rPr>
                <w:rFonts w:hint="eastAsia" w:ascii="宋体" w:hAnsi="宋体" w:eastAsia="宋体" w:cs="宋体"/>
                <w:sz w:val="24"/>
                <w:szCs w:val="24"/>
                <w:lang w:eastAsia="zh-CN"/>
              </w:rPr>
              <w:t>合肥</w:t>
            </w:r>
            <w:r>
              <w:rPr>
                <w:rFonts w:hint="eastAsia" w:ascii="宋体" w:hAnsi="宋体" w:eastAsia="宋体" w:cs="宋体"/>
                <w:sz w:val="24"/>
                <w:szCs w:val="24"/>
              </w:rPr>
              <w:t>市；</w:t>
            </w:r>
          </w:p>
          <w:p w14:paraId="38C2B435">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（2）向甲方注册地有管辖权的人民法院起诉。</w:t>
            </w:r>
          </w:p>
        </w:tc>
      </w:tr>
      <w:tr w14:paraId="2DA2E7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48B917C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第二节</w:t>
            </w:r>
          </w:p>
          <w:p w14:paraId="173DB1D0">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第23.1款</w:t>
            </w:r>
          </w:p>
        </w:tc>
        <w:tc>
          <w:tcPr>
            <w:tcW w:w="2186" w:type="dxa"/>
            <w:vAlign w:val="center"/>
          </w:tcPr>
          <w:p w14:paraId="58695A76">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bCs/>
                <w:sz w:val="24"/>
                <w:szCs w:val="24"/>
              </w:rPr>
              <w:t>其他专用条款</w:t>
            </w:r>
          </w:p>
        </w:tc>
        <w:tc>
          <w:tcPr>
            <w:tcW w:w="4726" w:type="dxa"/>
            <w:vAlign w:val="center"/>
          </w:tcPr>
          <w:p w14:paraId="7FFF91FA">
            <w:pPr>
              <w:keepNext w:val="0"/>
              <w:keepLines w:val="0"/>
              <w:pageBreakBefore w:val="0"/>
              <w:widowControl w:val="0"/>
              <w:kinsoku/>
              <w:wordWrap/>
              <w:topLinePunct w:val="0"/>
              <w:bidi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bCs/>
                <w:sz w:val="24"/>
                <w:szCs w:val="24"/>
              </w:rPr>
              <w:t>合同未尽事项签订合同时补充</w:t>
            </w:r>
          </w:p>
        </w:tc>
      </w:tr>
    </w:tbl>
    <w:p w14:paraId="1C192995">
      <w:pPr>
        <w:rPr>
          <w:rFonts w:hint="eastAsia" w:ascii="宋体" w:hAnsi="宋体" w:eastAsia="宋体" w:cs="宋体"/>
          <w:sz w:val="24"/>
          <w:szCs w:val="24"/>
        </w:rPr>
      </w:pPr>
    </w:p>
    <w:p w14:paraId="262F152E">
      <w:pPr>
        <w:widowControl/>
        <w:jc w:val="left"/>
        <w:rPr>
          <w:rFonts w:hint="eastAsia"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14:paraId="1D6DAB85">
      <w:pPr>
        <w:spacing w:line="360" w:lineRule="auto"/>
        <w:jc w:val="center"/>
        <w:outlineLvl w:val="0"/>
        <w:rPr>
          <w:rFonts w:asciiTheme="minorEastAsia" w:hAnsiTheme="minorEastAsia" w:eastAsiaTheme="minorEastAsia"/>
          <w:b/>
          <w:color w:val="auto"/>
          <w:sz w:val="28"/>
          <w:highlight w:val="none"/>
        </w:rPr>
      </w:pPr>
      <w:bookmarkStart w:id="56" w:name="_Toc22492"/>
      <w:r>
        <w:rPr>
          <w:rFonts w:hint="eastAsia" w:asciiTheme="minorEastAsia" w:hAnsiTheme="minorEastAsia" w:eastAsiaTheme="minorEastAsia"/>
          <w:b/>
          <w:color w:val="auto"/>
          <w:sz w:val="28"/>
          <w:highlight w:val="none"/>
        </w:rPr>
        <w:t>第六章  投标文件格式</w:t>
      </w:r>
      <w:bookmarkEnd w:id="56"/>
    </w:p>
    <w:p w14:paraId="72F4D446">
      <w:pPr>
        <w:spacing w:line="900" w:lineRule="exact"/>
        <w:jc w:val="center"/>
        <w:rPr>
          <w:rFonts w:asciiTheme="minorEastAsia" w:hAnsiTheme="minorEastAsia" w:eastAsiaTheme="minorEastAsia"/>
          <w:b/>
          <w:color w:val="auto"/>
          <w:sz w:val="72"/>
          <w:highlight w:val="none"/>
        </w:rPr>
      </w:pPr>
    </w:p>
    <w:p w14:paraId="4FD3DE6B">
      <w:pPr>
        <w:spacing w:line="900" w:lineRule="exact"/>
        <w:jc w:val="center"/>
        <w:outlineLvl w:val="1"/>
        <w:rPr>
          <w:rFonts w:asciiTheme="minorEastAsia" w:hAnsiTheme="minorEastAsia" w:eastAsiaTheme="minorEastAsia"/>
          <w:b/>
          <w:color w:val="auto"/>
          <w:sz w:val="72"/>
          <w:highlight w:val="none"/>
        </w:rPr>
      </w:pPr>
      <w:bookmarkStart w:id="57" w:name="_Toc651"/>
      <w:r>
        <w:rPr>
          <w:rFonts w:hint="eastAsia" w:asciiTheme="minorEastAsia" w:hAnsiTheme="minorEastAsia" w:eastAsiaTheme="minorEastAsia"/>
          <w:b/>
          <w:color w:val="auto"/>
          <w:sz w:val="72"/>
          <w:highlight w:val="none"/>
        </w:rPr>
        <w:t>投</w:t>
      </w:r>
      <w:bookmarkEnd w:id="57"/>
    </w:p>
    <w:p w14:paraId="5F53ACBC">
      <w:pPr>
        <w:spacing w:line="900" w:lineRule="exact"/>
        <w:jc w:val="center"/>
        <w:rPr>
          <w:rFonts w:asciiTheme="minorEastAsia" w:hAnsiTheme="minorEastAsia" w:eastAsiaTheme="minorEastAsia"/>
          <w:b/>
          <w:color w:val="auto"/>
          <w:sz w:val="72"/>
          <w:highlight w:val="none"/>
        </w:rPr>
      </w:pPr>
    </w:p>
    <w:p w14:paraId="377B3333">
      <w:pPr>
        <w:spacing w:line="900" w:lineRule="exact"/>
        <w:jc w:val="center"/>
        <w:outlineLvl w:val="1"/>
        <w:rPr>
          <w:rFonts w:asciiTheme="minorEastAsia" w:hAnsiTheme="minorEastAsia" w:eastAsiaTheme="minorEastAsia"/>
          <w:b/>
          <w:color w:val="auto"/>
          <w:sz w:val="72"/>
          <w:highlight w:val="none"/>
        </w:rPr>
      </w:pPr>
      <w:bookmarkStart w:id="58" w:name="_Toc6148"/>
      <w:r>
        <w:rPr>
          <w:rFonts w:hint="eastAsia" w:asciiTheme="minorEastAsia" w:hAnsiTheme="minorEastAsia" w:eastAsiaTheme="minorEastAsia"/>
          <w:b/>
          <w:color w:val="auto"/>
          <w:sz w:val="72"/>
          <w:highlight w:val="none"/>
        </w:rPr>
        <w:t>标</w:t>
      </w:r>
      <w:bookmarkEnd w:id="58"/>
    </w:p>
    <w:p w14:paraId="08EC9AE0">
      <w:pPr>
        <w:spacing w:line="900" w:lineRule="exact"/>
        <w:jc w:val="center"/>
        <w:rPr>
          <w:rFonts w:asciiTheme="minorEastAsia" w:hAnsiTheme="minorEastAsia" w:eastAsiaTheme="minorEastAsia"/>
          <w:b/>
          <w:color w:val="auto"/>
          <w:sz w:val="72"/>
          <w:highlight w:val="none"/>
        </w:rPr>
      </w:pPr>
    </w:p>
    <w:p w14:paraId="2B1A30B7">
      <w:pPr>
        <w:spacing w:line="900" w:lineRule="exact"/>
        <w:jc w:val="center"/>
        <w:outlineLvl w:val="1"/>
        <w:rPr>
          <w:rFonts w:asciiTheme="minorEastAsia" w:hAnsiTheme="minorEastAsia" w:eastAsiaTheme="minorEastAsia"/>
          <w:b/>
          <w:color w:val="auto"/>
          <w:sz w:val="72"/>
          <w:highlight w:val="none"/>
        </w:rPr>
      </w:pPr>
      <w:bookmarkStart w:id="59" w:name="_Toc1338"/>
      <w:r>
        <w:rPr>
          <w:rFonts w:hint="eastAsia" w:asciiTheme="minorEastAsia" w:hAnsiTheme="minorEastAsia" w:eastAsiaTheme="minorEastAsia"/>
          <w:b/>
          <w:color w:val="auto"/>
          <w:sz w:val="72"/>
          <w:highlight w:val="none"/>
        </w:rPr>
        <w:t>文</w:t>
      </w:r>
      <w:bookmarkEnd w:id="59"/>
    </w:p>
    <w:p w14:paraId="7DF4F195">
      <w:pPr>
        <w:spacing w:line="900" w:lineRule="exact"/>
        <w:jc w:val="center"/>
        <w:rPr>
          <w:rFonts w:asciiTheme="minorEastAsia" w:hAnsiTheme="minorEastAsia" w:eastAsiaTheme="minorEastAsia"/>
          <w:b/>
          <w:color w:val="auto"/>
          <w:sz w:val="72"/>
          <w:highlight w:val="none"/>
        </w:rPr>
      </w:pPr>
    </w:p>
    <w:p w14:paraId="4EFB7D30">
      <w:pPr>
        <w:jc w:val="center"/>
        <w:outlineLvl w:val="1"/>
        <w:rPr>
          <w:rFonts w:asciiTheme="minorEastAsia" w:hAnsiTheme="minorEastAsia" w:eastAsiaTheme="minorEastAsia"/>
          <w:b/>
          <w:color w:val="auto"/>
          <w:sz w:val="72"/>
          <w:highlight w:val="none"/>
        </w:rPr>
      </w:pPr>
      <w:bookmarkStart w:id="60" w:name="_Toc10796"/>
      <w:r>
        <w:rPr>
          <w:rFonts w:hint="eastAsia" w:asciiTheme="minorEastAsia" w:hAnsiTheme="minorEastAsia" w:eastAsiaTheme="minorEastAsia"/>
          <w:b/>
          <w:color w:val="auto"/>
          <w:sz w:val="72"/>
          <w:highlight w:val="none"/>
        </w:rPr>
        <w:t>件</w:t>
      </w:r>
      <w:bookmarkEnd w:id="60"/>
    </w:p>
    <w:p w14:paraId="1C1EAB53">
      <w:pPr>
        <w:spacing w:after="156" w:afterLines="50"/>
        <w:jc w:val="center"/>
        <w:rPr>
          <w:rFonts w:asciiTheme="minorEastAsia" w:hAnsiTheme="minorEastAsia" w:eastAsiaTheme="minorEastAsia"/>
          <w:b/>
          <w:color w:val="auto"/>
          <w:sz w:val="72"/>
          <w:highlight w:val="none"/>
        </w:rPr>
      </w:pPr>
    </w:p>
    <w:p w14:paraId="14557C2F">
      <w:pPr>
        <w:spacing w:before="156" w:beforeLines="50" w:after="156" w:afterLines="50"/>
        <w:jc w:val="center"/>
        <w:outlineLvl w:val="9"/>
        <w:rPr>
          <w:rFonts w:asciiTheme="minorEastAsia" w:hAnsiTheme="minorEastAsia" w:eastAsiaTheme="minorEastAsia"/>
          <w:b/>
          <w:color w:val="auto"/>
          <w:sz w:val="32"/>
          <w:szCs w:val="32"/>
          <w:highlight w:val="none"/>
        </w:rPr>
      </w:pPr>
    </w:p>
    <w:p w14:paraId="73811E10">
      <w:pPr>
        <w:spacing w:after="156" w:afterLines="50" w:line="500" w:lineRule="exact"/>
        <w:jc w:val="center"/>
        <w:rPr>
          <w:rFonts w:asciiTheme="minorEastAsia" w:hAnsiTheme="minorEastAsia" w:eastAsiaTheme="minorEastAsia"/>
          <w:b/>
          <w:color w:val="auto"/>
          <w:sz w:val="28"/>
          <w:szCs w:val="28"/>
          <w:highlight w:val="none"/>
        </w:rPr>
      </w:pPr>
    </w:p>
    <w:p w14:paraId="667BD67B">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14:paraId="201F3A78">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14:paraId="4D6150A2">
      <w:pPr>
        <w:tabs>
          <w:tab w:val="left" w:pos="2410"/>
        </w:tabs>
        <w:autoSpaceDE w:val="0"/>
        <w:autoSpaceDN w:val="0"/>
        <w:adjustRightInd w:val="0"/>
        <w:snapToGrid w:val="0"/>
        <w:spacing w:line="360" w:lineRule="auto"/>
        <w:ind w:firstLine="643" w:firstLineChars="2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 xml:space="preserve">投 </w:t>
      </w:r>
      <w:r>
        <w:rPr>
          <w:rFonts w:hint="eastAsia" w:asciiTheme="minorEastAsia" w:hAnsiTheme="minorEastAsia" w:eastAsiaTheme="minorEastAsia"/>
          <w:b/>
          <w:color w:val="auto"/>
          <w:sz w:val="32"/>
          <w:highlight w:val="none"/>
        </w:rPr>
        <w:t>标</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人：</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14:paraId="4B6D7145">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61" w:name="_Toc9994"/>
      <w:bookmarkStart w:id="62" w:name="_Toc803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61"/>
      <w:bookmarkEnd w:id="62"/>
    </w:p>
    <w:p w14:paraId="5D65E7CF">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14:paraId="30613242">
      <w:pPr>
        <w:spacing w:line="360" w:lineRule="auto"/>
        <w:jc w:val="center"/>
        <w:outlineLvl w:val="1"/>
        <w:rPr>
          <w:rFonts w:asciiTheme="minorEastAsia" w:hAnsiTheme="minorEastAsia" w:eastAsiaTheme="minorEastAsia"/>
          <w:b/>
          <w:color w:val="auto"/>
          <w:sz w:val="24"/>
          <w:highlight w:val="none"/>
        </w:rPr>
      </w:pPr>
      <w:bookmarkStart w:id="63" w:name="_Toc5555"/>
      <w:bookmarkStart w:id="64" w:name="_Toc28960"/>
      <w:r>
        <w:rPr>
          <w:rFonts w:hint="eastAsia" w:asciiTheme="minorEastAsia" w:hAnsiTheme="minorEastAsia" w:eastAsiaTheme="minorEastAsia"/>
          <w:b/>
          <w:color w:val="auto"/>
          <w:sz w:val="24"/>
          <w:highlight w:val="none"/>
        </w:rPr>
        <w:t>一、开标一览表</w:t>
      </w:r>
      <w:bookmarkEnd w:id="63"/>
      <w:bookmarkEnd w:id="64"/>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4"/>
        <w:gridCol w:w="6218"/>
      </w:tblGrid>
      <w:tr w14:paraId="5940B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352" w:type="pct"/>
            <w:tcBorders>
              <w:top w:val="single" w:color="auto" w:sz="4" w:space="0"/>
              <w:bottom w:val="single" w:color="auto" w:sz="4" w:space="0"/>
              <w:right w:val="single" w:color="auto" w:sz="4" w:space="0"/>
            </w:tcBorders>
            <w:vAlign w:val="center"/>
          </w:tcPr>
          <w:p w14:paraId="1E3E18DC">
            <w:pPr>
              <w:widowControl/>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项目名称</w:t>
            </w:r>
          </w:p>
        </w:tc>
        <w:tc>
          <w:tcPr>
            <w:tcW w:w="3648" w:type="pct"/>
            <w:tcBorders>
              <w:top w:val="single" w:color="auto" w:sz="4" w:space="0"/>
              <w:bottom w:val="single" w:color="auto" w:sz="4" w:space="0"/>
              <w:right w:val="single" w:color="auto" w:sz="4" w:space="0"/>
            </w:tcBorders>
            <w:vAlign w:val="center"/>
          </w:tcPr>
          <w:p w14:paraId="1275F976">
            <w:pPr>
              <w:spacing w:line="360" w:lineRule="exact"/>
              <w:jc w:val="center"/>
              <w:rPr>
                <w:rFonts w:asciiTheme="minorEastAsia" w:hAnsiTheme="minorEastAsia" w:eastAsiaTheme="minorEastAsia"/>
                <w:bCs/>
                <w:color w:val="auto"/>
                <w:sz w:val="24"/>
                <w:highlight w:val="none"/>
                <w:u w:val="single"/>
              </w:rPr>
            </w:pPr>
          </w:p>
        </w:tc>
      </w:tr>
      <w:tr w14:paraId="56D28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14:paraId="29E8A42E">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投标人全称</w:t>
            </w:r>
          </w:p>
        </w:tc>
        <w:tc>
          <w:tcPr>
            <w:tcW w:w="3648" w:type="pct"/>
            <w:tcBorders>
              <w:top w:val="nil"/>
            </w:tcBorders>
            <w:vAlign w:val="center"/>
          </w:tcPr>
          <w:p w14:paraId="6FD75F48">
            <w:pPr>
              <w:spacing w:line="360" w:lineRule="auto"/>
              <w:rPr>
                <w:rFonts w:asciiTheme="minorEastAsia" w:hAnsiTheme="minorEastAsia" w:eastAsiaTheme="minorEastAsia"/>
                <w:color w:val="auto"/>
                <w:sz w:val="24"/>
                <w:highlight w:val="none"/>
              </w:rPr>
            </w:pPr>
          </w:p>
        </w:tc>
      </w:tr>
      <w:tr w14:paraId="61A90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14:paraId="53AFB0AF">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投标范围</w:t>
            </w:r>
          </w:p>
        </w:tc>
        <w:tc>
          <w:tcPr>
            <w:tcW w:w="3648" w:type="pct"/>
            <w:tcBorders>
              <w:top w:val="nil"/>
            </w:tcBorders>
            <w:vAlign w:val="center"/>
          </w:tcPr>
          <w:p w14:paraId="3AF23BBC">
            <w:pPr>
              <w:keepNext w:val="0"/>
              <w:keepLines w:val="0"/>
              <w:pageBreakBefore w:val="0"/>
              <w:widowControl/>
              <w:kinsoku/>
              <w:wordWrap/>
              <w:overflowPunct/>
              <w:topLinePunct w:val="0"/>
              <w:autoSpaceDE/>
              <w:autoSpaceDN/>
              <w:bidi w:val="0"/>
              <w:adjustRightInd/>
              <w:spacing w:line="360" w:lineRule="auto"/>
              <w:textAlignment w:val="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全部</w:t>
            </w:r>
          </w:p>
        </w:tc>
      </w:tr>
      <w:tr w14:paraId="551F1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14:paraId="4ED8C046">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投标报价</w:t>
            </w:r>
          </w:p>
        </w:tc>
        <w:tc>
          <w:tcPr>
            <w:tcW w:w="3648" w:type="pct"/>
            <w:tcBorders>
              <w:top w:val="nil"/>
            </w:tcBorders>
            <w:vAlign w:val="center"/>
          </w:tcPr>
          <w:p w14:paraId="3E8A451E">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14:paraId="10341FF4">
            <w:pPr>
              <w:keepNext w:val="0"/>
              <w:keepLines w:val="0"/>
              <w:pageBreakBefore w:val="0"/>
              <w:widowControl w:val="0"/>
              <w:kinsoku/>
              <w:wordWrap/>
              <w:overflowPunct/>
              <w:topLinePunct w:val="0"/>
              <w:autoSpaceDE/>
              <w:autoSpaceDN/>
              <w:bidi w:val="0"/>
              <w:adjustRightInd/>
              <w:spacing w:line="360" w:lineRule="auto"/>
              <w:ind w:right="-670"/>
              <w:textAlignment w:val="auto"/>
              <w:rPr>
                <w:rFonts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tc>
      </w:tr>
      <w:tr w14:paraId="17AFD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14:paraId="2C863734">
            <w:pPr>
              <w:spacing w:line="360" w:lineRule="exact"/>
              <w:jc w:val="center"/>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合同履行期限</w:t>
            </w:r>
          </w:p>
        </w:tc>
        <w:tc>
          <w:tcPr>
            <w:tcW w:w="3648" w:type="pct"/>
            <w:tcBorders>
              <w:top w:val="nil"/>
            </w:tcBorders>
            <w:vAlign w:val="center"/>
          </w:tcPr>
          <w:p w14:paraId="29BCBCF8">
            <w:pPr>
              <w:keepNext w:val="0"/>
              <w:keepLines w:val="0"/>
              <w:pageBreakBefore w:val="0"/>
              <w:widowControl w:val="0"/>
              <w:kinsoku/>
              <w:wordWrap/>
              <w:overflowPunct/>
              <w:topLinePunct w:val="0"/>
              <w:autoSpaceDE/>
              <w:autoSpaceDN/>
              <w:bidi w:val="0"/>
              <w:adjustRightInd/>
              <w:spacing w:line="360" w:lineRule="auto"/>
              <w:ind w:right="-670"/>
              <w:textAlignment w:val="auto"/>
              <w:rPr>
                <w:rFonts w:hint="eastAsia" w:ascii="宋体" w:hAnsi="宋体" w:eastAsia="宋体" w:cs="宋体"/>
                <w:bCs/>
                <w:color w:val="auto"/>
                <w:sz w:val="24"/>
                <w:szCs w:val="24"/>
                <w:highlight w:val="yellow"/>
              </w:rPr>
            </w:pPr>
          </w:p>
        </w:tc>
      </w:tr>
      <w:tr w14:paraId="0D513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14:paraId="3EDF7F10">
            <w:pPr>
              <w:spacing w:line="360" w:lineRule="exact"/>
              <w:jc w:val="cente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质量</w:t>
            </w:r>
          </w:p>
        </w:tc>
        <w:tc>
          <w:tcPr>
            <w:tcW w:w="3648" w:type="pct"/>
            <w:tcBorders>
              <w:top w:val="nil"/>
            </w:tcBorders>
            <w:vAlign w:val="center"/>
          </w:tcPr>
          <w:p w14:paraId="7243B663">
            <w:pPr>
              <w:keepNext w:val="0"/>
              <w:keepLines w:val="0"/>
              <w:pageBreakBefore w:val="0"/>
              <w:widowControl w:val="0"/>
              <w:kinsoku/>
              <w:wordWrap/>
              <w:overflowPunct/>
              <w:topLinePunct w:val="0"/>
              <w:autoSpaceDE/>
              <w:autoSpaceDN/>
              <w:bidi w:val="0"/>
              <w:adjustRightInd/>
              <w:spacing w:line="360" w:lineRule="auto"/>
              <w:ind w:right="-670"/>
              <w:textAlignment w:val="auto"/>
              <w:rPr>
                <w:rFonts w:hint="eastAsia" w:ascii="宋体" w:hAnsi="宋体" w:eastAsia="宋体" w:cs="宋体"/>
                <w:bCs/>
                <w:color w:val="auto"/>
                <w:sz w:val="24"/>
                <w:szCs w:val="24"/>
                <w:highlight w:val="yellow"/>
              </w:rPr>
            </w:pPr>
          </w:p>
        </w:tc>
      </w:tr>
      <w:tr w14:paraId="692A8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14:paraId="3B46A5A6">
            <w:pPr>
              <w:spacing w:line="360" w:lineRule="exact"/>
              <w:jc w:val="center"/>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免费质保期</w:t>
            </w:r>
          </w:p>
        </w:tc>
        <w:tc>
          <w:tcPr>
            <w:tcW w:w="3648" w:type="pct"/>
            <w:tcBorders>
              <w:top w:val="nil"/>
            </w:tcBorders>
            <w:vAlign w:val="center"/>
          </w:tcPr>
          <w:p w14:paraId="61824AFD">
            <w:pPr>
              <w:keepNext w:val="0"/>
              <w:keepLines w:val="0"/>
              <w:pageBreakBefore w:val="0"/>
              <w:widowControl w:val="0"/>
              <w:kinsoku/>
              <w:wordWrap/>
              <w:overflowPunct/>
              <w:topLinePunct w:val="0"/>
              <w:autoSpaceDE/>
              <w:autoSpaceDN/>
              <w:bidi w:val="0"/>
              <w:adjustRightInd/>
              <w:spacing w:line="360" w:lineRule="auto"/>
              <w:ind w:right="-670"/>
              <w:textAlignment w:val="auto"/>
              <w:rPr>
                <w:rFonts w:hint="eastAsia" w:ascii="宋体" w:hAnsi="宋体" w:eastAsia="宋体" w:cs="宋体"/>
                <w:bCs/>
                <w:color w:val="auto"/>
                <w:sz w:val="24"/>
                <w:szCs w:val="24"/>
                <w:highlight w:val="yellow"/>
              </w:rPr>
            </w:pPr>
          </w:p>
        </w:tc>
      </w:tr>
      <w:tr w14:paraId="7695B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0" w:hRule="atLeast"/>
          <w:jc w:val="center"/>
        </w:trPr>
        <w:tc>
          <w:tcPr>
            <w:tcW w:w="1352" w:type="pct"/>
            <w:tcBorders>
              <w:top w:val="nil"/>
            </w:tcBorders>
            <w:vAlign w:val="center"/>
          </w:tcPr>
          <w:p w14:paraId="506975A2">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其他</w:t>
            </w:r>
          </w:p>
        </w:tc>
        <w:tc>
          <w:tcPr>
            <w:tcW w:w="3648" w:type="pct"/>
            <w:tcBorders>
              <w:top w:val="nil"/>
            </w:tcBorders>
            <w:vAlign w:val="center"/>
          </w:tcPr>
          <w:p w14:paraId="1EA51894">
            <w:pPr>
              <w:spacing w:line="360" w:lineRule="auto"/>
              <w:jc w:val="left"/>
              <w:rPr>
                <w:rFonts w:asciiTheme="minorEastAsia" w:hAnsiTheme="minorEastAsia" w:eastAsiaTheme="minorEastAsia"/>
                <w:color w:val="auto"/>
                <w:sz w:val="24"/>
                <w:szCs w:val="28"/>
                <w:highlight w:val="none"/>
              </w:rPr>
            </w:pPr>
          </w:p>
        </w:tc>
      </w:tr>
    </w:tbl>
    <w:p w14:paraId="185BD81A">
      <w:pPr>
        <w:spacing w:line="360" w:lineRule="auto"/>
        <w:ind w:firstLine="4320" w:firstLineChars="1800"/>
        <w:jc w:val="center"/>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lang w:val="en-US" w:eastAsia="zh-CN"/>
        </w:rPr>
        <w:t>投标人</w:t>
      </w:r>
      <w:r>
        <w:rPr>
          <w:rFonts w:hint="eastAsia" w:asciiTheme="minorEastAsia" w:hAnsiTheme="minorEastAsia" w:eastAsiaTheme="minorEastAsia"/>
          <w:bCs/>
          <w:color w:val="auto"/>
          <w:sz w:val="24"/>
          <w:highlight w:val="none"/>
        </w:rPr>
        <w:t>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14:paraId="1E619353">
      <w:pPr>
        <w:spacing w:line="360" w:lineRule="auto"/>
        <w:ind w:firstLine="4320" w:firstLineChars="1800"/>
        <w:jc w:val="center"/>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14:paraId="1BF02D93">
      <w:pPr>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     </w:t>
      </w:r>
    </w:p>
    <w:p w14:paraId="696E2710">
      <w:pPr>
        <w:spacing w:line="360" w:lineRule="auto"/>
        <w:ind w:firstLine="360" w:firstLineChars="150"/>
        <w:rPr>
          <w:rFonts w:asciiTheme="minorEastAsia" w:hAnsiTheme="minorEastAsia" w:eastAsiaTheme="minorEastAsia"/>
          <w:color w:val="auto"/>
          <w:sz w:val="24"/>
          <w:highlight w:val="none"/>
        </w:rPr>
      </w:pPr>
    </w:p>
    <w:p w14:paraId="440E964D">
      <w:pPr>
        <w:spacing w:line="360" w:lineRule="auto"/>
        <w:rPr>
          <w:rFonts w:hint="eastAsia" w:asciiTheme="minorEastAsia" w:hAnsiTheme="minorEastAsia" w:eastAsiaTheme="minorEastAsia"/>
          <w:b/>
          <w:color w:val="auto"/>
          <w:sz w:val="24"/>
          <w:highlight w:val="none"/>
          <w:lang w:eastAsia="zh-CN"/>
        </w:rPr>
      </w:pPr>
      <w:r>
        <w:rPr>
          <w:rFonts w:hint="eastAsia" w:asciiTheme="minorEastAsia" w:hAnsiTheme="minorEastAsia" w:eastAsiaTheme="minorEastAsia"/>
          <w:b/>
          <w:color w:val="auto"/>
          <w:sz w:val="24"/>
          <w:highlight w:val="none"/>
          <w:lang w:eastAsia="zh-CN"/>
        </w:rPr>
        <w:t>注：</w:t>
      </w:r>
    </w:p>
    <w:p w14:paraId="735151B3">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此表用于开标唱标之用。</w:t>
      </w:r>
    </w:p>
    <w:p w14:paraId="673BB7A4">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表中投标报价即为优惠后报价，并作为评审及定标依据。任何有选择或有条件的投标报价，或者表中某一包别填写多个报价，均为无效报价。</w:t>
      </w:r>
    </w:p>
    <w:p w14:paraId="60422F0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.表中大写金额与小写金额不一致的，以大写金额为准。</w:t>
      </w:r>
      <w:r>
        <w:rPr>
          <w:rFonts w:asciiTheme="minorEastAsia" w:hAnsiTheme="minorEastAsia" w:eastAsiaTheme="minorEastAsia"/>
          <w:color w:val="auto"/>
          <w:sz w:val="24"/>
          <w:highlight w:val="none"/>
        </w:rPr>
        <w:br w:type="page"/>
      </w:r>
    </w:p>
    <w:p w14:paraId="4C5C8E0A">
      <w:pPr>
        <w:spacing w:line="360" w:lineRule="auto"/>
        <w:jc w:val="center"/>
        <w:outlineLvl w:val="1"/>
        <w:rPr>
          <w:rFonts w:asciiTheme="minorEastAsia" w:hAnsiTheme="minorEastAsia" w:eastAsiaTheme="minorEastAsia"/>
          <w:b/>
          <w:color w:val="auto"/>
          <w:sz w:val="24"/>
          <w:highlight w:val="none"/>
        </w:rPr>
      </w:pPr>
      <w:bookmarkStart w:id="65" w:name="_Toc18010"/>
      <w:bookmarkStart w:id="66" w:name="_Toc6441"/>
      <w:r>
        <w:rPr>
          <w:rFonts w:hint="eastAsia" w:asciiTheme="minorEastAsia" w:hAnsiTheme="minorEastAsia" w:eastAsiaTheme="minorEastAsia"/>
          <w:b/>
          <w:color w:val="auto"/>
          <w:sz w:val="24"/>
          <w:highlight w:val="none"/>
        </w:rPr>
        <w:t>二、投标函</w:t>
      </w:r>
      <w:bookmarkEnd w:id="65"/>
      <w:bookmarkEnd w:id="66"/>
    </w:p>
    <w:p w14:paraId="76937CDA">
      <w:pPr>
        <w:pStyle w:val="15"/>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14:paraId="42BFDF72">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根据贵方的招标公告和投标邀请，我方兹宣布同意如下：</w:t>
      </w:r>
    </w:p>
    <w:p w14:paraId="114B914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我方根据招标文件的规定，严格履行合同的责任和义务,并保证于买方要求的日期内完成，并通过买方验收。</w:t>
      </w:r>
    </w:p>
    <w:p w14:paraId="7B44A48F">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.我方已详细审核全部招标文件，包括招标文件</w:t>
      </w:r>
      <w:r>
        <w:rPr>
          <w:rFonts w:hint="eastAsia" w:asciiTheme="minorEastAsia" w:hAnsiTheme="minorEastAsia" w:eastAsiaTheme="minorEastAsia"/>
          <w:color w:val="auto"/>
          <w:sz w:val="24"/>
          <w:highlight w:val="none"/>
          <w:lang w:val="en-US" w:eastAsia="zh-CN"/>
        </w:rPr>
        <w:t>附件及更正公告（如有）</w:t>
      </w:r>
      <w:r>
        <w:rPr>
          <w:rFonts w:hint="eastAsia" w:asciiTheme="minorEastAsia" w:hAnsiTheme="minorEastAsia" w:eastAsiaTheme="minorEastAsia"/>
          <w:color w:val="auto"/>
          <w:sz w:val="24"/>
          <w:highlight w:val="none"/>
        </w:rPr>
        <w:t>，我方正式认可并遵守本次招标文件，并对招标文件各项条款、规定及要求均无异议。</w:t>
      </w:r>
    </w:p>
    <w:p w14:paraId="5D4DB24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.我方同意从招标文件规定的开标日期起遵循本招标文件，并在招标文件规定的投标有效期之前均具有约束力。</w:t>
      </w:r>
    </w:p>
    <w:p w14:paraId="56137206">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投标文件所提供的一切资料均真实无误、及时、有效，企业运营正常。由于我方提供资料不实而造成的责任和后果由我方承担。我方同意按照贵方提出的要求，提供与投标有关的任何证据、数据或资料。</w:t>
      </w:r>
    </w:p>
    <w:p w14:paraId="4A302E91">
      <w:pPr>
        <w:spacing w:line="360" w:lineRule="auto"/>
        <w:ind w:firstLine="4800" w:firstLineChars="2000"/>
        <w:rPr>
          <w:rFonts w:ascii="宋体" w:hAnsi="宋体" w:eastAsia="宋体"/>
          <w:color w:val="auto"/>
          <w:sz w:val="24"/>
          <w:highlight w:val="none"/>
        </w:rPr>
      </w:pPr>
    </w:p>
    <w:p w14:paraId="6109E944">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14:paraId="55578963">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14:paraId="417D70AE">
      <w:pPr>
        <w:widowControl/>
        <w:jc w:val="left"/>
        <w:rPr>
          <w:rFonts w:ascii="宋体" w:hAnsi="宋体" w:eastAsia="宋体"/>
          <w:color w:val="auto"/>
          <w:sz w:val="24"/>
          <w:highlight w:val="none"/>
          <w:u w:val="single"/>
        </w:rPr>
      </w:pPr>
      <w:r>
        <w:rPr>
          <w:rFonts w:ascii="宋体" w:hAnsi="宋体" w:eastAsia="宋体"/>
          <w:color w:val="auto"/>
          <w:sz w:val="24"/>
          <w:highlight w:val="none"/>
          <w:u w:val="single"/>
        </w:rPr>
        <w:br w:type="page"/>
      </w:r>
    </w:p>
    <w:p w14:paraId="560A76C9">
      <w:pPr>
        <w:spacing w:line="360" w:lineRule="auto"/>
        <w:jc w:val="center"/>
        <w:outlineLvl w:val="1"/>
        <w:rPr>
          <w:rFonts w:hint="eastAsia" w:asciiTheme="minorEastAsia" w:hAnsiTheme="minorEastAsia" w:eastAsiaTheme="minorEastAsia"/>
          <w:b/>
          <w:color w:val="auto"/>
          <w:sz w:val="24"/>
          <w:highlight w:val="none"/>
        </w:rPr>
      </w:pPr>
      <w:bookmarkStart w:id="67" w:name="_Toc1328"/>
      <w:r>
        <w:rPr>
          <w:rFonts w:hint="eastAsia" w:asciiTheme="minorEastAsia" w:hAnsiTheme="minorEastAsia" w:eastAsiaTheme="minorEastAsia"/>
          <w:b/>
          <w:color w:val="auto"/>
          <w:sz w:val="24"/>
          <w:highlight w:val="none"/>
          <w:lang w:val="en-US" w:eastAsia="zh-CN"/>
        </w:rPr>
        <w:t>三．投标人资格声明书</w:t>
      </w:r>
      <w:bookmarkEnd w:id="67"/>
      <w:r>
        <w:rPr>
          <w:rFonts w:hint="eastAsia" w:asciiTheme="minorEastAsia" w:hAnsiTheme="minorEastAsia" w:eastAsiaTheme="minorEastAsia"/>
          <w:b/>
          <w:color w:val="auto"/>
          <w:sz w:val="24"/>
          <w:highlight w:val="none"/>
          <w:lang w:val="en-US" w:eastAsia="zh-CN"/>
        </w:rPr>
        <w:t xml:space="preserve"> </w:t>
      </w:r>
    </w:p>
    <w:p w14:paraId="19192A9E">
      <w:pPr>
        <w:pStyle w:val="15"/>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14:paraId="4E26BB6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在参与本次项目投标中，我单位承诺：</w:t>
      </w:r>
    </w:p>
    <w:p w14:paraId="2C5A744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14:paraId="798BEF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14:paraId="1D1F230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14:paraId="58DF4CC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567D79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14:paraId="2F3EFD2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14:paraId="79B23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570045ED">
            <w:pPr>
              <w:keepNext w:val="0"/>
              <w:keepLines w:val="0"/>
              <w:pageBreakBefore w:val="0"/>
              <w:widowControl/>
              <w:suppressLineNumbers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14:paraId="5D5EA37A">
            <w:pPr>
              <w:pStyle w:val="10"/>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14:paraId="445C4862">
            <w:pPr>
              <w:pStyle w:val="10"/>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14:paraId="42291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221C5C67">
            <w:pPr>
              <w:pStyle w:val="10"/>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14:paraId="41FE1B96">
            <w:pPr>
              <w:pStyle w:val="10"/>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14:paraId="0F849EA4">
            <w:pPr>
              <w:pStyle w:val="10"/>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14:paraId="0945B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6F1ACE94">
            <w:pPr>
              <w:pStyle w:val="10"/>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14:paraId="18907B09">
            <w:pPr>
              <w:pStyle w:val="10"/>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14:paraId="6C62B65F">
            <w:pPr>
              <w:pStyle w:val="10"/>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14:paraId="600F13B2">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14:paraId="338818C1">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14:paraId="2A14F122">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14:paraId="6FEFD9FC">
      <w:pPr>
        <w:pStyle w:val="10"/>
        <w:rPr>
          <w:rFonts w:hint="eastAsia" w:asciiTheme="minorEastAsia" w:hAnsiTheme="minorEastAsia" w:eastAsiaTheme="minorEastAsia" w:cstheme="minorEastAsia"/>
          <w:color w:val="000000"/>
          <w:kern w:val="0"/>
          <w:sz w:val="24"/>
          <w:szCs w:val="24"/>
          <w:highlight w:val="green"/>
          <w:lang w:val="en-US" w:eastAsia="zh-CN" w:bidi="ar"/>
        </w:rPr>
      </w:pPr>
    </w:p>
    <w:p w14:paraId="080F555F">
      <w:pPr>
        <w:pStyle w:val="10"/>
        <w:rPr>
          <w:rFonts w:hint="eastAsia" w:asciiTheme="minorEastAsia" w:hAnsiTheme="minorEastAsia" w:eastAsiaTheme="minorEastAsia" w:cstheme="minorEastAsia"/>
          <w:color w:val="000000"/>
          <w:kern w:val="0"/>
          <w:sz w:val="24"/>
          <w:szCs w:val="24"/>
          <w:lang w:val="en-US" w:eastAsia="zh-CN" w:bidi="ar"/>
        </w:rPr>
      </w:pPr>
    </w:p>
    <w:p w14:paraId="5AF2DFDB">
      <w:pPr>
        <w:pStyle w:val="10"/>
        <w:rPr>
          <w:rFonts w:hint="eastAsia" w:asciiTheme="minorEastAsia" w:hAnsiTheme="minorEastAsia" w:eastAsiaTheme="minorEastAsia" w:cstheme="minorEastAsia"/>
          <w:color w:val="000000"/>
          <w:kern w:val="0"/>
          <w:sz w:val="24"/>
          <w:szCs w:val="24"/>
          <w:lang w:val="en-US" w:eastAsia="zh-CN" w:bidi="ar"/>
        </w:rPr>
      </w:pPr>
    </w:p>
    <w:p w14:paraId="797DB335">
      <w:pPr>
        <w:rPr>
          <w:rFonts w:hint="eastAsia" w:asciiTheme="minorEastAsia" w:hAnsiTheme="minorEastAsia" w:eastAsiaTheme="minorEastAsia"/>
          <w:b/>
          <w:color w:val="auto"/>
          <w:sz w:val="24"/>
          <w:highlight w:val="none"/>
        </w:rPr>
      </w:pPr>
      <w:bookmarkStart w:id="68" w:name="_Toc11607"/>
      <w:r>
        <w:rPr>
          <w:rFonts w:hint="eastAsia" w:asciiTheme="minorEastAsia" w:hAnsiTheme="minorEastAsia" w:eastAsiaTheme="minorEastAsia"/>
          <w:b/>
          <w:color w:val="auto"/>
          <w:sz w:val="24"/>
          <w:highlight w:val="none"/>
        </w:rPr>
        <w:br w:type="page"/>
      </w:r>
    </w:p>
    <w:p w14:paraId="51AA612D">
      <w:pPr>
        <w:spacing w:line="360" w:lineRule="auto"/>
        <w:jc w:val="center"/>
        <w:outlineLvl w:val="1"/>
        <w:rPr>
          <w:rFonts w:asciiTheme="minorEastAsia" w:hAnsiTheme="minorEastAsia" w:eastAsiaTheme="minorEastAsia"/>
          <w:b/>
          <w:color w:val="auto"/>
          <w:sz w:val="24"/>
          <w:highlight w:val="none"/>
        </w:rPr>
      </w:pPr>
      <w:bookmarkStart w:id="69" w:name="_Toc16960"/>
      <w:r>
        <w:rPr>
          <w:rFonts w:hint="eastAsia" w:asciiTheme="minorEastAsia" w:hAnsiTheme="minorEastAsia" w:eastAsiaTheme="minorEastAsia"/>
          <w:b/>
          <w:color w:val="auto"/>
          <w:sz w:val="24"/>
          <w:highlight w:val="none"/>
        </w:rPr>
        <w:t>四、授权书</w:t>
      </w:r>
      <w:bookmarkEnd w:id="68"/>
      <w:bookmarkEnd w:id="69"/>
    </w:p>
    <w:p w14:paraId="0348DEE3">
      <w:pPr>
        <w:pStyle w:val="14"/>
        <w:snapToGrid w:val="0"/>
        <w:spacing w:line="360" w:lineRule="auto"/>
        <w:ind w:firstLine="480" w:firstLineChars="200"/>
        <w:jc w:val="left"/>
        <w:rPr>
          <w:rFonts w:hAnsi="宋体" w:eastAsia="宋体"/>
          <w:color w:val="auto"/>
          <w:sz w:val="24"/>
          <w:szCs w:val="28"/>
          <w:highlight w:val="none"/>
        </w:rPr>
      </w:pPr>
    </w:p>
    <w:p w14:paraId="1A43C0B0">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hAnsi="宋体" w:eastAsia="宋体"/>
          <w:color w:val="auto"/>
          <w:sz w:val="24"/>
          <w:szCs w:val="28"/>
          <w:highlight w:val="none"/>
        </w:rPr>
        <w:t>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投标过程的一切事宜，包括但不限于：投标、参与开标、谈判、签约等。投标人授权代表在投标过程中所签署的一切文件和处理与之有关的一切事务，我方均予以认可并对此承担责任。投标人授权代表无转委托权。特此授权。</w:t>
      </w:r>
    </w:p>
    <w:p w14:paraId="1142FD5F">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14:paraId="611822FF">
      <w:pPr>
        <w:spacing w:line="360" w:lineRule="auto"/>
        <w:ind w:firstLine="435"/>
        <w:rPr>
          <w:rFonts w:hAnsi="宋体" w:eastAsia="宋体"/>
          <w:color w:val="auto"/>
          <w:sz w:val="24"/>
          <w:highlight w:val="none"/>
        </w:rPr>
      </w:pPr>
      <w:r>
        <w:rPr>
          <w:rFonts w:hint="eastAsia" w:hAnsi="宋体" w:eastAsia="宋体"/>
          <w:color w:val="auto"/>
          <w:sz w:val="24"/>
          <w:szCs w:val="28"/>
          <w:highlight w:val="none"/>
        </w:rPr>
        <w:t>授权</w:t>
      </w:r>
      <w:r>
        <w:rPr>
          <w:rFonts w:hint="eastAsia" w:asciiTheme="minorEastAsia" w:hAnsiTheme="minorEastAsia" w:eastAsiaTheme="minorEastAsia"/>
          <w:color w:val="auto"/>
          <w:sz w:val="24"/>
          <w:highlight w:val="none"/>
        </w:rPr>
        <w:t>代表</w:t>
      </w:r>
      <w:r>
        <w:rPr>
          <w:rFonts w:hint="eastAsia" w:hAnsi="宋体" w:eastAsia="宋体"/>
          <w:color w:val="auto"/>
          <w:sz w:val="24"/>
          <w:highlight w:val="none"/>
        </w:rPr>
        <w:t>身份证明扫描件：</w:t>
      </w:r>
    </w:p>
    <w:p w14:paraId="383904CA">
      <w:pPr>
        <w:spacing w:line="360" w:lineRule="auto"/>
        <w:ind w:firstLine="435"/>
        <w:rPr>
          <w:rFonts w:asciiTheme="minorEastAsia" w:hAnsiTheme="minorEastAsia" w:eastAsiaTheme="minorEastAsia"/>
          <w:color w:val="auto"/>
          <w:sz w:val="24"/>
          <w:highlight w:val="none"/>
        </w:rPr>
      </w:pPr>
    </w:p>
    <w:p w14:paraId="3D329C1A">
      <w:pPr>
        <w:spacing w:line="360" w:lineRule="auto"/>
        <w:ind w:firstLine="435"/>
        <w:rPr>
          <w:rFonts w:asciiTheme="minorEastAsia" w:hAnsiTheme="minorEastAsia" w:eastAsiaTheme="minorEastAsia"/>
          <w:color w:val="auto"/>
          <w:sz w:val="24"/>
          <w:highlight w:val="none"/>
        </w:rPr>
      </w:pPr>
    </w:p>
    <w:p w14:paraId="405CBA0C">
      <w:pPr>
        <w:spacing w:line="360" w:lineRule="auto"/>
        <w:ind w:firstLine="435"/>
        <w:rPr>
          <w:rFonts w:asciiTheme="minorEastAsia" w:hAnsiTheme="minorEastAsia" w:eastAsiaTheme="minorEastAsia"/>
          <w:color w:val="auto"/>
          <w:sz w:val="24"/>
          <w:highlight w:val="none"/>
        </w:rPr>
      </w:pPr>
    </w:p>
    <w:p w14:paraId="17AB5651">
      <w:pPr>
        <w:spacing w:line="360" w:lineRule="auto"/>
        <w:ind w:firstLine="435"/>
        <w:rPr>
          <w:rFonts w:hAnsi="宋体" w:eastAsia="宋体"/>
          <w:color w:val="auto"/>
          <w:sz w:val="24"/>
          <w:szCs w:val="28"/>
          <w:highlight w:val="none"/>
          <w:u w:val="single"/>
          <w:lang w:val="zh-CN"/>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14:paraId="4BD7C3B5">
      <w:pPr>
        <w:spacing w:line="360" w:lineRule="auto"/>
        <w:ind w:firstLine="435"/>
        <w:rPr>
          <w:rFonts w:hAnsi="宋体" w:eastAsia="宋体"/>
          <w:color w:val="auto"/>
          <w:sz w:val="24"/>
          <w:szCs w:val="28"/>
          <w:highlight w:val="none"/>
          <w:lang w:val="zh-CN"/>
        </w:rPr>
      </w:pPr>
    </w:p>
    <w:p w14:paraId="3F163281">
      <w:pPr>
        <w:spacing w:line="360" w:lineRule="auto"/>
        <w:ind w:firstLine="435"/>
        <w:rPr>
          <w:rFonts w:ascii="宋体" w:hAnsi="宋体" w:eastAsia="宋体"/>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宋体" w:hAnsi="宋体" w:eastAsia="宋体"/>
          <w:color w:val="auto"/>
          <w:sz w:val="24"/>
          <w:szCs w:val="28"/>
          <w:highlight w:val="none"/>
        </w:rPr>
        <w:t>声明。</w:t>
      </w:r>
    </w:p>
    <w:p w14:paraId="621EAAE0">
      <w:pPr>
        <w:spacing w:line="360" w:lineRule="auto"/>
        <w:rPr>
          <w:rFonts w:ascii="宋体" w:hAnsi="宋体" w:eastAsia="宋体"/>
          <w:color w:val="auto"/>
          <w:sz w:val="24"/>
          <w:szCs w:val="28"/>
          <w:highlight w:val="none"/>
        </w:rPr>
      </w:pPr>
    </w:p>
    <w:p w14:paraId="2555EB75">
      <w:pPr>
        <w:spacing w:line="360" w:lineRule="auto"/>
        <w:ind w:firstLine="435"/>
        <w:jc w:val="center"/>
        <w:rPr>
          <w:rFonts w:ascii="宋体" w:hAnsi="宋体" w:eastAsia="宋体"/>
          <w:bCs/>
          <w:color w:val="auto"/>
          <w:sz w:val="24"/>
          <w:szCs w:val="28"/>
          <w:highlight w:val="none"/>
        </w:rPr>
      </w:pPr>
      <w:r>
        <w:rPr>
          <w:rFonts w:hint="eastAsia" w:ascii="宋体" w:hAnsi="宋体" w:eastAsia="宋体"/>
          <w:bCs/>
          <w:color w:val="auto"/>
          <w:sz w:val="24"/>
          <w:szCs w:val="28"/>
          <w:highlight w:val="none"/>
          <w:lang w:val="en-US" w:eastAsia="zh-CN"/>
        </w:rPr>
        <w:t xml:space="preserve">                            </w:t>
      </w:r>
      <w:r>
        <w:rPr>
          <w:rFonts w:hint="eastAsia" w:ascii="宋体" w:hAnsi="宋体" w:eastAsia="宋体"/>
          <w:bCs/>
          <w:color w:val="auto"/>
          <w:sz w:val="24"/>
          <w:szCs w:val="28"/>
          <w:highlight w:val="none"/>
        </w:rPr>
        <w:t>投标人电子签章：</w:t>
      </w:r>
      <w:r>
        <w:rPr>
          <w:rFonts w:hint="eastAsia" w:ascii="宋体" w:hAnsi="宋体" w:eastAsia="宋体"/>
          <w:bCs/>
          <w:color w:val="auto"/>
          <w:sz w:val="24"/>
          <w:szCs w:val="28"/>
          <w:highlight w:val="none"/>
          <w:u w:val="single"/>
        </w:rPr>
        <w:t xml:space="preserve">                    </w:t>
      </w:r>
    </w:p>
    <w:p w14:paraId="3E6E9B02">
      <w:pPr>
        <w:spacing w:line="360" w:lineRule="auto"/>
        <w:ind w:firstLine="435"/>
        <w:jc w:val="center"/>
        <w:rPr>
          <w:rFonts w:ascii="宋体" w:hAnsi="宋体" w:eastAsia="宋体"/>
          <w:color w:val="auto"/>
          <w:sz w:val="24"/>
          <w:szCs w:val="28"/>
          <w:highlight w:val="none"/>
        </w:rPr>
      </w:pPr>
      <w:r>
        <w:rPr>
          <w:rFonts w:hint="eastAsia" w:ascii="宋体" w:hAnsi="宋体" w:eastAsia="宋体"/>
          <w:color w:val="auto"/>
          <w:sz w:val="24"/>
          <w:szCs w:val="28"/>
          <w:highlight w:val="none"/>
          <w:lang w:val="en-US" w:eastAsia="zh-CN"/>
        </w:rPr>
        <w:t xml:space="preserve">                            </w:t>
      </w:r>
      <w:r>
        <w:rPr>
          <w:rFonts w:hint="eastAsia" w:ascii="宋体" w:hAnsi="宋体" w:eastAsia="宋体"/>
          <w:color w:val="auto"/>
          <w:sz w:val="24"/>
          <w:szCs w:val="28"/>
          <w:highlight w:val="none"/>
        </w:rPr>
        <w:t>日          期：</w:t>
      </w:r>
      <w:r>
        <w:rPr>
          <w:rFonts w:hint="eastAsia" w:ascii="宋体" w:hAnsi="宋体" w:eastAsia="宋体"/>
          <w:b/>
          <w:bCs/>
          <w:color w:val="auto"/>
          <w:sz w:val="24"/>
          <w:szCs w:val="28"/>
          <w:highlight w:val="none"/>
          <w:u w:val="single"/>
        </w:rPr>
        <w:t xml:space="preserve">                    </w:t>
      </w:r>
    </w:p>
    <w:p w14:paraId="04D745F0">
      <w:pPr>
        <w:spacing w:line="360" w:lineRule="auto"/>
        <w:ind w:firstLine="435"/>
        <w:rPr>
          <w:rFonts w:asciiTheme="minorEastAsia" w:hAnsiTheme="minorEastAsia" w:eastAsiaTheme="minorEastAsia"/>
          <w:color w:val="auto"/>
          <w:sz w:val="24"/>
          <w:highlight w:val="none"/>
        </w:rPr>
      </w:pPr>
    </w:p>
    <w:p w14:paraId="79458E2B">
      <w:pPr>
        <w:spacing w:line="360" w:lineRule="auto"/>
        <w:ind w:firstLine="435"/>
        <w:rPr>
          <w:rFonts w:asciiTheme="minorEastAsia" w:hAnsiTheme="minorEastAsia" w:eastAsiaTheme="minorEastAsia"/>
          <w:color w:val="auto"/>
          <w:sz w:val="24"/>
          <w:highlight w:val="none"/>
        </w:rPr>
      </w:pPr>
    </w:p>
    <w:p w14:paraId="3ECB38A2">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14:paraId="0BDCF8E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1.本项目只允许有唯一的投标人授权代表，提供身份证明扫描件；</w:t>
      </w:r>
    </w:p>
    <w:p w14:paraId="4D5A614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2.法定代表人参加投标的无需提供授权书，提供身份证明扫描件。</w:t>
      </w:r>
    </w:p>
    <w:p w14:paraId="7DF01BE0">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07DF1523">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70" w:name="_Toc31991"/>
      <w:bookmarkStart w:id="71" w:name="_Toc6796"/>
      <w:r>
        <w:rPr>
          <w:rFonts w:hint="eastAsia" w:asciiTheme="minorEastAsia" w:hAnsiTheme="minorEastAsia" w:eastAsiaTheme="minorEastAsia"/>
          <w:b/>
          <w:color w:val="auto"/>
          <w:sz w:val="24"/>
          <w:highlight w:val="none"/>
        </w:rPr>
        <w:t>五、投标分项报价表</w:t>
      </w:r>
      <w:bookmarkEnd w:id="70"/>
      <w:bookmarkEnd w:id="71"/>
    </w:p>
    <w:p w14:paraId="5F742E3A">
      <w:pPr>
        <w:spacing w:line="360" w:lineRule="auto"/>
        <w:ind w:firstLine="435"/>
        <w:rPr>
          <w:rFonts w:asciiTheme="minorEastAsia" w:hAnsiTheme="minorEastAsia" w:eastAsiaTheme="minorEastAsia"/>
          <w:b/>
          <w:color w:val="auto"/>
          <w:sz w:val="24"/>
          <w:highlight w:val="none"/>
        </w:rPr>
      </w:pPr>
    </w:p>
    <w:tbl>
      <w:tblPr>
        <w:tblStyle w:val="28"/>
        <w:tblW w:w="51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1371"/>
        <w:gridCol w:w="1503"/>
        <w:gridCol w:w="1218"/>
        <w:gridCol w:w="693"/>
        <w:gridCol w:w="693"/>
        <w:gridCol w:w="969"/>
        <w:gridCol w:w="969"/>
        <w:gridCol w:w="690"/>
      </w:tblGrid>
      <w:tr w14:paraId="22FBE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391" w:type="pct"/>
            <w:vAlign w:val="center"/>
          </w:tcPr>
          <w:p w14:paraId="16E7D849">
            <w:pPr>
              <w:pStyle w:val="4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79" w:type="pct"/>
            <w:vAlign w:val="center"/>
          </w:tcPr>
          <w:p w14:paraId="2C112990">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854" w:type="pct"/>
            <w:vAlign w:val="center"/>
          </w:tcPr>
          <w:p w14:paraId="00B4E581">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品牌、型号</w:t>
            </w:r>
          </w:p>
        </w:tc>
        <w:tc>
          <w:tcPr>
            <w:tcW w:w="692" w:type="pct"/>
            <w:vAlign w:val="center"/>
          </w:tcPr>
          <w:p w14:paraId="206330F1">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14:paraId="24CE55FB">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4" w:type="pct"/>
            <w:vAlign w:val="center"/>
          </w:tcPr>
          <w:p w14:paraId="0F566F1B">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4" w:type="pct"/>
            <w:vAlign w:val="center"/>
          </w:tcPr>
          <w:p w14:paraId="45B2987A">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51" w:type="pct"/>
            <w:vAlign w:val="center"/>
          </w:tcPr>
          <w:p w14:paraId="5835FA97">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14:paraId="10B914A3">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51" w:type="pct"/>
            <w:vAlign w:val="center"/>
          </w:tcPr>
          <w:p w14:paraId="3DF607E9">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14:paraId="3EF568AB">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2" w:type="pct"/>
            <w:vAlign w:val="center"/>
          </w:tcPr>
          <w:p w14:paraId="3AD48921">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14:paraId="61587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Borders>
              <w:bottom w:val="single" w:color="auto" w:sz="4" w:space="0"/>
            </w:tcBorders>
          </w:tcPr>
          <w:p w14:paraId="38F2E087">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79" w:type="pct"/>
          </w:tcPr>
          <w:p w14:paraId="1BB4E5A3">
            <w:pPr>
              <w:rPr>
                <w:rFonts w:asciiTheme="minorEastAsia" w:hAnsiTheme="minorEastAsia" w:eastAsiaTheme="minorEastAsia"/>
                <w:color w:val="auto"/>
                <w:sz w:val="24"/>
                <w:highlight w:val="none"/>
              </w:rPr>
            </w:pPr>
          </w:p>
        </w:tc>
        <w:tc>
          <w:tcPr>
            <w:tcW w:w="854" w:type="pct"/>
          </w:tcPr>
          <w:p w14:paraId="2851BB7E">
            <w:pPr>
              <w:rPr>
                <w:rFonts w:asciiTheme="minorEastAsia" w:hAnsiTheme="minorEastAsia" w:eastAsiaTheme="minorEastAsia"/>
                <w:color w:val="auto"/>
                <w:sz w:val="24"/>
                <w:highlight w:val="none"/>
              </w:rPr>
            </w:pPr>
          </w:p>
        </w:tc>
        <w:tc>
          <w:tcPr>
            <w:tcW w:w="692" w:type="pct"/>
          </w:tcPr>
          <w:p w14:paraId="42D2BDDE">
            <w:pPr>
              <w:rPr>
                <w:rFonts w:asciiTheme="minorEastAsia" w:hAnsiTheme="minorEastAsia" w:eastAsiaTheme="minorEastAsia"/>
                <w:color w:val="auto"/>
                <w:sz w:val="24"/>
                <w:highlight w:val="none"/>
              </w:rPr>
            </w:pPr>
          </w:p>
        </w:tc>
        <w:tc>
          <w:tcPr>
            <w:tcW w:w="394" w:type="pct"/>
          </w:tcPr>
          <w:p w14:paraId="08AE41A7">
            <w:pPr>
              <w:rPr>
                <w:rFonts w:asciiTheme="minorEastAsia" w:hAnsiTheme="minorEastAsia" w:eastAsiaTheme="minorEastAsia"/>
                <w:color w:val="auto"/>
                <w:sz w:val="24"/>
                <w:highlight w:val="none"/>
              </w:rPr>
            </w:pPr>
          </w:p>
        </w:tc>
        <w:tc>
          <w:tcPr>
            <w:tcW w:w="394" w:type="pct"/>
          </w:tcPr>
          <w:p w14:paraId="1EDAECC0">
            <w:pPr>
              <w:rPr>
                <w:rFonts w:asciiTheme="minorEastAsia" w:hAnsiTheme="minorEastAsia" w:eastAsiaTheme="minorEastAsia"/>
                <w:color w:val="auto"/>
                <w:sz w:val="24"/>
                <w:highlight w:val="none"/>
              </w:rPr>
            </w:pPr>
          </w:p>
        </w:tc>
        <w:tc>
          <w:tcPr>
            <w:tcW w:w="551" w:type="pct"/>
          </w:tcPr>
          <w:p w14:paraId="32263503">
            <w:pPr>
              <w:rPr>
                <w:rFonts w:asciiTheme="minorEastAsia" w:hAnsiTheme="minorEastAsia" w:eastAsiaTheme="minorEastAsia"/>
                <w:color w:val="auto"/>
                <w:sz w:val="24"/>
                <w:highlight w:val="none"/>
              </w:rPr>
            </w:pPr>
          </w:p>
        </w:tc>
        <w:tc>
          <w:tcPr>
            <w:tcW w:w="551" w:type="pct"/>
          </w:tcPr>
          <w:p w14:paraId="6E88C937">
            <w:pPr>
              <w:rPr>
                <w:rFonts w:asciiTheme="minorEastAsia" w:hAnsiTheme="minorEastAsia" w:eastAsiaTheme="minorEastAsia"/>
                <w:color w:val="auto"/>
                <w:sz w:val="24"/>
                <w:highlight w:val="none"/>
              </w:rPr>
            </w:pPr>
          </w:p>
        </w:tc>
        <w:tc>
          <w:tcPr>
            <w:tcW w:w="392" w:type="pct"/>
          </w:tcPr>
          <w:p w14:paraId="0355615F">
            <w:pPr>
              <w:rPr>
                <w:rFonts w:asciiTheme="minorEastAsia" w:hAnsiTheme="minorEastAsia" w:eastAsiaTheme="minorEastAsia"/>
                <w:color w:val="auto"/>
                <w:sz w:val="24"/>
                <w:highlight w:val="none"/>
              </w:rPr>
            </w:pPr>
          </w:p>
        </w:tc>
      </w:tr>
      <w:tr w14:paraId="3B02E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391" w:type="pct"/>
          </w:tcPr>
          <w:p w14:paraId="201C23DA">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79" w:type="pct"/>
          </w:tcPr>
          <w:p w14:paraId="584BD3ED">
            <w:pPr>
              <w:rPr>
                <w:rFonts w:asciiTheme="minorEastAsia" w:hAnsiTheme="minorEastAsia" w:eastAsiaTheme="minorEastAsia"/>
                <w:color w:val="auto"/>
                <w:sz w:val="24"/>
                <w:highlight w:val="none"/>
              </w:rPr>
            </w:pPr>
          </w:p>
        </w:tc>
        <w:tc>
          <w:tcPr>
            <w:tcW w:w="854" w:type="pct"/>
          </w:tcPr>
          <w:p w14:paraId="78E270B0">
            <w:pPr>
              <w:rPr>
                <w:rFonts w:asciiTheme="minorEastAsia" w:hAnsiTheme="minorEastAsia" w:eastAsiaTheme="minorEastAsia"/>
                <w:color w:val="auto"/>
                <w:sz w:val="24"/>
                <w:highlight w:val="none"/>
              </w:rPr>
            </w:pPr>
          </w:p>
        </w:tc>
        <w:tc>
          <w:tcPr>
            <w:tcW w:w="692" w:type="pct"/>
          </w:tcPr>
          <w:p w14:paraId="22D06DA3">
            <w:pPr>
              <w:rPr>
                <w:rFonts w:asciiTheme="minorEastAsia" w:hAnsiTheme="minorEastAsia" w:eastAsiaTheme="minorEastAsia"/>
                <w:color w:val="auto"/>
                <w:sz w:val="24"/>
                <w:highlight w:val="none"/>
              </w:rPr>
            </w:pPr>
          </w:p>
        </w:tc>
        <w:tc>
          <w:tcPr>
            <w:tcW w:w="394" w:type="pct"/>
          </w:tcPr>
          <w:p w14:paraId="3A08FB76">
            <w:pPr>
              <w:rPr>
                <w:rFonts w:asciiTheme="minorEastAsia" w:hAnsiTheme="minorEastAsia" w:eastAsiaTheme="minorEastAsia"/>
                <w:color w:val="auto"/>
                <w:sz w:val="24"/>
                <w:highlight w:val="none"/>
              </w:rPr>
            </w:pPr>
          </w:p>
        </w:tc>
        <w:tc>
          <w:tcPr>
            <w:tcW w:w="394" w:type="pct"/>
          </w:tcPr>
          <w:p w14:paraId="4AD99023">
            <w:pPr>
              <w:rPr>
                <w:rFonts w:asciiTheme="minorEastAsia" w:hAnsiTheme="minorEastAsia" w:eastAsiaTheme="minorEastAsia"/>
                <w:color w:val="auto"/>
                <w:sz w:val="24"/>
                <w:highlight w:val="none"/>
              </w:rPr>
            </w:pPr>
          </w:p>
        </w:tc>
        <w:tc>
          <w:tcPr>
            <w:tcW w:w="551" w:type="pct"/>
          </w:tcPr>
          <w:p w14:paraId="15167A20">
            <w:pPr>
              <w:rPr>
                <w:rFonts w:asciiTheme="minorEastAsia" w:hAnsiTheme="minorEastAsia" w:eastAsiaTheme="minorEastAsia"/>
                <w:color w:val="auto"/>
                <w:sz w:val="24"/>
                <w:highlight w:val="none"/>
              </w:rPr>
            </w:pPr>
          </w:p>
        </w:tc>
        <w:tc>
          <w:tcPr>
            <w:tcW w:w="551" w:type="pct"/>
          </w:tcPr>
          <w:p w14:paraId="4649946F">
            <w:pPr>
              <w:rPr>
                <w:rFonts w:asciiTheme="minorEastAsia" w:hAnsiTheme="minorEastAsia" w:eastAsiaTheme="minorEastAsia"/>
                <w:color w:val="auto"/>
                <w:sz w:val="24"/>
                <w:highlight w:val="none"/>
              </w:rPr>
            </w:pPr>
          </w:p>
        </w:tc>
        <w:tc>
          <w:tcPr>
            <w:tcW w:w="392" w:type="pct"/>
          </w:tcPr>
          <w:p w14:paraId="62F8836B">
            <w:pPr>
              <w:rPr>
                <w:rFonts w:asciiTheme="minorEastAsia" w:hAnsiTheme="minorEastAsia" w:eastAsiaTheme="minorEastAsia"/>
                <w:color w:val="auto"/>
                <w:sz w:val="24"/>
                <w:highlight w:val="none"/>
              </w:rPr>
            </w:pPr>
          </w:p>
        </w:tc>
      </w:tr>
      <w:tr w14:paraId="1C123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Pr>
          <w:p w14:paraId="1F8D3318">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79" w:type="pct"/>
          </w:tcPr>
          <w:p w14:paraId="72B1C883">
            <w:pPr>
              <w:rPr>
                <w:rFonts w:asciiTheme="minorEastAsia" w:hAnsiTheme="minorEastAsia" w:eastAsiaTheme="minorEastAsia"/>
                <w:color w:val="auto"/>
                <w:sz w:val="24"/>
                <w:highlight w:val="none"/>
              </w:rPr>
            </w:pPr>
          </w:p>
        </w:tc>
        <w:tc>
          <w:tcPr>
            <w:tcW w:w="854" w:type="pct"/>
          </w:tcPr>
          <w:p w14:paraId="73EADBB5">
            <w:pPr>
              <w:rPr>
                <w:rFonts w:asciiTheme="minorEastAsia" w:hAnsiTheme="minorEastAsia" w:eastAsiaTheme="minorEastAsia"/>
                <w:color w:val="auto"/>
                <w:sz w:val="24"/>
                <w:highlight w:val="none"/>
              </w:rPr>
            </w:pPr>
          </w:p>
        </w:tc>
        <w:tc>
          <w:tcPr>
            <w:tcW w:w="692" w:type="pct"/>
          </w:tcPr>
          <w:p w14:paraId="19CBA28E">
            <w:pPr>
              <w:rPr>
                <w:rFonts w:asciiTheme="minorEastAsia" w:hAnsiTheme="minorEastAsia" w:eastAsiaTheme="minorEastAsia"/>
                <w:color w:val="auto"/>
                <w:sz w:val="24"/>
                <w:highlight w:val="none"/>
              </w:rPr>
            </w:pPr>
          </w:p>
        </w:tc>
        <w:tc>
          <w:tcPr>
            <w:tcW w:w="394" w:type="pct"/>
          </w:tcPr>
          <w:p w14:paraId="6740B66E">
            <w:pPr>
              <w:rPr>
                <w:rFonts w:asciiTheme="minorEastAsia" w:hAnsiTheme="minorEastAsia" w:eastAsiaTheme="minorEastAsia"/>
                <w:color w:val="auto"/>
                <w:sz w:val="24"/>
                <w:highlight w:val="none"/>
              </w:rPr>
            </w:pPr>
          </w:p>
        </w:tc>
        <w:tc>
          <w:tcPr>
            <w:tcW w:w="394" w:type="pct"/>
          </w:tcPr>
          <w:p w14:paraId="72C87CE2">
            <w:pPr>
              <w:rPr>
                <w:rFonts w:asciiTheme="minorEastAsia" w:hAnsiTheme="minorEastAsia" w:eastAsiaTheme="minorEastAsia"/>
                <w:color w:val="auto"/>
                <w:sz w:val="24"/>
                <w:highlight w:val="none"/>
              </w:rPr>
            </w:pPr>
          </w:p>
        </w:tc>
        <w:tc>
          <w:tcPr>
            <w:tcW w:w="551" w:type="pct"/>
          </w:tcPr>
          <w:p w14:paraId="050A6638">
            <w:pPr>
              <w:rPr>
                <w:rFonts w:asciiTheme="minorEastAsia" w:hAnsiTheme="minorEastAsia" w:eastAsiaTheme="minorEastAsia"/>
                <w:color w:val="auto"/>
                <w:sz w:val="24"/>
                <w:highlight w:val="none"/>
              </w:rPr>
            </w:pPr>
          </w:p>
        </w:tc>
        <w:tc>
          <w:tcPr>
            <w:tcW w:w="551" w:type="pct"/>
          </w:tcPr>
          <w:p w14:paraId="0E6CD3A9">
            <w:pPr>
              <w:rPr>
                <w:rFonts w:asciiTheme="minorEastAsia" w:hAnsiTheme="minorEastAsia" w:eastAsiaTheme="minorEastAsia"/>
                <w:color w:val="auto"/>
                <w:sz w:val="24"/>
                <w:highlight w:val="none"/>
              </w:rPr>
            </w:pPr>
          </w:p>
        </w:tc>
        <w:tc>
          <w:tcPr>
            <w:tcW w:w="392" w:type="pct"/>
          </w:tcPr>
          <w:p w14:paraId="477056E7">
            <w:pPr>
              <w:rPr>
                <w:rFonts w:asciiTheme="minorEastAsia" w:hAnsiTheme="minorEastAsia" w:eastAsiaTheme="minorEastAsia"/>
                <w:color w:val="auto"/>
                <w:sz w:val="24"/>
                <w:highlight w:val="none"/>
              </w:rPr>
            </w:pPr>
          </w:p>
        </w:tc>
      </w:tr>
      <w:tr w14:paraId="41828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391" w:type="pct"/>
          </w:tcPr>
          <w:p w14:paraId="71C278F4">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79" w:type="pct"/>
          </w:tcPr>
          <w:p w14:paraId="016E53E2">
            <w:pPr>
              <w:rPr>
                <w:rFonts w:asciiTheme="minorEastAsia" w:hAnsiTheme="minorEastAsia" w:eastAsiaTheme="minorEastAsia"/>
                <w:color w:val="auto"/>
                <w:sz w:val="24"/>
                <w:highlight w:val="none"/>
              </w:rPr>
            </w:pPr>
          </w:p>
        </w:tc>
        <w:tc>
          <w:tcPr>
            <w:tcW w:w="854" w:type="pct"/>
          </w:tcPr>
          <w:p w14:paraId="0A52D6C0">
            <w:pPr>
              <w:rPr>
                <w:rFonts w:asciiTheme="minorEastAsia" w:hAnsiTheme="minorEastAsia" w:eastAsiaTheme="minorEastAsia"/>
                <w:color w:val="auto"/>
                <w:sz w:val="24"/>
                <w:highlight w:val="none"/>
              </w:rPr>
            </w:pPr>
          </w:p>
        </w:tc>
        <w:tc>
          <w:tcPr>
            <w:tcW w:w="692" w:type="pct"/>
          </w:tcPr>
          <w:p w14:paraId="1157C54B">
            <w:pPr>
              <w:rPr>
                <w:rFonts w:asciiTheme="minorEastAsia" w:hAnsiTheme="minorEastAsia" w:eastAsiaTheme="minorEastAsia"/>
                <w:color w:val="auto"/>
                <w:sz w:val="24"/>
                <w:highlight w:val="none"/>
              </w:rPr>
            </w:pPr>
          </w:p>
        </w:tc>
        <w:tc>
          <w:tcPr>
            <w:tcW w:w="394" w:type="pct"/>
          </w:tcPr>
          <w:p w14:paraId="2C9A4A9E">
            <w:pPr>
              <w:rPr>
                <w:rFonts w:asciiTheme="minorEastAsia" w:hAnsiTheme="minorEastAsia" w:eastAsiaTheme="minorEastAsia"/>
                <w:color w:val="auto"/>
                <w:sz w:val="24"/>
                <w:highlight w:val="none"/>
              </w:rPr>
            </w:pPr>
          </w:p>
        </w:tc>
        <w:tc>
          <w:tcPr>
            <w:tcW w:w="394" w:type="pct"/>
          </w:tcPr>
          <w:p w14:paraId="345C3522">
            <w:pPr>
              <w:rPr>
                <w:rFonts w:asciiTheme="minorEastAsia" w:hAnsiTheme="minorEastAsia" w:eastAsiaTheme="minorEastAsia"/>
                <w:color w:val="auto"/>
                <w:sz w:val="24"/>
                <w:highlight w:val="none"/>
              </w:rPr>
            </w:pPr>
          </w:p>
        </w:tc>
        <w:tc>
          <w:tcPr>
            <w:tcW w:w="551" w:type="pct"/>
          </w:tcPr>
          <w:p w14:paraId="5BE7A135">
            <w:pPr>
              <w:rPr>
                <w:rFonts w:asciiTheme="minorEastAsia" w:hAnsiTheme="minorEastAsia" w:eastAsiaTheme="minorEastAsia"/>
                <w:color w:val="auto"/>
                <w:sz w:val="24"/>
                <w:highlight w:val="none"/>
              </w:rPr>
            </w:pPr>
          </w:p>
        </w:tc>
        <w:tc>
          <w:tcPr>
            <w:tcW w:w="551" w:type="pct"/>
          </w:tcPr>
          <w:p w14:paraId="7B509562">
            <w:pPr>
              <w:rPr>
                <w:rFonts w:asciiTheme="minorEastAsia" w:hAnsiTheme="minorEastAsia" w:eastAsiaTheme="minorEastAsia"/>
                <w:color w:val="auto"/>
                <w:sz w:val="24"/>
                <w:highlight w:val="none"/>
              </w:rPr>
            </w:pPr>
          </w:p>
        </w:tc>
        <w:tc>
          <w:tcPr>
            <w:tcW w:w="392" w:type="pct"/>
          </w:tcPr>
          <w:p w14:paraId="633FCFC5">
            <w:pPr>
              <w:rPr>
                <w:rFonts w:asciiTheme="minorEastAsia" w:hAnsiTheme="minorEastAsia" w:eastAsiaTheme="minorEastAsia"/>
                <w:color w:val="auto"/>
                <w:sz w:val="24"/>
                <w:highlight w:val="none"/>
              </w:rPr>
            </w:pPr>
          </w:p>
        </w:tc>
      </w:tr>
      <w:tr w14:paraId="71B5E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Pr>
          <w:p w14:paraId="73122274">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79" w:type="pct"/>
          </w:tcPr>
          <w:p w14:paraId="3A30677B">
            <w:pPr>
              <w:rPr>
                <w:rFonts w:asciiTheme="minorEastAsia" w:hAnsiTheme="minorEastAsia" w:eastAsiaTheme="minorEastAsia"/>
                <w:color w:val="auto"/>
                <w:sz w:val="24"/>
                <w:highlight w:val="none"/>
              </w:rPr>
            </w:pPr>
          </w:p>
        </w:tc>
        <w:tc>
          <w:tcPr>
            <w:tcW w:w="854" w:type="pct"/>
          </w:tcPr>
          <w:p w14:paraId="6080D1BB">
            <w:pPr>
              <w:rPr>
                <w:rFonts w:asciiTheme="minorEastAsia" w:hAnsiTheme="minorEastAsia" w:eastAsiaTheme="minorEastAsia"/>
                <w:color w:val="auto"/>
                <w:sz w:val="24"/>
                <w:highlight w:val="none"/>
              </w:rPr>
            </w:pPr>
          </w:p>
        </w:tc>
        <w:tc>
          <w:tcPr>
            <w:tcW w:w="692" w:type="pct"/>
          </w:tcPr>
          <w:p w14:paraId="1562FB84">
            <w:pPr>
              <w:rPr>
                <w:rFonts w:asciiTheme="minorEastAsia" w:hAnsiTheme="minorEastAsia" w:eastAsiaTheme="minorEastAsia"/>
                <w:color w:val="auto"/>
                <w:sz w:val="24"/>
                <w:highlight w:val="none"/>
              </w:rPr>
            </w:pPr>
          </w:p>
        </w:tc>
        <w:tc>
          <w:tcPr>
            <w:tcW w:w="394" w:type="pct"/>
          </w:tcPr>
          <w:p w14:paraId="47B838B2">
            <w:pPr>
              <w:rPr>
                <w:rFonts w:asciiTheme="minorEastAsia" w:hAnsiTheme="minorEastAsia" w:eastAsiaTheme="minorEastAsia"/>
                <w:color w:val="auto"/>
                <w:sz w:val="24"/>
                <w:highlight w:val="none"/>
              </w:rPr>
            </w:pPr>
          </w:p>
        </w:tc>
        <w:tc>
          <w:tcPr>
            <w:tcW w:w="394" w:type="pct"/>
          </w:tcPr>
          <w:p w14:paraId="513E3ED0">
            <w:pPr>
              <w:rPr>
                <w:rFonts w:asciiTheme="minorEastAsia" w:hAnsiTheme="minorEastAsia" w:eastAsiaTheme="minorEastAsia"/>
                <w:color w:val="auto"/>
                <w:sz w:val="24"/>
                <w:highlight w:val="none"/>
              </w:rPr>
            </w:pPr>
          </w:p>
        </w:tc>
        <w:tc>
          <w:tcPr>
            <w:tcW w:w="551" w:type="pct"/>
          </w:tcPr>
          <w:p w14:paraId="2F6B8049">
            <w:pPr>
              <w:rPr>
                <w:rFonts w:asciiTheme="minorEastAsia" w:hAnsiTheme="minorEastAsia" w:eastAsiaTheme="minorEastAsia"/>
                <w:color w:val="auto"/>
                <w:sz w:val="24"/>
                <w:highlight w:val="none"/>
              </w:rPr>
            </w:pPr>
          </w:p>
        </w:tc>
        <w:tc>
          <w:tcPr>
            <w:tcW w:w="551" w:type="pct"/>
          </w:tcPr>
          <w:p w14:paraId="4E4B8390">
            <w:pPr>
              <w:rPr>
                <w:rFonts w:asciiTheme="minorEastAsia" w:hAnsiTheme="minorEastAsia" w:eastAsiaTheme="minorEastAsia"/>
                <w:color w:val="auto"/>
                <w:sz w:val="24"/>
                <w:highlight w:val="none"/>
              </w:rPr>
            </w:pPr>
          </w:p>
        </w:tc>
        <w:tc>
          <w:tcPr>
            <w:tcW w:w="392" w:type="pct"/>
          </w:tcPr>
          <w:p w14:paraId="75E1D288">
            <w:pPr>
              <w:rPr>
                <w:rFonts w:asciiTheme="minorEastAsia" w:hAnsiTheme="minorEastAsia" w:eastAsiaTheme="minorEastAsia"/>
                <w:color w:val="auto"/>
                <w:sz w:val="24"/>
                <w:highlight w:val="none"/>
              </w:rPr>
            </w:pPr>
          </w:p>
        </w:tc>
      </w:tr>
      <w:tr w14:paraId="4C710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391" w:type="pct"/>
          </w:tcPr>
          <w:p w14:paraId="14FC5E4D">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79" w:type="pct"/>
          </w:tcPr>
          <w:p w14:paraId="2B20956C">
            <w:pPr>
              <w:rPr>
                <w:rFonts w:asciiTheme="minorEastAsia" w:hAnsiTheme="minorEastAsia" w:eastAsiaTheme="minorEastAsia"/>
                <w:color w:val="auto"/>
                <w:sz w:val="24"/>
                <w:highlight w:val="none"/>
              </w:rPr>
            </w:pPr>
          </w:p>
        </w:tc>
        <w:tc>
          <w:tcPr>
            <w:tcW w:w="854" w:type="pct"/>
          </w:tcPr>
          <w:p w14:paraId="7C9A5478">
            <w:pPr>
              <w:rPr>
                <w:rFonts w:asciiTheme="minorEastAsia" w:hAnsiTheme="minorEastAsia" w:eastAsiaTheme="minorEastAsia"/>
                <w:color w:val="auto"/>
                <w:sz w:val="24"/>
                <w:highlight w:val="none"/>
              </w:rPr>
            </w:pPr>
          </w:p>
        </w:tc>
        <w:tc>
          <w:tcPr>
            <w:tcW w:w="692" w:type="pct"/>
          </w:tcPr>
          <w:p w14:paraId="611DF6FD">
            <w:pPr>
              <w:rPr>
                <w:rFonts w:asciiTheme="minorEastAsia" w:hAnsiTheme="minorEastAsia" w:eastAsiaTheme="minorEastAsia"/>
                <w:color w:val="auto"/>
                <w:sz w:val="24"/>
                <w:highlight w:val="none"/>
              </w:rPr>
            </w:pPr>
          </w:p>
        </w:tc>
        <w:tc>
          <w:tcPr>
            <w:tcW w:w="394" w:type="pct"/>
          </w:tcPr>
          <w:p w14:paraId="6F6B5379">
            <w:pPr>
              <w:rPr>
                <w:rFonts w:asciiTheme="minorEastAsia" w:hAnsiTheme="minorEastAsia" w:eastAsiaTheme="minorEastAsia"/>
                <w:color w:val="auto"/>
                <w:sz w:val="24"/>
                <w:highlight w:val="none"/>
              </w:rPr>
            </w:pPr>
          </w:p>
        </w:tc>
        <w:tc>
          <w:tcPr>
            <w:tcW w:w="394" w:type="pct"/>
          </w:tcPr>
          <w:p w14:paraId="59A0C8E8">
            <w:pPr>
              <w:rPr>
                <w:rFonts w:asciiTheme="minorEastAsia" w:hAnsiTheme="minorEastAsia" w:eastAsiaTheme="minorEastAsia"/>
                <w:color w:val="auto"/>
                <w:sz w:val="24"/>
                <w:highlight w:val="none"/>
              </w:rPr>
            </w:pPr>
          </w:p>
        </w:tc>
        <w:tc>
          <w:tcPr>
            <w:tcW w:w="551" w:type="pct"/>
          </w:tcPr>
          <w:p w14:paraId="5D5F221C">
            <w:pPr>
              <w:rPr>
                <w:rFonts w:asciiTheme="minorEastAsia" w:hAnsiTheme="minorEastAsia" w:eastAsiaTheme="minorEastAsia"/>
                <w:color w:val="auto"/>
                <w:sz w:val="24"/>
                <w:highlight w:val="none"/>
              </w:rPr>
            </w:pPr>
          </w:p>
        </w:tc>
        <w:tc>
          <w:tcPr>
            <w:tcW w:w="551" w:type="pct"/>
          </w:tcPr>
          <w:p w14:paraId="05571B06">
            <w:pPr>
              <w:rPr>
                <w:rFonts w:asciiTheme="minorEastAsia" w:hAnsiTheme="minorEastAsia" w:eastAsiaTheme="minorEastAsia"/>
                <w:color w:val="auto"/>
                <w:sz w:val="24"/>
                <w:highlight w:val="none"/>
              </w:rPr>
            </w:pPr>
          </w:p>
        </w:tc>
        <w:tc>
          <w:tcPr>
            <w:tcW w:w="392" w:type="pct"/>
          </w:tcPr>
          <w:p w14:paraId="636423AC">
            <w:pPr>
              <w:rPr>
                <w:rFonts w:asciiTheme="minorEastAsia" w:hAnsiTheme="minorEastAsia" w:eastAsiaTheme="minorEastAsia"/>
                <w:color w:val="auto"/>
                <w:sz w:val="24"/>
                <w:highlight w:val="none"/>
              </w:rPr>
            </w:pPr>
          </w:p>
        </w:tc>
      </w:tr>
      <w:tr w14:paraId="1B469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Pr>
          <w:p w14:paraId="6709AAE6">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79" w:type="pct"/>
          </w:tcPr>
          <w:p w14:paraId="694A2705">
            <w:pPr>
              <w:rPr>
                <w:rFonts w:asciiTheme="minorEastAsia" w:hAnsiTheme="minorEastAsia" w:eastAsiaTheme="minorEastAsia"/>
                <w:color w:val="auto"/>
                <w:sz w:val="24"/>
                <w:highlight w:val="none"/>
              </w:rPr>
            </w:pPr>
          </w:p>
        </w:tc>
        <w:tc>
          <w:tcPr>
            <w:tcW w:w="854" w:type="pct"/>
          </w:tcPr>
          <w:p w14:paraId="63F1361F">
            <w:pPr>
              <w:rPr>
                <w:rFonts w:asciiTheme="minorEastAsia" w:hAnsiTheme="minorEastAsia" w:eastAsiaTheme="minorEastAsia"/>
                <w:color w:val="auto"/>
                <w:sz w:val="24"/>
                <w:highlight w:val="none"/>
              </w:rPr>
            </w:pPr>
          </w:p>
        </w:tc>
        <w:tc>
          <w:tcPr>
            <w:tcW w:w="692" w:type="pct"/>
          </w:tcPr>
          <w:p w14:paraId="1EB2D208">
            <w:pPr>
              <w:rPr>
                <w:rFonts w:asciiTheme="minorEastAsia" w:hAnsiTheme="minorEastAsia" w:eastAsiaTheme="minorEastAsia"/>
                <w:color w:val="auto"/>
                <w:sz w:val="24"/>
                <w:highlight w:val="none"/>
              </w:rPr>
            </w:pPr>
          </w:p>
        </w:tc>
        <w:tc>
          <w:tcPr>
            <w:tcW w:w="394" w:type="pct"/>
          </w:tcPr>
          <w:p w14:paraId="26D26528">
            <w:pPr>
              <w:rPr>
                <w:rFonts w:asciiTheme="minorEastAsia" w:hAnsiTheme="minorEastAsia" w:eastAsiaTheme="minorEastAsia"/>
                <w:color w:val="auto"/>
                <w:sz w:val="24"/>
                <w:highlight w:val="none"/>
              </w:rPr>
            </w:pPr>
          </w:p>
        </w:tc>
        <w:tc>
          <w:tcPr>
            <w:tcW w:w="394" w:type="pct"/>
          </w:tcPr>
          <w:p w14:paraId="6C39EA72">
            <w:pPr>
              <w:rPr>
                <w:rFonts w:asciiTheme="minorEastAsia" w:hAnsiTheme="minorEastAsia" w:eastAsiaTheme="minorEastAsia"/>
                <w:color w:val="auto"/>
                <w:sz w:val="24"/>
                <w:highlight w:val="none"/>
              </w:rPr>
            </w:pPr>
          </w:p>
        </w:tc>
        <w:tc>
          <w:tcPr>
            <w:tcW w:w="551" w:type="pct"/>
          </w:tcPr>
          <w:p w14:paraId="65244B1B">
            <w:pPr>
              <w:rPr>
                <w:rFonts w:asciiTheme="minorEastAsia" w:hAnsiTheme="minorEastAsia" w:eastAsiaTheme="minorEastAsia"/>
                <w:color w:val="auto"/>
                <w:sz w:val="24"/>
                <w:highlight w:val="none"/>
              </w:rPr>
            </w:pPr>
          </w:p>
        </w:tc>
        <w:tc>
          <w:tcPr>
            <w:tcW w:w="551" w:type="pct"/>
          </w:tcPr>
          <w:p w14:paraId="02B02858">
            <w:pPr>
              <w:rPr>
                <w:rFonts w:asciiTheme="minorEastAsia" w:hAnsiTheme="minorEastAsia" w:eastAsiaTheme="minorEastAsia"/>
                <w:color w:val="auto"/>
                <w:sz w:val="24"/>
                <w:highlight w:val="none"/>
              </w:rPr>
            </w:pPr>
          </w:p>
        </w:tc>
        <w:tc>
          <w:tcPr>
            <w:tcW w:w="392" w:type="pct"/>
          </w:tcPr>
          <w:p w14:paraId="728366C7">
            <w:pPr>
              <w:rPr>
                <w:rFonts w:asciiTheme="minorEastAsia" w:hAnsiTheme="minorEastAsia" w:eastAsiaTheme="minorEastAsia"/>
                <w:color w:val="auto"/>
                <w:sz w:val="24"/>
                <w:highlight w:val="none"/>
              </w:rPr>
            </w:pPr>
          </w:p>
        </w:tc>
      </w:tr>
      <w:tr w14:paraId="6FDA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391" w:type="pct"/>
          </w:tcPr>
          <w:p w14:paraId="216FA39D">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79" w:type="pct"/>
          </w:tcPr>
          <w:p w14:paraId="0F817FD6">
            <w:pPr>
              <w:rPr>
                <w:rFonts w:asciiTheme="minorEastAsia" w:hAnsiTheme="minorEastAsia" w:eastAsiaTheme="minorEastAsia"/>
                <w:color w:val="auto"/>
                <w:sz w:val="24"/>
                <w:highlight w:val="none"/>
              </w:rPr>
            </w:pPr>
          </w:p>
        </w:tc>
        <w:tc>
          <w:tcPr>
            <w:tcW w:w="854" w:type="pct"/>
          </w:tcPr>
          <w:p w14:paraId="722F4DF8">
            <w:pPr>
              <w:rPr>
                <w:rFonts w:asciiTheme="minorEastAsia" w:hAnsiTheme="minorEastAsia" w:eastAsiaTheme="minorEastAsia"/>
                <w:color w:val="auto"/>
                <w:sz w:val="24"/>
                <w:highlight w:val="none"/>
              </w:rPr>
            </w:pPr>
          </w:p>
        </w:tc>
        <w:tc>
          <w:tcPr>
            <w:tcW w:w="692" w:type="pct"/>
          </w:tcPr>
          <w:p w14:paraId="35FBF0FA">
            <w:pPr>
              <w:rPr>
                <w:rFonts w:asciiTheme="minorEastAsia" w:hAnsiTheme="minorEastAsia" w:eastAsiaTheme="minorEastAsia"/>
                <w:color w:val="auto"/>
                <w:sz w:val="24"/>
                <w:highlight w:val="none"/>
              </w:rPr>
            </w:pPr>
          </w:p>
        </w:tc>
        <w:tc>
          <w:tcPr>
            <w:tcW w:w="394" w:type="pct"/>
          </w:tcPr>
          <w:p w14:paraId="7A331850">
            <w:pPr>
              <w:rPr>
                <w:rFonts w:asciiTheme="minorEastAsia" w:hAnsiTheme="minorEastAsia" w:eastAsiaTheme="minorEastAsia"/>
                <w:color w:val="auto"/>
                <w:sz w:val="24"/>
                <w:highlight w:val="none"/>
              </w:rPr>
            </w:pPr>
          </w:p>
        </w:tc>
        <w:tc>
          <w:tcPr>
            <w:tcW w:w="394" w:type="pct"/>
          </w:tcPr>
          <w:p w14:paraId="30ED7DC9">
            <w:pPr>
              <w:rPr>
                <w:rFonts w:asciiTheme="minorEastAsia" w:hAnsiTheme="minorEastAsia" w:eastAsiaTheme="minorEastAsia"/>
                <w:color w:val="auto"/>
                <w:sz w:val="24"/>
                <w:highlight w:val="none"/>
              </w:rPr>
            </w:pPr>
          </w:p>
        </w:tc>
        <w:tc>
          <w:tcPr>
            <w:tcW w:w="551" w:type="pct"/>
          </w:tcPr>
          <w:p w14:paraId="75DEFB94">
            <w:pPr>
              <w:rPr>
                <w:rFonts w:asciiTheme="minorEastAsia" w:hAnsiTheme="minorEastAsia" w:eastAsiaTheme="minorEastAsia"/>
                <w:color w:val="auto"/>
                <w:sz w:val="24"/>
                <w:highlight w:val="none"/>
              </w:rPr>
            </w:pPr>
          </w:p>
        </w:tc>
        <w:tc>
          <w:tcPr>
            <w:tcW w:w="551" w:type="pct"/>
          </w:tcPr>
          <w:p w14:paraId="51233A3D">
            <w:pPr>
              <w:rPr>
                <w:rFonts w:asciiTheme="minorEastAsia" w:hAnsiTheme="minorEastAsia" w:eastAsiaTheme="minorEastAsia"/>
                <w:color w:val="auto"/>
                <w:sz w:val="24"/>
                <w:highlight w:val="none"/>
              </w:rPr>
            </w:pPr>
          </w:p>
        </w:tc>
        <w:tc>
          <w:tcPr>
            <w:tcW w:w="392" w:type="pct"/>
          </w:tcPr>
          <w:p w14:paraId="5FAC1254">
            <w:pPr>
              <w:rPr>
                <w:rFonts w:asciiTheme="minorEastAsia" w:hAnsiTheme="minorEastAsia" w:eastAsiaTheme="minorEastAsia"/>
                <w:color w:val="auto"/>
                <w:sz w:val="24"/>
                <w:highlight w:val="none"/>
              </w:rPr>
            </w:pPr>
          </w:p>
        </w:tc>
      </w:tr>
      <w:tr w14:paraId="7C1BE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Pr>
          <w:p w14:paraId="238300AE">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79" w:type="pct"/>
          </w:tcPr>
          <w:p w14:paraId="6D91492F">
            <w:pPr>
              <w:rPr>
                <w:rFonts w:asciiTheme="minorEastAsia" w:hAnsiTheme="minorEastAsia" w:eastAsiaTheme="minorEastAsia"/>
                <w:color w:val="auto"/>
                <w:sz w:val="24"/>
                <w:highlight w:val="none"/>
              </w:rPr>
            </w:pPr>
          </w:p>
        </w:tc>
        <w:tc>
          <w:tcPr>
            <w:tcW w:w="854" w:type="pct"/>
          </w:tcPr>
          <w:p w14:paraId="21270D5A">
            <w:pPr>
              <w:rPr>
                <w:rFonts w:asciiTheme="minorEastAsia" w:hAnsiTheme="minorEastAsia" w:eastAsiaTheme="minorEastAsia"/>
                <w:color w:val="auto"/>
                <w:sz w:val="24"/>
                <w:highlight w:val="none"/>
              </w:rPr>
            </w:pPr>
          </w:p>
        </w:tc>
        <w:tc>
          <w:tcPr>
            <w:tcW w:w="692" w:type="pct"/>
          </w:tcPr>
          <w:p w14:paraId="4452D703">
            <w:pPr>
              <w:rPr>
                <w:rFonts w:asciiTheme="minorEastAsia" w:hAnsiTheme="minorEastAsia" w:eastAsiaTheme="minorEastAsia"/>
                <w:color w:val="auto"/>
                <w:sz w:val="24"/>
                <w:highlight w:val="none"/>
              </w:rPr>
            </w:pPr>
          </w:p>
        </w:tc>
        <w:tc>
          <w:tcPr>
            <w:tcW w:w="394" w:type="pct"/>
          </w:tcPr>
          <w:p w14:paraId="2BEB181F">
            <w:pPr>
              <w:rPr>
                <w:rFonts w:asciiTheme="minorEastAsia" w:hAnsiTheme="minorEastAsia" w:eastAsiaTheme="minorEastAsia"/>
                <w:color w:val="auto"/>
                <w:sz w:val="24"/>
                <w:highlight w:val="none"/>
              </w:rPr>
            </w:pPr>
          </w:p>
        </w:tc>
        <w:tc>
          <w:tcPr>
            <w:tcW w:w="394" w:type="pct"/>
          </w:tcPr>
          <w:p w14:paraId="7AED8E61">
            <w:pPr>
              <w:rPr>
                <w:rFonts w:asciiTheme="minorEastAsia" w:hAnsiTheme="minorEastAsia" w:eastAsiaTheme="minorEastAsia"/>
                <w:color w:val="auto"/>
                <w:sz w:val="24"/>
                <w:highlight w:val="none"/>
              </w:rPr>
            </w:pPr>
          </w:p>
        </w:tc>
        <w:tc>
          <w:tcPr>
            <w:tcW w:w="551" w:type="pct"/>
          </w:tcPr>
          <w:p w14:paraId="2E9E6A81">
            <w:pPr>
              <w:rPr>
                <w:rFonts w:asciiTheme="minorEastAsia" w:hAnsiTheme="minorEastAsia" w:eastAsiaTheme="minorEastAsia"/>
                <w:color w:val="auto"/>
                <w:sz w:val="24"/>
                <w:highlight w:val="none"/>
              </w:rPr>
            </w:pPr>
          </w:p>
        </w:tc>
        <w:tc>
          <w:tcPr>
            <w:tcW w:w="551" w:type="pct"/>
          </w:tcPr>
          <w:p w14:paraId="6C540FED">
            <w:pPr>
              <w:rPr>
                <w:rFonts w:asciiTheme="minorEastAsia" w:hAnsiTheme="minorEastAsia" w:eastAsiaTheme="minorEastAsia"/>
                <w:color w:val="auto"/>
                <w:sz w:val="24"/>
                <w:highlight w:val="none"/>
              </w:rPr>
            </w:pPr>
          </w:p>
        </w:tc>
        <w:tc>
          <w:tcPr>
            <w:tcW w:w="392" w:type="pct"/>
          </w:tcPr>
          <w:p w14:paraId="2DE50B05">
            <w:pPr>
              <w:rPr>
                <w:rFonts w:asciiTheme="minorEastAsia" w:hAnsiTheme="minorEastAsia" w:eastAsiaTheme="minorEastAsia"/>
                <w:color w:val="auto"/>
                <w:sz w:val="24"/>
                <w:highlight w:val="none"/>
              </w:rPr>
            </w:pPr>
          </w:p>
        </w:tc>
      </w:tr>
      <w:tr w14:paraId="69251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Pr>
          <w:p w14:paraId="7536765E">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79" w:type="pct"/>
          </w:tcPr>
          <w:p w14:paraId="5C1D2953">
            <w:pPr>
              <w:rPr>
                <w:rFonts w:asciiTheme="minorEastAsia" w:hAnsiTheme="minorEastAsia" w:eastAsiaTheme="minorEastAsia"/>
                <w:color w:val="auto"/>
                <w:sz w:val="24"/>
                <w:highlight w:val="none"/>
              </w:rPr>
            </w:pPr>
          </w:p>
        </w:tc>
        <w:tc>
          <w:tcPr>
            <w:tcW w:w="854" w:type="pct"/>
          </w:tcPr>
          <w:p w14:paraId="7AAE042A">
            <w:pPr>
              <w:rPr>
                <w:rFonts w:asciiTheme="minorEastAsia" w:hAnsiTheme="minorEastAsia" w:eastAsiaTheme="minorEastAsia"/>
                <w:color w:val="auto"/>
                <w:sz w:val="24"/>
                <w:highlight w:val="none"/>
              </w:rPr>
            </w:pPr>
          </w:p>
        </w:tc>
        <w:tc>
          <w:tcPr>
            <w:tcW w:w="692" w:type="pct"/>
          </w:tcPr>
          <w:p w14:paraId="4E59C5B4">
            <w:pPr>
              <w:rPr>
                <w:rFonts w:asciiTheme="minorEastAsia" w:hAnsiTheme="minorEastAsia" w:eastAsiaTheme="minorEastAsia"/>
                <w:color w:val="auto"/>
                <w:sz w:val="24"/>
                <w:highlight w:val="none"/>
              </w:rPr>
            </w:pPr>
          </w:p>
        </w:tc>
        <w:tc>
          <w:tcPr>
            <w:tcW w:w="394" w:type="pct"/>
          </w:tcPr>
          <w:p w14:paraId="740A9399">
            <w:pPr>
              <w:rPr>
                <w:rFonts w:asciiTheme="minorEastAsia" w:hAnsiTheme="minorEastAsia" w:eastAsiaTheme="minorEastAsia"/>
                <w:color w:val="auto"/>
                <w:sz w:val="24"/>
                <w:highlight w:val="none"/>
              </w:rPr>
            </w:pPr>
          </w:p>
        </w:tc>
        <w:tc>
          <w:tcPr>
            <w:tcW w:w="394" w:type="pct"/>
          </w:tcPr>
          <w:p w14:paraId="35B5ABF3">
            <w:pPr>
              <w:rPr>
                <w:rFonts w:asciiTheme="minorEastAsia" w:hAnsiTheme="minorEastAsia" w:eastAsiaTheme="minorEastAsia"/>
                <w:color w:val="auto"/>
                <w:sz w:val="24"/>
                <w:highlight w:val="none"/>
              </w:rPr>
            </w:pPr>
          </w:p>
        </w:tc>
        <w:tc>
          <w:tcPr>
            <w:tcW w:w="551" w:type="pct"/>
          </w:tcPr>
          <w:p w14:paraId="358E2335">
            <w:pPr>
              <w:rPr>
                <w:rFonts w:asciiTheme="minorEastAsia" w:hAnsiTheme="minorEastAsia" w:eastAsiaTheme="minorEastAsia"/>
                <w:color w:val="auto"/>
                <w:sz w:val="24"/>
                <w:highlight w:val="none"/>
              </w:rPr>
            </w:pPr>
          </w:p>
        </w:tc>
        <w:tc>
          <w:tcPr>
            <w:tcW w:w="551" w:type="pct"/>
          </w:tcPr>
          <w:p w14:paraId="74A94F22">
            <w:pPr>
              <w:rPr>
                <w:rFonts w:asciiTheme="minorEastAsia" w:hAnsiTheme="minorEastAsia" w:eastAsiaTheme="minorEastAsia"/>
                <w:color w:val="auto"/>
                <w:sz w:val="24"/>
                <w:highlight w:val="none"/>
              </w:rPr>
            </w:pPr>
          </w:p>
        </w:tc>
        <w:tc>
          <w:tcPr>
            <w:tcW w:w="392" w:type="pct"/>
          </w:tcPr>
          <w:p w14:paraId="2AEB7FE0">
            <w:pPr>
              <w:rPr>
                <w:rFonts w:asciiTheme="minorEastAsia" w:hAnsiTheme="minorEastAsia" w:eastAsiaTheme="minorEastAsia"/>
                <w:color w:val="auto"/>
                <w:sz w:val="24"/>
                <w:highlight w:val="none"/>
              </w:rPr>
            </w:pPr>
          </w:p>
        </w:tc>
      </w:tr>
      <w:tr w14:paraId="23A7F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Pr>
          <w:p w14:paraId="1277C93E">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79" w:type="pct"/>
          </w:tcPr>
          <w:p w14:paraId="1A4C6AAD">
            <w:pPr>
              <w:rPr>
                <w:rFonts w:asciiTheme="minorEastAsia" w:hAnsiTheme="minorEastAsia" w:eastAsiaTheme="minorEastAsia"/>
                <w:color w:val="auto"/>
                <w:sz w:val="24"/>
                <w:highlight w:val="none"/>
              </w:rPr>
            </w:pPr>
          </w:p>
        </w:tc>
        <w:tc>
          <w:tcPr>
            <w:tcW w:w="854" w:type="pct"/>
          </w:tcPr>
          <w:p w14:paraId="09E7D513">
            <w:pPr>
              <w:rPr>
                <w:rFonts w:asciiTheme="minorEastAsia" w:hAnsiTheme="minorEastAsia" w:eastAsiaTheme="minorEastAsia"/>
                <w:color w:val="auto"/>
                <w:sz w:val="24"/>
                <w:highlight w:val="none"/>
              </w:rPr>
            </w:pPr>
          </w:p>
        </w:tc>
        <w:tc>
          <w:tcPr>
            <w:tcW w:w="692" w:type="pct"/>
          </w:tcPr>
          <w:p w14:paraId="2EA21D74">
            <w:pPr>
              <w:rPr>
                <w:rFonts w:asciiTheme="minorEastAsia" w:hAnsiTheme="minorEastAsia" w:eastAsiaTheme="minorEastAsia"/>
                <w:color w:val="auto"/>
                <w:sz w:val="24"/>
                <w:highlight w:val="none"/>
              </w:rPr>
            </w:pPr>
          </w:p>
        </w:tc>
        <w:tc>
          <w:tcPr>
            <w:tcW w:w="394" w:type="pct"/>
          </w:tcPr>
          <w:p w14:paraId="541B4388">
            <w:pPr>
              <w:rPr>
                <w:rFonts w:asciiTheme="minorEastAsia" w:hAnsiTheme="minorEastAsia" w:eastAsiaTheme="minorEastAsia"/>
                <w:color w:val="auto"/>
                <w:sz w:val="24"/>
                <w:highlight w:val="none"/>
              </w:rPr>
            </w:pPr>
          </w:p>
        </w:tc>
        <w:tc>
          <w:tcPr>
            <w:tcW w:w="394" w:type="pct"/>
          </w:tcPr>
          <w:p w14:paraId="2247DE7B">
            <w:pPr>
              <w:rPr>
                <w:rFonts w:asciiTheme="minorEastAsia" w:hAnsiTheme="minorEastAsia" w:eastAsiaTheme="minorEastAsia"/>
                <w:color w:val="auto"/>
                <w:sz w:val="24"/>
                <w:highlight w:val="none"/>
              </w:rPr>
            </w:pPr>
          </w:p>
        </w:tc>
        <w:tc>
          <w:tcPr>
            <w:tcW w:w="551" w:type="pct"/>
          </w:tcPr>
          <w:p w14:paraId="5E0D9702">
            <w:pPr>
              <w:rPr>
                <w:rFonts w:asciiTheme="minorEastAsia" w:hAnsiTheme="minorEastAsia" w:eastAsiaTheme="minorEastAsia"/>
                <w:color w:val="auto"/>
                <w:sz w:val="24"/>
                <w:highlight w:val="none"/>
              </w:rPr>
            </w:pPr>
          </w:p>
        </w:tc>
        <w:tc>
          <w:tcPr>
            <w:tcW w:w="551" w:type="pct"/>
          </w:tcPr>
          <w:p w14:paraId="39678497">
            <w:pPr>
              <w:rPr>
                <w:rFonts w:asciiTheme="minorEastAsia" w:hAnsiTheme="minorEastAsia" w:eastAsiaTheme="minorEastAsia"/>
                <w:color w:val="auto"/>
                <w:sz w:val="24"/>
                <w:highlight w:val="none"/>
              </w:rPr>
            </w:pPr>
          </w:p>
        </w:tc>
        <w:tc>
          <w:tcPr>
            <w:tcW w:w="392" w:type="pct"/>
          </w:tcPr>
          <w:p w14:paraId="505031ED">
            <w:pPr>
              <w:rPr>
                <w:rFonts w:asciiTheme="minorEastAsia" w:hAnsiTheme="minorEastAsia" w:eastAsiaTheme="minorEastAsia"/>
                <w:color w:val="auto"/>
                <w:sz w:val="24"/>
                <w:highlight w:val="none"/>
              </w:rPr>
            </w:pPr>
          </w:p>
        </w:tc>
      </w:tr>
      <w:tr w14:paraId="471E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Pr>
          <w:p w14:paraId="4DAF1475">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79" w:type="pct"/>
          </w:tcPr>
          <w:p w14:paraId="3655C114">
            <w:pPr>
              <w:rPr>
                <w:rFonts w:asciiTheme="minorEastAsia" w:hAnsiTheme="minorEastAsia" w:eastAsiaTheme="minorEastAsia"/>
                <w:color w:val="auto"/>
                <w:sz w:val="24"/>
                <w:highlight w:val="none"/>
              </w:rPr>
            </w:pPr>
          </w:p>
        </w:tc>
        <w:tc>
          <w:tcPr>
            <w:tcW w:w="854" w:type="pct"/>
          </w:tcPr>
          <w:p w14:paraId="76CFC16B">
            <w:pPr>
              <w:rPr>
                <w:rFonts w:asciiTheme="minorEastAsia" w:hAnsiTheme="minorEastAsia" w:eastAsiaTheme="minorEastAsia"/>
                <w:color w:val="auto"/>
                <w:sz w:val="24"/>
                <w:highlight w:val="none"/>
              </w:rPr>
            </w:pPr>
          </w:p>
        </w:tc>
        <w:tc>
          <w:tcPr>
            <w:tcW w:w="692" w:type="pct"/>
          </w:tcPr>
          <w:p w14:paraId="7E0409B4">
            <w:pPr>
              <w:rPr>
                <w:rFonts w:asciiTheme="minorEastAsia" w:hAnsiTheme="minorEastAsia" w:eastAsiaTheme="minorEastAsia"/>
                <w:color w:val="auto"/>
                <w:sz w:val="24"/>
                <w:highlight w:val="none"/>
              </w:rPr>
            </w:pPr>
          </w:p>
        </w:tc>
        <w:tc>
          <w:tcPr>
            <w:tcW w:w="394" w:type="pct"/>
          </w:tcPr>
          <w:p w14:paraId="72B5A088">
            <w:pPr>
              <w:rPr>
                <w:rFonts w:asciiTheme="minorEastAsia" w:hAnsiTheme="minorEastAsia" w:eastAsiaTheme="minorEastAsia"/>
                <w:color w:val="auto"/>
                <w:sz w:val="24"/>
                <w:highlight w:val="none"/>
              </w:rPr>
            </w:pPr>
          </w:p>
        </w:tc>
        <w:tc>
          <w:tcPr>
            <w:tcW w:w="394" w:type="pct"/>
          </w:tcPr>
          <w:p w14:paraId="6C31F5F4">
            <w:pPr>
              <w:rPr>
                <w:rFonts w:asciiTheme="minorEastAsia" w:hAnsiTheme="minorEastAsia" w:eastAsiaTheme="minorEastAsia"/>
                <w:color w:val="auto"/>
                <w:sz w:val="24"/>
                <w:highlight w:val="none"/>
              </w:rPr>
            </w:pPr>
          </w:p>
        </w:tc>
        <w:tc>
          <w:tcPr>
            <w:tcW w:w="551" w:type="pct"/>
          </w:tcPr>
          <w:p w14:paraId="2E08683B">
            <w:pPr>
              <w:rPr>
                <w:rFonts w:asciiTheme="minorEastAsia" w:hAnsiTheme="minorEastAsia" w:eastAsiaTheme="minorEastAsia"/>
                <w:color w:val="auto"/>
                <w:sz w:val="24"/>
                <w:highlight w:val="none"/>
              </w:rPr>
            </w:pPr>
          </w:p>
        </w:tc>
        <w:tc>
          <w:tcPr>
            <w:tcW w:w="551" w:type="pct"/>
          </w:tcPr>
          <w:p w14:paraId="1AD31CBB">
            <w:pPr>
              <w:rPr>
                <w:rFonts w:asciiTheme="minorEastAsia" w:hAnsiTheme="minorEastAsia" w:eastAsiaTheme="minorEastAsia"/>
                <w:color w:val="auto"/>
                <w:sz w:val="24"/>
                <w:highlight w:val="none"/>
              </w:rPr>
            </w:pPr>
          </w:p>
        </w:tc>
        <w:tc>
          <w:tcPr>
            <w:tcW w:w="392" w:type="pct"/>
          </w:tcPr>
          <w:p w14:paraId="4427C26A">
            <w:pPr>
              <w:rPr>
                <w:rFonts w:asciiTheme="minorEastAsia" w:hAnsiTheme="minorEastAsia" w:eastAsiaTheme="minorEastAsia"/>
                <w:color w:val="auto"/>
                <w:sz w:val="24"/>
                <w:highlight w:val="none"/>
              </w:rPr>
            </w:pPr>
          </w:p>
        </w:tc>
      </w:tr>
      <w:tr w14:paraId="731F0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Pr>
          <w:p w14:paraId="1A1A160B">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79" w:type="pct"/>
          </w:tcPr>
          <w:p w14:paraId="4324630B">
            <w:pPr>
              <w:rPr>
                <w:rFonts w:asciiTheme="minorEastAsia" w:hAnsiTheme="minorEastAsia" w:eastAsiaTheme="minorEastAsia"/>
                <w:color w:val="auto"/>
                <w:sz w:val="24"/>
                <w:highlight w:val="none"/>
              </w:rPr>
            </w:pPr>
          </w:p>
        </w:tc>
        <w:tc>
          <w:tcPr>
            <w:tcW w:w="854" w:type="pct"/>
          </w:tcPr>
          <w:p w14:paraId="3A874488">
            <w:pPr>
              <w:rPr>
                <w:rFonts w:asciiTheme="minorEastAsia" w:hAnsiTheme="minorEastAsia" w:eastAsiaTheme="minorEastAsia"/>
                <w:color w:val="auto"/>
                <w:sz w:val="24"/>
                <w:highlight w:val="none"/>
              </w:rPr>
            </w:pPr>
          </w:p>
        </w:tc>
        <w:tc>
          <w:tcPr>
            <w:tcW w:w="692" w:type="pct"/>
          </w:tcPr>
          <w:p w14:paraId="020A67B8">
            <w:pPr>
              <w:rPr>
                <w:rFonts w:asciiTheme="minorEastAsia" w:hAnsiTheme="minorEastAsia" w:eastAsiaTheme="minorEastAsia"/>
                <w:color w:val="auto"/>
                <w:sz w:val="24"/>
                <w:highlight w:val="none"/>
              </w:rPr>
            </w:pPr>
          </w:p>
        </w:tc>
        <w:tc>
          <w:tcPr>
            <w:tcW w:w="394" w:type="pct"/>
          </w:tcPr>
          <w:p w14:paraId="6408FE75">
            <w:pPr>
              <w:rPr>
                <w:rFonts w:asciiTheme="minorEastAsia" w:hAnsiTheme="minorEastAsia" w:eastAsiaTheme="minorEastAsia"/>
                <w:color w:val="auto"/>
                <w:sz w:val="24"/>
                <w:highlight w:val="none"/>
              </w:rPr>
            </w:pPr>
          </w:p>
        </w:tc>
        <w:tc>
          <w:tcPr>
            <w:tcW w:w="394" w:type="pct"/>
          </w:tcPr>
          <w:p w14:paraId="5F9D4DE5">
            <w:pPr>
              <w:rPr>
                <w:rFonts w:asciiTheme="minorEastAsia" w:hAnsiTheme="minorEastAsia" w:eastAsiaTheme="minorEastAsia"/>
                <w:color w:val="auto"/>
                <w:sz w:val="24"/>
                <w:highlight w:val="none"/>
              </w:rPr>
            </w:pPr>
          </w:p>
        </w:tc>
        <w:tc>
          <w:tcPr>
            <w:tcW w:w="551" w:type="pct"/>
          </w:tcPr>
          <w:p w14:paraId="56244127">
            <w:pPr>
              <w:rPr>
                <w:rFonts w:asciiTheme="minorEastAsia" w:hAnsiTheme="minorEastAsia" w:eastAsiaTheme="minorEastAsia"/>
                <w:color w:val="auto"/>
                <w:sz w:val="24"/>
                <w:highlight w:val="none"/>
              </w:rPr>
            </w:pPr>
          </w:p>
        </w:tc>
        <w:tc>
          <w:tcPr>
            <w:tcW w:w="551" w:type="pct"/>
          </w:tcPr>
          <w:p w14:paraId="44C530CA">
            <w:pPr>
              <w:rPr>
                <w:rFonts w:asciiTheme="minorEastAsia" w:hAnsiTheme="minorEastAsia" w:eastAsiaTheme="minorEastAsia"/>
                <w:color w:val="auto"/>
                <w:sz w:val="24"/>
                <w:highlight w:val="none"/>
              </w:rPr>
            </w:pPr>
          </w:p>
        </w:tc>
        <w:tc>
          <w:tcPr>
            <w:tcW w:w="392" w:type="pct"/>
          </w:tcPr>
          <w:p w14:paraId="56B57B55">
            <w:pPr>
              <w:rPr>
                <w:rFonts w:asciiTheme="minorEastAsia" w:hAnsiTheme="minorEastAsia" w:eastAsiaTheme="minorEastAsia"/>
                <w:color w:val="auto"/>
                <w:sz w:val="24"/>
                <w:highlight w:val="none"/>
              </w:rPr>
            </w:pPr>
          </w:p>
        </w:tc>
      </w:tr>
      <w:tr w14:paraId="6C1A9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Pr>
          <w:p w14:paraId="72EA0481">
            <w:pPr>
              <w:jc w:val="center"/>
              <w:rPr>
                <w:rFonts w:asciiTheme="minorEastAsia" w:hAnsiTheme="minorEastAsia" w:eastAsiaTheme="minorEastAsia"/>
                <w:color w:val="auto"/>
                <w:sz w:val="24"/>
                <w:highlight w:val="none"/>
              </w:rPr>
            </w:pPr>
          </w:p>
        </w:tc>
        <w:tc>
          <w:tcPr>
            <w:tcW w:w="779" w:type="pct"/>
            <w:vAlign w:val="center"/>
          </w:tcPr>
          <w:p w14:paraId="1C735B08">
            <w:pPr>
              <w:pStyle w:val="56"/>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854" w:type="pct"/>
          </w:tcPr>
          <w:p w14:paraId="28EAF9EE">
            <w:pPr>
              <w:rPr>
                <w:rFonts w:asciiTheme="minorEastAsia" w:hAnsiTheme="minorEastAsia" w:eastAsiaTheme="minorEastAsia"/>
                <w:color w:val="auto"/>
                <w:sz w:val="24"/>
                <w:highlight w:val="none"/>
              </w:rPr>
            </w:pPr>
          </w:p>
        </w:tc>
        <w:tc>
          <w:tcPr>
            <w:tcW w:w="692" w:type="pct"/>
          </w:tcPr>
          <w:p w14:paraId="66653445">
            <w:pPr>
              <w:rPr>
                <w:rFonts w:asciiTheme="minorEastAsia" w:hAnsiTheme="minorEastAsia" w:eastAsiaTheme="minorEastAsia"/>
                <w:color w:val="auto"/>
                <w:sz w:val="24"/>
                <w:highlight w:val="none"/>
              </w:rPr>
            </w:pPr>
          </w:p>
        </w:tc>
        <w:tc>
          <w:tcPr>
            <w:tcW w:w="394" w:type="pct"/>
          </w:tcPr>
          <w:p w14:paraId="3DCC48EB">
            <w:pPr>
              <w:rPr>
                <w:rFonts w:asciiTheme="minorEastAsia" w:hAnsiTheme="minorEastAsia" w:eastAsiaTheme="minorEastAsia"/>
                <w:color w:val="auto"/>
                <w:sz w:val="24"/>
                <w:highlight w:val="none"/>
              </w:rPr>
            </w:pPr>
          </w:p>
        </w:tc>
        <w:tc>
          <w:tcPr>
            <w:tcW w:w="394" w:type="pct"/>
          </w:tcPr>
          <w:p w14:paraId="5FB752F6">
            <w:pPr>
              <w:rPr>
                <w:rFonts w:asciiTheme="minorEastAsia" w:hAnsiTheme="minorEastAsia" w:eastAsiaTheme="minorEastAsia"/>
                <w:color w:val="auto"/>
                <w:sz w:val="24"/>
                <w:highlight w:val="none"/>
              </w:rPr>
            </w:pPr>
          </w:p>
        </w:tc>
        <w:tc>
          <w:tcPr>
            <w:tcW w:w="551" w:type="pct"/>
          </w:tcPr>
          <w:p w14:paraId="23D9F4BC">
            <w:pPr>
              <w:rPr>
                <w:rFonts w:asciiTheme="minorEastAsia" w:hAnsiTheme="minorEastAsia" w:eastAsiaTheme="minorEastAsia"/>
                <w:color w:val="auto"/>
                <w:sz w:val="24"/>
                <w:highlight w:val="none"/>
              </w:rPr>
            </w:pPr>
          </w:p>
        </w:tc>
        <w:tc>
          <w:tcPr>
            <w:tcW w:w="551" w:type="pct"/>
          </w:tcPr>
          <w:p w14:paraId="6A7DD364">
            <w:pPr>
              <w:rPr>
                <w:rFonts w:asciiTheme="minorEastAsia" w:hAnsiTheme="minorEastAsia" w:eastAsiaTheme="minorEastAsia"/>
                <w:color w:val="auto"/>
                <w:sz w:val="24"/>
                <w:highlight w:val="none"/>
              </w:rPr>
            </w:pPr>
          </w:p>
        </w:tc>
        <w:tc>
          <w:tcPr>
            <w:tcW w:w="392" w:type="pct"/>
          </w:tcPr>
          <w:p w14:paraId="745DB437">
            <w:pPr>
              <w:rPr>
                <w:rFonts w:asciiTheme="minorEastAsia" w:hAnsiTheme="minorEastAsia" w:eastAsiaTheme="minorEastAsia"/>
                <w:color w:val="auto"/>
                <w:sz w:val="24"/>
                <w:highlight w:val="none"/>
              </w:rPr>
            </w:pPr>
          </w:p>
        </w:tc>
      </w:tr>
      <w:tr w14:paraId="326F7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Pr>
          <w:p w14:paraId="669AC2E2">
            <w:pPr>
              <w:jc w:val="center"/>
              <w:rPr>
                <w:rFonts w:asciiTheme="minorEastAsia" w:hAnsiTheme="minorEastAsia" w:eastAsiaTheme="minorEastAsia"/>
                <w:color w:val="auto"/>
                <w:sz w:val="24"/>
                <w:highlight w:val="none"/>
              </w:rPr>
            </w:pPr>
          </w:p>
        </w:tc>
        <w:tc>
          <w:tcPr>
            <w:tcW w:w="779" w:type="pct"/>
          </w:tcPr>
          <w:p w14:paraId="01C5EDB2">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854" w:type="pct"/>
          </w:tcPr>
          <w:p w14:paraId="75ED2DB9">
            <w:pPr>
              <w:rPr>
                <w:rFonts w:asciiTheme="minorEastAsia" w:hAnsiTheme="minorEastAsia" w:eastAsiaTheme="minorEastAsia"/>
                <w:color w:val="auto"/>
                <w:sz w:val="24"/>
                <w:highlight w:val="none"/>
              </w:rPr>
            </w:pPr>
          </w:p>
        </w:tc>
        <w:tc>
          <w:tcPr>
            <w:tcW w:w="692" w:type="pct"/>
          </w:tcPr>
          <w:p w14:paraId="123CF35D">
            <w:pPr>
              <w:rPr>
                <w:rFonts w:asciiTheme="minorEastAsia" w:hAnsiTheme="minorEastAsia" w:eastAsiaTheme="minorEastAsia"/>
                <w:color w:val="auto"/>
                <w:sz w:val="24"/>
                <w:highlight w:val="none"/>
              </w:rPr>
            </w:pPr>
          </w:p>
        </w:tc>
        <w:tc>
          <w:tcPr>
            <w:tcW w:w="394" w:type="pct"/>
          </w:tcPr>
          <w:p w14:paraId="1435230D">
            <w:pPr>
              <w:rPr>
                <w:rFonts w:asciiTheme="minorEastAsia" w:hAnsiTheme="minorEastAsia" w:eastAsiaTheme="minorEastAsia"/>
                <w:color w:val="auto"/>
                <w:sz w:val="24"/>
                <w:highlight w:val="none"/>
              </w:rPr>
            </w:pPr>
          </w:p>
        </w:tc>
        <w:tc>
          <w:tcPr>
            <w:tcW w:w="394" w:type="pct"/>
          </w:tcPr>
          <w:p w14:paraId="7ED8A3F1">
            <w:pPr>
              <w:rPr>
                <w:rFonts w:asciiTheme="minorEastAsia" w:hAnsiTheme="minorEastAsia" w:eastAsiaTheme="minorEastAsia"/>
                <w:color w:val="auto"/>
                <w:sz w:val="24"/>
                <w:highlight w:val="none"/>
              </w:rPr>
            </w:pPr>
          </w:p>
        </w:tc>
        <w:tc>
          <w:tcPr>
            <w:tcW w:w="551" w:type="pct"/>
          </w:tcPr>
          <w:p w14:paraId="46F9F4AF">
            <w:pPr>
              <w:rPr>
                <w:rFonts w:asciiTheme="minorEastAsia" w:hAnsiTheme="minorEastAsia" w:eastAsiaTheme="minorEastAsia"/>
                <w:color w:val="auto"/>
                <w:sz w:val="24"/>
                <w:highlight w:val="none"/>
              </w:rPr>
            </w:pPr>
          </w:p>
        </w:tc>
        <w:tc>
          <w:tcPr>
            <w:tcW w:w="551" w:type="pct"/>
          </w:tcPr>
          <w:p w14:paraId="6B8029FB">
            <w:pPr>
              <w:rPr>
                <w:rFonts w:asciiTheme="minorEastAsia" w:hAnsiTheme="minorEastAsia" w:eastAsiaTheme="minorEastAsia"/>
                <w:color w:val="auto"/>
                <w:sz w:val="24"/>
                <w:highlight w:val="none"/>
              </w:rPr>
            </w:pPr>
          </w:p>
        </w:tc>
        <w:tc>
          <w:tcPr>
            <w:tcW w:w="392" w:type="pct"/>
          </w:tcPr>
          <w:p w14:paraId="3093414E">
            <w:pPr>
              <w:rPr>
                <w:rFonts w:asciiTheme="minorEastAsia" w:hAnsiTheme="minorEastAsia" w:eastAsiaTheme="minorEastAsia"/>
                <w:color w:val="auto"/>
                <w:sz w:val="24"/>
                <w:highlight w:val="none"/>
              </w:rPr>
            </w:pPr>
          </w:p>
        </w:tc>
      </w:tr>
      <w:tr w14:paraId="300D4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Pr>
          <w:p w14:paraId="55682B13">
            <w:pPr>
              <w:jc w:val="center"/>
              <w:rPr>
                <w:rFonts w:asciiTheme="minorEastAsia" w:hAnsiTheme="minorEastAsia" w:eastAsiaTheme="minorEastAsia"/>
                <w:color w:val="auto"/>
                <w:sz w:val="24"/>
                <w:highlight w:val="none"/>
              </w:rPr>
            </w:pPr>
          </w:p>
        </w:tc>
        <w:tc>
          <w:tcPr>
            <w:tcW w:w="779" w:type="pct"/>
          </w:tcPr>
          <w:p w14:paraId="7A7364B4">
            <w:pPr>
              <w:pStyle w:val="56"/>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854" w:type="pct"/>
          </w:tcPr>
          <w:p w14:paraId="5DE21B67">
            <w:pPr>
              <w:rPr>
                <w:rFonts w:asciiTheme="minorEastAsia" w:hAnsiTheme="minorEastAsia" w:eastAsiaTheme="minorEastAsia"/>
                <w:color w:val="auto"/>
                <w:sz w:val="24"/>
                <w:highlight w:val="none"/>
              </w:rPr>
            </w:pPr>
          </w:p>
        </w:tc>
        <w:tc>
          <w:tcPr>
            <w:tcW w:w="692" w:type="pct"/>
          </w:tcPr>
          <w:p w14:paraId="694EC6E4">
            <w:pPr>
              <w:rPr>
                <w:rFonts w:asciiTheme="minorEastAsia" w:hAnsiTheme="minorEastAsia" w:eastAsiaTheme="minorEastAsia"/>
                <w:color w:val="auto"/>
                <w:sz w:val="24"/>
                <w:highlight w:val="none"/>
              </w:rPr>
            </w:pPr>
          </w:p>
        </w:tc>
        <w:tc>
          <w:tcPr>
            <w:tcW w:w="394" w:type="pct"/>
          </w:tcPr>
          <w:p w14:paraId="604D6377">
            <w:pPr>
              <w:rPr>
                <w:rFonts w:asciiTheme="minorEastAsia" w:hAnsiTheme="minorEastAsia" w:eastAsiaTheme="minorEastAsia"/>
                <w:color w:val="auto"/>
                <w:sz w:val="24"/>
                <w:highlight w:val="none"/>
              </w:rPr>
            </w:pPr>
          </w:p>
        </w:tc>
        <w:tc>
          <w:tcPr>
            <w:tcW w:w="394" w:type="pct"/>
          </w:tcPr>
          <w:p w14:paraId="76096D97">
            <w:pPr>
              <w:rPr>
                <w:rFonts w:asciiTheme="minorEastAsia" w:hAnsiTheme="minorEastAsia" w:eastAsiaTheme="minorEastAsia"/>
                <w:color w:val="auto"/>
                <w:sz w:val="24"/>
                <w:highlight w:val="none"/>
              </w:rPr>
            </w:pPr>
          </w:p>
        </w:tc>
        <w:tc>
          <w:tcPr>
            <w:tcW w:w="551" w:type="pct"/>
          </w:tcPr>
          <w:p w14:paraId="4D35029B">
            <w:pPr>
              <w:rPr>
                <w:rFonts w:asciiTheme="minorEastAsia" w:hAnsiTheme="minorEastAsia" w:eastAsiaTheme="minorEastAsia"/>
                <w:color w:val="auto"/>
                <w:sz w:val="24"/>
                <w:highlight w:val="none"/>
              </w:rPr>
            </w:pPr>
          </w:p>
        </w:tc>
        <w:tc>
          <w:tcPr>
            <w:tcW w:w="551" w:type="pct"/>
          </w:tcPr>
          <w:p w14:paraId="67116EBD">
            <w:pPr>
              <w:rPr>
                <w:rFonts w:asciiTheme="minorEastAsia" w:hAnsiTheme="minorEastAsia" w:eastAsiaTheme="minorEastAsia"/>
                <w:color w:val="auto"/>
                <w:sz w:val="24"/>
                <w:highlight w:val="none"/>
              </w:rPr>
            </w:pPr>
          </w:p>
        </w:tc>
        <w:tc>
          <w:tcPr>
            <w:tcW w:w="392" w:type="pct"/>
          </w:tcPr>
          <w:p w14:paraId="3C024325">
            <w:pPr>
              <w:rPr>
                <w:rFonts w:asciiTheme="minorEastAsia" w:hAnsiTheme="minorEastAsia" w:eastAsiaTheme="minorEastAsia"/>
                <w:color w:val="auto"/>
                <w:sz w:val="24"/>
                <w:highlight w:val="none"/>
              </w:rPr>
            </w:pPr>
          </w:p>
        </w:tc>
      </w:tr>
      <w:tr w14:paraId="638B6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1" w:type="pct"/>
          </w:tcPr>
          <w:p w14:paraId="247BAC74">
            <w:pPr>
              <w:jc w:val="center"/>
              <w:rPr>
                <w:rFonts w:asciiTheme="minorEastAsia" w:hAnsiTheme="minorEastAsia" w:eastAsiaTheme="minorEastAsia"/>
                <w:color w:val="auto"/>
                <w:sz w:val="24"/>
                <w:highlight w:val="none"/>
              </w:rPr>
            </w:pPr>
          </w:p>
        </w:tc>
        <w:tc>
          <w:tcPr>
            <w:tcW w:w="779" w:type="pct"/>
          </w:tcPr>
          <w:p w14:paraId="210D838A">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854" w:type="pct"/>
          </w:tcPr>
          <w:p w14:paraId="0AACD7AA">
            <w:pPr>
              <w:rPr>
                <w:rFonts w:asciiTheme="minorEastAsia" w:hAnsiTheme="minorEastAsia" w:eastAsiaTheme="minorEastAsia"/>
                <w:color w:val="auto"/>
                <w:sz w:val="24"/>
                <w:highlight w:val="none"/>
              </w:rPr>
            </w:pPr>
          </w:p>
        </w:tc>
        <w:tc>
          <w:tcPr>
            <w:tcW w:w="692" w:type="pct"/>
          </w:tcPr>
          <w:p w14:paraId="445A5F81">
            <w:pPr>
              <w:rPr>
                <w:rFonts w:asciiTheme="minorEastAsia" w:hAnsiTheme="minorEastAsia" w:eastAsiaTheme="minorEastAsia"/>
                <w:color w:val="auto"/>
                <w:sz w:val="24"/>
                <w:highlight w:val="none"/>
              </w:rPr>
            </w:pPr>
          </w:p>
        </w:tc>
        <w:tc>
          <w:tcPr>
            <w:tcW w:w="394" w:type="pct"/>
          </w:tcPr>
          <w:p w14:paraId="014857DC">
            <w:pPr>
              <w:rPr>
                <w:rFonts w:asciiTheme="minorEastAsia" w:hAnsiTheme="minorEastAsia" w:eastAsiaTheme="minorEastAsia"/>
                <w:color w:val="auto"/>
                <w:sz w:val="24"/>
                <w:highlight w:val="none"/>
              </w:rPr>
            </w:pPr>
          </w:p>
        </w:tc>
        <w:tc>
          <w:tcPr>
            <w:tcW w:w="394" w:type="pct"/>
          </w:tcPr>
          <w:p w14:paraId="5D27DBC6">
            <w:pPr>
              <w:rPr>
                <w:rFonts w:asciiTheme="minorEastAsia" w:hAnsiTheme="minorEastAsia" w:eastAsiaTheme="minorEastAsia"/>
                <w:color w:val="auto"/>
                <w:sz w:val="24"/>
                <w:highlight w:val="none"/>
              </w:rPr>
            </w:pPr>
          </w:p>
        </w:tc>
        <w:tc>
          <w:tcPr>
            <w:tcW w:w="551" w:type="pct"/>
          </w:tcPr>
          <w:p w14:paraId="659E8074">
            <w:pPr>
              <w:rPr>
                <w:rFonts w:asciiTheme="minorEastAsia" w:hAnsiTheme="minorEastAsia" w:eastAsiaTheme="minorEastAsia"/>
                <w:color w:val="auto"/>
                <w:sz w:val="24"/>
                <w:highlight w:val="none"/>
              </w:rPr>
            </w:pPr>
          </w:p>
        </w:tc>
        <w:tc>
          <w:tcPr>
            <w:tcW w:w="551" w:type="pct"/>
          </w:tcPr>
          <w:p w14:paraId="5DC27D39">
            <w:pPr>
              <w:rPr>
                <w:rFonts w:asciiTheme="minorEastAsia" w:hAnsiTheme="minorEastAsia" w:eastAsiaTheme="minorEastAsia"/>
                <w:color w:val="auto"/>
                <w:sz w:val="24"/>
                <w:highlight w:val="none"/>
              </w:rPr>
            </w:pPr>
          </w:p>
        </w:tc>
        <w:tc>
          <w:tcPr>
            <w:tcW w:w="392" w:type="pct"/>
          </w:tcPr>
          <w:p w14:paraId="7E8431CC">
            <w:pPr>
              <w:rPr>
                <w:rFonts w:asciiTheme="minorEastAsia" w:hAnsiTheme="minorEastAsia" w:eastAsiaTheme="minorEastAsia"/>
                <w:color w:val="auto"/>
                <w:sz w:val="24"/>
                <w:highlight w:val="none"/>
              </w:rPr>
            </w:pPr>
          </w:p>
        </w:tc>
      </w:tr>
      <w:tr w14:paraId="79D2A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jc w:val="center"/>
        </w:trPr>
        <w:tc>
          <w:tcPr>
            <w:tcW w:w="1170" w:type="pct"/>
            <w:gridSpan w:val="2"/>
            <w:vAlign w:val="center"/>
          </w:tcPr>
          <w:p w14:paraId="4CAE4EB6">
            <w:pPr>
              <w:pStyle w:val="56"/>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854" w:type="pct"/>
          </w:tcPr>
          <w:p w14:paraId="736CB17B">
            <w:pPr>
              <w:rPr>
                <w:rFonts w:asciiTheme="minorEastAsia" w:hAnsiTheme="minorEastAsia" w:eastAsiaTheme="minorEastAsia"/>
                <w:color w:val="auto"/>
                <w:sz w:val="24"/>
                <w:highlight w:val="none"/>
              </w:rPr>
            </w:pPr>
          </w:p>
        </w:tc>
        <w:tc>
          <w:tcPr>
            <w:tcW w:w="692" w:type="pct"/>
          </w:tcPr>
          <w:p w14:paraId="5F4E170C">
            <w:pPr>
              <w:rPr>
                <w:rFonts w:asciiTheme="minorEastAsia" w:hAnsiTheme="minorEastAsia" w:eastAsiaTheme="minorEastAsia"/>
                <w:color w:val="auto"/>
                <w:sz w:val="24"/>
                <w:highlight w:val="none"/>
              </w:rPr>
            </w:pPr>
          </w:p>
        </w:tc>
        <w:tc>
          <w:tcPr>
            <w:tcW w:w="394" w:type="pct"/>
          </w:tcPr>
          <w:p w14:paraId="41BA7985">
            <w:pPr>
              <w:rPr>
                <w:rFonts w:asciiTheme="minorEastAsia" w:hAnsiTheme="minorEastAsia" w:eastAsiaTheme="minorEastAsia"/>
                <w:color w:val="auto"/>
                <w:sz w:val="24"/>
                <w:highlight w:val="none"/>
              </w:rPr>
            </w:pPr>
          </w:p>
        </w:tc>
        <w:tc>
          <w:tcPr>
            <w:tcW w:w="394" w:type="pct"/>
          </w:tcPr>
          <w:p w14:paraId="6CE2D40A">
            <w:pPr>
              <w:rPr>
                <w:rFonts w:asciiTheme="minorEastAsia" w:hAnsiTheme="minorEastAsia" w:eastAsiaTheme="minorEastAsia"/>
                <w:color w:val="auto"/>
                <w:sz w:val="24"/>
                <w:highlight w:val="none"/>
              </w:rPr>
            </w:pPr>
          </w:p>
        </w:tc>
        <w:tc>
          <w:tcPr>
            <w:tcW w:w="551" w:type="pct"/>
          </w:tcPr>
          <w:p w14:paraId="15399614">
            <w:pPr>
              <w:rPr>
                <w:rFonts w:asciiTheme="minorEastAsia" w:hAnsiTheme="minorEastAsia" w:eastAsiaTheme="minorEastAsia"/>
                <w:color w:val="auto"/>
                <w:sz w:val="24"/>
                <w:highlight w:val="none"/>
              </w:rPr>
            </w:pPr>
          </w:p>
        </w:tc>
        <w:tc>
          <w:tcPr>
            <w:tcW w:w="551" w:type="pct"/>
          </w:tcPr>
          <w:p w14:paraId="3C4F89B5">
            <w:pPr>
              <w:rPr>
                <w:rFonts w:asciiTheme="minorEastAsia" w:hAnsiTheme="minorEastAsia" w:eastAsiaTheme="minorEastAsia"/>
                <w:color w:val="auto"/>
                <w:sz w:val="24"/>
                <w:highlight w:val="none"/>
              </w:rPr>
            </w:pPr>
          </w:p>
        </w:tc>
        <w:tc>
          <w:tcPr>
            <w:tcW w:w="392" w:type="pct"/>
          </w:tcPr>
          <w:p w14:paraId="78ABCC60">
            <w:pPr>
              <w:rPr>
                <w:rFonts w:asciiTheme="minorEastAsia" w:hAnsiTheme="minorEastAsia" w:eastAsiaTheme="minorEastAsia"/>
                <w:color w:val="auto"/>
                <w:sz w:val="24"/>
                <w:highlight w:val="none"/>
              </w:rPr>
            </w:pPr>
          </w:p>
        </w:tc>
      </w:tr>
    </w:tbl>
    <w:p w14:paraId="2DD4B8F4">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14:paraId="130F3F24">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14:paraId="502C35E9">
      <w:pPr>
        <w:adjustRightInd w:val="0"/>
        <w:snapToGrid w:val="0"/>
        <w:spacing w:line="360" w:lineRule="auto"/>
        <w:rPr>
          <w:rFonts w:asciiTheme="minorEastAsia" w:hAnsiTheme="minorEastAsia" w:eastAsiaTheme="minorEastAsia"/>
          <w:b/>
          <w:bCs/>
          <w:color w:val="auto"/>
          <w:sz w:val="24"/>
          <w:szCs w:val="28"/>
          <w:highlight w:val="none"/>
        </w:rPr>
      </w:pPr>
    </w:p>
    <w:p w14:paraId="68A3D4E6">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14:paraId="75670190">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投标人承担全部责任。</w:t>
      </w:r>
    </w:p>
    <w:p w14:paraId="53EFA114">
      <w:pPr>
        <w:spacing w:line="360" w:lineRule="auto"/>
        <w:ind w:firstLine="435"/>
      </w:pPr>
      <w:r>
        <w:rPr>
          <w:rFonts w:hint="eastAsia" w:asciiTheme="minorEastAsia" w:hAnsiTheme="minorEastAsia" w:eastAsiaTheme="minorEastAsia"/>
          <w:color w:val="auto"/>
          <w:sz w:val="24"/>
          <w:highlight w:val="none"/>
        </w:rPr>
        <w:t>2.表中须明确列出所投产品的货物名称、品牌、型号规格、原产地及生产厂商，否则可能导致</w:t>
      </w:r>
      <w:r>
        <w:rPr>
          <w:rFonts w:hint="eastAsia" w:asciiTheme="minorEastAsia" w:hAnsiTheme="minorEastAsia" w:eastAsiaTheme="minorEastAsia"/>
          <w:b/>
          <w:bCs/>
          <w:color w:val="auto"/>
          <w:sz w:val="24"/>
          <w:highlight w:val="none"/>
        </w:rPr>
        <w:t>投标无效</w:t>
      </w:r>
      <w:r>
        <w:rPr>
          <w:rFonts w:hint="eastAsia" w:asciiTheme="minorEastAsia" w:hAnsiTheme="minorEastAsia" w:eastAsiaTheme="minorEastAsia"/>
          <w:color w:val="auto"/>
          <w:sz w:val="24"/>
          <w:highlight w:val="none"/>
        </w:rPr>
        <w:t>。</w:t>
      </w:r>
    </w:p>
    <w:p w14:paraId="6A3F6ED3">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050C1D50">
      <w:pPr>
        <w:spacing w:line="360" w:lineRule="auto"/>
        <w:jc w:val="center"/>
        <w:outlineLvl w:val="1"/>
        <w:rPr>
          <w:rFonts w:hint="default" w:asciiTheme="minorEastAsia" w:hAnsiTheme="minorEastAsia" w:eastAsiaTheme="minorEastAsia"/>
          <w:b/>
          <w:color w:val="auto"/>
          <w:sz w:val="24"/>
          <w:highlight w:val="none"/>
          <w:lang w:val="en-US" w:eastAsia="zh-CN"/>
        </w:rPr>
      </w:pPr>
      <w:bookmarkStart w:id="72" w:name="_Toc11940"/>
      <w:bookmarkStart w:id="73" w:name="_Toc20329"/>
      <w:r>
        <w:rPr>
          <w:rFonts w:hint="eastAsia" w:asciiTheme="minorEastAsia" w:hAnsiTheme="minorEastAsia" w:eastAsiaTheme="minorEastAsia"/>
          <w:b/>
          <w:color w:val="auto"/>
          <w:sz w:val="24"/>
          <w:highlight w:val="none"/>
        </w:rPr>
        <w:t>六、投标响应表</w:t>
      </w:r>
      <w:bookmarkEnd w:id="72"/>
      <w:bookmarkEnd w:id="73"/>
    </w:p>
    <w:p w14:paraId="2E59D507">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916"/>
        <w:gridCol w:w="2498"/>
        <w:gridCol w:w="2575"/>
        <w:gridCol w:w="810"/>
      </w:tblGrid>
      <w:tr w14:paraId="12FE6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4" w:type="pct"/>
            <w:vAlign w:val="center"/>
          </w:tcPr>
          <w:p w14:paraId="1E096279">
            <w:pPr>
              <w:pStyle w:val="14"/>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14:paraId="0DCDC31A">
            <w:pPr>
              <w:pStyle w:val="14"/>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14:paraId="00BF1F29">
            <w:pPr>
              <w:pStyle w:val="14"/>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招标文件要求</w:t>
            </w:r>
          </w:p>
        </w:tc>
        <w:tc>
          <w:tcPr>
            <w:tcW w:w="1510" w:type="pct"/>
            <w:vAlign w:val="center"/>
          </w:tcPr>
          <w:p w14:paraId="14DAAB73">
            <w:pPr>
              <w:pStyle w:val="14"/>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投标人承诺</w:t>
            </w:r>
          </w:p>
        </w:tc>
        <w:tc>
          <w:tcPr>
            <w:tcW w:w="475" w:type="pct"/>
            <w:vAlign w:val="center"/>
          </w:tcPr>
          <w:p w14:paraId="55FD1ECC">
            <w:pPr>
              <w:pStyle w:val="14"/>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14:paraId="5D5F5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14:paraId="1888827E">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14:paraId="325C6D4B">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14:paraId="22245C81">
            <w:pPr>
              <w:jc w:val="center"/>
              <w:rPr>
                <w:rFonts w:asciiTheme="minorEastAsia" w:hAnsiTheme="minorEastAsia" w:eastAsiaTheme="minorEastAsia"/>
                <w:color w:val="auto"/>
                <w:sz w:val="24"/>
                <w:highlight w:val="none"/>
              </w:rPr>
            </w:pPr>
          </w:p>
        </w:tc>
        <w:tc>
          <w:tcPr>
            <w:tcW w:w="1510" w:type="pct"/>
            <w:vAlign w:val="center"/>
          </w:tcPr>
          <w:p w14:paraId="193611F6">
            <w:pPr>
              <w:jc w:val="center"/>
              <w:rPr>
                <w:rFonts w:asciiTheme="minorEastAsia" w:hAnsiTheme="minorEastAsia" w:eastAsiaTheme="minorEastAsia"/>
                <w:color w:val="auto"/>
                <w:sz w:val="24"/>
                <w:highlight w:val="none"/>
              </w:rPr>
            </w:pPr>
          </w:p>
        </w:tc>
        <w:tc>
          <w:tcPr>
            <w:tcW w:w="475" w:type="pct"/>
            <w:vAlign w:val="center"/>
          </w:tcPr>
          <w:p w14:paraId="569B6EFC">
            <w:pPr>
              <w:jc w:val="center"/>
              <w:rPr>
                <w:rFonts w:asciiTheme="minorEastAsia" w:hAnsiTheme="minorEastAsia" w:eastAsiaTheme="minorEastAsia"/>
                <w:color w:val="auto"/>
                <w:sz w:val="24"/>
                <w:highlight w:val="none"/>
              </w:rPr>
            </w:pPr>
          </w:p>
        </w:tc>
      </w:tr>
      <w:tr w14:paraId="47B68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14:paraId="3240322C">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14:paraId="2CDC97E8">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1465" w:type="pct"/>
            <w:vAlign w:val="center"/>
          </w:tcPr>
          <w:p w14:paraId="4F6A2FCD">
            <w:pPr>
              <w:jc w:val="center"/>
              <w:rPr>
                <w:rFonts w:asciiTheme="minorEastAsia" w:hAnsiTheme="minorEastAsia" w:eastAsiaTheme="minorEastAsia"/>
                <w:color w:val="auto"/>
                <w:sz w:val="24"/>
                <w:highlight w:val="none"/>
              </w:rPr>
            </w:pPr>
          </w:p>
        </w:tc>
        <w:tc>
          <w:tcPr>
            <w:tcW w:w="1510" w:type="pct"/>
            <w:vAlign w:val="center"/>
          </w:tcPr>
          <w:p w14:paraId="64848021">
            <w:pPr>
              <w:jc w:val="center"/>
              <w:rPr>
                <w:rFonts w:asciiTheme="minorEastAsia" w:hAnsiTheme="minorEastAsia" w:eastAsiaTheme="minorEastAsia"/>
                <w:color w:val="auto"/>
                <w:sz w:val="24"/>
                <w:highlight w:val="none"/>
              </w:rPr>
            </w:pPr>
          </w:p>
        </w:tc>
        <w:tc>
          <w:tcPr>
            <w:tcW w:w="475" w:type="pct"/>
            <w:vAlign w:val="center"/>
          </w:tcPr>
          <w:p w14:paraId="17EC3B9B">
            <w:pPr>
              <w:jc w:val="center"/>
              <w:rPr>
                <w:rFonts w:asciiTheme="minorEastAsia" w:hAnsiTheme="minorEastAsia" w:eastAsiaTheme="minorEastAsia"/>
                <w:color w:val="auto"/>
                <w:sz w:val="24"/>
                <w:highlight w:val="none"/>
              </w:rPr>
            </w:pPr>
          </w:p>
        </w:tc>
      </w:tr>
      <w:tr w14:paraId="0C788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14:paraId="05412F3E">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14:paraId="4768F19B">
            <w:pPr>
              <w:jc w:val="center"/>
              <w:rPr>
                <w:rFonts w:hint="eastAsia" w:ascii="宋体" w:hAnsi="宋体" w:eastAsia="宋体"/>
                <w:color w:val="auto"/>
                <w:sz w:val="24"/>
                <w:highlight w:val="none"/>
                <w:lang w:eastAsia="zh-CN"/>
              </w:rPr>
            </w:pPr>
            <w:r>
              <w:rPr>
                <w:rFonts w:hint="eastAsia" w:ascii="宋体" w:hAnsi="宋体" w:eastAsia="宋体"/>
                <w:color w:val="auto"/>
                <w:sz w:val="24"/>
                <w:highlight w:val="none"/>
                <w:lang w:eastAsia="zh-CN"/>
              </w:rPr>
              <w:t>合同履行期限</w:t>
            </w:r>
          </w:p>
        </w:tc>
        <w:tc>
          <w:tcPr>
            <w:tcW w:w="1465" w:type="pct"/>
            <w:vAlign w:val="center"/>
          </w:tcPr>
          <w:p w14:paraId="2CE3B7E2">
            <w:pPr>
              <w:jc w:val="center"/>
              <w:rPr>
                <w:rFonts w:asciiTheme="minorEastAsia" w:hAnsiTheme="minorEastAsia" w:eastAsiaTheme="minorEastAsia"/>
                <w:color w:val="auto"/>
                <w:sz w:val="24"/>
                <w:highlight w:val="none"/>
              </w:rPr>
            </w:pPr>
          </w:p>
        </w:tc>
        <w:tc>
          <w:tcPr>
            <w:tcW w:w="1510" w:type="pct"/>
            <w:vAlign w:val="center"/>
          </w:tcPr>
          <w:p w14:paraId="75595787">
            <w:pPr>
              <w:pStyle w:val="56"/>
              <w:jc w:val="center"/>
              <w:rPr>
                <w:rFonts w:asciiTheme="minorEastAsia" w:hAnsiTheme="minorEastAsia" w:eastAsiaTheme="minorEastAsia"/>
                <w:color w:val="auto"/>
                <w:highlight w:val="none"/>
              </w:rPr>
            </w:pPr>
          </w:p>
        </w:tc>
        <w:tc>
          <w:tcPr>
            <w:tcW w:w="475" w:type="pct"/>
            <w:vAlign w:val="center"/>
          </w:tcPr>
          <w:p w14:paraId="2F49B483">
            <w:pPr>
              <w:jc w:val="center"/>
              <w:rPr>
                <w:rFonts w:asciiTheme="minorEastAsia" w:hAnsiTheme="minorEastAsia" w:eastAsiaTheme="minorEastAsia"/>
                <w:color w:val="auto"/>
                <w:sz w:val="24"/>
                <w:highlight w:val="none"/>
              </w:rPr>
            </w:pPr>
          </w:p>
        </w:tc>
      </w:tr>
      <w:tr w14:paraId="5AEF5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14:paraId="365F3ED0">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14:paraId="518F279E">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1465" w:type="pct"/>
            <w:vAlign w:val="center"/>
          </w:tcPr>
          <w:p w14:paraId="239737EF">
            <w:pPr>
              <w:jc w:val="center"/>
              <w:rPr>
                <w:rFonts w:asciiTheme="minorEastAsia" w:hAnsiTheme="minorEastAsia" w:eastAsiaTheme="minorEastAsia"/>
                <w:color w:val="auto"/>
                <w:sz w:val="24"/>
                <w:highlight w:val="none"/>
              </w:rPr>
            </w:pPr>
          </w:p>
        </w:tc>
        <w:tc>
          <w:tcPr>
            <w:tcW w:w="1510" w:type="pct"/>
            <w:vAlign w:val="center"/>
          </w:tcPr>
          <w:p w14:paraId="228EAF8B">
            <w:pPr>
              <w:jc w:val="center"/>
              <w:rPr>
                <w:rFonts w:asciiTheme="minorEastAsia" w:hAnsiTheme="minorEastAsia" w:eastAsiaTheme="minorEastAsia"/>
                <w:color w:val="auto"/>
                <w:sz w:val="24"/>
                <w:highlight w:val="none"/>
              </w:rPr>
            </w:pPr>
          </w:p>
        </w:tc>
        <w:tc>
          <w:tcPr>
            <w:tcW w:w="475" w:type="pct"/>
            <w:vAlign w:val="center"/>
          </w:tcPr>
          <w:p w14:paraId="38462414">
            <w:pPr>
              <w:jc w:val="center"/>
              <w:rPr>
                <w:rFonts w:asciiTheme="minorEastAsia" w:hAnsiTheme="minorEastAsia" w:eastAsiaTheme="minorEastAsia"/>
                <w:color w:val="auto"/>
                <w:sz w:val="24"/>
                <w:highlight w:val="none"/>
              </w:rPr>
            </w:pPr>
          </w:p>
        </w:tc>
      </w:tr>
      <w:tr w14:paraId="68FD3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14:paraId="07695795">
            <w:pPr>
              <w:jc w:val="center"/>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5</w:t>
            </w:r>
          </w:p>
        </w:tc>
        <w:tc>
          <w:tcPr>
            <w:tcW w:w="1124" w:type="pct"/>
            <w:vAlign w:val="center"/>
          </w:tcPr>
          <w:p w14:paraId="78CAF67A">
            <w:pPr>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投标有效期</w:t>
            </w:r>
          </w:p>
        </w:tc>
        <w:tc>
          <w:tcPr>
            <w:tcW w:w="1465" w:type="pct"/>
            <w:vAlign w:val="center"/>
          </w:tcPr>
          <w:p w14:paraId="5E2D912C">
            <w:pPr>
              <w:jc w:val="center"/>
              <w:rPr>
                <w:rFonts w:asciiTheme="minorEastAsia" w:hAnsiTheme="minorEastAsia" w:eastAsiaTheme="minorEastAsia"/>
                <w:color w:val="auto"/>
                <w:sz w:val="24"/>
                <w:highlight w:val="none"/>
              </w:rPr>
            </w:pPr>
          </w:p>
        </w:tc>
        <w:tc>
          <w:tcPr>
            <w:tcW w:w="1510" w:type="pct"/>
            <w:vAlign w:val="center"/>
          </w:tcPr>
          <w:p w14:paraId="6F345332">
            <w:pPr>
              <w:jc w:val="center"/>
              <w:rPr>
                <w:rFonts w:asciiTheme="minorEastAsia" w:hAnsiTheme="minorEastAsia" w:eastAsiaTheme="minorEastAsia"/>
                <w:color w:val="auto"/>
                <w:sz w:val="24"/>
                <w:highlight w:val="none"/>
              </w:rPr>
            </w:pPr>
          </w:p>
        </w:tc>
        <w:tc>
          <w:tcPr>
            <w:tcW w:w="475" w:type="pct"/>
            <w:vAlign w:val="center"/>
          </w:tcPr>
          <w:p w14:paraId="48190F1F">
            <w:pPr>
              <w:jc w:val="center"/>
              <w:rPr>
                <w:rFonts w:asciiTheme="minorEastAsia" w:hAnsiTheme="minorEastAsia" w:eastAsiaTheme="minorEastAsia"/>
                <w:color w:val="auto"/>
                <w:sz w:val="24"/>
                <w:highlight w:val="none"/>
              </w:rPr>
            </w:pPr>
          </w:p>
        </w:tc>
      </w:tr>
      <w:tr w14:paraId="57C58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14:paraId="3C27788F">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14:paraId="54DAABDE">
            <w:pPr>
              <w:jc w:val="center"/>
              <w:rPr>
                <w:rFonts w:ascii="宋体" w:hAnsi="宋体" w:eastAsia="宋体"/>
                <w:color w:val="auto"/>
                <w:sz w:val="24"/>
                <w:highlight w:val="none"/>
              </w:rPr>
            </w:pPr>
          </w:p>
        </w:tc>
        <w:tc>
          <w:tcPr>
            <w:tcW w:w="1465" w:type="pct"/>
            <w:vAlign w:val="center"/>
          </w:tcPr>
          <w:p w14:paraId="63C1ABEC">
            <w:pPr>
              <w:jc w:val="center"/>
              <w:rPr>
                <w:rFonts w:asciiTheme="minorEastAsia" w:hAnsiTheme="minorEastAsia" w:eastAsiaTheme="minorEastAsia"/>
                <w:color w:val="auto"/>
                <w:sz w:val="24"/>
                <w:highlight w:val="none"/>
              </w:rPr>
            </w:pPr>
          </w:p>
        </w:tc>
        <w:tc>
          <w:tcPr>
            <w:tcW w:w="1510" w:type="pct"/>
            <w:vAlign w:val="center"/>
          </w:tcPr>
          <w:p w14:paraId="3B53C8E1">
            <w:pPr>
              <w:jc w:val="center"/>
              <w:rPr>
                <w:rFonts w:asciiTheme="minorEastAsia" w:hAnsiTheme="minorEastAsia" w:eastAsiaTheme="minorEastAsia"/>
                <w:color w:val="auto"/>
                <w:sz w:val="24"/>
                <w:highlight w:val="none"/>
              </w:rPr>
            </w:pPr>
          </w:p>
        </w:tc>
        <w:tc>
          <w:tcPr>
            <w:tcW w:w="475" w:type="pct"/>
            <w:vAlign w:val="center"/>
          </w:tcPr>
          <w:p w14:paraId="208E0F6B">
            <w:pPr>
              <w:jc w:val="center"/>
              <w:rPr>
                <w:rFonts w:asciiTheme="minorEastAsia" w:hAnsiTheme="minorEastAsia" w:eastAsiaTheme="minorEastAsia"/>
                <w:color w:val="auto"/>
                <w:sz w:val="24"/>
                <w:highlight w:val="none"/>
              </w:rPr>
            </w:pPr>
          </w:p>
        </w:tc>
      </w:tr>
    </w:tbl>
    <w:p w14:paraId="788127C4">
      <w:pPr>
        <w:spacing w:line="360" w:lineRule="auto"/>
        <w:ind w:firstLine="435"/>
        <w:outlineLvl w:val="2"/>
        <w:rPr>
          <w:rFonts w:hint="eastAsia" w:asciiTheme="minorEastAsia" w:hAnsiTheme="minorEastAsia" w:eastAsiaTheme="minorEastAsia"/>
          <w:b/>
          <w:color w:val="auto"/>
          <w:sz w:val="24"/>
          <w:highlight w:val="none"/>
        </w:rPr>
      </w:pPr>
    </w:p>
    <w:p w14:paraId="16C04442">
      <w:pPr>
        <w:spacing w:line="360" w:lineRule="auto"/>
        <w:ind w:firstLine="435"/>
        <w:outlineLvl w:val="2"/>
        <w:rPr>
          <w:rFonts w:hint="eastAsia" w:asciiTheme="minorEastAsia" w:hAnsiTheme="minorEastAsia" w:eastAsiaTheme="minorEastAsia"/>
          <w:b/>
          <w:color w:val="auto"/>
          <w:sz w:val="24"/>
          <w:highlight w:val="none"/>
        </w:rPr>
      </w:pPr>
    </w:p>
    <w:p w14:paraId="082FD3F4">
      <w:pPr>
        <w:spacing w:line="360" w:lineRule="auto"/>
        <w:ind w:firstLine="435"/>
        <w:outlineLvl w:val="2"/>
        <w:rPr>
          <w:rFonts w:hint="eastAsia" w:asciiTheme="minorEastAsia" w:hAnsiTheme="minorEastAsia" w:eastAsiaTheme="minorEastAsia"/>
          <w:b/>
          <w:color w:val="auto"/>
          <w:sz w:val="24"/>
          <w:highlight w:val="none"/>
        </w:rPr>
      </w:pPr>
    </w:p>
    <w:p w14:paraId="5678E827">
      <w:pPr>
        <w:spacing w:line="360" w:lineRule="auto"/>
        <w:ind w:firstLine="435"/>
        <w:outlineLvl w:val="2"/>
        <w:rPr>
          <w:rFonts w:hint="eastAsia" w:asciiTheme="minorEastAsia" w:hAnsiTheme="minorEastAsia" w:eastAsiaTheme="minorEastAsia"/>
          <w:b/>
          <w:color w:val="auto"/>
          <w:sz w:val="24"/>
          <w:highlight w:val="none"/>
        </w:rPr>
      </w:pPr>
    </w:p>
    <w:p w14:paraId="1BCEB4AB">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560"/>
        <w:gridCol w:w="2864"/>
        <w:gridCol w:w="2482"/>
        <w:gridCol w:w="856"/>
      </w:tblGrid>
      <w:tr w14:paraId="2BB15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14:paraId="5BE99939">
            <w:pPr>
              <w:pStyle w:val="14"/>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14:paraId="25741D29">
            <w:pPr>
              <w:pStyle w:val="14"/>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14:paraId="5E55A9FE">
            <w:pPr>
              <w:pStyle w:val="14"/>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招标文件规定的技术参数及要求</w:t>
            </w:r>
          </w:p>
        </w:tc>
        <w:tc>
          <w:tcPr>
            <w:tcW w:w="1456" w:type="pct"/>
            <w:vAlign w:val="center"/>
          </w:tcPr>
          <w:p w14:paraId="31A30997">
            <w:pPr>
              <w:pStyle w:val="14"/>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14:paraId="40A27711">
            <w:pPr>
              <w:pStyle w:val="14"/>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14:paraId="5C771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14:paraId="10EAF0B7">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14:paraId="784959A8">
            <w:pPr>
              <w:jc w:val="center"/>
              <w:rPr>
                <w:rFonts w:asciiTheme="minorEastAsia" w:hAnsiTheme="minorEastAsia" w:eastAsiaTheme="minorEastAsia"/>
                <w:color w:val="auto"/>
                <w:sz w:val="24"/>
                <w:highlight w:val="none"/>
              </w:rPr>
            </w:pPr>
          </w:p>
        </w:tc>
        <w:tc>
          <w:tcPr>
            <w:tcW w:w="1680" w:type="pct"/>
            <w:vAlign w:val="center"/>
          </w:tcPr>
          <w:p w14:paraId="50FB2B64">
            <w:pPr>
              <w:jc w:val="center"/>
              <w:rPr>
                <w:rFonts w:asciiTheme="minorEastAsia" w:hAnsiTheme="minorEastAsia" w:eastAsiaTheme="minorEastAsia"/>
                <w:color w:val="auto"/>
                <w:sz w:val="24"/>
                <w:highlight w:val="none"/>
              </w:rPr>
            </w:pPr>
          </w:p>
        </w:tc>
        <w:tc>
          <w:tcPr>
            <w:tcW w:w="1456" w:type="pct"/>
            <w:vAlign w:val="center"/>
          </w:tcPr>
          <w:p w14:paraId="59F392FA">
            <w:pPr>
              <w:jc w:val="center"/>
              <w:rPr>
                <w:rFonts w:asciiTheme="minorEastAsia" w:hAnsiTheme="minorEastAsia" w:eastAsiaTheme="minorEastAsia"/>
                <w:color w:val="auto"/>
                <w:sz w:val="24"/>
                <w:highlight w:val="none"/>
              </w:rPr>
            </w:pPr>
          </w:p>
        </w:tc>
        <w:tc>
          <w:tcPr>
            <w:tcW w:w="502" w:type="pct"/>
            <w:vAlign w:val="center"/>
          </w:tcPr>
          <w:p w14:paraId="198A43E2">
            <w:pPr>
              <w:jc w:val="center"/>
              <w:rPr>
                <w:rFonts w:asciiTheme="minorEastAsia" w:hAnsiTheme="minorEastAsia" w:eastAsiaTheme="minorEastAsia"/>
                <w:color w:val="auto"/>
                <w:sz w:val="24"/>
                <w:highlight w:val="none"/>
              </w:rPr>
            </w:pPr>
          </w:p>
        </w:tc>
      </w:tr>
      <w:tr w14:paraId="3512D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14:paraId="2C837E8F">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14:paraId="00202098">
            <w:pPr>
              <w:jc w:val="center"/>
              <w:rPr>
                <w:rFonts w:asciiTheme="minorEastAsia" w:hAnsiTheme="minorEastAsia" w:eastAsiaTheme="minorEastAsia"/>
                <w:color w:val="auto"/>
                <w:sz w:val="24"/>
                <w:highlight w:val="none"/>
              </w:rPr>
            </w:pPr>
          </w:p>
        </w:tc>
        <w:tc>
          <w:tcPr>
            <w:tcW w:w="1680" w:type="pct"/>
            <w:vAlign w:val="center"/>
          </w:tcPr>
          <w:p w14:paraId="08DE9E4E">
            <w:pPr>
              <w:jc w:val="center"/>
              <w:rPr>
                <w:rFonts w:asciiTheme="minorEastAsia" w:hAnsiTheme="minorEastAsia" w:eastAsiaTheme="minorEastAsia"/>
                <w:color w:val="auto"/>
                <w:sz w:val="24"/>
                <w:highlight w:val="none"/>
              </w:rPr>
            </w:pPr>
          </w:p>
        </w:tc>
        <w:tc>
          <w:tcPr>
            <w:tcW w:w="1456" w:type="pct"/>
            <w:vAlign w:val="center"/>
          </w:tcPr>
          <w:p w14:paraId="6CD16813">
            <w:pPr>
              <w:jc w:val="center"/>
              <w:rPr>
                <w:rFonts w:asciiTheme="minorEastAsia" w:hAnsiTheme="minorEastAsia" w:eastAsiaTheme="minorEastAsia"/>
                <w:color w:val="auto"/>
                <w:sz w:val="24"/>
                <w:highlight w:val="none"/>
              </w:rPr>
            </w:pPr>
          </w:p>
        </w:tc>
        <w:tc>
          <w:tcPr>
            <w:tcW w:w="502" w:type="pct"/>
            <w:vAlign w:val="center"/>
          </w:tcPr>
          <w:p w14:paraId="5A7E1E4F">
            <w:pPr>
              <w:jc w:val="center"/>
              <w:rPr>
                <w:rFonts w:asciiTheme="minorEastAsia" w:hAnsiTheme="minorEastAsia" w:eastAsiaTheme="minorEastAsia"/>
                <w:color w:val="auto"/>
                <w:sz w:val="24"/>
                <w:highlight w:val="none"/>
              </w:rPr>
            </w:pPr>
          </w:p>
        </w:tc>
      </w:tr>
      <w:tr w14:paraId="37376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14:paraId="5E6BDC18">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14:paraId="31D2B525">
            <w:pPr>
              <w:jc w:val="center"/>
              <w:rPr>
                <w:rFonts w:asciiTheme="minorEastAsia" w:hAnsiTheme="minorEastAsia" w:eastAsiaTheme="minorEastAsia"/>
                <w:color w:val="auto"/>
                <w:sz w:val="24"/>
                <w:highlight w:val="none"/>
              </w:rPr>
            </w:pPr>
          </w:p>
        </w:tc>
        <w:tc>
          <w:tcPr>
            <w:tcW w:w="1680" w:type="pct"/>
            <w:vAlign w:val="center"/>
          </w:tcPr>
          <w:p w14:paraId="2BD7D61A">
            <w:pPr>
              <w:jc w:val="center"/>
              <w:rPr>
                <w:rFonts w:asciiTheme="minorEastAsia" w:hAnsiTheme="minorEastAsia" w:eastAsiaTheme="minorEastAsia"/>
                <w:color w:val="auto"/>
                <w:sz w:val="24"/>
                <w:highlight w:val="none"/>
              </w:rPr>
            </w:pPr>
          </w:p>
        </w:tc>
        <w:tc>
          <w:tcPr>
            <w:tcW w:w="1456" w:type="pct"/>
            <w:vAlign w:val="center"/>
          </w:tcPr>
          <w:p w14:paraId="17BD0D08">
            <w:pPr>
              <w:pStyle w:val="56"/>
              <w:jc w:val="center"/>
              <w:rPr>
                <w:rFonts w:asciiTheme="minorEastAsia" w:hAnsiTheme="minorEastAsia" w:eastAsiaTheme="minorEastAsia"/>
                <w:color w:val="auto"/>
                <w:highlight w:val="none"/>
              </w:rPr>
            </w:pPr>
          </w:p>
        </w:tc>
        <w:tc>
          <w:tcPr>
            <w:tcW w:w="502" w:type="pct"/>
            <w:vAlign w:val="center"/>
          </w:tcPr>
          <w:p w14:paraId="18D55C80">
            <w:pPr>
              <w:jc w:val="center"/>
              <w:rPr>
                <w:rFonts w:asciiTheme="minorEastAsia" w:hAnsiTheme="minorEastAsia" w:eastAsiaTheme="minorEastAsia"/>
                <w:color w:val="auto"/>
                <w:sz w:val="24"/>
                <w:highlight w:val="none"/>
              </w:rPr>
            </w:pPr>
          </w:p>
        </w:tc>
      </w:tr>
      <w:tr w14:paraId="11E8E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14:paraId="5AD41B26">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14:paraId="1D631B9F">
            <w:pPr>
              <w:jc w:val="center"/>
              <w:rPr>
                <w:rFonts w:asciiTheme="minorEastAsia" w:hAnsiTheme="minorEastAsia" w:eastAsiaTheme="minorEastAsia"/>
                <w:color w:val="auto"/>
                <w:sz w:val="24"/>
                <w:highlight w:val="none"/>
              </w:rPr>
            </w:pPr>
          </w:p>
        </w:tc>
        <w:tc>
          <w:tcPr>
            <w:tcW w:w="1680" w:type="pct"/>
            <w:vAlign w:val="center"/>
          </w:tcPr>
          <w:p w14:paraId="3AC3F319">
            <w:pPr>
              <w:jc w:val="center"/>
              <w:rPr>
                <w:rFonts w:asciiTheme="minorEastAsia" w:hAnsiTheme="minorEastAsia" w:eastAsiaTheme="minorEastAsia"/>
                <w:color w:val="auto"/>
                <w:sz w:val="24"/>
                <w:highlight w:val="none"/>
              </w:rPr>
            </w:pPr>
          </w:p>
        </w:tc>
        <w:tc>
          <w:tcPr>
            <w:tcW w:w="1456" w:type="pct"/>
            <w:vAlign w:val="center"/>
          </w:tcPr>
          <w:p w14:paraId="209310F0">
            <w:pPr>
              <w:pStyle w:val="56"/>
              <w:jc w:val="center"/>
              <w:rPr>
                <w:rFonts w:asciiTheme="minorEastAsia" w:hAnsiTheme="minorEastAsia" w:eastAsiaTheme="minorEastAsia"/>
                <w:color w:val="auto"/>
                <w:highlight w:val="none"/>
              </w:rPr>
            </w:pPr>
          </w:p>
        </w:tc>
        <w:tc>
          <w:tcPr>
            <w:tcW w:w="502" w:type="pct"/>
            <w:vAlign w:val="center"/>
          </w:tcPr>
          <w:p w14:paraId="0B3669C8">
            <w:pPr>
              <w:jc w:val="center"/>
              <w:rPr>
                <w:rFonts w:asciiTheme="minorEastAsia" w:hAnsiTheme="minorEastAsia" w:eastAsiaTheme="minorEastAsia"/>
                <w:color w:val="auto"/>
                <w:sz w:val="24"/>
                <w:highlight w:val="none"/>
              </w:rPr>
            </w:pPr>
          </w:p>
        </w:tc>
      </w:tr>
      <w:tr w14:paraId="5F153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14:paraId="3D8E0FD7">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14:paraId="60C38410">
            <w:pPr>
              <w:jc w:val="center"/>
              <w:rPr>
                <w:rFonts w:asciiTheme="minorEastAsia" w:hAnsiTheme="minorEastAsia" w:eastAsiaTheme="minorEastAsia"/>
                <w:color w:val="auto"/>
                <w:sz w:val="24"/>
                <w:highlight w:val="none"/>
              </w:rPr>
            </w:pPr>
          </w:p>
        </w:tc>
        <w:tc>
          <w:tcPr>
            <w:tcW w:w="1680" w:type="pct"/>
            <w:vAlign w:val="center"/>
          </w:tcPr>
          <w:p w14:paraId="361F9888">
            <w:pPr>
              <w:jc w:val="center"/>
              <w:rPr>
                <w:rFonts w:asciiTheme="minorEastAsia" w:hAnsiTheme="minorEastAsia" w:eastAsiaTheme="minorEastAsia"/>
                <w:color w:val="auto"/>
                <w:sz w:val="24"/>
                <w:highlight w:val="none"/>
              </w:rPr>
            </w:pPr>
          </w:p>
        </w:tc>
        <w:tc>
          <w:tcPr>
            <w:tcW w:w="1456" w:type="pct"/>
            <w:vAlign w:val="center"/>
          </w:tcPr>
          <w:p w14:paraId="25015F08">
            <w:pPr>
              <w:jc w:val="center"/>
              <w:rPr>
                <w:rFonts w:asciiTheme="minorEastAsia" w:hAnsiTheme="minorEastAsia" w:eastAsiaTheme="minorEastAsia"/>
                <w:color w:val="auto"/>
                <w:sz w:val="24"/>
                <w:highlight w:val="none"/>
              </w:rPr>
            </w:pPr>
          </w:p>
        </w:tc>
        <w:tc>
          <w:tcPr>
            <w:tcW w:w="502" w:type="pct"/>
            <w:vAlign w:val="center"/>
          </w:tcPr>
          <w:p w14:paraId="68540446">
            <w:pPr>
              <w:jc w:val="center"/>
              <w:rPr>
                <w:rFonts w:asciiTheme="minorEastAsia" w:hAnsiTheme="minorEastAsia" w:eastAsiaTheme="minorEastAsia"/>
                <w:color w:val="auto"/>
                <w:sz w:val="24"/>
                <w:highlight w:val="none"/>
              </w:rPr>
            </w:pPr>
          </w:p>
        </w:tc>
      </w:tr>
    </w:tbl>
    <w:p w14:paraId="31DCF0B8">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14:paraId="5B6D066F">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14:paraId="7059A7B3">
      <w:pPr>
        <w:spacing w:line="360" w:lineRule="auto"/>
        <w:outlineLvl w:val="2"/>
        <w:rPr>
          <w:rFonts w:hint="eastAsia" w:asciiTheme="minorEastAsia" w:hAnsiTheme="minorEastAsia" w:eastAsiaTheme="minorEastAsia"/>
          <w:b/>
          <w:color w:val="auto"/>
          <w:sz w:val="24"/>
          <w:highlight w:val="none"/>
        </w:rPr>
      </w:pPr>
    </w:p>
    <w:p w14:paraId="6507BE77">
      <w:pPr>
        <w:spacing w:line="360" w:lineRule="auto"/>
        <w:outlineLvl w:val="2"/>
        <w:rPr>
          <w:rFonts w:hint="eastAsia" w:asciiTheme="minorEastAsia" w:hAnsiTheme="minorEastAsia" w:eastAsiaTheme="minorEastAsia"/>
          <w:b/>
          <w:color w:val="auto"/>
          <w:sz w:val="24"/>
          <w:highlight w:val="none"/>
        </w:rPr>
      </w:pPr>
    </w:p>
    <w:p w14:paraId="43CF94C2">
      <w:pPr>
        <w:spacing w:line="360" w:lineRule="auto"/>
        <w:outlineLvl w:val="2"/>
        <w:rPr>
          <w:rFonts w:hint="eastAsia" w:asciiTheme="minorEastAsia" w:hAnsiTheme="minorEastAsia" w:eastAsiaTheme="minorEastAsia"/>
          <w:b/>
          <w:color w:val="auto"/>
          <w:sz w:val="24"/>
          <w:highlight w:val="none"/>
        </w:rPr>
      </w:pPr>
    </w:p>
    <w:p w14:paraId="0A12DB8A">
      <w:pPr>
        <w:spacing w:line="360" w:lineRule="auto"/>
        <w:outlineLvl w:val="2"/>
        <w:rPr>
          <w:rFonts w:hint="eastAsia" w:asciiTheme="minorEastAsia" w:hAnsiTheme="minorEastAsia" w:eastAsiaTheme="minorEastAsia"/>
          <w:b/>
          <w:color w:val="auto"/>
          <w:sz w:val="24"/>
          <w:highlight w:val="none"/>
        </w:rPr>
      </w:pPr>
    </w:p>
    <w:p w14:paraId="4CC20C9E">
      <w:pPr>
        <w:spacing w:line="360" w:lineRule="auto"/>
        <w:outlineLvl w:val="2"/>
        <w:rPr>
          <w:rFonts w:hint="eastAsia" w:asciiTheme="minorEastAsia" w:hAnsiTheme="minorEastAsia" w:eastAsiaTheme="minorEastAsia"/>
          <w:b/>
          <w:color w:val="auto"/>
          <w:sz w:val="24"/>
          <w:highlight w:val="none"/>
        </w:rPr>
      </w:pPr>
    </w:p>
    <w:p w14:paraId="062A8DD9">
      <w:pPr>
        <w:spacing w:line="360" w:lineRule="auto"/>
        <w:outlineLvl w:val="2"/>
        <w:rPr>
          <w:rFonts w:hint="eastAsia" w:asciiTheme="minorEastAsia" w:hAnsiTheme="minorEastAsia" w:eastAsiaTheme="minorEastAsia"/>
          <w:b/>
          <w:color w:val="auto"/>
          <w:sz w:val="24"/>
          <w:highlight w:val="none"/>
        </w:rPr>
      </w:pPr>
    </w:p>
    <w:p w14:paraId="5BDE3306">
      <w:pPr>
        <w:spacing w:line="360" w:lineRule="auto"/>
        <w:outlineLvl w:val="2"/>
        <w:rPr>
          <w:rFonts w:hint="eastAsia" w:asciiTheme="minorEastAsia" w:hAnsiTheme="minorEastAsia" w:eastAsiaTheme="minorEastAsia"/>
          <w:b/>
          <w:color w:val="auto"/>
          <w:sz w:val="24"/>
          <w:highlight w:val="none"/>
        </w:rPr>
      </w:pPr>
    </w:p>
    <w:p w14:paraId="2E9D709A">
      <w:pPr>
        <w:spacing w:line="360" w:lineRule="auto"/>
        <w:outlineLvl w:val="2"/>
        <w:rPr>
          <w:rFonts w:hint="eastAsia" w:ascii="宋体" w:hAnsi="宋体" w:eastAsia="宋体" w:cs="宋体"/>
          <w:b/>
          <w:color w:val="auto"/>
          <w:sz w:val="22"/>
          <w:szCs w:val="22"/>
          <w:highlight w:val="none"/>
          <w:lang w:val="en-US" w:eastAsia="zh-CN"/>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3货物说明一览表</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2065"/>
        <w:gridCol w:w="1350"/>
        <w:gridCol w:w="1179"/>
        <w:gridCol w:w="983"/>
        <w:gridCol w:w="1190"/>
      </w:tblGrid>
      <w:tr w14:paraId="3CE32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953" w:type="dxa"/>
            <w:noWrap w:val="0"/>
            <w:vAlign w:val="center"/>
          </w:tcPr>
          <w:p w14:paraId="7737702A">
            <w:pPr>
              <w:jc w:val="center"/>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货物名称</w:t>
            </w:r>
          </w:p>
        </w:tc>
        <w:tc>
          <w:tcPr>
            <w:tcW w:w="2065" w:type="dxa"/>
            <w:noWrap w:val="0"/>
            <w:vAlign w:val="center"/>
          </w:tcPr>
          <w:p w14:paraId="4CF1647B">
            <w:pPr>
              <w:jc w:val="center"/>
              <w:rPr>
                <w:rFonts w:hint="eastAsia" w:ascii="宋体" w:hAnsi="宋体" w:eastAsia="宋体" w:cs="宋体"/>
                <w:b/>
                <w:bCs w:val="0"/>
                <w:sz w:val="22"/>
                <w:szCs w:val="22"/>
                <w:highlight w:val="none"/>
              </w:rPr>
            </w:pPr>
          </w:p>
        </w:tc>
        <w:tc>
          <w:tcPr>
            <w:tcW w:w="1350" w:type="dxa"/>
            <w:noWrap w:val="0"/>
            <w:vAlign w:val="center"/>
          </w:tcPr>
          <w:p w14:paraId="143EFE71">
            <w:pPr>
              <w:jc w:val="center"/>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型号规格</w:t>
            </w:r>
          </w:p>
        </w:tc>
        <w:tc>
          <w:tcPr>
            <w:tcW w:w="1179" w:type="dxa"/>
            <w:noWrap w:val="0"/>
            <w:vAlign w:val="center"/>
          </w:tcPr>
          <w:p w14:paraId="0F78E8F5">
            <w:pPr>
              <w:jc w:val="center"/>
              <w:rPr>
                <w:rFonts w:hint="eastAsia" w:ascii="宋体" w:hAnsi="宋体" w:eastAsia="宋体" w:cs="宋体"/>
                <w:b/>
                <w:bCs w:val="0"/>
                <w:sz w:val="22"/>
                <w:szCs w:val="22"/>
                <w:highlight w:val="none"/>
              </w:rPr>
            </w:pPr>
          </w:p>
        </w:tc>
        <w:tc>
          <w:tcPr>
            <w:tcW w:w="983" w:type="dxa"/>
            <w:noWrap w:val="0"/>
            <w:vAlign w:val="center"/>
          </w:tcPr>
          <w:p w14:paraId="157E4477">
            <w:pPr>
              <w:jc w:val="center"/>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数量</w:t>
            </w:r>
          </w:p>
        </w:tc>
        <w:tc>
          <w:tcPr>
            <w:tcW w:w="1190" w:type="dxa"/>
            <w:noWrap w:val="0"/>
            <w:vAlign w:val="center"/>
          </w:tcPr>
          <w:p w14:paraId="32AE0B71">
            <w:pPr>
              <w:jc w:val="center"/>
              <w:rPr>
                <w:rFonts w:hint="eastAsia" w:ascii="宋体" w:hAnsi="宋体" w:eastAsia="宋体" w:cs="宋体"/>
                <w:b/>
                <w:bCs w:val="0"/>
                <w:sz w:val="22"/>
                <w:szCs w:val="22"/>
                <w:highlight w:val="none"/>
              </w:rPr>
            </w:pPr>
          </w:p>
        </w:tc>
      </w:tr>
      <w:tr w14:paraId="5CB0C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5" w:hRule="atLeast"/>
          <w:jc w:val="center"/>
        </w:trPr>
        <w:tc>
          <w:tcPr>
            <w:tcW w:w="8720" w:type="dxa"/>
            <w:gridSpan w:val="6"/>
            <w:noWrap w:val="0"/>
            <w:vAlign w:val="top"/>
          </w:tcPr>
          <w:p w14:paraId="6338AE28">
            <w:pPr>
              <w:rPr>
                <w:rFonts w:hint="eastAsia" w:ascii="宋体" w:hAnsi="宋体" w:eastAsia="宋体" w:cs="宋体"/>
                <w:bCs/>
                <w:sz w:val="22"/>
                <w:szCs w:val="22"/>
                <w:highlight w:val="none"/>
              </w:rPr>
            </w:pPr>
            <w:r>
              <w:rPr>
                <w:rFonts w:hint="eastAsia" w:ascii="宋体" w:hAnsi="宋体" w:eastAsia="宋体" w:cs="宋体"/>
                <w:bCs/>
                <w:sz w:val="22"/>
                <w:szCs w:val="22"/>
                <w:highlight w:val="none"/>
              </w:rPr>
              <w:t>货物性能、技术参数说明：</w:t>
            </w:r>
          </w:p>
          <w:p w14:paraId="478A9593">
            <w:pPr>
              <w:rPr>
                <w:rFonts w:hint="eastAsia" w:ascii="宋体" w:hAnsi="宋体" w:eastAsia="宋体" w:cs="宋体"/>
                <w:bCs/>
                <w:sz w:val="22"/>
                <w:szCs w:val="22"/>
                <w:highlight w:val="none"/>
              </w:rPr>
            </w:pPr>
          </w:p>
          <w:p w14:paraId="67B3E7B3">
            <w:pPr>
              <w:rPr>
                <w:rFonts w:hint="eastAsia" w:ascii="宋体" w:hAnsi="宋体" w:eastAsia="宋体" w:cs="宋体"/>
                <w:bCs/>
                <w:sz w:val="22"/>
                <w:szCs w:val="22"/>
                <w:highlight w:val="none"/>
              </w:rPr>
            </w:pPr>
          </w:p>
          <w:p w14:paraId="135FBD3E">
            <w:pPr>
              <w:rPr>
                <w:rFonts w:hint="eastAsia" w:ascii="宋体" w:hAnsi="宋体" w:eastAsia="宋体" w:cs="宋体"/>
                <w:bCs/>
                <w:sz w:val="22"/>
                <w:szCs w:val="22"/>
                <w:highlight w:val="none"/>
              </w:rPr>
            </w:pPr>
          </w:p>
          <w:p w14:paraId="6385DC99">
            <w:pPr>
              <w:rPr>
                <w:rFonts w:hint="eastAsia" w:ascii="宋体" w:hAnsi="宋体" w:eastAsia="宋体" w:cs="宋体"/>
                <w:bCs/>
                <w:sz w:val="22"/>
                <w:szCs w:val="22"/>
                <w:highlight w:val="none"/>
              </w:rPr>
            </w:pPr>
          </w:p>
          <w:p w14:paraId="15D4FEC5">
            <w:pPr>
              <w:rPr>
                <w:rFonts w:hint="eastAsia" w:ascii="宋体" w:hAnsi="宋体" w:eastAsia="宋体" w:cs="宋体"/>
                <w:bCs/>
                <w:sz w:val="22"/>
                <w:szCs w:val="22"/>
                <w:highlight w:val="none"/>
              </w:rPr>
            </w:pPr>
          </w:p>
        </w:tc>
      </w:tr>
    </w:tbl>
    <w:p w14:paraId="371ACE72">
      <w:pPr>
        <w:spacing w:line="480" w:lineRule="exact"/>
        <w:ind w:firstLine="437" w:firstLineChars="199"/>
        <w:rPr>
          <w:rFonts w:hint="eastAsia" w:ascii="宋体" w:hAnsi="宋体" w:eastAsia="宋体" w:cs="宋体"/>
          <w:sz w:val="22"/>
          <w:szCs w:val="22"/>
          <w:highlight w:val="none"/>
        </w:rPr>
      </w:pPr>
      <w:r>
        <w:rPr>
          <w:rFonts w:hint="eastAsia" w:ascii="宋体" w:hAnsi="宋体" w:eastAsia="宋体" w:cs="宋体"/>
          <w:sz w:val="22"/>
          <w:szCs w:val="22"/>
          <w:highlight w:val="none"/>
        </w:rPr>
        <w:t>注：1.相同品牌相同型号产品做一次说明即可。无需重复提供。</w:t>
      </w:r>
    </w:p>
    <w:p w14:paraId="2C0ED020">
      <w:pPr>
        <w:spacing w:line="480" w:lineRule="exact"/>
        <w:ind w:firstLine="657" w:firstLineChars="299"/>
        <w:rPr>
          <w:rFonts w:hint="eastAsia" w:ascii="宋体" w:hAnsi="宋体" w:eastAsia="宋体" w:cs="宋体"/>
          <w:sz w:val="22"/>
          <w:szCs w:val="22"/>
          <w:highlight w:val="none"/>
        </w:rPr>
      </w:pPr>
      <w:r>
        <w:rPr>
          <w:rFonts w:hint="eastAsia" w:ascii="宋体" w:hAnsi="宋体" w:eastAsia="宋体" w:cs="宋体"/>
          <w:sz w:val="22"/>
          <w:szCs w:val="22"/>
          <w:highlight w:val="none"/>
        </w:rPr>
        <w:t>2.应按招标文件要求响应。</w:t>
      </w:r>
    </w:p>
    <w:p w14:paraId="147D057A">
      <w:pPr>
        <w:spacing w:line="480" w:lineRule="exact"/>
        <w:ind w:firstLine="657" w:firstLineChars="299"/>
        <w:rPr>
          <w:rFonts w:hint="eastAsia" w:ascii="宋体" w:hAnsi="宋体" w:eastAsia="宋体" w:cs="宋体"/>
          <w:b/>
          <w:bCs/>
          <w:color w:val="000000"/>
          <w:sz w:val="22"/>
          <w:szCs w:val="22"/>
          <w:highlight w:val="none"/>
        </w:rPr>
      </w:pPr>
      <w:r>
        <w:rPr>
          <w:rFonts w:hint="eastAsia" w:ascii="宋体" w:hAnsi="宋体" w:eastAsia="宋体" w:cs="宋体"/>
          <w:sz w:val="22"/>
          <w:szCs w:val="22"/>
          <w:highlight w:val="none"/>
        </w:rPr>
        <w:t>3.可以附必要有效的彩图、说明书、“评标办法前附表”和“第</w:t>
      </w:r>
      <w:r>
        <w:rPr>
          <w:rFonts w:hint="eastAsia" w:ascii="宋体" w:hAnsi="宋体" w:eastAsia="宋体" w:cs="宋体"/>
          <w:sz w:val="22"/>
          <w:szCs w:val="22"/>
          <w:highlight w:val="none"/>
          <w:lang w:val="en-US" w:eastAsia="zh-CN"/>
        </w:rPr>
        <w:t>三</w:t>
      </w:r>
      <w:r>
        <w:rPr>
          <w:rFonts w:hint="eastAsia" w:ascii="宋体" w:hAnsi="宋体" w:eastAsia="宋体" w:cs="宋体"/>
          <w:sz w:val="22"/>
          <w:szCs w:val="22"/>
          <w:highlight w:val="none"/>
        </w:rPr>
        <w:t>章 采购需求”要求的承诺、说明书、合格证书或检测报告等有关证明材料扫描件或影印件（必须清晰可辨，否则不予认可）。</w:t>
      </w:r>
    </w:p>
    <w:p w14:paraId="738EB9B8">
      <w:pPr>
        <w:spacing w:line="360" w:lineRule="auto"/>
        <w:jc w:val="center"/>
        <w:outlineLvl w:val="2"/>
        <w:rPr>
          <w:rFonts w:hint="eastAsia" w:ascii="宋体" w:hAnsi="宋体" w:eastAsia="宋体" w:cs="宋体"/>
          <w:b/>
          <w:sz w:val="24"/>
          <w:lang w:eastAsia="zh-CN"/>
        </w:rPr>
      </w:pPr>
      <w:bookmarkStart w:id="74" w:name="_Toc31000"/>
      <w:bookmarkStart w:id="75" w:name="_Toc11594"/>
    </w:p>
    <w:p w14:paraId="630D7677">
      <w:pPr>
        <w:spacing w:line="360" w:lineRule="auto"/>
        <w:jc w:val="center"/>
        <w:outlineLvl w:val="2"/>
        <w:rPr>
          <w:rFonts w:hint="eastAsia" w:ascii="宋体" w:hAnsi="宋体" w:eastAsia="宋体" w:cs="宋体"/>
          <w:b/>
          <w:sz w:val="24"/>
          <w:lang w:eastAsia="zh-CN"/>
        </w:rPr>
      </w:pPr>
    </w:p>
    <w:p w14:paraId="0CE0E55C">
      <w:pPr>
        <w:spacing w:line="360" w:lineRule="auto"/>
        <w:jc w:val="center"/>
        <w:outlineLvl w:val="2"/>
        <w:rPr>
          <w:rFonts w:hint="eastAsia" w:ascii="宋体" w:hAnsi="宋体" w:eastAsia="宋体" w:cs="宋体"/>
          <w:b/>
          <w:sz w:val="24"/>
          <w:lang w:eastAsia="zh-CN"/>
        </w:rPr>
      </w:pPr>
    </w:p>
    <w:p w14:paraId="47003DDA">
      <w:pPr>
        <w:spacing w:line="360" w:lineRule="auto"/>
        <w:jc w:val="center"/>
        <w:outlineLvl w:val="2"/>
        <w:rPr>
          <w:rFonts w:hint="eastAsia" w:ascii="宋体" w:hAnsi="宋体" w:eastAsia="宋体" w:cs="宋体"/>
          <w:b/>
          <w:sz w:val="24"/>
          <w:lang w:eastAsia="zh-CN"/>
        </w:rPr>
      </w:pPr>
    </w:p>
    <w:p w14:paraId="129B95FC">
      <w:pPr>
        <w:spacing w:line="360" w:lineRule="auto"/>
        <w:jc w:val="center"/>
        <w:outlineLvl w:val="2"/>
        <w:rPr>
          <w:rFonts w:hint="eastAsia" w:ascii="宋体" w:hAnsi="宋体" w:eastAsia="宋体" w:cs="宋体"/>
          <w:b/>
          <w:sz w:val="24"/>
          <w:lang w:eastAsia="zh-CN"/>
        </w:rPr>
      </w:pPr>
      <w:r>
        <w:rPr>
          <w:rFonts w:hint="eastAsia" w:ascii="宋体" w:hAnsi="宋体" w:eastAsia="宋体" w:cs="宋体"/>
          <w:b/>
          <w:sz w:val="24"/>
          <w:lang w:eastAsia="zh-CN"/>
        </w:rPr>
        <w:t>七、方案</w:t>
      </w:r>
    </w:p>
    <w:p w14:paraId="447F6D28">
      <w:pPr>
        <w:spacing w:line="360" w:lineRule="auto"/>
        <w:jc w:val="center"/>
        <w:rPr>
          <w:rFonts w:hint="eastAsia" w:ascii="宋体" w:hAnsi="宋体" w:eastAsia="宋体" w:cs="宋体"/>
          <w:i/>
          <w:sz w:val="24"/>
        </w:rPr>
      </w:pPr>
      <w:r>
        <w:rPr>
          <w:rFonts w:hint="eastAsia" w:ascii="宋体" w:hAnsi="宋体" w:eastAsia="宋体" w:cs="宋体"/>
          <w:i/>
          <w:sz w:val="24"/>
        </w:rPr>
        <w:t>(</w:t>
      </w:r>
      <w:r>
        <w:rPr>
          <w:rFonts w:hint="eastAsia" w:ascii="宋体" w:hAnsi="宋体" w:eastAsia="宋体" w:cs="宋体"/>
          <w:i/>
          <w:sz w:val="24"/>
          <w:lang w:eastAsia="zh-CN"/>
        </w:rPr>
        <w:t>投标人</w:t>
      </w:r>
      <w:r>
        <w:rPr>
          <w:rFonts w:hint="eastAsia" w:ascii="宋体" w:hAnsi="宋体" w:eastAsia="宋体" w:cs="宋体"/>
          <w:i/>
          <w:sz w:val="24"/>
        </w:rPr>
        <w:t>可自行制作格式，包括</w:t>
      </w:r>
      <w:r>
        <w:rPr>
          <w:rFonts w:hint="eastAsia" w:ascii="宋体" w:hAnsi="宋体" w:eastAsia="宋体" w:cs="宋体"/>
          <w:kern w:val="0"/>
          <w:sz w:val="24"/>
          <w:szCs w:val="24"/>
        </w:rPr>
        <w:t>供货方案、售后方案</w:t>
      </w:r>
      <w:r>
        <w:rPr>
          <w:rFonts w:hint="eastAsia" w:ascii="宋体" w:hAnsi="宋体" w:eastAsia="宋体" w:cs="宋体"/>
          <w:kern w:val="0"/>
          <w:sz w:val="24"/>
          <w:szCs w:val="24"/>
          <w:lang w:eastAsia="zh-CN"/>
        </w:rPr>
        <w:t>、保密</w:t>
      </w:r>
      <w:r>
        <w:rPr>
          <w:rFonts w:hint="eastAsia" w:ascii="宋体" w:hAnsi="宋体" w:eastAsia="宋体" w:cs="宋体"/>
          <w:kern w:val="0"/>
          <w:sz w:val="24"/>
          <w:szCs w:val="24"/>
        </w:rPr>
        <w:t>方案等方案，格式供应商自拟</w:t>
      </w:r>
      <w:r>
        <w:rPr>
          <w:rFonts w:hint="eastAsia" w:ascii="宋体" w:hAnsi="宋体" w:eastAsia="宋体" w:cs="宋体"/>
          <w:i/>
          <w:sz w:val="24"/>
        </w:rPr>
        <w:t>)</w:t>
      </w:r>
    </w:p>
    <w:p w14:paraId="4C20AE6B">
      <w:pPr>
        <w:spacing w:line="360" w:lineRule="auto"/>
        <w:jc w:val="center"/>
        <w:outlineLvl w:val="2"/>
        <w:rPr>
          <w:rFonts w:hint="eastAsia" w:ascii="宋体" w:hAnsi="宋体" w:eastAsia="宋体" w:cs="宋体"/>
          <w:b/>
          <w:sz w:val="24"/>
          <w:lang w:eastAsia="zh-CN"/>
        </w:rPr>
      </w:pPr>
    </w:p>
    <w:p w14:paraId="5DA8AF9F">
      <w:pPr>
        <w:spacing w:line="360" w:lineRule="auto"/>
        <w:jc w:val="center"/>
        <w:outlineLvl w:val="2"/>
        <w:rPr>
          <w:rFonts w:hint="eastAsia" w:ascii="宋体" w:hAnsi="宋体" w:eastAsia="宋体" w:cs="宋体"/>
          <w:b/>
          <w:sz w:val="24"/>
          <w:lang w:eastAsia="zh-CN"/>
        </w:rPr>
      </w:pPr>
    </w:p>
    <w:p w14:paraId="3740C91A">
      <w:pPr>
        <w:spacing w:line="360" w:lineRule="auto"/>
        <w:jc w:val="center"/>
        <w:outlineLvl w:val="2"/>
        <w:rPr>
          <w:rFonts w:hint="eastAsia" w:ascii="宋体" w:hAnsi="宋体" w:eastAsia="宋体" w:cs="宋体"/>
          <w:b/>
          <w:sz w:val="24"/>
          <w:lang w:eastAsia="zh-CN"/>
        </w:rPr>
      </w:pPr>
    </w:p>
    <w:p w14:paraId="15D4BE36">
      <w:pPr>
        <w:spacing w:line="360" w:lineRule="auto"/>
        <w:jc w:val="center"/>
        <w:outlineLvl w:val="2"/>
        <w:rPr>
          <w:rFonts w:hint="eastAsia" w:ascii="宋体" w:hAnsi="宋体" w:eastAsia="宋体" w:cs="宋体"/>
          <w:b/>
          <w:sz w:val="24"/>
          <w:lang w:eastAsia="zh-CN"/>
        </w:rPr>
      </w:pPr>
    </w:p>
    <w:p w14:paraId="349AD7FE">
      <w:pPr>
        <w:spacing w:line="360" w:lineRule="auto"/>
        <w:jc w:val="center"/>
        <w:outlineLvl w:val="2"/>
        <w:rPr>
          <w:rFonts w:hint="eastAsia" w:ascii="宋体" w:hAnsi="宋体" w:eastAsia="宋体" w:cs="宋体"/>
          <w:b/>
          <w:sz w:val="24"/>
          <w:lang w:eastAsia="zh-CN"/>
        </w:rPr>
      </w:pPr>
    </w:p>
    <w:p w14:paraId="6ECF1EA0">
      <w:pPr>
        <w:spacing w:line="360" w:lineRule="auto"/>
        <w:jc w:val="center"/>
        <w:outlineLvl w:val="2"/>
        <w:rPr>
          <w:rFonts w:hint="eastAsia" w:ascii="宋体" w:hAnsi="宋体" w:eastAsia="宋体" w:cs="宋体"/>
          <w:b/>
          <w:sz w:val="24"/>
          <w:lang w:eastAsia="zh-CN"/>
        </w:rPr>
      </w:pPr>
    </w:p>
    <w:p w14:paraId="2D2FFCB2">
      <w:pPr>
        <w:spacing w:line="360" w:lineRule="auto"/>
        <w:jc w:val="center"/>
        <w:outlineLvl w:val="2"/>
        <w:rPr>
          <w:rFonts w:hint="eastAsia" w:ascii="宋体" w:hAnsi="宋体" w:eastAsia="宋体" w:cs="宋体"/>
          <w:b/>
          <w:sz w:val="24"/>
          <w:lang w:eastAsia="zh-CN"/>
        </w:rPr>
      </w:pPr>
    </w:p>
    <w:p w14:paraId="75A16C8C">
      <w:pPr>
        <w:spacing w:line="360" w:lineRule="auto"/>
        <w:jc w:val="center"/>
        <w:outlineLvl w:val="2"/>
        <w:rPr>
          <w:rFonts w:hint="eastAsia" w:ascii="宋体" w:hAnsi="宋体" w:eastAsia="宋体" w:cs="宋体"/>
          <w:b/>
          <w:sz w:val="24"/>
          <w:lang w:eastAsia="zh-CN"/>
        </w:rPr>
      </w:pPr>
    </w:p>
    <w:p w14:paraId="6DBBBC94">
      <w:pPr>
        <w:spacing w:line="360" w:lineRule="auto"/>
        <w:jc w:val="center"/>
        <w:outlineLvl w:val="2"/>
        <w:rPr>
          <w:rFonts w:hint="eastAsia" w:ascii="宋体" w:hAnsi="宋体" w:eastAsia="宋体" w:cs="宋体"/>
          <w:b/>
          <w:sz w:val="24"/>
          <w:lang w:eastAsia="zh-CN"/>
        </w:rPr>
      </w:pPr>
    </w:p>
    <w:p w14:paraId="2714AE80">
      <w:pPr>
        <w:spacing w:line="360" w:lineRule="auto"/>
        <w:jc w:val="center"/>
        <w:outlineLvl w:val="2"/>
        <w:rPr>
          <w:rFonts w:hint="eastAsia" w:ascii="宋体" w:hAnsi="宋体" w:eastAsia="宋体" w:cs="宋体"/>
          <w:b/>
          <w:sz w:val="24"/>
          <w:lang w:eastAsia="zh-CN"/>
        </w:rPr>
      </w:pPr>
    </w:p>
    <w:p w14:paraId="57E245FB">
      <w:pPr>
        <w:spacing w:line="360" w:lineRule="auto"/>
        <w:jc w:val="center"/>
        <w:outlineLvl w:val="2"/>
        <w:rPr>
          <w:rFonts w:hint="eastAsia" w:ascii="宋体" w:hAnsi="宋体" w:eastAsia="宋体" w:cs="宋体"/>
          <w:b/>
          <w:sz w:val="24"/>
          <w:lang w:eastAsia="zh-CN"/>
        </w:rPr>
      </w:pPr>
    </w:p>
    <w:p w14:paraId="6CD68C2E">
      <w:pPr>
        <w:spacing w:line="360" w:lineRule="auto"/>
        <w:jc w:val="center"/>
        <w:outlineLvl w:val="2"/>
        <w:rPr>
          <w:rFonts w:hint="eastAsia" w:ascii="宋体" w:hAnsi="宋体" w:eastAsia="宋体" w:cs="宋体"/>
          <w:b/>
          <w:sz w:val="24"/>
        </w:rPr>
      </w:pPr>
      <w:r>
        <w:rPr>
          <w:rFonts w:hint="eastAsia" w:ascii="宋体" w:hAnsi="宋体" w:eastAsia="宋体" w:cs="宋体"/>
          <w:b/>
          <w:sz w:val="24"/>
          <w:lang w:eastAsia="zh-CN"/>
        </w:rPr>
        <w:t>八</w:t>
      </w:r>
      <w:r>
        <w:rPr>
          <w:rFonts w:hint="eastAsia" w:ascii="宋体" w:hAnsi="宋体" w:eastAsia="宋体" w:cs="宋体"/>
          <w:b/>
          <w:sz w:val="24"/>
        </w:rPr>
        <w:t>、</w:t>
      </w:r>
      <w:r>
        <w:rPr>
          <w:rFonts w:hint="eastAsia" w:ascii="宋体" w:hAnsi="宋体" w:eastAsia="宋体" w:cs="宋体"/>
          <w:b/>
          <w:sz w:val="24"/>
          <w:lang w:eastAsia="zh-CN"/>
        </w:rPr>
        <w:t>投标</w:t>
      </w:r>
      <w:r>
        <w:rPr>
          <w:rFonts w:hint="eastAsia" w:ascii="宋体" w:hAnsi="宋体" w:eastAsia="宋体" w:cs="宋体"/>
          <w:b/>
          <w:sz w:val="24"/>
        </w:rPr>
        <w:t>业绩承诺函</w:t>
      </w:r>
    </w:p>
    <w:p w14:paraId="7DCCAEC7">
      <w:pPr>
        <w:spacing w:line="360" w:lineRule="auto"/>
        <w:ind w:firstLine="435"/>
        <w:rPr>
          <w:rFonts w:hint="eastAsia" w:ascii="宋体" w:hAnsi="宋体" w:eastAsia="宋体" w:cs="宋体"/>
          <w:sz w:val="24"/>
        </w:rPr>
      </w:pPr>
      <w:r>
        <w:rPr>
          <w:rFonts w:hint="eastAsia" w:ascii="宋体" w:hAnsi="宋体" w:eastAsia="宋体" w:cs="宋体"/>
          <w:sz w:val="24"/>
        </w:rPr>
        <w:t>我单位承诺：</w:t>
      </w:r>
      <w:r>
        <w:rPr>
          <w:rFonts w:hint="eastAsia" w:ascii="宋体" w:hAnsi="宋体" w:eastAsia="宋体" w:cs="宋体"/>
          <w:sz w:val="24"/>
          <w:lang w:eastAsia="zh-CN"/>
        </w:rPr>
        <w:t>投标</w:t>
      </w:r>
      <w:r>
        <w:rPr>
          <w:rFonts w:hint="eastAsia" w:ascii="宋体" w:hAnsi="宋体" w:eastAsia="宋体" w:cs="宋体"/>
          <w:sz w:val="24"/>
        </w:rPr>
        <w:t>文件中所提供的业绩均真实有效，若被发现存在任何虚假、隐瞒情况，我单位承担由此产生的一切后果。</w:t>
      </w:r>
    </w:p>
    <w:p w14:paraId="305A020D">
      <w:pPr>
        <w:spacing w:line="360" w:lineRule="auto"/>
        <w:ind w:firstLine="435"/>
        <w:rPr>
          <w:rFonts w:hint="eastAsia" w:ascii="宋体" w:hAnsi="宋体" w:eastAsia="宋体" w:cs="宋体"/>
          <w:sz w:val="24"/>
        </w:rPr>
      </w:pPr>
    </w:p>
    <w:p w14:paraId="080D8D02">
      <w:pPr>
        <w:spacing w:line="360" w:lineRule="auto"/>
        <w:ind w:firstLine="4228" w:firstLineChars="1762"/>
        <w:rPr>
          <w:rFonts w:hint="eastAsia" w:ascii="宋体" w:hAnsi="宋体" w:eastAsia="宋体" w:cs="宋体"/>
          <w:sz w:val="24"/>
          <w:u w:val="single"/>
        </w:rPr>
      </w:pPr>
      <w:r>
        <w:rPr>
          <w:rFonts w:hint="eastAsia" w:ascii="宋体" w:hAnsi="宋体" w:eastAsia="宋体" w:cs="宋体"/>
          <w:sz w:val="24"/>
          <w:lang w:eastAsia="zh-CN"/>
        </w:rPr>
        <w:t>投标人</w:t>
      </w:r>
      <w:r>
        <w:rPr>
          <w:rFonts w:hint="eastAsia" w:ascii="宋体" w:hAnsi="宋体" w:eastAsia="宋体" w:cs="宋体"/>
          <w:sz w:val="24"/>
        </w:rPr>
        <w:t>电子签章：</w:t>
      </w:r>
    </w:p>
    <w:p w14:paraId="0AE748DE">
      <w:pPr>
        <w:tabs>
          <w:tab w:val="left" w:pos="630"/>
        </w:tabs>
        <w:spacing w:line="360" w:lineRule="auto"/>
        <w:ind w:firstLine="4228" w:firstLineChars="1762"/>
        <w:rPr>
          <w:rFonts w:hint="eastAsia" w:ascii="宋体" w:hAnsi="宋体" w:eastAsia="宋体" w:cs="宋体"/>
          <w:sz w:val="24"/>
          <w:u w:val="single"/>
        </w:rPr>
      </w:pPr>
      <w:r>
        <w:rPr>
          <w:rFonts w:hint="eastAsia" w:ascii="宋体" w:hAnsi="宋体" w:eastAsia="宋体" w:cs="宋体"/>
          <w:sz w:val="24"/>
        </w:rPr>
        <w:t>日          期：</w:t>
      </w:r>
    </w:p>
    <w:p w14:paraId="65E31688">
      <w:pPr>
        <w:tabs>
          <w:tab w:val="left" w:pos="630"/>
        </w:tabs>
        <w:spacing w:line="360" w:lineRule="auto"/>
        <w:ind w:firstLine="3700" w:firstLineChars="1762"/>
        <w:rPr>
          <w:rFonts w:hint="eastAsia" w:ascii="宋体" w:hAnsi="宋体" w:eastAsia="宋体" w:cs="宋体"/>
        </w:rPr>
      </w:pPr>
    </w:p>
    <w:tbl>
      <w:tblPr>
        <w:tblStyle w:val="2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3360"/>
        <w:gridCol w:w="2275"/>
        <w:gridCol w:w="1947"/>
      </w:tblGrid>
      <w:tr w14:paraId="3ED6B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940" w:type="dxa"/>
            <w:vAlign w:val="center"/>
          </w:tcPr>
          <w:p w14:paraId="53E44DD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3360" w:type="dxa"/>
            <w:vAlign w:val="center"/>
          </w:tcPr>
          <w:p w14:paraId="788B73F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2275" w:type="dxa"/>
            <w:vAlign w:val="center"/>
          </w:tcPr>
          <w:p w14:paraId="18EDC246">
            <w:pPr>
              <w:widowControl/>
              <w:jc w:val="center"/>
              <w:rPr>
                <w:rFonts w:hint="eastAsia" w:ascii="宋体" w:hAnsi="宋体" w:eastAsia="宋体" w:cs="宋体"/>
                <w:sz w:val="24"/>
                <w:szCs w:val="24"/>
              </w:rPr>
            </w:pPr>
            <w:r>
              <w:rPr>
                <w:rFonts w:hint="eastAsia" w:ascii="宋体" w:hAnsi="宋体" w:eastAsia="宋体" w:cs="宋体"/>
                <w:sz w:val="24"/>
                <w:szCs w:val="24"/>
              </w:rPr>
              <w:t>签订时间</w:t>
            </w:r>
          </w:p>
        </w:tc>
        <w:tc>
          <w:tcPr>
            <w:tcW w:w="1947" w:type="dxa"/>
            <w:vAlign w:val="center"/>
          </w:tcPr>
          <w:p w14:paraId="7442B99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供货范围</w:t>
            </w:r>
          </w:p>
        </w:tc>
      </w:tr>
      <w:tr w14:paraId="24E1E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vAlign w:val="center"/>
          </w:tcPr>
          <w:p w14:paraId="4F5B17C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3360" w:type="dxa"/>
            <w:vAlign w:val="center"/>
          </w:tcPr>
          <w:p w14:paraId="74AAF99D">
            <w:pPr>
              <w:spacing w:line="360" w:lineRule="auto"/>
              <w:rPr>
                <w:rFonts w:hint="eastAsia" w:ascii="宋体" w:hAnsi="宋体" w:eastAsia="宋体" w:cs="宋体"/>
                <w:sz w:val="24"/>
                <w:szCs w:val="24"/>
              </w:rPr>
            </w:pPr>
          </w:p>
        </w:tc>
        <w:tc>
          <w:tcPr>
            <w:tcW w:w="2275" w:type="dxa"/>
            <w:vAlign w:val="center"/>
          </w:tcPr>
          <w:p w14:paraId="5E36E635">
            <w:pPr>
              <w:spacing w:line="360" w:lineRule="auto"/>
              <w:rPr>
                <w:rFonts w:hint="eastAsia" w:ascii="宋体" w:hAnsi="宋体" w:eastAsia="宋体" w:cs="宋体"/>
                <w:sz w:val="24"/>
                <w:szCs w:val="24"/>
              </w:rPr>
            </w:pPr>
          </w:p>
        </w:tc>
        <w:tc>
          <w:tcPr>
            <w:tcW w:w="1947" w:type="dxa"/>
            <w:vAlign w:val="center"/>
          </w:tcPr>
          <w:p w14:paraId="7B2A67ED">
            <w:pPr>
              <w:spacing w:line="360" w:lineRule="auto"/>
              <w:rPr>
                <w:rFonts w:hint="eastAsia" w:ascii="宋体" w:hAnsi="宋体" w:eastAsia="宋体" w:cs="宋体"/>
                <w:sz w:val="24"/>
                <w:szCs w:val="24"/>
              </w:rPr>
            </w:pPr>
          </w:p>
        </w:tc>
      </w:tr>
      <w:tr w14:paraId="36E0B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vAlign w:val="center"/>
          </w:tcPr>
          <w:p w14:paraId="09391F1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3360" w:type="dxa"/>
            <w:vAlign w:val="center"/>
          </w:tcPr>
          <w:p w14:paraId="6F69C137">
            <w:pPr>
              <w:spacing w:line="360" w:lineRule="auto"/>
              <w:rPr>
                <w:rFonts w:hint="eastAsia" w:ascii="宋体" w:hAnsi="宋体" w:eastAsia="宋体" w:cs="宋体"/>
                <w:sz w:val="24"/>
                <w:szCs w:val="24"/>
              </w:rPr>
            </w:pPr>
          </w:p>
        </w:tc>
        <w:tc>
          <w:tcPr>
            <w:tcW w:w="2275" w:type="dxa"/>
            <w:vAlign w:val="center"/>
          </w:tcPr>
          <w:p w14:paraId="4726465A">
            <w:pPr>
              <w:spacing w:line="360" w:lineRule="auto"/>
              <w:rPr>
                <w:rFonts w:hint="eastAsia" w:ascii="宋体" w:hAnsi="宋体" w:eastAsia="宋体" w:cs="宋体"/>
                <w:sz w:val="24"/>
                <w:szCs w:val="24"/>
              </w:rPr>
            </w:pPr>
          </w:p>
        </w:tc>
        <w:tc>
          <w:tcPr>
            <w:tcW w:w="1947" w:type="dxa"/>
            <w:vAlign w:val="center"/>
          </w:tcPr>
          <w:p w14:paraId="2265CFC7">
            <w:pPr>
              <w:spacing w:line="360" w:lineRule="auto"/>
              <w:rPr>
                <w:rFonts w:hint="eastAsia" w:ascii="宋体" w:hAnsi="宋体" w:eastAsia="宋体" w:cs="宋体"/>
                <w:sz w:val="24"/>
                <w:szCs w:val="24"/>
              </w:rPr>
            </w:pPr>
          </w:p>
        </w:tc>
      </w:tr>
      <w:tr w14:paraId="1CC82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vAlign w:val="center"/>
          </w:tcPr>
          <w:p w14:paraId="664E0D0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3360" w:type="dxa"/>
            <w:vAlign w:val="center"/>
          </w:tcPr>
          <w:p w14:paraId="5B5718B1">
            <w:pPr>
              <w:spacing w:line="360" w:lineRule="auto"/>
              <w:rPr>
                <w:rFonts w:hint="eastAsia" w:ascii="宋体" w:hAnsi="宋体" w:eastAsia="宋体" w:cs="宋体"/>
                <w:sz w:val="24"/>
                <w:szCs w:val="24"/>
              </w:rPr>
            </w:pPr>
          </w:p>
        </w:tc>
        <w:tc>
          <w:tcPr>
            <w:tcW w:w="2275" w:type="dxa"/>
            <w:vAlign w:val="center"/>
          </w:tcPr>
          <w:p w14:paraId="375B12E5">
            <w:pPr>
              <w:spacing w:line="360" w:lineRule="auto"/>
              <w:rPr>
                <w:rFonts w:hint="eastAsia" w:ascii="宋体" w:hAnsi="宋体" w:eastAsia="宋体" w:cs="宋体"/>
                <w:sz w:val="24"/>
                <w:szCs w:val="24"/>
              </w:rPr>
            </w:pPr>
          </w:p>
        </w:tc>
        <w:tc>
          <w:tcPr>
            <w:tcW w:w="1947" w:type="dxa"/>
            <w:vAlign w:val="center"/>
          </w:tcPr>
          <w:p w14:paraId="3BF0B7CE">
            <w:pPr>
              <w:spacing w:line="360" w:lineRule="auto"/>
              <w:rPr>
                <w:rFonts w:hint="eastAsia" w:ascii="宋体" w:hAnsi="宋体" w:eastAsia="宋体" w:cs="宋体"/>
                <w:sz w:val="24"/>
                <w:szCs w:val="24"/>
              </w:rPr>
            </w:pPr>
          </w:p>
        </w:tc>
      </w:tr>
      <w:tr w14:paraId="5092F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vAlign w:val="center"/>
          </w:tcPr>
          <w:p w14:paraId="449EE61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3360" w:type="dxa"/>
            <w:vAlign w:val="center"/>
          </w:tcPr>
          <w:p w14:paraId="1EEE9C43">
            <w:pPr>
              <w:spacing w:line="360" w:lineRule="auto"/>
              <w:rPr>
                <w:rFonts w:hint="eastAsia" w:ascii="宋体" w:hAnsi="宋体" w:eastAsia="宋体" w:cs="宋体"/>
                <w:sz w:val="24"/>
                <w:szCs w:val="24"/>
              </w:rPr>
            </w:pPr>
          </w:p>
        </w:tc>
        <w:tc>
          <w:tcPr>
            <w:tcW w:w="2275" w:type="dxa"/>
            <w:vAlign w:val="center"/>
          </w:tcPr>
          <w:p w14:paraId="42ED72E2">
            <w:pPr>
              <w:spacing w:line="360" w:lineRule="auto"/>
              <w:rPr>
                <w:rFonts w:hint="eastAsia" w:ascii="宋体" w:hAnsi="宋体" w:eastAsia="宋体" w:cs="宋体"/>
                <w:sz w:val="24"/>
                <w:szCs w:val="24"/>
              </w:rPr>
            </w:pPr>
          </w:p>
        </w:tc>
        <w:tc>
          <w:tcPr>
            <w:tcW w:w="1947" w:type="dxa"/>
            <w:vAlign w:val="center"/>
          </w:tcPr>
          <w:p w14:paraId="2A5D18F3">
            <w:pPr>
              <w:spacing w:line="360" w:lineRule="auto"/>
              <w:rPr>
                <w:rFonts w:hint="eastAsia" w:ascii="宋体" w:hAnsi="宋体" w:eastAsia="宋体" w:cs="宋体"/>
                <w:sz w:val="24"/>
                <w:szCs w:val="24"/>
              </w:rPr>
            </w:pPr>
          </w:p>
        </w:tc>
      </w:tr>
      <w:tr w14:paraId="76FA1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vAlign w:val="center"/>
          </w:tcPr>
          <w:p w14:paraId="31D07D3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5</w:t>
            </w:r>
          </w:p>
        </w:tc>
        <w:tc>
          <w:tcPr>
            <w:tcW w:w="3360" w:type="dxa"/>
            <w:vAlign w:val="center"/>
          </w:tcPr>
          <w:p w14:paraId="266094FA">
            <w:pPr>
              <w:spacing w:line="360" w:lineRule="auto"/>
              <w:rPr>
                <w:rFonts w:hint="eastAsia" w:ascii="宋体" w:hAnsi="宋体" w:eastAsia="宋体" w:cs="宋体"/>
                <w:sz w:val="24"/>
                <w:szCs w:val="24"/>
              </w:rPr>
            </w:pPr>
          </w:p>
        </w:tc>
        <w:tc>
          <w:tcPr>
            <w:tcW w:w="2275" w:type="dxa"/>
            <w:vAlign w:val="center"/>
          </w:tcPr>
          <w:p w14:paraId="6240072C">
            <w:pPr>
              <w:spacing w:line="360" w:lineRule="auto"/>
              <w:rPr>
                <w:rFonts w:hint="eastAsia" w:ascii="宋体" w:hAnsi="宋体" w:eastAsia="宋体" w:cs="宋体"/>
                <w:sz w:val="24"/>
                <w:szCs w:val="24"/>
              </w:rPr>
            </w:pPr>
          </w:p>
        </w:tc>
        <w:tc>
          <w:tcPr>
            <w:tcW w:w="1947" w:type="dxa"/>
            <w:vAlign w:val="center"/>
          </w:tcPr>
          <w:p w14:paraId="4D600058">
            <w:pPr>
              <w:spacing w:line="360" w:lineRule="auto"/>
              <w:rPr>
                <w:rFonts w:hint="eastAsia" w:ascii="宋体" w:hAnsi="宋体" w:eastAsia="宋体" w:cs="宋体"/>
                <w:sz w:val="24"/>
                <w:szCs w:val="24"/>
              </w:rPr>
            </w:pPr>
          </w:p>
        </w:tc>
      </w:tr>
      <w:tr w14:paraId="3C52D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vAlign w:val="center"/>
          </w:tcPr>
          <w:p w14:paraId="7334466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p>
        </w:tc>
        <w:tc>
          <w:tcPr>
            <w:tcW w:w="3360" w:type="dxa"/>
            <w:vAlign w:val="center"/>
          </w:tcPr>
          <w:p w14:paraId="377DBD41">
            <w:pPr>
              <w:spacing w:line="360" w:lineRule="auto"/>
              <w:rPr>
                <w:rFonts w:hint="eastAsia" w:ascii="宋体" w:hAnsi="宋体" w:eastAsia="宋体" w:cs="宋体"/>
                <w:sz w:val="24"/>
                <w:szCs w:val="24"/>
              </w:rPr>
            </w:pPr>
          </w:p>
        </w:tc>
        <w:tc>
          <w:tcPr>
            <w:tcW w:w="2275" w:type="dxa"/>
            <w:vAlign w:val="center"/>
          </w:tcPr>
          <w:p w14:paraId="6DD22660">
            <w:pPr>
              <w:spacing w:line="360" w:lineRule="auto"/>
              <w:rPr>
                <w:rFonts w:hint="eastAsia" w:ascii="宋体" w:hAnsi="宋体" w:eastAsia="宋体" w:cs="宋体"/>
                <w:sz w:val="24"/>
                <w:szCs w:val="24"/>
              </w:rPr>
            </w:pPr>
          </w:p>
        </w:tc>
        <w:tc>
          <w:tcPr>
            <w:tcW w:w="1947" w:type="dxa"/>
            <w:vAlign w:val="center"/>
          </w:tcPr>
          <w:p w14:paraId="321720D2">
            <w:pPr>
              <w:spacing w:line="360" w:lineRule="auto"/>
              <w:rPr>
                <w:rFonts w:hint="eastAsia" w:ascii="宋体" w:hAnsi="宋体" w:eastAsia="宋体" w:cs="宋体"/>
                <w:sz w:val="24"/>
                <w:szCs w:val="24"/>
              </w:rPr>
            </w:pPr>
          </w:p>
        </w:tc>
      </w:tr>
    </w:tbl>
    <w:p w14:paraId="5187D70B">
      <w:pPr>
        <w:adjustRightInd w:val="0"/>
        <w:snapToGrid w:val="0"/>
        <w:spacing w:line="360" w:lineRule="auto"/>
        <w:rPr>
          <w:rFonts w:hint="eastAsia" w:ascii="宋体" w:hAnsi="宋体" w:eastAsia="宋体" w:cs="宋体"/>
          <w:b/>
          <w:bCs/>
          <w:sz w:val="24"/>
          <w:szCs w:val="28"/>
        </w:rPr>
      </w:pPr>
    </w:p>
    <w:p w14:paraId="6351A8C5">
      <w:pPr>
        <w:adjustRightInd w:val="0"/>
        <w:snapToGrid w:val="0"/>
        <w:spacing w:line="360" w:lineRule="auto"/>
        <w:rPr>
          <w:rFonts w:hint="eastAsia" w:ascii="宋体" w:hAnsi="宋体" w:eastAsia="宋体" w:cs="宋体"/>
          <w:b/>
          <w:bCs/>
          <w:sz w:val="24"/>
          <w:szCs w:val="28"/>
        </w:rPr>
      </w:pPr>
      <w:r>
        <w:rPr>
          <w:rFonts w:hint="eastAsia" w:ascii="宋体" w:hAnsi="宋体" w:eastAsia="宋体" w:cs="宋体"/>
          <w:b/>
          <w:bCs/>
          <w:sz w:val="24"/>
          <w:szCs w:val="28"/>
        </w:rPr>
        <w:t>备注：</w:t>
      </w:r>
    </w:p>
    <w:p w14:paraId="4EC47D5C">
      <w:pPr>
        <w:spacing w:line="360" w:lineRule="auto"/>
        <w:rPr>
          <w:rFonts w:hint="eastAsia" w:ascii="宋体" w:hAnsi="宋体" w:eastAsia="宋体" w:cs="宋体"/>
          <w:sz w:val="24"/>
        </w:rPr>
      </w:pPr>
      <w:r>
        <w:rPr>
          <w:rFonts w:hint="eastAsia" w:ascii="宋体" w:hAnsi="宋体" w:eastAsia="宋体" w:cs="宋体"/>
          <w:sz w:val="24"/>
        </w:rPr>
        <w:t>1.表中所列业绩应为</w:t>
      </w:r>
      <w:r>
        <w:rPr>
          <w:rFonts w:hint="eastAsia" w:ascii="宋体" w:hAnsi="宋体" w:eastAsia="宋体" w:cs="宋体"/>
          <w:sz w:val="24"/>
          <w:lang w:eastAsia="zh-CN"/>
        </w:rPr>
        <w:t>投标人</w:t>
      </w:r>
      <w:r>
        <w:rPr>
          <w:rFonts w:hint="eastAsia" w:ascii="宋体" w:hAnsi="宋体" w:eastAsia="宋体" w:cs="宋体"/>
          <w:sz w:val="24"/>
        </w:rPr>
        <w:t>满足</w:t>
      </w:r>
      <w:r>
        <w:rPr>
          <w:rFonts w:hint="eastAsia" w:ascii="宋体" w:hAnsi="宋体" w:eastAsia="宋体" w:cs="宋体"/>
          <w:sz w:val="24"/>
          <w:lang w:eastAsia="zh-CN"/>
        </w:rPr>
        <w:t>招标</w:t>
      </w:r>
      <w:r>
        <w:rPr>
          <w:rFonts w:hint="eastAsia" w:ascii="宋体" w:hAnsi="宋体" w:eastAsia="宋体" w:cs="宋体"/>
          <w:sz w:val="24"/>
        </w:rPr>
        <w:t>文件要求的业绩；</w:t>
      </w:r>
    </w:p>
    <w:p w14:paraId="19B27AF2">
      <w:pPr>
        <w:spacing w:line="360" w:lineRule="auto"/>
        <w:jc w:val="left"/>
        <w:outlineLvl w:val="1"/>
        <w:rPr>
          <w:rFonts w:hint="eastAsia" w:asciiTheme="minorEastAsia" w:hAnsiTheme="minorEastAsia" w:eastAsiaTheme="minorEastAsia"/>
          <w:b/>
          <w:color w:val="auto"/>
          <w:sz w:val="24"/>
          <w:highlight w:val="none"/>
          <w:lang w:val="en-US" w:eastAsia="zh-CN"/>
        </w:rPr>
      </w:pPr>
      <w:r>
        <w:rPr>
          <w:rFonts w:hint="eastAsia" w:ascii="宋体" w:hAnsi="宋体" w:eastAsia="宋体" w:cs="宋体"/>
          <w:sz w:val="24"/>
        </w:rPr>
        <w:t>2.</w:t>
      </w:r>
      <w:r>
        <w:rPr>
          <w:rFonts w:hint="eastAsia" w:ascii="宋体" w:hAnsi="宋体" w:eastAsia="宋体" w:cs="宋体"/>
          <w:sz w:val="24"/>
          <w:lang w:eastAsia="zh-CN"/>
        </w:rPr>
        <w:t>投标人</w:t>
      </w:r>
      <w:r>
        <w:rPr>
          <w:rFonts w:hint="eastAsia" w:ascii="宋体" w:hAnsi="宋体" w:eastAsia="宋体" w:cs="宋体"/>
          <w:sz w:val="24"/>
        </w:rPr>
        <w:t>提供的以上业绩情况，如</w:t>
      </w:r>
      <w:r>
        <w:rPr>
          <w:rFonts w:hint="eastAsia" w:ascii="宋体" w:hAnsi="宋体" w:eastAsia="宋体" w:cs="宋体"/>
          <w:sz w:val="24"/>
          <w:lang w:eastAsia="zh-CN"/>
        </w:rPr>
        <w:t>招标</w:t>
      </w:r>
      <w:r>
        <w:rPr>
          <w:rFonts w:hint="eastAsia" w:ascii="宋体" w:hAnsi="宋体" w:eastAsia="宋体" w:cs="宋体"/>
          <w:sz w:val="24"/>
        </w:rPr>
        <w:t>文件《</w:t>
      </w:r>
      <w:r>
        <w:rPr>
          <w:rFonts w:hint="eastAsia" w:ascii="宋体" w:hAnsi="宋体" w:eastAsia="宋体" w:cs="宋体"/>
          <w:sz w:val="24"/>
          <w:lang w:eastAsia="zh-CN"/>
        </w:rPr>
        <w:t>投标人</w:t>
      </w:r>
      <w:r>
        <w:rPr>
          <w:rFonts w:hint="eastAsia" w:ascii="宋体" w:hAnsi="宋体" w:eastAsia="宋体" w:cs="宋体"/>
          <w:sz w:val="24"/>
        </w:rPr>
        <w:t>须知前附表》有约定的，将按约定随评审结果公告</w:t>
      </w:r>
    </w:p>
    <w:p w14:paraId="39665E9E">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7E360CA4">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2E3460A4">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04449351">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3F972424">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2DF5BEDB">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260D62B2">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7CBBF49D">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3E45945E">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19108F97">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31DC4C0B">
      <w:pPr>
        <w:tabs>
          <w:tab w:val="left" w:pos="5040"/>
        </w:tabs>
        <w:spacing w:line="360" w:lineRule="auto"/>
        <w:jc w:val="center"/>
        <w:outlineLvl w:val="2"/>
        <w:rPr>
          <w:rFonts w:hint="eastAsia" w:ascii="宋体" w:hAnsi="宋体" w:eastAsia="宋体" w:cs="宋体"/>
          <w:b/>
          <w:sz w:val="24"/>
        </w:rPr>
      </w:pPr>
      <w:r>
        <w:rPr>
          <w:rFonts w:hint="eastAsia" w:ascii="宋体" w:hAnsi="宋体" w:eastAsia="宋体" w:cs="宋体"/>
          <w:b/>
          <w:sz w:val="24"/>
        </w:rPr>
        <w:t>九、主要</w:t>
      </w:r>
      <w:r>
        <w:rPr>
          <w:rFonts w:hint="eastAsia" w:ascii="宋体" w:hAnsi="宋体" w:eastAsia="宋体" w:cs="宋体"/>
          <w:b/>
          <w:sz w:val="24"/>
          <w:lang w:eastAsia="zh-CN"/>
        </w:rPr>
        <w:t>中标</w:t>
      </w:r>
      <w:r>
        <w:rPr>
          <w:rFonts w:hint="eastAsia" w:ascii="宋体" w:hAnsi="宋体" w:eastAsia="宋体" w:cs="宋体"/>
          <w:b/>
          <w:sz w:val="24"/>
        </w:rPr>
        <w:t>标的承诺函</w:t>
      </w:r>
    </w:p>
    <w:p w14:paraId="6B5E11B8">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我单位承诺：</w:t>
      </w:r>
      <w:r>
        <w:rPr>
          <w:rFonts w:hint="eastAsia" w:ascii="宋体" w:hAnsi="宋体" w:eastAsia="宋体" w:cs="宋体"/>
          <w:sz w:val="24"/>
          <w:szCs w:val="24"/>
          <w:lang w:eastAsia="zh-CN"/>
        </w:rPr>
        <w:t>投标</w:t>
      </w:r>
      <w:r>
        <w:rPr>
          <w:rFonts w:hint="eastAsia" w:ascii="宋体" w:hAnsi="宋体" w:eastAsia="宋体" w:cs="宋体"/>
          <w:sz w:val="24"/>
          <w:szCs w:val="24"/>
        </w:rPr>
        <w:t>文件中所提供的主要</w:t>
      </w:r>
      <w:r>
        <w:rPr>
          <w:rFonts w:hint="eastAsia" w:ascii="宋体" w:hAnsi="宋体" w:eastAsia="宋体" w:cs="宋体"/>
          <w:sz w:val="24"/>
          <w:szCs w:val="24"/>
          <w:lang w:eastAsia="zh-CN"/>
        </w:rPr>
        <w:t>中标</w:t>
      </w:r>
      <w:r>
        <w:rPr>
          <w:rFonts w:hint="eastAsia" w:ascii="宋体" w:hAnsi="宋体" w:eastAsia="宋体" w:cs="宋体"/>
          <w:sz w:val="24"/>
          <w:szCs w:val="24"/>
        </w:rPr>
        <w:t>标的均真实有效。若被发现存在任何虚假、隐瞒情况，我单位承担由此产生的一切后果。</w:t>
      </w:r>
    </w:p>
    <w:tbl>
      <w:tblPr>
        <w:tblStyle w:val="2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272"/>
        <w:gridCol w:w="1596"/>
        <w:gridCol w:w="1429"/>
        <w:gridCol w:w="728"/>
        <w:gridCol w:w="728"/>
        <w:gridCol w:w="1019"/>
        <w:gridCol w:w="1019"/>
      </w:tblGrid>
      <w:tr w14:paraId="20C06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26" w:type="pct"/>
            <w:vAlign w:val="center"/>
          </w:tcPr>
          <w:p w14:paraId="495533B9">
            <w:pPr>
              <w:pStyle w:val="4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46" w:type="pct"/>
            <w:vAlign w:val="center"/>
          </w:tcPr>
          <w:p w14:paraId="74B8C055">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936" w:type="pct"/>
            <w:vAlign w:val="center"/>
          </w:tcPr>
          <w:p w14:paraId="79155550">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品牌、型号</w:t>
            </w:r>
          </w:p>
        </w:tc>
        <w:tc>
          <w:tcPr>
            <w:tcW w:w="838" w:type="pct"/>
            <w:vAlign w:val="center"/>
          </w:tcPr>
          <w:p w14:paraId="7656E768">
            <w:pPr>
              <w:jc w:val="center"/>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规格信号</w:t>
            </w:r>
          </w:p>
        </w:tc>
        <w:tc>
          <w:tcPr>
            <w:tcW w:w="427" w:type="pct"/>
            <w:vAlign w:val="center"/>
          </w:tcPr>
          <w:p w14:paraId="29A1C765">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427" w:type="pct"/>
            <w:vAlign w:val="center"/>
          </w:tcPr>
          <w:p w14:paraId="73D1F890">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98" w:type="pct"/>
            <w:vAlign w:val="center"/>
          </w:tcPr>
          <w:p w14:paraId="5D60052D">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14:paraId="7D581444">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98" w:type="pct"/>
            <w:vAlign w:val="center"/>
          </w:tcPr>
          <w:p w14:paraId="7C892F60">
            <w:pPr>
              <w:jc w:val="cente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备注</w:t>
            </w:r>
          </w:p>
        </w:tc>
      </w:tr>
      <w:tr w14:paraId="6C3A3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26" w:type="pct"/>
            <w:tcBorders>
              <w:bottom w:val="single" w:color="auto" w:sz="4" w:space="0"/>
            </w:tcBorders>
          </w:tcPr>
          <w:p w14:paraId="05AD1725">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46" w:type="pct"/>
          </w:tcPr>
          <w:p w14:paraId="6973B1FA">
            <w:pPr>
              <w:rPr>
                <w:rFonts w:asciiTheme="minorEastAsia" w:hAnsiTheme="minorEastAsia" w:eastAsiaTheme="minorEastAsia"/>
                <w:color w:val="auto"/>
                <w:sz w:val="24"/>
                <w:highlight w:val="none"/>
              </w:rPr>
            </w:pPr>
          </w:p>
        </w:tc>
        <w:tc>
          <w:tcPr>
            <w:tcW w:w="936" w:type="pct"/>
          </w:tcPr>
          <w:p w14:paraId="1FE9FC22">
            <w:pPr>
              <w:rPr>
                <w:rFonts w:asciiTheme="minorEastAsia" w:hAnsiTheme="minorEastAsia" w:eastAsiaTheme="minorEastAsia"/>
                <w:color w:val="auto"/>
                <w:sz w:val="24"/>
                <w:highlight w:val="none"/>
              </w:rPr>
            </w:pPr>
          </w:p>
        </w:tc>
        <w:tc>
          <w:tcPr>
            <w:tcW w:w="838" w:type="pct"/>
          </w:tcPr>
          <w:p w14:paraId="016E40C9">
            <w:pPr>
              <w:rPr>
                <w:rFonts w:asciiTheme="minorEastAsia" w:hAnsiTheme="minorEastAsia" w:eastAsiaTheme="minorEastAsia"/>
                <w:color w:val="auto"/>
                <w:sz w:val="24"/>
                <w:highlight w:val="none"/>
              </w:rPr>
            </w:pPr>
          </w:p>
        </w:tc>
        <w:tc>
          <w:tcPr>
            <w:tcW w:w="427" w:type="pct"/>
          </w:tcPr>
          <w:p w14:paraId="1BDBBB75">
            <w:pPr>
              <w:rPr>
                <w:rFonts w:asciiTheme="minorEastAsia" w:hAnsiTheme="minorEastAsia" w:eastAsiaTheme="minorEastAsia"/>
                <w:color w:val="auto"/>
                <w:sz w:val="24"/>
                <w:highlight w:val="none"/>
              </w:rPr>
            </w:pPr>
          </w:p>
        </w:tc>
        <w:tc>
          <w:tcPr>
            <w:tcW w:w="427" w:type="pct"/>
          </w:tcPr>
          <w:p w14:paraId="0472CC13">
            <w:pPr>
              <w:rPr>
                <w:rFonts w:asciiTheme="minorEastAsia" w:hAnsiTheme="minorEastAsia" w:eastAsiaTheme="minorEastAsia"/>
                <w:color w:val="auto"/>
                <w:sz w:val="24"/>
                <w:highlight w:val="none"/>
              </w:rPr>
            </w:pPr>
          </w:p>
        </w:tc>
        <w:tc>
          <w:tcPr>
            <w:tcW w:w="598" w:type="pct"/>
          </w:tcPr>
          <w:p w14:paraId="00E302D2">
            <w:pPr>
              <w:rPr>
                <w:rFonts w:asciiTheme="minorEastAsia" w:hAnsiTheme="minorEastAsia" w:eastAsiaTheme="minorEastAsia"/>
                <w:color w:val="auto"/>
                <w:sz w:val="24"/>
                <w:highlight w:val="none"/>
              </w:rPr>
            </w:pPr>
          </w:p>
        </w:tc>
        <w:tc>
          <w:tcPr>
            <w:tcW w:w="598" w:type="pct"/>
          </w:tcPr>
          <w:p w14:paraId="2FA6E8E0">
            <w:pPr>
              <w:rPr>
                <w:rFonts w:asciiTheme="minorEastAsia" w:hAnsiTheme="minorEastAsia" w:eastAsiaTheme="minorEastAsia"/>
                <w:color w:val="auto"/>
                <w:sz w:val="24"/>
                <w:highlight w:val="none"/>
              </w:rPr>
            </w:pPr>
          </w:p>
        </w:tc>
      </w:tr>
      <w:tr w14:paraId="217E3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26" w:type="pct"/>
          </w:tcPr>
          <w:p w14:paraId="73619939">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46" w:type="pct"/>
          </w:tcPr>
          <w:p w14:paraId="449A579E">
            <w:pPr>
              <w:rPr>
                <w:rFonts w:asciiTheme="minorEastAsia" w:hAnsiTheme="minorEastAsia" w:eastAsiaTheme="minorEastAsia"/>
                <w:color w:val="auto"/>
                <w:sz w:val="24"/>
                <w:highlight w:val="none"/>
              </w:rPr>
            </w:pPr>
          </w:p>
        </w:tc>
        <w:tc>
          <w:tcPr>
            <w:tcW w:w="936" w:type="pct"/>
          </w:tcPr>
          <w:p w14:paraId="6EA39597">
            <w:pPr>
              <w:rPr>
                <w:rFonts w:asciiTheme="minorEastAsia" w:hAnsiTheme="minorEastAsia" w:eastAsiaTheme="minorEastAsia"/>
                <w:color w:val="auto"/>
                <w:sz w:val="24"/>
                <w:highlight w:val="none"/>
              </w:rPr>
            </w:pPr>
          </w:p>
        </w:tc>
        <w:tc>
          <w:tcPr>
            <w:tcW w:w="838" w:type="pct"/>
          </w:tcPr>
          <w:p w14:paraId="6B21F6B2">
            <w:pPr>
              <w:rPr>
                <w:rFonts w:asciiTheme="minorEastAsia" w:hAnsiTheme="minorEastAsia" w:eastAsiaTheme="minorEastAsia"/>
                <w:color w:val="auto"/>
                <w:sz w:val="24"/>
                <w:highlight w:val="none"/>
              </w:rPr>
            </w:pPr>
          </w:p>
        </w:tc>
        <w:tc>
          <w:tcPr>
            <w:tcW w:w="427" w:type="pct"/>
          </w:tcPr>
          <w:p w14:paraId="4BE5B760">
            <w:pPr>
              <w:rPr>
                <w:rFonts w:asciiTheme="minorEastAsia" w:hAnsiTheme="minorEastAsia" w:eastAsiaTheme="minorEastAsia"/>
                <w:color w:val="auto"/>
                <w:sz w:val="24"/>
                <w:highlight w:val="none"/>
              </w:rPr>
            </w:pPr>
          </w:p>
        </w:tc>
        <w:tc>
          <w:tcPr>
            <w:tcW w:w="427" w:type="pct"/>
          </w:tcPr>
          <w:p w14:paraId="2ECB3DC3">
            <w:pPr>
              <w:rPr>
                <w:rFonts w:asciiTheme="minorEastAsia" w:hAnsiTheme="minorEastAsia" w:eastAsiaTheme="minorEastAsia"/>
                <w:color w:val="auto"/>
                <w:sz w:val="24"/>
                <w:highlight w:val="none"/>
              </w:rPr>
            </w:pPr>
          </w:p>
        </w:tc>
        <w:tc>
          <w:tcPr>
            <w:tcW w:w="598" w:type="pct"/>
          </w:tcPr>
          <w:p w14:paraId="08853DBA">
            <w:pPr>
              <w:rPr>
                <w:rFonts w:asciiTheme="minorEastAsia" w:hAnsiTheme="minorEastAsia" w:eastAsiaTheme="minorEastAsia"/>
                <w:color w:val="auto"/>
                <w:sz w:val="24"/>
                <w:highlight w:val="none"/>
              </w:rPr>
            </w:pPr>
          </w:p>
        </w:tc>
        <w:tc>
          <w:tcPr>
            <w:tcW w:w="598" w:type="pct"/>
          </w:tcPr>
          <w:p w14:paraId="36DCA45D">
            <w:pPr>
              <w:rPr>
                <w:rFonts w:asciiTheme="minorEastAsia" w:hAnsiTheme="minorEastAsia" w:eastAsiaTheme="minorEastAsia"/>
                <w:color w:val="auto"/>
                <w:sz w:val="24"/>
                <w:highlight w:val="none"/>
              </w:rPr>
            </w:pPr>
          </w:p>
        </w:tc>
      </w:tr>
      <w:tr w14:paraId="7B856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26" w:type="pct"/>
          </w:tcPr>
          <w:p w14:paraId="350D10FC">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46" w:type="pct"/>
          </w:tcPr>
          <w:p w14:paraId="108E0F38">
            <w:pPr>
              <w:rPr>
                <w:rFonts w:asciiTheme="minorEastAsia" w:hAnsiTheme="minorEastAsia" w:eastAsiaTheme="minorEastAsia"/>
                <w:color w:val="auto"/>
                <w:sz w:val="24"/>
                <w:highlight w:val="none"/>
              </w:rPr>
            </w:pPr>
          </w:p>
        </w:tc>
        <w:tc>
          <w:tcPr>
            <w:tcW w:w="936" w:type="pct"/>
          </w:tcPr>
          <w:p w14:paraId="0CD99D1A">
            <w:pPr>
              <w:rPr>
                <w:rFonts w:asciiTheme="minorEastAsia" w:hAnsiTheme="minorEastAsia" w:eastAsiaTheme="minorEastAsia"/>
                <w:color w:val="auto"/>
                <w:sz w:val="24"/>
                <w:highlight w:val="none"/>
              </w:rPr>
            </w:pPr>
          </w:p>
        </w:tc>
        <w:tc>
          <w:tcPr>
            <w:tcW w:w="838" w:type="pct"/>
          </w:tcPr>
          <w:p w14:paraId="1AB82E22">
            <w:pPr>
              <w:rPr>
                <w:rFonts w:asciiTheme="minorEastAsia" w:hAnsiTheme="minorEastAsia" w:eastAsiaTheme="minorEastAsia"/>
                <w:color w:val="auto"/>
                <w:sz w:val="24"/>
                <w:highlight w:val="none"/>
              </w:rPr>
            </w:pPr>
          </w:p>
        </w:tc>
        <w:tc>
          <w:tcPr>
            <w:tcW w:w="427" w:type="pct"/>
          </w:tcPr>
          <w:p w14:paraId="7DA8C15E">
            <w:pPr>
              <w:rPr>
                <w:rFonts w:asciiTheme="minorEastAsia" w:hAnsiTheme="minorEastAsia" w:eastAsiaTheme="minorEastAsia"/>
                <w:color w:val="auto"/>
                <w:sz w:val="24"/>
                <w:highlight w:val="none"/>
              </w:rPr>
            </w:pPr>
          </w:p>
        </w:tc>
        <w:tc>
          <w:tcPr>
            <w:tcW w:w="427" w:type="pct"/>
          </w:tcPr>
          <w:p w14:paraId="62FBD0BB">
            <w:pPr>
              <w:rPr>
                <w:rFonts w:asciiTheme="minorEastAsia" w:hAnsiTheme="minorEastAsia" w:eastAsiaTheme="minorEastAsia"/>
                <w:color w:val="auto"/>
                <w:sz w:val="24"/>
                <w:highlight w:val="none"/>
              </w:rPr>
            </w:pPr>
          </w:p>
        </w:tc>
        <w:tc>
          <w:tcPr>
            <w:tcW w:w="598" w:type="pct"/>
          </w:tcPr>
          <w:p w14:paraId="5E406E02">
            <w:pPr>
              <w:rPr>
                <w:rFonts w:asciiTheme="minorEastAsia" w:hAnsiTheme="minorEastAsia" w:eastAsiaTheme="minorEastAsia"/>
                <w:color w:val="auto"/>
                <w:sz w:val="24"/>
                <w:highlight w:val="none"/>
              </w:rPr>
            </w:pPr>
          </w:p>
        </w:tc>
        <w:tc>
          <w:tcPr>
            <w:tcW w:w="598" w:type="pct"/>
          </w:tcPr>
          <w:p w14:paraId="0E05AA74">
            <w:pPr>
              <w:rPr>
                <w:rFonts w:asciiTheme="minorEastAsia" w:hAnsiTheme="minorEastAsia" w:eastAsiaTheme="minorEastAsia"/>
                <w:color w:val="auto"/>
                <w:sz w:val="24"/>
                <w:highlight w:val="none"/>
              </w:rPr>
            </w:pPr>
          </w:p>
        </w:tc>
      </w:tr>
      <w:tr w14:paraId="0858A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26" w:type="pct"/>
          </w:tcPr>
          <w:p w14:paraId="12917B42">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46" w:type="pct"/>
          </w:tcPr>
          <w:p w14:paraId="5AA44BD9">
            <w:pPr>
              <w:rPr>
                <w:rFonts w:asciiTheme="minorEastAsia" w:hAnsiTheme="minorEastAsia" w:eastAsiaTheme="minorEastAsia"/>
                <w:color w:val="auto"/>
                <w:sz w:val="24"/>
                <w:highlight w:val="none"/>
              </w:rPr>
            </w:pPr>
          </w:p>
        </w:tc>
        <w:tc>
          <w:tcPr>
            <w:tcW w:w="936" w:type="pct"/>
          </w:tcPr>
          <w:p w14:paraId="172B744F">
            <w:pPr>
              <w:rPr>
                <w:rFonts w:asciiTheme="minorEastAsia" w:hAnsiTheme="minorEastAsia" w:eastAsiaTheme="minorEastAsia"/>
                <w:color w:val="auto"/>
                <w:sz w:val="24"/>
                <w:highlight w:val="none"/>
              </w:rPr>
            </w:pPr>
          </w:p>
        </w:tc>
        <w:tc>
          <w:tcPr>
            <w:tcW w:w="838" w:type="pct"/>
          </w:tcPr>
          <w:p w14:paraId="4DCB53E0">
            <w:pPr>
              <w:rPr>
                <w:rFonts w:asciiTheme="minorEastAsia" w:hAnsiTheme="minorEastAsia" w:eastAsiaTheme="minorEastAsia"/>
                <w:color w:val="auto"/>
                <w:sz w:val="24"/>
                <w:highlight w:val="none"/>
              </w:rPr>
            </w:pPr>
          </w:p>
        </w:tc>
        <w:tc>
          <w:tcPr>
            <w:tcW w:w="427" w:type="pct"/>
          </w:tcPr>
          <w:p w14:paraId="6E7F281F">
            <w:pPr>
              <w:rPr>
                <w:rFonts w:asciiTheme="minorEastAsia" w:hAnsiTheme="minorEastAsia" w:eastAsiaTheme="minorEastAsia"/>
                <w:color w:val="auto"/>
                <w:sz w:val="24"/>
                <w:highlight w:val="none"/>
              </w:rPr>
            </w:pPr>
          </w:p>
        </w:tc>
        <w:tc>
          <w:tcPr>
            <w:tcW w:w="427" w:type="pct"/>
          </w:tcPr>
          <w:p w14:paraId="344BABC3">
            <w:pPr>
              <w:rPr>
                <w:rFonts w:asciiTheme="minorEastAsia" w:hAnsiTheme="minorEastAsia" w:eastAsiaTheme="minorEastAsia"/>
                <w:color w:val="auto"/>
                <w:sz w:val="24"/>
                <w:highlight w:val="none"/>
              </w:rPr>
            </w:pPr>
          </w:p>
        </w:tc>
        <w:tc>
          <w:tcPr>
            <w:tcW w:w="598" w:type="pct"/>
          </w:tcPr>
          <w:p w14:paraId="16C94DC5">
            <w:pPr>
              <w:rPr>
                <w:rFonts w:asciiTheme="minorEastAsia" w:hAnsiTheme="minorEastAsia" w:eastAsiaTheme="minorEastAsia"/>
                <w:color w:val="auto"/>
                <w:sz w:val="24"/>
                <w:highlight w:val="none"/>
              </w:rPr>
            </w:pPr>
          </w:p>
        </w:tc>
        <w:tc>
          <w:tcPr>
            <w:tcW w:w="598" w:type="pct"/>
          </w:tcPr>
          <w:p w14:paraId="53BBC533">
            <w:pPr>
              <w:rPr>
                <w:rFonts w:asciiTheme="minorEastAsia" w:hAnsiTheme="minorEastAsia" w:eastAsiaTheme="minorEastAsia"/>
                <w:color w:val="auto"/>
                <w:sz w:val="24"/>
                <w:highlight w:val="none"/>
              </w:rPr>
            </w:pPr>
          </w:p>
        </w:tc>
      </w:tr>
      <w:tr w14:paraId="2523A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26" w:type="pct"/>
          </w:tcPr>
          <w:p w14:paraId="6606169A">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46" w:type="pct"/>
          </w:tcPr>
          <w:p w14:paraId="4C30A18A">
            <w:pPr>
              <w:rPr>
                <w:rFonts w:asciiTheme="minorEastAsia" w:hAnsiTheme="minorEastAsia" w:eastAsiaTheme="minorEastAsia"/>
                <w:color w:val="auto"/>
                <w:sz w:val="24"/>
                <w:highlight w:val="none"/>
              </w:rPr>
            </w:pPr>
          </w:p>
        </w:tc>
        <w:tc>
          <w:tcPr>
            <w:tcW w:w="936" w:type="pct"/>
          </w:tcPr>
          <w:p w14:paraId="504181D5">
            <w:pPr>
              <w:rPr>
                <w:rFonts w:asciiTheme="minorEastAsia" w:hAnsiTheme="minorEastAsia" w:eastAsiaTheme="minorEastAsia"/>
                <w:color w:val="auto"/>
                <w:sz w:val="24"/>
                <w:highlight w:val="none"/>
              </w:rPr>
            </w:pPr>
          </w:p>
        </w:tc>
        <w:tc>
          <w:tcPr>
            <w:tcW w:w="838" w:type="pct"/>
          </w:tcPr>
          <w:p w14:paraId="471FE9BF">
            <w:pPr>
              <w:rPr>
                <w:rFonts w:asciiTheme="minorEastAsia" w:hAnsiTheme="minorEastAsia" w:eastAsiaTheme="minorEastAsia"/>
                <w:color w:val="auto"/>
                <w:sz w:val="24"/>
                <w:highlight w:val="none"/>
              </w:rPr>
            </w:pPr>
          </w:p>
        </w:tc>
        <w:tc>
          <w:tcPr>
            <w:tcW w:w="427" w:type="pct"/>
          </w:tcPr>
          <w:p w14:paraId="0FEE51D3">
            <w:pPr>
              <w:rPr>
                <w:rFonts w:asciiTheme="minorEastAsia" w:hAnsiTheme="minorEastAsia" w:eastAsiaTheme="minorEastAsia"/>
                <w:color w:val="auto"/>
                <w:sz w:val="24"/>
                <w:highlight w:val="none"/>
              </w:rPr>
            </w:pPr>
          </w:p>
        </w:tc>
        <w:tc>
          <w:tcPr>
            <w:tcW w:w="427" w:type="pct"/>
          </w:tcPr>
          <w:p w14:paraId="7A8A76F1">
            <w:pPr>
              <w:rPr>
                <w:rFonts w:asciiTheme="minorEastAsia" w:hAnsiTheme="minorEastAsia" w:eastAsiaTheme="minorEastAsia"/>
                <w:color w:val="auto"/>
                <w:sz w:val="24"/>
                <w:highlight w:val="none"/>
              </w:rPr>
            </w:pPr>
          </w:p>
        </w:tc>
        <w:tc>
          <w:tcPr>
            <w:tcW w:w="598" w:type="pct"/>
          </w:tcPr>
          <w:p w14:paraId="448BBB64">
            <w:pPr>
              <w:rPr>
                <w:rFonts w:asciiTheme="minorEastAsia" w:hAnsiTheme="minorEastAsia" w:eastAsiaTheme="minorEastAsia"/>
                <w:color w:val="auto"/>
                <w:sz w:val="24"/>
                <w:highlight w:val="none"/>
              </w:rPr>
            </w:pPr>
          </w:p>
        </w:tc>
        <w:tc>
          <w:tcPr>
            <w:tcW w:w="598" w:type="pct"/>
          </w:tcPr>
          <w:p w14:paraId="1D7F3A50">
            <w:pPr>
              <w:rPr>
                <w:rFonts w:asciiTheme="minorEastAsia" w:hAnsiTheme="minorEastAsia" w:eastAsiaTheme="minorEastAsia"/>
                <w:color w:val="auto"/>
                <w:sz w:val="24"/>
                <w:highlight w:val="none"/>
              </w:rPr>
            </w:pPr>
          </w:p>
        </w:tc>
      </w:tr>
      <w:tr w14:paraId="15176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26" w:type="pct"/>
          </w:tcPr>
          <w:p w14:paraId="48307FFE">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46" w:type="pct"/>
          </w:tcPr>
          <w:p w14:paraId="401FACFD">
            <w:pPr>
              <w:rPr>
                <w:rFonts w:asciiTheme="minorEastAsia" w:hAnsiTheme="minorEastAsia" w:eastAsiaTheme="minorEastAsia"/>
                <w:color w:val="auto"/>
                <w:sz w:val="24"/>
                <w:highlight w:val="none"/>
              </w:rPr>
            </w:pPr>
          </w:p>
        </w:tc>
        <w:tc>
          <w:tcPr>
            <w:tcW w:w="936" w:type="pct"/>
          </w:tcPr>
          <w:p w14:paraId="1B874898">
            <w:pPr>
              <w:rPr>
                <w:rFonts w:asciiTheme="minorEastAsia" w:hAnsiTheme="minorEastAsia" w:eastAsiaTheme="minorEastAsia"/>
                <w:color w:val="auto"/>
                <w:sz w:val="24"/>
                <w:highlight w:val="none"/>
              </w:rPr>
            </w:pPr>
          </w:p>
        </w:tc>
        <w:tc>
          <w:tcPr>
            <w:tcW w:w="838" w:type="pct"/>
          </w:tcPr>
          <w:p w14:paraId="4B4C0C6D">
            <w:pPr>
              <w:rPr>
                <w:rFonts w:asciiTheme="minorEastAsia" w:hAnsiTheme="minorEastAsia" w:eastAsiaTheme="minorEastAsia"/>
                <w:color w:val="auto"/>
                <w:sz w:val="24"/>
                <w:highlight w:val="none"/>
              </w:rPr>
            </w:pPr>
          </w:p>
        </w:tc>
        <w:tc>
          <w:tcPr>
            <w:tcW w:w="427" w:type="pct"/>
          </w:tcPr>
          <w:p w14:paraId="0740A0CD">
            <w:pPr>
              <w:rPr>
                <w:rFonts w:asciiTheme="minorEastAsia" w:hAnsiTheme="minorEastAsia" w:eastAsiaTheme="minorEastAsia"/>
                <w:color w:val="auto"/>
                <w:sz w:val="24"/>
                <w:highlight w:val="none"/>
              </w:rPr>
            </w:pPr>
          </w:p>
        </w:tc>
        <w:tc>
          <w:tcPr>
            <w:tcW w:w="427" w:type="pct"/>
          </w:tcPr>
          <w:p w14:paraId="174CAA4A">
            <w:pPr>
              <w:rPr>
                <w:rFonts w:asciiTheme="minorEastAsia" w:hAnsiTheme="minorEastAsia" w:eastAsiaTheme="minorEastAsia"/>
                <w:color w:val="auto"/>
                <w:sz w:val="24"/>
                <w:highlight w:val="none"/>
              </w:rPr>
            </w:pPr>
          </w:p>
        </w:tc>
        <w:tc>
          <w:tcPr>
            <w:tcW w:w="598" w:type="pct"/>
          </w:tcPr>
          <w:p w14:paraId="35D4EC10">
            <w:pPr>
              <w:rPr>
                <w:rFonts w:asciiTheme="minorEastAsia" w:hAnsiTheme="minorEastAsia" w:eastAsiaTheme="minorEastAsia"/>
                <w:color w:val="auto"/>
                <w:sz w:val="24"/>
                <w:highlight w:val="none"/>
              </w:rPr>
            </w:pPr>
          </w:p>
        </w:tc>
        <w:tc>
          <w:tcPr>
            <w:tcW w:w="598" w:type="pct"/>
          </w:tcPr>
          <w:p w14:paraId="5D160575">
            <w:pPr>
              <w:rPr>
                <w:rFonts w:asciiTheme="minorEastAsia" w:hAnsiTheme="minorEastAsia" w:eastAsiaTheme="minorEastAsia"/>
                <w:color w:val="auto"/>
                <w:sz w:val="24"/>
                <w:highlight w:val="none"/>
              </w:rPr>
            </w:pPr>
          </w:p>
        </w:tc>
      </w:tr>
    </w:tbl>
    <w:p w14:paraId="3AF9582D">
      <w:pPr>
        <w:spacing w:line="360" w:lineRule="auto"/>
        <w:ind w:firstLine="4245" w:firstLineChars="1762"/>
        <w:rPr>
          <w:rFonts w:hint="eastAsia" w:ascii="宋体" w:hAnsi="宋体" w:eastAsia="宋体" w:cs="宋体"/>
          <w:b/>
          <w:sz w:val="24"/>
        </w:rPr>
      </w:pPr>
    </w:p>
    <w:p w14:paraId="4A228DBF">
      <w:pPr>
        <w:spacing w:line="360" w:lineRule="auto"/>
        <w:ind w:firstLine="4228" w:firstLineChars="1762"/>
        <w:rPr>
          <w:rFonts w:hint="eastAsia" w:ascii="宋体" w:hAnsi="宋体" w:eastAsia="宋体" w:cs="宋体"/>
          <w:sz w:val="24"/>
          <w:u w:val="single"/>
        </w:rPr>
      </w:pPr>
      <w:r>
        <w:rPr>
          <w:rFonts w:hint="eastAsia" w:ascii="宋体" w:hAnsi="宋体" w:eastAsia="宋体" w:cs="宋体"/>
          <w:sz w:val="24"/>
          <w:lang w:eastAsia="zh-CN"/>
        </w:rPr>
        <w:t>投标人</w:t>
      </w:r>
      <w:r>
        <w:rPr>
          <w:rFonts w:hint="eastAsia" w:ascii="宋体" w:hAnsi="宋体" w:eastAsia="宋体" w:cs="宋体"/>
          <w:sz w:val="24"/>
        </w:rPr>
        <w:t>电子签章：</w:t>
      </w:r>
    </w:p>
    <w:p w14:paraId="2AA4A617">
      <w:pPr>
        <w:tabs>
          <w:tab w:val="left" w:pos="630"/>
        </w:tabs>
        <w:spacing w:line="360" w:lineRule="auto"/>
        <w:ind w:firstLine="4228" w:firstLineChars="1762"/>
        <w:rPr>
          <w:rFonts w:hint="eastAsia" w:ascii="宋体" w:hAnsi="宋体" w:eastAsia="宋体" w:cs="宋体"/>
          <w:sz w:val="24"/>
          <w:u w:val="single"/>
        </w:rPr>
      </w:pPr>
      <w:r>
        <w:rPr>
          <w:rFonts w:hint="eastAsia" w:ascii="宋体" w:hAnsi="宋体" w:eastAsia="宋体" w:cs="宋体"/>
          <w:sz w:val="24"/>
        </w:rPr>
        <w:t>日          期：</w:t>
      </w:r>
    </w:p>
    <w:p w14:paraId="098481B2">
      <w:pPr>
        <w:adjustRightInd w:val="0"/>
        <w:snapToGrid w:val="0"/>
        <w:spacing w:line="360" w:lineRule="auto"/>
        <w:rPr>
          <w:rFonts w:hint="eastAsia" w:ascii="宋体" w:hAnsi="宋体" w:eastAsia="宋体" w:cs="宋体"/>
          <w:b/>
          <w:bCs/>
          <w:sz w:val="24"/>
          <w:szCs w:val="24"/>
        </w:rPr>
      </w:pPr>
    </w:p>
    <w:p w14:paraId="3B704C20">
      <w:pPr>
        <w:ind w:firstLine="437"/>
        <w:rPr>
          <w:rFonts w:hint="eastAsia" w:ascii="宋体" w:hAnsi="宋体" w:eastAsia="宋体" w:cs="宋体"/>
          <w:sz w:val="24"/>
          <w:szCs w:val="24"/>
        </w:rPr>
      </w:pPr>
      <w:r>
        <w:rPr>
          <w:rFonts w:hint="eastAsia" w:ascii="宋体" w:hAnsi="宋体" w:eastAsia="宋体" w:cs="宋体"/>
          <w:sz w:val="24"/>
          <w:szCs w:val="24"/>
        </w:rPr>
        <w:t>备注：</w:t>
      </w:r>
    </w:p>
    <w:p w14:paraId="5E2545E2">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1.表中所列内容为满足本项目要求的主要</w:t>
      </w:r>
      <w:r>
        <w:rPr>
          <w:rFonts w:hint="eastAsia" w:ascii="宋体" w:hAnsi="宋体" w:eastAsia="宋体" w:cs="宋体"/>
          <w:sz w:val="24"/>
          <w:szCs w:val="24"/>
          <w:lang w:eastAsia="zh-CN"/>
        </w:rPr>
        <w:t>中标</w:t>
      </w:r>
      <w:r>
        <w:rPr>
          <w:rFonts w:hint="eastAsia" w:ascii="宋体" w:hAnsi="宋体" w:eastAsia="宋体" w:cs="宋体"/>
          <w:sz w:val="24"/>
          <w:szCs w:val="24"/>
        </w:rPr>
        <w:t>标的信息；</w:t>
      </w:r>
    </w:p>
    <w:p w14:paraId="35C27A17">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本页《主要中标标的承诺函》由投标人准确填写。</w:t>
      </w:r>
    </w:p>
    <w:p w14:paraId="56F6DC45">
      <w:pPr>
        <w:spacing w:line="360" w:lineRule="auto"/>
        <w:ind w:firstLine="435"/>
        <w:rPr>
          <w:rFonts w:hint="eastAsia" w:ascii="宋体" w:hAnsi="宋体" w:eastAsia="宋体" w:cs="宋体"/>
          <w:sz w:val="24"/>
          <w:szCs w:val="24"/>
        </w:rPr>
      </w:pPr>
    </w:p>
    <w:p w14:paraId="425AF1FB">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440B5AB9">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061E96CD">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1E7D30E9">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50DBF912">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4A7F7B59">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4961BADD">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4DCBF3D0">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3FE8238E">
      <w:pPr>
        <w:spacing w:line="360" w:lineRule="auto"/>
        <w:jc w:val="center"/>
        <w:outlineLvl w:val="1"/>
        <w:rPr>
          <w:rFonts w:hint="eastAsia" w:asciiTheme="minorEastAsia" w:hAnsiTheme="minorEastAsia" w:eastAsiaTheme="minorEastAsia"/>
          <w:b/>
          <w:color w:val="auto"/>
          <w:sz w:val="24"/>
          <w:highlight w:val="none"/>
          <w:lang w:val="en-US" w:eastAsia="zh-CN"/>
        </w:rPr>
      </w:pPr>
    </w:p>
    <w:p w14:paraId="4E542CB9">
      <w:pPr>
        <w:spacing w:line="360" w:lineRule="auto"/>
        <w:jc w:val="center"/>
        <w:outlineLvl w:val="1"/>
        <w:rPr>
          <w:rFonts w:hint="eastAsia" w:asciiTheme="minorEastAsia" w:hAnsiTheme="minorEastAsia" w:eastAsiaTheme="minorEastAsia"/>
          <w:b/>
          <w:color w:val="auto"/>
          <w:sz w:val="24"/>
          <w:highlight w:val="none"/>
          <w:lang w:val="en-US" w:eastAsia="zh-CN"/>
        </w:rPr>
      </w:pPr>
    </w:p>
    <w:bookmarkEnd w:id="74"/>
    <w:bookmarkEnd w:id="75"/>
    <w:p w14:paraId="5936EAA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Theme="minorEastAsia" w:hAnsiTheme="minorEastAsia" w:eastAsiaTheme="minorEastAsia"/>
          <w:b/>
          <w:color w:val="auto"/>
          <w:sz w:val="24"/>
          <w:highlight w:val="none"/>
          <w:lang w:val="en-US" w:eastAsia="zh-CN"/>
        </w:rPr>
      </w:pPr>
      <w:bookmarkStart w:id="76" w:name="_Toc9573"/>
      <w:bookmarkStart w:id="77" w:name="_Toc31244"/>
      <w:bookmarkStart w:id="78" w:name="OLE_LINK14"/>
      <w:bookmarkStart w:id="79" w:name="OLE_LINK13"/>
      <w:r>
        <w:rPr>
          <w:rFonts w:hint="eastAsia" w:asciiTheme="minorEastAsia" w:hAnsiTheme="minorEastAsia" w:eastAsiaTheme="minorEastAsia"/>
          <w:b/>
          <w:color w:val="auto"/>
          <w:sz w:val="24"/>
          <w:highlight w:val="none"/>
          <w:lang w:val="en-US" w:eastAsia="zh-CN"/>
        </w:rPr>
        <w:t>十、中小企业声明函</w:t>
      </w:r>
      <w:bookmarkEnd w:id="76"/>
      <w:bookmarkEnd w:id="77"/>
    </w:p>
    <w:p w14:paraId="2C31F129">
      <w:pPr>
        <w:pStyle w:val="1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非中小企业投标</w:t>
      </w:r>
      <w:r>
        <w:rPr>
          <w:rFonts w:hint="eastAsia" w:ascii="宋体" w:hAnsi="宋体" w:eastAsia="宋体"/>
          <w:b w:val="0"/>
          <w:i/>
          <w:color w:val="auto"/>
          <w:sz w:val="24"/>
          <w:highlight w:val="none"/>
          <w:lang w:val="en-US" w:eastAsia="zh-CN"/>
        </w:rPr>
        <w:t>，不需此件，请删去“中小企业声明函”）</w:t>
      </w:r>
    </w:p>
    <w:p w14:paraId="5B38F639">
      <w:pPr>
        <w:keepNext w:val="0"/>
        <w:keepLines w:val="0"/>
        <w:pageBreakBefore w:val="0"/>
        <w:widowControl w:val="0"/>
        <w:kinsoku/>
        <w:wordWrap/>
        <w:overflowPunct/>
        <w:topLinePunct w:val="0"/>
        <w:autoSpaceDE/>
        <w:autoSpaceDN/>
        <w:bidi w:val="0"/>
        <w:adjustRightInd/>
        <w:snapToGrid/>
        <w:spacing w:line="288" w:lineRule="auto"/>
        <w:ind w:firstLine="435"/>
        <w:textAlignment w:val="auto"/>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单位</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14:paraId="5197B02D">
      <w:pPr>
        <w:keepNext w:val="0"/>
        <w:keepLines w:val="0"/>
        <w:pageBreakBefore w:val="0"/>
        <w:widowControl w:val="0"/>
        <w:kinsoku/>
        <w:wordWrap/>
        <w:overflowPunct/>
        <w:topLinePunct w:val="0"/>
        <w:autoSpaceDE/>
        <w:autoSpaceDN/>
        <w:bidi w:val="0"/>
        <w:adjustRightInd/>
        <w:snapToGrid/>
        <w:spacing w:line="288" w:lineRule="auto"/>
        <w:ind w:firstLine="435"/>
        <w:textAlignment w:val="auto"/>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14:paraId="41AB2A2E">
      <w:pPr>
        <w:keepNext w:val="0"/>
        <w:keepLines w:val="0"/>
        <w:pageBreakBefore w:val="0"/>
        <w:widowControl w:val="0"/>
        <w:kinsoku/>
        <w:wordWrap/>
        <w:overflowPunct/>
        <w:topLinePunct w:val="0"/>
        <w:autoSpaceDE/>
        <w:autoSpaceDN/>
        <w:bidi w:val="0"/>
        <w:adjustRightInd/>
        <w:snapToGrid/>
        <w:spacing w:line="288" w:lineRule="auto"/>
        <w:ind w:firstLine="435"/>
        <w:textAlignment w:val="auto"/>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14:paraId="3DDCC65C">
      <w:pPr>
        <w:keepNext w:val="0"/>
        <w:keepLines w:val="0"/>
        <w:pageBreakBefore w:val="0"/>
        <w:widowControl w:val="0"/>
        <w:kinsoku/>
        <w:wordWrap/>
        <w:overflowPunct/>
        <w:topLinePunct w:val="0"/>
        <w:autoSpaceDE/>
        <w:autoSpaceDN/>
        <w:bidi w:val="0"/>
        <w:adjustRightInd/>
        <w:snapToGrid/>
        <w:spacing w:line="288" w:lineRule="auto"/>
        <w:ind w:firstLine="435"/>
        <w:textAlignment w:val="auto"/>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14:paraId="55FA8D93">
      <w:pPr>
        <w:keepNext w:val="0"/>
        <w:keepLines w:val="0"/>
        <w:pageBreakBefore w:val="0"/>
        <w:widowControl w:val="0"/>
        <w:kinsoku/>
        <w:wordWrap/>
        <w:overflowPunct/>
        <w:topLinePunct w:val="0"/>
        <w:autoSpaceDE/>
        <w:autoSpaceDN/>
        <w:bidi w:val="0"/>
        <w:adjustRightInd/>
        <w:snapToGrid/>
        <w:spacing w:line="288" w:lineRule="auto"/>
        <w:ind w:firstLine="435"/>
        <w:textAlignment w:val="auto"/>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14:paraId="54405061">
      <w:pPr>
        <w:keepNext w:val="0"/>
        <w:keepLines w:val="0"/>
        <w:pageBreakBefore w:val="0"/>
        <w:widowControl w:val="0"/>
        <w:kinsoku/>
        <w:wordWrap/>
        <w:overflowPunct/>
        <w:topLinePunct w:val="0"/>
        <w:autoSpaceDE/>
        <w:autoSpaceDN/>
        <w:bidi w:val="0"/>
        <w:adjustRightInd/>
        <w:snapToGrid/>
        <w:spacing w:line="288" w:lineRule="auto"/>
        <w:ind w:firstLine="435"/>
        <w:textAlignment w:val="auto"/>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14:paraId="25B69B0F">
      <w:pPr>
        <w:keepNext w:val="0"/>
        <w:keepLines w:val="0"/>
        <w:pageBreakBefore w:val="0"/>
        <w:widowControl w:val="0"/>
        <w:kinsoku/>
        <w:wordWrap/>
        <w:overflowPunct/>
        <w:topLinePunct w:val="0"/>
        <w:autoSpaceDE/>
        <w:autoSpaceDN/>
        <w:bidi w:val="0"/>
        <w:adjustRightInd/>
        <w:snapToGrid/>
        <w:spacing w:line="288" w:lineRule="auto"/>
        <w:ind w:firstLine="4228" w:firstLineChars="1762"/>
        <w:textAlignment w:val="auto"/>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14:paraId="599B0D0A">
      <w:pPr>
        <w:keepNext w:val="0"/>
        <w:keepLines w:val="0"/>
        <w:pageBreakBefore w:val="0"/>
        <w:widowControl w:val="0"/>
        <w:tabs>
          <w:tab w:val="left" w:pos="4620"/>
        </w:tabs>
        <w:kinsoku/>
        <w:wordWrap/>
        <w:overflowPunct/>
        <w:topLinePunct w:val="0"/>
        <w:autoSpaceDE/>
        <w:autoSpaceDN/>
        <w:bidi w:val="0"/>
        <w:adjustRightInd/>
        <w:snapToGrid/>
        <w:spacing w:line="288" w:lineRule="auto"/>
        <w:ind w:firstLine="4252" w:firstLineChars="1772"/>
        <w:textAlignment w:val="auto"/>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14:paraId="00F7773E">
      <w:pPr>
        <w:keepNext w:val="0"/>
        <w:keepLines w:val="0"/>
        <w:pageBreakBefore w:val="0"/>
        <w:widowControl w:val="0"/>
        <w:tabs>
          <w:tab w:val="left" w:pos="4620"/>
        </w:tabs>
        <w:kinsoku/>
        <w:wordWrap/>
        <w:overflowPunct/>
        <w:topLinePunct w:val="0"/>
        <w:autoSpaceDE/>
        <w:autoSpaceDN/>
        <w:bidi w:val="0"/>
        <w:adjustRightInd/>
        <w:snapToGrid/>
        <w:spacing w:line="288" w:lineRule="auto"/>
        <w:jc w:val="left"/>
        <w:textAlignment w:val="auto"/>
        <w:outlineLvl w:val="9"/>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14:paraId="40A12289">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14:paraId="2C2A8FD8">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2.投标人应根据《政府采购促进中小企业发展管理办法》（财库﹝2020﹞46号）和《关于印发中小企业划型标准规定的通知》(工信部联企业〔2011〕300号)相关规定，如实填写中小企业声明函。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投标人自行登录工业和信息化部官网进行中小企业规模类型自测（查询网址https://www.miit.gov.cn/）。</w:t>
      </w:r>
    </w:p>
    <w:p w14:paraId="79E18534">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14:paraId="5238F8F0">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14:paraId="48B48341">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[投标人自行登录工业和信息化部官网进行中小企业规模类型自测（查询网址https://www.miit.gov.cn/）]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14:paraId="3C6FC0AF">
      <w:pPr>
        <w:rPr>
          <w:rFonts w:hint="eastAsia" w:asciiTheme="minorEastAsia" w:hAnsiTheme="minorEastAsia" w:eastAsiaTheme="minorEastAsia"/>
          <w:b/>
          <w:bCs/>
          <w:color w:val="auto"/>
          <w:szCs w:val="24"/>
          <w:highlight w:val="none"/>
        </w:rPr>
      </w:pPr>
      <w:r>
        <w:rPr>
          <w:rFonts w:hint="eastAsia" w:asciiTheme="minorEastAsia" w:hAnsiTheme="minorEastAsia" w:eastAsiaTheme="minorEastAsia"/>
          <w:b/>
          <w:bCs/>
          <w:color w:val="auto"/>
          <w:szCs w:val="24"/>
          <w:highlight w:val="none"/>
        </w:rPr>
        <w:br w:type="page"/>
      </w:r>
      <w:bookmarkEnd w:id="78"/>
      <w:bookmarkEnd w:id="79"/>
    </w:p>
    <w:p w14:paraId="7B4F70E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Theme="minorEastAsia" w:hAnsiTheme="minorEastAsia" w:eastAsiaTheme="minorEastAsia"/>
          <w:b/>
          <w:color w:val="auto"/>
          <w:sz w:val="24"/>
          <w:highlight w:val="none"/>
          <w:lang w:val="en-US" w:eastAsia="zh-CN"/>
        </w:rPr>
      </w:pPr>
      <w:bookmarkStart w:id="80" w:name="_Toc16713"/>
      <w:bookmarkStart w:id="81" w:name="_Toc24563"/>
      <w:r>
        <w:rPr>
          <w:rFonts w:hint="eastAsia" w:asciiTheme="minorEastAsia" w:hAnsiTheme="minorEastAsia" w:eastAsiaTheme="minorEastAsia"/>
          <w:b/>
          <w:color w:val="auto"/>
          <w:sz w:val="24"/>
          <w:highlight w:val="none"/>
          <w:lang w:val="en-US" w:eastAsia="zh-CN"/>
        </w:rPr>
        <w:t>十一、残疾人福利性单位声明函</w:t>
      </w:r>
      <w:bookmarkEnd w:id="80"/>
      <w:bookmarkEnd w:id="81"/>
    </w:p>
    <w:p w14:paraId="021F9E85">
      <w:pPr>
        <w:pStyle w:val="1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（非残疾人福利性单位投标，请删去“残疾人福利性单位声明函”）</w:t>
      </w:r>
    </w:p>
    <w:p w14:paraId="57A829AE">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14:paraId="49242630">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14:paraId="42D959A7">
      <w:pPr>
        <w:spacing w:line="360" w:lineRule="auto"/>
        <w:ind w:firstLine="4228" w:firstLineChars="1762"/>
        <w:rPr>
          <w:rFonts w:asciiTheme="minorEastAsia" w:hAnsiTheme="minorEastAsia" w:eastAsiaTheme="minorEastAsia"/>
          <w:color w:val="auto"/>
          <w:sz w:val="24"/>
          <w:szCs w:val="24"/>
          <w:highlight w:val="none"/>
        </w:rPr>
      </w:pPr>
    </w:p>
    <w:p w14:paraId="6F9C28C2">
      <w:pPr>
        <w:spacing w:line="360" w:lineRule="auto"/>
        <w:ind w:firstLine="4228" w:firstLineChars="1762"/>
        <w:rPr>
          <w:rFonts w:asciiTheme="minorEastAsia" w:hAnsiTheme="minorEastAsia" w:eastAsiaTheme="minorEastAsia"/>
          <w:color w:val="auto"/>
          <w:sz w:val="24"/>
          <w:szCs w:val="24"/>
          <w:highlight w:val="none"/>
        </w:rPr>
      </w:pPr>
    </w:p>
    <w:p w14:paraId="16D3E4EE">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14:paraId="1133769F">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14:paraId="6AA9BBAA">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74D4CE8D">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82" w:name="_Toc520299348"/>
      <w:bookmarkStart w:id="83" w:name="_Toc300210382"/>
      <w:bookmarkStart w:id="84" w:name="_Toc457768004"/>
      <w:bookmarkStart w:id="85" w:name="_Toc25813"/>
      <w:bookmarkStart w:id="86" w:name="_Toc26536"/>
      <w:bookmarkStart w:id="87" w:name="_Hlk11701496"/>
      <w:r>
        <w:rPr>
          <w:rFonts w:hint="eastAsia" w:asciiTheme="minorEastAsia" w:hAnsiTheme="minorEastAsia" w:eastAsiaTheme="minorEastAsia"/>
          <w:b/>
          <w:color w:val="auto"/>
          <w:sz w:val="24"/>
          <w:highlight w:val="none"/>
          <w:lang w:val="en-US" w:eastAsia="zh-CN"/>
        </w:rPr>
        <w:t>十二、</w:t>
      </w:r>
      <w:bookmarkEnd w:id="82"/>
      <w:bookmarkEnd w:id="83"/>
      <w:bookmarkEnd w:id="84"/>
      <w:r>
        <w:rPr>
          <w:rFonts w:hint="eastAsia" w:asciiTheme="minorEastAsia" w:hAnsiTheme="minorEastAsia" w:eastAsiaTheme="minorEastAsia"/>
          <w:b/>
          <w:color w:val="auto"/>
          <w:sz w:val="24"/>
          <w:highlight w:val="none"/>
          <w:lang w:val="en-US" w:eastAsia="zh-CN"/>
        </w:rPr>
        <w:t>诚信履约承诺函</w:t>
      </w:r>
      <w:bookmarkEnd w:id="85"/>
      <w:bookmarkEnd w:id="86"/>
    </w:p>
    <w:p w14:paraId="0A7EBF72">
      <w:pPr>
        <w:spacing w:line="360" w:lineRule="auto"/>
        <w:rPr>
          <w:rFonts w:asciiTheme="minorEastAsia" w:hAnsiTheme="minorEastAsia" w:eastAsiaTheme="minorEastAsia"/>
          <w:b/>
          <w:bCs/>
          <w:color w:val="auto"/>
          <w:sz w:val="24"/>
          <w:highlight w:val="none"/>
        </w:rPr>
      </w:pPr>
    </w:p>
    <w:p w14:paraId="131297E4">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14:paraId="040791DD">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中标人，我单位承诺在合同签订及履约过程中将严格执行《中华人民共和国政府采购法》、《中华人民共和国政府采购法实施条例》及本项目采购文件中关于合同签订及履约的相关规定，不出现以下情形：</w:t>
      </w:r>
    </w:p>
    <w:p w14:paraId="39298734">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14:paraId="2957793D">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14:paraId="67462E94">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14:paraId="668DEDF4">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14:paraId="6675559E">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14:paraId="44F682BC">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EA9E40B">
      <w:pPr>
        <w:spacing w:line="360" w:lineRule="auto"/>
        <w:rPr>
          <w:rFonts w:asciiTheme="minorEastAsia" w:hAnsiTheme="minorEastAsia" w:eastAsiaTheme="minorEastAsia"/>
          <w:bCs/>
          <w:color w:val="auto"/>
          <w:sz w:val="24"/>
          <w:highlight w:val="none"/>
        </w:rPr>
      </w:pPr>
    </w:p>
    <w:p w14:paraId="130483C5">
      <w:pPr>
        <w:spacing w:line="360" w:lineRule="auto"/>
        <w:rPr>
          <w:rFonts w:asciiTheme="minorEastAsia" w:hAnsiTheme="minorEastAsia" w:eastAsiaTheme="minorEastAsia"/>
          <w:bCs/>
          <w:color w:val="auto"/>
          <w:sz w:val="24"/>
          <w:highlight w:val="none"/>
        </w:rPr>
      </w:pPr>
    </w:p>
    <w:p w14:paraId="332F44D2">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投标人电子签章：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14:paraId="61909BF2">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14:paraId="17418944">
      <w:pPr>
        <w:widowControl/>
        <w:jc w:val="left"/>
        <w:rPr>
          <w:rFonts w:ascii="宋体" w:hAnsi="宋体" w:eastAsia="宋体" w:cs="Arial"/>
          <w:color w:val="auto"/>
          <w:sz w:val="24"/>
          <w:highlight w:val="none"/>
        </w:rPr>
      </w:pPr>
      <w:r>
        <w:rPr>
          <w:rFonts w:ascii="宋体" w:hAnsi="宋体" w:eastAsia="宋体" w:cs="Arial"/>
          <w:color w:val="auto"/>
          <w:sz w:val="24"/>
          <w:highlight w:val="none"/>
        </w:rPr>
        <w:br w:type="page"/>
      </w:r>
    </w:p>
    <w:bookmarkEnd w:id="87"/>
    <w:p w14:paraId="2A8A7627">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88" w:name="_Toc2683"/>
      <w:bookmarkStart w:id="89" w:name="_Toc32633"/>
      <w:r>
        <w:rPr>
          <w:rFonts w:hint="eastAsia" w:asciiTheme="minorEastAsia" w:hAnsiTheme="minorEastAsia" w:eastAsiaTheme="minorEastAsia"/>
          <w:b/>
          <w:color w:val="auto"/>
          <w:sz w:val="24"/>
          <w:highlight w:val="none"/>
          <w:lang w:val="en-US" w:eastAsia="zh-CN"/>
        </w:rPr>
        <w:t>十三、其他相关证明材料</w:t>
      </w:r>
      <w:bookmarkEnd w:id="88"/>
      <w:bookmarkEnd w:id="89"/>
    </w:p>
    <w:p w14:paraId="5204831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提供符合投标邀请、采购需求及评标方法和标准规定的相关证明文件。</w:t>
      </w:r>
    </w:p>
    <w:p w14:paraId="5F3BE4E1">
      <w:pPr>
        <w:spacing w:line="360" w:lineRule="auto"/>
        <w:ind w:firstLine="480" w:firstLineChars="200"/>
        <w:rPr>
          <w:rFonts w:asciiTheme="minorEastAsia" w:hAnsiTheme="minorEastAsia" w:eastAsiaTheme="minorEastAsia"/>
          <w:color w:val="auto"/>
          <w:sz w:val="24"/>
          <w:highlight w:val="none"/>
        </w:rPr>
      </w:pPr>
    </w:p>
    <w:p w14:paraId="4BBF8A18">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14:paraId="39ECF0F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投标人在投标文件制作时可在此栏内上传</w:t>
      </w:r>
      <w:r>
        <w:rPr>
          <w:rFonts w:asciiTheme="minorEastAsia" w:hAnsiTheme="minorEastAsia" w:eastAsiaTheme="minorEastAsia"/>
          <w:color w:val="auto"/>
          <w:sz w:val="24"/>
          <w:highlight w:val="none"/>
        </w:rPr>
        <w:t>招标文件要求上传的证明资料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14:paraId="7257D095">
      <w:pPr>
        <w:widowControl/>
        <w:jc w:val="left"/>
        <w:rPr>
          <w:rFonts w:ascii="宋体" w:hAnsi="宋体" w:eastAsia="宋体"/>
          <w:bCs/>
          <w:color w:val="auto"/>
          <w:sz w:val="24"/>
          <w:highlight w:val="none"/>
        </w:rPr>
      </w:pPr>
      <w:r>
        <w:rPr>
          <w:rFonts w:ascii="宋体" w:hAnsi="宋体" w:eastAsia="宋体"/>
          <w:bCs/>
          <w:color w:val="auto"/>
          <w:sz w:val="24"/>
          <w:highlight w:val="none"/>
        </w:rPr>
        <w:br w:type="page"/>
      </w:r>
    </w:p>
    <w:p w14:paraId="2CDFBA3A">
      <w:pPr>
        <w:spacing w:line="360" w:lineRule="auto"/>
        <w:jc w:val="center"/>
        <w:outlineLvl w:val="0"/>
        <w:rPr>
          <w:rFonts w:ascii="宋体" w:hAnsi="宋体" w:eastAsia="宋体"/>
          <w:b/>
          <w:bCs/>
          <w:color w:val="auto"/>
          <w:sz w:val="28"/>
          <w:highlight w:val="none"/>
        </w:rPr>
      </w:pPr>
      <w:bookmarkStart w:id="90" w:name="_Toc6435"/>
      <w:bookmarkStart w:id="91" w:name="_Toc18131"/>
      <w:r>
        <w:rPr>
          <w:rFonts w:hint="eastAsia" w:asciiTheme="minorEastAsia" w:hAnsiTheme="minorEastAsia" w:eastAsiaTheme="minorEastAsia"/>
          <w:b/>
          <w:color w:val="auto"/>
          <w:sz w:val="28"/>
          <w:highlight w:val="none"/>
        </w:rPr>
        <w:t>第</w:t>
      </w:r>
      <w:r>
        <w:rPr>
          <w:rFonts w:hint="eastAsia" w:asciiTheme="minorEastAsia" w:hAnsiTheme="minorEastAsia" w:eastAsiaTheme="minorEastAsia"/>
          <w:b/>
          <w:color w:val="auto"/>
          <w:sz w:val="28"/>
          <w:highlight w:val="none"/>
          <w:lang w:val="en-US" w:eastAsia="zh-CN"/>
        </w:rPr>
        <w:t>七</w:t>
      </w:r>
      <w:r>
        <w:rPr>
          <w:rFonts w:hint="eastAsia" w:asciiTheme="minorEastAsia" w:hAnsiTheme="minorEastAsia" w:eastAsiaTheme="minorEastAsia"/>
          <w:b/>
          <w:color w:val="auto"/>
          <w:sz w:val="28"/>
          <w:highlight w:val="none"/>
        </w:rPr>
        <w:t>章</w:t>
      </w:r>
      <w:r>
        <w:rPr>
          <w:rFonts w:hint="eastAsia" w:ascii="宋体" w:hAnsi="宋体" w:eastAsia="宋体"/>
          <w:b/>
          <w:bCs/>
          <w:color w:val="auto"/>
          <w:sz w:val="28"/>
          <w:highlight w:val="none"/>
        </w:rPr>
        <w:t xml:space="preserve">  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90"/>
      <w:bookmarkEnd w:id="91"/>
    </w:p>
    <w:p w14:paraId="6F0AE3BB">
      <w:pPr>
        <w:spacing w:line="360" w:lineRule="auto"/>
        <w:jc w:val="center"/>
        <w:outlineLvl w:val="1"/>
        <w:rPr>
          <w:rFonts w:ascii="仿宋" w:hAnsi="仿宋" w:eastAsia="仿宋" w:cs="仿宋"/>
          <w:b/>
          <w:bCs/>
          <w:color w:val="auto"/>
          <w:sz w:val="32"/>
          <w:szCs w:val="44"/>
          <w:highlight w:val="none"/>
        </w:rPr>
      </w:pPr>
      <w:bookmarkStart w:id="92" w:name="_Toc27159"/>
      <w:bookmarkStart w:id="93" w:name="_Toc27489"/>
      <w:r>
        <w:rPr>
          <w:rFonts w:hint="eastAsia" w:ascii="仿宋" w:hAnsi="仿宋" w:eastAsia="仿宋" w:cs="仿宋"/>
          <w:b/>
          <w:bCs/>
          <w:color w:val="auto"/>
          <w:sz w:val="32"/>
          <w:szCs w:val="44"/>
          <w:highlight w:val="none"/>
        </w:rPr>
        <w:t>询问函范本</w:t>
      </w:r>
      <w:bookmarkEnd w:id="92"/>
      <w:bookmarkEnd w:id="93"/>
    </w:p>
    <w:p w14:paraId="6EEE7E64">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14:paraId="65BCACA2">
      <w:pPr>
        <w:adjustRightInd w:val="0"/>
        <w:snapToGrid w:val="0"/>
        <w:spacing w:line="360" w:lineRule="auto"/>
        <w:rPr>
          <w:rFonts w:hint="eastAsia" w:cs="仿宋" w:asciiTheme="minorEastAsia" w:hAnsiTheme="minorEastAsia" w:eastAsiaTheme="minorEastAsia"/>
          <w:b/>
          <w:bCs/>
          <w:color w:val="auto"/>
          <w:sz w:val="24"/>
          <w:szCs w:val="24"/>
          <w:highlight w:val="none"/>
          <w:u w:val="singl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14:paraId="07A356C7">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i/>
          <w:iCs/>
          <w:color w:val="auto"/>
          <w:sz w:val="24"/>
          <w:szCs w:val="24"/>
          <w:u w:val="none"/>
          <w:lang w:val="en-US" w:eastAsia="zh-CN"/>
        </w:rPr>
        <w:t>项目名称、编号</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color w:val="auto"/>
          <w:sz w:val="24"/>
          <w:szCs w:val="24"/>
          <w:highlight w:val="none"/>
        </w:rPr>
        <w:t>的采购活动，现有以下内容(或条款)存在疑问(或无法理解)，特提出询问。</w:t>
      </w:r>
    </w:p>
    <w:p w14:paraId="75572EDC">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94" w:name="_Toc13899"/>
      <w:r>
        <w:rPr>
          <w:rFonts w:hint="eastAsia" w:cs="仿宋" w:asciiTheme="minorEastAsia" w:hAnsiTheme="minorEastAsia" w:eastAsiaTheme="minorEastAsia"/>
          <w:color w:val="auto"/>
          <w:sz w:val="24"/>
          <w:szCs w:val="24"/>
          <w:highlight w:val="none"/>
        </w:rPr>
        <w:t>一、(事项一)</w:t>
      </w:r>
      <w:bookmarkEnd w:id="94"/>
    </w:p>
    <w:p w14:paraId="2E6183B5">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14:paraId="2C87B1EA">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14:paraId="5BBF63AC">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14:paraId="29BD1FB0">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95" w:name="_Toc3352"/>
      <w:r>
        <w:rPr>
          <w:rFonts w:hint="eastAsia" w:cs="仿宋" w:asciiTheme="minorEastAsia" w:hAnsiTheme="minorEastAsia" w:eastAsiaTheme="minorEastAsia"/>
          <w:color w:val="auto"/>
          <w:sz w:val="24"/>
          <w:szCs w:val="24"/>
          <w:highlight w:val="none"/>
        </w:rPr>
        <w:t>二、(事项二)</w:t>
      </w:r>
      <w:bookmarkEnd w:id="95"/>
    </w:p>
    <w:p w14:paraId="03321FC0">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14:paraId="7512DC29">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14:paraId="64FCCDC3">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14:paraId="3E8DF2EF">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14:paraId="443E1D1C">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14:paraId="7294E05F">
      <w:pPr>
        <w:rPr>
          <w:rFonts w:ascii="仿宋" w:hAnsi="仿宋" w:eastAsia="仿宋" w:cs="仿宋"/>
          <w:b/>
          <w:bCs/>
          <w:color w:val="auto"/>
          <w:sz w:val="32"/>
          <w:szCs w:val="44"/>
          <w:highlight w:val="none"/>
        </w:rPr>
      </w:pPr>
      <w:r>
        <w:rPr>
          <w:rFonts w:hint="eastAsia" w:ascii="仿宋" w:hAnsi="仿宋" w:eastAsia="仿宋" w:cs="仿宋"/>
          <w:b/>
          <w:bCs/>
          <w:color w:val="auto"/>
          <w:sz w:val="32"/>
          <w:szCs w:val="44"/>
          <w:highlight w:val="none"/>
        </w:rPr>
        <w:br w:type="page"/>
      </w:r>
    </w:p>
    <w:p w14:paraId="7B2BCFD3">
      <w:pPr>
        <w:jc w:val="center"/>
        <w:outlineLvl w:val="1"/>
        <w:rPr>
          <w:rFonts w:ascii="仿宋" w:hAnsi="仿宋" w:eastAsia="仿宋" w:cs="仿宋"/>
          <w:b/>
          <w:bCs/>
          <w:color w:val="auto"/>
          <w:sz w:val="32"/>
          <w:szCs w:val="44"/>
          <w:highlight w:val="none"/>
        </w:rPr>
      </w:pPr>
      <w:bookmarkStart w:id="96" w:name="_Toc1575"/>
      <w:bookmarkStart w:id="97" w:name="_Toc3245"/>
      <w:r>
        <w:rPr>
          <w:rFonts w:hint="eastAsia" w:ascii="仿宋" w:hAnsi="仿宋" w:eastAsia="仿宋" w:cs="仿宋"/>
          <w:b/>
          <w:bCs/>
          <w:color w:val="auto"/>
          <w:sz w:val="32"/>
          <w:szCs w:val="44"/>
          <w:highlight w:val="none"/>
        </w:rPr>
        <w:t>质疑函范本</w:t>
      </w:r>
      <w:bookmarkEnd w:id="96"/>
      <w:bookmarkEnd w:id="97"/>
    </w:p>
    <w:p w14:paraId="6A7010F6">
      <w:pPr>
        <w:adjustRightInd w:val="0"/>
        <w:snapToGrid w:val="0"/>
        <w:spacing w:before="312" w:beforeLines="100" w:line="360" w:lineRule="auto"/>
        <w:outlineLvl w:val="9"/>
        <w:rPr>
          <w:rFonts w:cs="仿宋" w:asciiTheme="minorEastAsia" w:hAnsiTheme="minorEastAsia" w:eastAsiaTheme="minorEastAsia"/>
          <w:b/>
          <w:bCs/>
          <w:color w:val="auto"/>
          <w:sz w:val="24"/>
          <w:szCs w:val="24"/>
          <w:highlight w:val="none"/>
        </w:rPr>
      </w:pPr>
      <w:bookmarkStart w:id="98" w:name="_Toc21381"/>
      <w:r>
        <w:rPr>
          <w:rFonts w:hint="eastAsia" w:cs="仿宋" w:asciiTheme="minorEastAsia" w:hAnsiTheme="minorEastAsia" w:eastAsiaTheme="minorEastAsia"/>
          <w:b/>
          <w:bCs/>
          <w:color w:val="auto"/>
          <w:sz w:val="24"/>
          <w:szCs w:val="24"/>
          <w:highlight w:val="none"/>
        </w:rPr>
        <w:t>一、质疑供应商基本信息</w:t>
      </w:r>
      <w:bookmarkEnd w:id="98"/>
    </w:p>
    <w:p w14:paraId="0C8C52C5">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14:paraId="41C12D81">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14:paraId="4115B650">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14:paraId="14CEEACD">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14:paraId="721C1D39">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14:paraId="6044C67F">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14:paraId="7E64DE6B">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99" w:name="_Toc28415"/>
      <w:r>
        <w:rPr>
          <w:rFonts w:hint="eastAsia" w:cs="仿宋" w:asciiTheme="minorEastAsia" w:hAnsiTheme="minorEastAsia" w:eastAsiaTheme="minorEastAsia"/>
          <w:b/>
          <w:bCs/>
          <w:color w:val="auto"/>
          <w:sz w:val="24"/>
          <w:szCs w:val="24"/>
          <w:highlight w:val="none"/>
        </w:rPr>
        <w:t>二、质疑项目基本情况</w:t>
      </w:r>
      <w:bookmarkEnd w:id="99"/>
    </w:p>
    <w:p w14:paraId="2073C206">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14:paraId="1AEBF260">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14:paraId="00D22BB1">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14:paraId="014F0939">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14:paraId="2B5C0D57">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100" w:name="_Toc19014"/>
      <w:r>
        <w:rPr>
          <w:rFonts w:hint="eastAsia" w:cs="仿宋" w:asciiTheme="minorEastAsia" w:hAnsiTheme="minorEastAsia" w:eastAsiaTheme="minorEastAsia"/>
          <w:b/>
          <w:bCs/>
          <w:color w:val="auto"/>
          <w:sz w:val="24"/>
          <w:szCs w:val="24"/>
          <w:highlight w:val="none"/>
        </w:rPr>
        <w:t>三、质疑事项具体内容</w:t>
      </w:r>
      <w:bookmarkEnd w:id="100"/>
    </w:p>
    <w:p w14:paraId="76C0F661">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14:paraId="6EBC2A48">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14:paraId="4A5A7FF8">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14:paraId="5608497D">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14:paraId="38030723">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14:paraId="17643238">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14:paraId="5C81A020">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14:paraId="4A71A6D7">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101" w:name="_Toc17919"/>
      <w:r>
        <w:rPr>
          <w:rFonts w:hint="eastAsia" w:cs="仿宋" w:asciiTheme="minorEastAsia" w:hAnsiTheme="minorEastAsia" w:eastAsiaTheme="minorEastAsia"/>
          <w:b/>
          <w:bCs/>
          <w:color w:val="auto"/>
          <w:sz w:val="24"/>
          <w:szCs w:val="24"/>
          <w:highlight w:val="none"/>
        </w:rPr>
        <w:t>四、与质疑事项相关的质疑请求</w:t>
      </w:r>
      <w:bookmarkEnd w:id="101"/>
    </w:p>
    <w:p w14:paraId="440D525E">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14:paraId="70CFA57B">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14:paraId="2E84A6AC">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14:paraId="763E5F47">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14:paraId="1E4E92F2">
      <w:pPr>
        <w:outlineLvl w:val="0"/>
        <w:rPr>
          <w:rFonts w:asciiTheme="minorEastAsia" w:hAnsiTheme="minorEastAsia" w:eastAsiaTheme="minorEastAsia"/>
          <w:b/>
          <w:color w:val="auto"/>
          <w:sz w:val="28"/>
          <w:szCs w:val="32"/>
          <w:highlight w:val="none"/>
        </w:rPr>
      </w:pPr>
      <w:bookmarkStart w:id="102" w:name="_Toc26836"/>
      <w:bookmarkStart w:id="103" w:name="_Toc9754"/>
      <w:r>
        <w:rPr>
          <w:rFonts w:hint="eastAsia" w:asciiTheme="minorEastAsia" w:hAnsiTheme="minorEastAsia" w:eastAsiaTheme="minorEastAsia"/>
          <w:b/>
          <w:color w:val="auto"/>
          <w:sz w:val="28"/>
          <w:szCs w:val="32"/>
          <w:highlight w:val="none"/>
        </w:rPr>
        <w:t>质疑函制作说明：</w:t>
      </w:r>
      <w:bookmarkEnd w:id="102"/>
      <w:bookmarkEnd w:id="103"/>
    </w:p>
    <w:p w14:paraId="006FCCF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14:paraId="629A6541">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259FA4C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14:paraId="3E362AC1">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14:paraId="0591E47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14:paraId="59BA67CD">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p w14:paraId="0F07A0CC">
      <w:pPr>
        <w:spacing w:line="360" w:lineRule="auto"/>
        <w:ind w:firstLine="435"/>
        <w:rPr>
          <w:rFonts w:hint="eastAsia" w:asciiTheme="minorEastAsia" w:hAnsiTheme="minorEastAsia" w:eastAsiaTheme="minorEastAsia"/>
          <w:sz w:val="24"/>
        </w:rPr>
      </w:pPr>
    </w:p>
    <w:p w14:paraId="1A738807">
      <w:pPr>
        <w:spacing w:line="360" w:lineRule="auto"/>
        <w:ind w:firstLine="435"/>
        <w:rPr>
          <w:rFonts w:hint="eastAsia" w:asciiTheme="minorEastAsia" w:hAnsiTheme="minorEastAsia" w:eastAsiaTheme="minorEastAsia"/>
          <w:sz w:val="24"/>
        </w:rPr>
      </w:pPr>
    </w:p>
    <w:p w14:paraId="787D92AE">
      <w:pPr>
        <w:spacing w:line="360" w:lineRule="auto"/>
        <w:ind w:firstLine="435"/>
        <w:rPr>
          <w:rFonts w:hint="eastAsia" w:asciiTheme="minorEastAsia" w:hAnsiTheme="minorEastAsia" w:eastAsiaTheme="minorEastAsia"/>
          <w:sz w:val="24"/>
        </w:rPr>
      </w:pPr>
    </w:p>
    <w:p w14:paraId="392FEF46">
      <w:pPr>
        <w:spacing w:line="360" w:lineRule="auto"/>
        <w:ind w:firstLine="435"/>
        <w:rPr>
          <w:rFonts w:hint="eastAsia" w:asciiTheme="minorEastAsia" w:hAnsiTheme="minorEastAsia" w:eastAsiaTheme="minorEastAsia"/>
          <w:sz w:val="24"/>
        </w:rPr>
      </w:pPr>
    </w:p>
    <w:p w14:paraId="62B2B017">
      <w:pPr>
        <w:spacing w:line="360" w:lineRule="auto"/>
        <w:ind w:firstLine="435"/>
        <w:rPr>
          <w:rFonts w:hint="eastAsia" w:asciiTheme="minorEastAsia" w:hAnsiTheme="minorEastAsia" w:eastAsiaTheme="minorEastAsia"/>
          <w:sz w:val="24"/>
        </w:rPr>
      </w:pPr>
    </w:p>
    <w:p w14:paraId="73B93A05">
      <w:pPr>
        <w:spacing w:line="360" w:lineRule="auto"/>
        <w:ind w:firstLine="435"/>
        <w:rPr>
          <w:rFonts w:hint="eastAsia" w:asciiTheme="minorEastAsia" w:hAnsiTheme="minorEastAsia" w:eastAsiaTheme="minorEastAsia"/>
          <w:sz w:val="24"/>
        </w:rPr>
      </w:pPr>
    </w:p>
    <w:p w14:paraId="611E6270">
      <w:pPr>
        <w:spacing w:line="360" w:lineRule="auto"/>
        <w:ind w:firstLine="435"/>
        <w:rPr>
          <w:rFonts w:hint="eastAsia" w:asciiTheme="minorEastAsia" w:hAnsiTheme="minorEastAsia" w:eastAsiaTheme="minorEastAsia"/>
          <w:sz w:val="24"/>
        </w:rPr>
      </w:pPr>
    </w:p>
    <w:p w14:paraId="5877B0C9">
      <w:pPr>
        <w:spacing w:line="360" w:lineRule="auto"/>
        <w:ind w:firstLine="435"/>
        <w:rPr>
          <w:rFonts w:hint="eastAsia" w:asciiTheme="minorEastAsia" w:hAnsiTheme="minorEastAsia" w:eastAsiaTheme="minorEastAsia"/>
          <w:sz w:val="24"/>
        </w:rPr>
      </w:pPr>
    </w:p>
    <w:p w14:paraId="6D269467">
      <w:pPr>
        <w:spacing w:line="360" w:lineRule="auto"/>
        <w:ind w:firstLine="435"/>
        <w:rPr>
          <w:rFonts w:hint="eastAsia" w:asciiTheme="minorEastAsia" w:hAnsiTheme="minorEastAsia" w:eastAsiaTheme="minorEastAsia"/>
          <w:sz w:val="24"/>
        </w:rPr>
      </w:pPr>
    </w:p>
    <w:p w14:paraId="4F87A0DA">
      <w:pPr>
        <w:spacing w:line="360" w:lineRule="auto"/>
        <w:ind w:firstLine="435"/>
        <w:rPr>
          <w:rFonts w:hint="eastAsia" w:asciiTheme="minorEastAsia" w:hAnsiTheme="minorEastAsia" w:eastAsiaTheme="minorEastAsia"/>
          <w:sz w:val="24"/>
        </w:rPr>
      </w:pPr>
    </w:p>
    <w:p w14:paraId="47DF64E6">
      <w:pPr>
        <w:spacing w:line="360" w:lineRule="auto"/>
        <w:ind w:firstLine="435"/>
        <w:rPr>
          <w:rFonts w:hint="eastAsia" w:asciiTheme="minorEastAsia" w:hAnsiTheme="minorEastAsia" w:eastAsiaTheme="minorEastAsia"/>
          <w:sz w:val="24"/>
        </w:rPr>
      </w:pPr>
    </w:p>
    <w:p w14:paraId="1E2625AB">
      <w:pPr>
        <w:spacing w:line="360" w:lineRule="auto"/>
        <w:ind w:firstLine="435"/>
        <w:rPr>
          <w:rFonts w:hint="eastAsia" w:asciiTheme="minorEastAsia" w:hAnsiTheme="minorEastAsia" w:eastAsiaTheme="minorEastAsia"/>
          <w:sz w:val="24"/>
        </w:rPr>
      </w:pPr>
    </w:p>
    <w:p w14:paraId="2B09A985">
      <w:pPr>
        <w:spacing w:line="360" w:lineRule="auto"/>
        <w:ind w:firstLine="435"/>
        <w:rPr>
          <w:rFonts w:hint="eastAsia" w:asciiTheme="minorEastAsia" w:hAnsiTheme="minorEastAsia" w:eastAsiaTheme="minorEastAsia"/>
          <w:sz w:val="24"/>
        </w:rPr>
      </w:pPr>
    </w:p>
    <w:p w14:paraId="54F30A19">
      <w:pPr>
        <w:spacing w:line="360" w:lineRule="auto"/>
        <w:ind w:firstLine="435"/>
        <w:rPr>
          <w:rFonts w:hint="eastAsia" w:asciiTheme="minorEastAsia" w:hAnsiTheme="minorEastAsia" w:eastAsiaTheme="minorEastAsia"/>
          <w:sz w:val="24"/>
        </w:rPr>
      </w:pPr>
    </w:p>
    <w:p w14:paraId="6877C998">
      <w:pPr>
        <w:spacing w:line="360" w:lineRule="auto"/>
        <w:ind w:firstLine="435"/>
        <w:rPr>
          <w:rFonts w:hint="eastAsia" w:asciiTheme="minorEastAsia" w:hAnsiTheme="minorEastAsia" w:eastAsiaTheme="minorEastAsia"/>
          <w:sz w:val="24"/>
        </w:rPr>
      </w:pPr>
    </w:p>
    <w:p w14:paraId="08314D17">
      <w:pPr>
        <w:spacing w:line="360" w:lineRule="auto"/>
        <w:ind w:firstLine="435"/>
        <w:rPr>
          <w:rFonts w:hint="eastAsia" w:asciiTheme="minorEastAsia" w:hAnsiTheme="minorEastAsia" w:eastAsiaTheme="minorEastAsia"/>
          <w:sz w:val="24"/>
        </w:rPr>
      </w:pPr>
    </w:p>
    <w:p w14:paraId="7C82F62C">
      <w:pPr>
        <w:spacing w:line="360" w:lineRule="auto"/>
        <w:ind w:firstLine="435"/>
        <w:rPr>
          <w:rFonts w:hint="eastAsia" w:asciiTheme="minorEastAsia" w:hAnsiTheme="minorEastAsia" w:eastAsiaTheme="minorEastAsia"/>
          <w:sz w:val="24"/>
        </w:rPr>
      </w:pPr>
    </w:p>
    <w:p w14:paraId="19730587">
      <w:pPr>
        <w:spacing w:line="360" w:lineRule="auto"/>
        <w:rPr>
          <w:rFonts w:hint="eastAsia" w:asciiTheme="minorEastAsia" w:hAnsiTheme="minorEastAsia" w:eastAsiaTheme="minorEastAsia"/>
          <w:sz w:val="24"/>
        </w:rPr>
      </w:pP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简标宋">
    <w:altName w:val="@宋体"/>
    <w:panose1 w:val="00000000000000000000"/>
    <w:charset w:val="86"/>
    <w:family w:val="auto"/>
    <w:pitch w:val="default"/>
    <w:sig w:usb0="00000000" w:usb1="00000000" w:usb2="00000010" w:usb3="00000000" w:csb0="00040000" w:csb1="00000000"/>
  </w:font>
  <w:font w:name="@宋体">
    <w:panose1 w:val="02010600030101010101"/>
    <w:charset w:val="86"/>
    <w:family w:val="auto"/>
    <w:pitch w:val="default"/>
    <w:sig w:usb0="00000003" w:usb1="288F0000" w:usb2="0000000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FCA5D">
    <w:pPr>
      <w:pStyle w:val="17"/>
      <w:jc w:val="center"/>
      <w:rPr>
        <w:rFonts w:hint="eastAsia" w:asciiTheme="minorEastAsia" w:hAnsiTheme="minorEastAsia" w:eastAsia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7EB38">
    <w:pPr>
      <w:pStyle w:val="17"/>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6170DE">
                          <w:pPr>
                            <w:pStyle w:val="17"/>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76170DE">
                    <w:pPr>
                      <w:pStyle w:val="17"/>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7DA60">
    <w:pPr>
      <w:pStyle w:val="17"/>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22153C">
                          <w:pPr>
                            <w:pStyle w:val="17"/>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58</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71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2522153C">
                    <w:pPr>
                      <w:pStyle w:val="17"/>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58</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71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2D776">
    <w:pPr>
      <w:pStyle w:val="19"/>
      <w:jc w:val="left"/>
      <w:rPr>
        <w:rFonts w:hint="eastAsia" w:asciiTheme="minorEastAsia" w:hAnsiTheme="minorEastAsia" w:eastAsiaTheme="minorEastAsia"/>
      </w:rPr>
    </w:pPr>
    <w:r>
      <w:rPr>
        <w:rFonts w:hint="eastAsia" w:asciiTheme="minorEastAsia" w:hAnsiTheme="minorEastAsia" w:eastAsiaTheme="minorEastAsia"/>
      </w:rPr>
      <w:t>安徽省政府采购项目公开招标文件示范文本（货物类）</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971CA">
    <w:pPr>
      <w:pStyle w:val="19"/>
      <w:jc w:val="left"/>
      <w:rPr>
        <w:rFonts w:hint="eastAsia"/>
      </w:rPr>
    </w:pPr>
    <w:r>
      <w:rPr>
        <w:rFonts w:hint="eastAsia" w:asciiTheme="minorEastAsia" w:hAnsiTheme="minorEastAsia" w:eastAsiaTheme="minorEastAsia"/>
      </w:rPr>
      <w:t>安徽省政府采购项目公开招标文件示范文本（货物类）</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FE322">
    <w:pPr>
      <w:pStyle w:val="19"/>
      <w:jc w:val="left"/>
      <w:rPr>
        <w:rFonts w:hint="eastAsia"/>
      </w:rPr>
    </w:pPr>
    <w:r>
      <w:rPr>
        <w:rFonts w:hint="eastAsia" w:asciiTheme="minorEastAsia" w:hAnsiTheme="minorEastAsia" w:eastAsiaTheme="minorEastAsia"/>
      </w:rPr>
      <w:t>安徽省政府采购项目公开招标文件示范文本（货物类）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6DB39B62"/>
    <w:multiLevelType w:val="singleLevel"/>
    <w:tmpl w:val="6DB39B62"/>
    <w:lvl w:ilvl="0" w:tentative="0">
      <w:start w:val="2"/>
      <w:numFmt w:val="chineseCounting"/>
      <w:suff w:val="nothing"/>
      <w:lvlText w:val="%1、"/>
      <w:lvlJc w:val="left"/>
      <w:rPr>
        <w:rFonts w:hint="eastAsia"/>
      </w:rPr>
    </w:lvl>
  </w:abstractNum>
  <w:abstractNum w:abstractNumId="7">
    <w:nsid w:val="7A0F6431"/>
    <w:multiLevelType w:val="singleLevel"/>
    <w:tmpl w:val="7A0F6431"/>
    <w:lvl w:ilvl="0" w:tentative="0">
      <w:start w:val="1"/>
      <w:numFmt w:val="decimal"/>
      <w:suff w:val="space"/>
      <w:lvlText w:val="%1."/>
      <w:lvlJc w:val="left"/>
    </w:lvl>
  </w:abstractNum>
  <w:num w:numId="1">
    <w:abstractNumId w:val="6"/>
  </w:num>
  <w:num w:numId="2">
    <w:abstractNumId w:val="7"/>
  </w:num>
  <w:num w:numId="3">
    <w:abstractNumId w:val="1"/>
  </w:num>
  <w:num w:numId="4">
    <w:abstractNumId w:val="5"/>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iYThkMTRlMDE5YzRlMWI4NDI4YWU1Mzk2YmEzYjYifQ=="/>
  </w:docVars>
  <w:rsids>
    <w:rsidRoot w:val="00276BA1"/>
    <w:rsid w:val="0000043F"/>
    <w:rsid w:val="00003F56"/>
    <w:rsid w:val="000049DA"/>
    <w:rsid w:val="00004F40"/>
    <w:rsid w:val="000056B7"/>
    <w:rsid w:val="00012A13"/>
    <w:rsid w:val="000131F7"/>
    <w:rsid w:val="00016B6C"/>
    <w:rsid w:val="00017EC7"/>
    <w:rsid w:val="00020B57"/>
    <w:rsid w:val="00033B5B"/>
    <w:rsid w:val="00037DBE"/>
    <w:rsid w:val="00042139"/>
    <w:rsid w:val="00042B14"/>
    <w:rsid w:val="00044347"/>
    <w:rsid w:val="00044F49"/>
    <w:rsid w:val="000450C3"/>
    <w:rsid w:val="00046AFF"/>
    <w:rsid w:val="00050A3F"/>
    <w:rsid w:val="000530EC"/>
    <w:rsid w:val="000544DE"/>
    <w:rsid w:val="000648D2"/>
    <w:rsid w:val="00070E0E"/>
    <w:rsid w:val="00076DB7"/>
    <w:rsid w:val="00080B7B"/>
    <w:rsid w:val="00080FEB"/>
    <w:rsid w:val="00081B81"/>
    <w:rsid w:val="000868D6"/>
    <w:rsid w:val="000942BA"/>
    <w:rsid w:val="00094D41"/>
    <w:rsid w:val="00097CB9"/>
    <w:rsid w:val="000A3569"/>
    <w:rsid w:val="000A4640"/>
    <w:rsid w:val="000A6345"/>
    <w:rsid w:val="000A6693"/>
    <w:rsid w:val="000A6B73"/>
    <w:rsid w:val="000A7D94"/>
    <w:rsid w:val="000B1511"/>
    <w:rsid w:val="000B54F4"/>
    <w:rsid w:val="000C1DB1"/>
    <w:rsid w:val="000D3F37"/>
    <w:rsid w:val="000D431F"/>
    <w:rsid w:val="000E2208"/>
    <w:rsid w:val="000E3C74"/>
    <w:rsid w:val="000E3F9B"/>
    <w:rsid w:val="000E6689"/>
    <w:rsid w:val="000F00A3"/>
    <w:rsid w:val="000F014C"/>
    <w:rsid w:val="000F172B"/>
    <w:rsid w:val="000F1C24"/>
    <w:rsid w:val="000F2198"/>
    <w:rsid w:val="000F39B6"/>
    <w:rsid w:val="000F6B7B"/>
    <w:rsid w:val="00100B0F"/>
    <w:rsid w:val="0010187C"/>
    <w:rsid w:val="001037E3"/>
    <w:rsid w:val="00110911"/>
    <w:rsid w:val="00116A70"/>
    <w:rsid w:val="0012143A"/>
    <w:rsid w:val="001222C6"/>
    <w:rsid w:val="00136D80"/>
    <w:rsid w:val="00137C7C"/>
    <w:rsid w:val="00140687"/>
    <w:rsid w:val="00141707"/>
    <w:rsid w:val="00142AAF"/>
    <w:rsid w:val="00146421"/>
    <w:rsid w:val="001467FF"/>
    <w:rsid w:val="001479CF"/>
    <w:rsid w:val="00150567"/>
    <w:rsid w:val="00155F64"/>
    <w:rsid w:val="00157148"/>
    <w:rsid w:val="00157856"/>
    <w:rsid w:val="00160729"/>
    <w:rsid w:val="00160D83"/>
    <w:rsid w:val="001644D1"/>
    <w:rsid w:val="00164D27"/>
    <w:rsid w:val="00166ED8"/>
    <w:rsid w:val="001714C9"/>
    <w:rsid w:val="001754E2"/>
    <w:rsid w:val="00177DAF"/>
    <w:rsid w:val="0018119B"/>
    <w:rsid w:val="001812B3"/>
    <w:rsid w:val="00181D07"/>
    <w:rsid w:val="001826D0"/>
    <w:rsid w:val="00183344"/>
    <w:rsid w:val="00183897"/>
    <w:rsid w:val="001844AB"/>
    <w:rsid w:val="00190F1F"/>
    <w:rsid w:val="001944B8"/>
    <w:rsid w:val="00195399"/>
    <w:rsid w:val="00196DA3"/>
    <w:rsid w:val="00197AC4"/>
    <w:rsid w:val="001A0DCD"/>
    <w:rsid w:val="001A5D34"/>
    <w:rsid w:val="001A68E5"/>
    <w:rsid w:val="001B21DF"/>
    <w:rsid w:val="001B2A54"/>
    <w:rsid w:val="001B5014"/>
    <w:rsid w:val="001B7327"/>
    <w:rsid w:val="001C1409"/>
    <w:rsid w:val="001C67F2"/>
    <w:rsid w:val="001D53B4"/>
    <w:rsid w:val="001E744D"/>
    <w:rsid w:val="001F28D2"/>
    <w:rsid w:val="001F2F45"/>
    <w:rsid w:val="001F3023"/>
    <w:rsid w:val="001F35F6"/>
    <w:rsid w:val="001F74CA"/>
    <w:rsid w:val="002003B6"/>
    <w:rsid w:val="002020CB"/>
    <w:rsid w:val="002049B4"/>
    <w:rsid w:val="0020520B"/>
    <w:rsid w:val="00213C55"/>
    <w:rsid w:val="002163CF"/>
    <w:rsid w:val="002168C4"/>
    <w:rsid w:val="002178B1"/>
    <w:rsid w:val="00223CF4"/>
    <w:rsid w:val="00224C4A"/>
    <w:rsid w:val="002338E2"/>
    <w:rsid w:val="0023407E"/>
    <w:rsid w:val="00240B40"/>
    <w:rsid w:val="002440D8"/>
    <w:rsid w:val="00244182"/>
    <w:rsid w:val="00245F65"/>
    <w:rsid w:val="00246810"/>
    <w:rsid w:val="002600F9"/>
    <w:rsid w:val="00260860"/>
    <w:rsid w:val="00260B94"/>
    <w:rsid w:val="00264F2E"/>
    <w:rsid w:val="00271245"/>
    <w:rsid w:val="00272E6E"/>
    <w:rsid w:val="00274A9E"/>
    <w:rsid w:val="00276292"/>
    <w:rsid w:val="00276BA1"/>
    <w:rsid w:val="00277094"/>
    <w:rsid w:val="00286BB6"/>
    <w:rsid w:val="002A1A1D"/>
    <w:rsid w:val="002A28AD"/>
    <w:rsid w:val="002A3AEE"/>
    <w:rsid w:val="002A400A"/>
    <w:rsid w:val="002B08E7"/>
    <w:rsid w:val="002B0C18"/>
    <w:rsid w:val="002B5318"/>
    <w:rsid w:val="002B5373"/>
    <w:rsid w:val="002B6D27"/>
    <w:rsid w:val="002C3776"/>
    <w:rsid w:val="002C4BA9"/>
    <w:rsid w:val="002D1258"/>
    <w:rsid w:val="002D128A"/>
    <w:rsid w:val="002D2965"/>
    <w:rsid w:val="002D3D02"/>
    <w:rsid w:val="002D4CB5"/>
    <w:rsid w:val="002D684B"/>
    <w:rsid w:val="002E3B26"/>
    <w:rsid w:val="002E4AB8"/>
    <w:rsid w:val="002F092B"/>
    <w:rsid w:val="002F5981"/>
    <w:rsid w:val="002F72EE"/>
    <w:rsid w:val="00310070"/>
    <w:rsid w:val="003110EC"/>
    <w:rsid w:val="00313029"/>
    <w:rsid w:val="00324D38"/>
    <w:rsid w:val="00327C92"/>
    <w:rsid w:val="0033245B"/>
    <w:rsid w:val="00333292"/>
    <w:rsid w:val="003344E7"/>
    <w:rsid w:val="0033580B"/>
    <w:rsid w:val="0033628B"/>
    <w:rsid w:val="003365E7"/>
    <w:rsid w:val="003378D5"/>
    <w:rsid w:val="003419E9"/>
    <w:rsid w:val="003447AE"/>
    <w:rsid w:val="003473D7"/>
    <w:rsid w:val="00351AC8"/>
    <w:rsid w:val="00353075"/>
    <w:rsid w:val="00363E02"/>
    <w:rsid w:val="00373A96"/>
    <w:rsid w:val="003826C2"/>
    <w:rsid w:val="00383728"/>
    <w:rsid w:val="00383B8D"/>
    <w:rsid w:val="00391586"/>
    <w:rsid w:val="00394128"/>
    <w:rsid w:val="003947A4"/>
    <w:rsid w:val="00395235"/>
    <w:rsid w:val="0039561A"/>
    <w:rsid w:val="00397C7D"/>
    <w:rsid w:val="003A004F"/>
    <w:rsid w:val="003B4130"/>
    <w:rsid w:val="003B67D3"/>
    <w:rsid w:val="003B6C76"/>
    <w:rsid w:val="003B715B"/>
    <w:rsid w:val="003C4630"/>
    <w:rsid w:val="003D1D14"/>
    <w:rsid w:val="003D6C7C"/>
    <w:rsid w:val="003D6EFB"/>
    <w:rsid w:val="003D7E52"/>
    <w:rsid w:val="003E25C6"/>
    <w:rsid w:val="003E6BEB"/>
    <w:rsid w:val="003F145B"/>
    <w:rsid w:val="003F2122"/>
    <w:rsid w:val="003F326A"/>
    <w:rsid w:val="004011AA"/>
    <w:rsid w:val="0040202C"/>
    <w:rsid w:val="00406508"/>
    <w:rsid w:val="0041456E"/>
    <w:rsid w:val="00414F7E"/>
    <w:rsid w:val="004164F8"/>
    <w:rsid w:val="00417FD0"/>
    <w:rsid w:val="00420B7F"/>
    <w:rsid w:val="004234BA"/>
    <w:rsid w:val="0042488B"/>
    <w:rsid w:val="004427B7"/>
    <w:rsid w:val="0044349F"/>
    <w:rsid w:val="00445F1F"/>
    <w:rsid w:val="00451F60"/>
    <w:rsid w:val="00452BB2"/>
    <w:rsid w:val="00455467"/>
    <w:rsid w:val="0045656D"/>
    <w:rsid w:val="00462D98"/>
    <w:rsid w:val="00472A44"/>
    <w:rsid w:val="00473A89"/>
    <w:rsid w:val="00474D3B"/>
    <w:rsid w:val="00475899"/>
    <w:rsid w:val="004802A8"/>
    <w:rsid w:val="00482C78"/>
    <w:rsid w:val="004874AE"/>
    <w:rsid w:val="00492E2B"/>
    <w:rsid w:val="00493C7C"/>
    <w:rsid w:val="00494D24"/>
    <w:rsid w:val="00494F61"/>
    <w:rsid w:val="004951D1"/>
    <w:rsid w:val="004A27D0"/>
    <w:rsid w:val="004A4D67"/>
    <w:rsid w:val="004A6FD2"/>
    <w:rsid w:val="004B2D4C"/>
    <w:rsid w:val="004C7378"/>
    <w:rsid w:val="004D1030"/>
    <w:rsid w:val="004D3D4B"/>
    <w:rsid w:val="004D5498"/>
    <w:rsid w:val="004D66A5"/>
    <w:rsid w:val="004D6B00"/>
    <w:rsid w:val="004D7951"/>
    <w:rsid w:val="004E0AE0"/>
    <w:rsid w:val="004E1D50"/>
    <w:rsid w:val="004E502F"/>
    <w:rsid w:val="004F0396"/>
    <w:rsid w:val="00501382"/>
    <w:rsid w:val="00503E2F"/>
    <w:rsid w:val="005054B9"/>
    <w:rsid w:val="00506E4F"/>
    <w:rsid w:val="00510798"/>
    <w:rsid w:val="00514ED8"/>
    <w:rsid w:val="00515F12"/>
    <w:rsid w:val="00522B2E"/>
    <w:rsid w:val="00524A11"/>
    <w:rsid w:val="00527768"/>
    <w:rsid w:val="005327FB"/>
    <w:rsid w:val="00533FCA"/>
    <w:rsid w:val="00541C0B"/>
    <w:rsid w:val="0054317E"/>
    <w:rsid w:val="00544C2A"/>
    <w:rsid w:val="00546D49"/>
    <w:rsid w:val="00556D4C"/>
    <w:rsid w:val="005614B4"/>
    <w:rsid w:val="005616B5"/>
    <w:rsid w:val="00571315"/>
    <w:rsid w:val="00582075"/>
    <w:rsid w:val="00584A63"/>
    <w:rsid w:val="00585EB3"/>
    <w:rsid w:val="00591688"/>
    <w:rsid w:val="00592509"/>
    <w:rsid w:val="00594986"/>
    <w:rsid w:val="00597B15"/>
    <w:rsid w:val="005A044C"/>
    <w:rsid w:val="005B5C95"/>
    <w:rsid w:val="005B6740"/>
    <w:rsid w:val="005D0200"/>
    <w:rsid w:val="005D44EF"/>
    <w:rsid w:val="005D4814"/>
    <w:rsid w:val="005D5112"/>
    <w:rsid w:val="005F03E3"/>
    <w:rsid w:val="005F3914"/>
    <w:rsid w:val="005F3B5A"/>
    <w:rsid w:val="005F6AB4"/>
    <w:rsid w:val="00610A66"/>
    <w:rsid w:val="00613177"/>
    <w:rsid w:val="00613F7C"/>
    <w:rsid w:val="00614BF2"/>
    <w:rsid w:val="0061618E"/>
    <w:rsid w:val="00620560"/>
    <w:rsid w:val="006208CB"/>
    <w:rsid w:val="00623DE2"/>
    <w:rsid w:val="00627601"/>
    <w:rsid w:val="006300D0"/>
    <w:rsid w:val="00632012"/>
    <w:rsid w:val="00634694"/>
    <w:rsid w:val="00635F9D"/>
    <w:rsid w:val="00636517"/>
    <w:rsid w:val="00637690"/>
    <w:rsid w:val="00640E1E"/>
    <w:rsid w:val="0064389A"/>
    <w:rsid w:val="00645442"/>
    <w:rsid w:val="006525CD"/>
    <w:rsid w:val="00653353"/>
    <w:rsid w:val="00653F7F"/>
    <w:rsid w:val="00662EE8"/>
    <w:rsid w:val="00663813"/>
    <w:rsid w:val="00663C3B"/>
    <w:rsid w:val="00664AFD"/>
    <w:rsid w:val="00667567"/>
    <w:rsid w:val="0067391A"/>
    <w:rsid w:val="00674173"/>
    <w:rsid w:val="00674602"/>
    <w:rsid w:val="0067535A"/>
    <w:rsid w:val="00683CA0"/>
    <w:rsid w:val="00690DB1"/>
    <w:rsid w:val="00693404"/>
    <w:rsid w:val="006953D9"/>
    <w:rsid w:val="00697FE9"/>
    <w:rsid w:val="006A5FEE"/>
    <w:rsid w:val="006B1242"/>
    <w:rsid w:val="006B1DBC"/>
    <w:rsid w:val="006B63B7"/>
    <w:rsid w:val="006B7D9A"/>
    <w:rsid w:val="006C06D9"/>
    <w:rsid w:val="006C464F"/>
    <w:rsid w:val="006C5716"/>
    <w:rsid w:val="006C74A9"/>
    <w:rsid w:val="006D07DE"/>
    <w:rsid w:val="006D394E"/>
    <w:rsid w:val="006E06D9"/>
    <w:rsid w:val="006E1D40"/>
    <w:rsid w:val="006E2E1F"/>
    <w:rsid w:val="006E4BE8"/>
    <w:rsid w:val="006F5FFF"/>
    <w:rsid w:val="006F6E33"/>
    <w:rsid w:val="006F7AF3"/>
    <w:rsid w:val="00702CF1"/>
    <w:rsid w:val="00703635"/>
    <w:rsid w:val="007054AA"/>
    <w:rsid w:val="00706D4B"/>
    <w:rsid w:val="00707B8C"/>
    <w:rsid w:val="00710804"/>
    <w:rsid w:val="00711FC6"/>
    <w:rsid w:val="007130B1"/>
    <w:rsid w:val="00715071"/>
    <w:rsid w:val="0072140F"/>
    <w:rsid w:val="007231E9"/>
    <w:rsid w:val="00727C59"/>
    <w:rsid w:val="00734E5D"/>
    <w:rsid w:val="00735AF1"/>
    <w:rsid w:val="00736013"/>
    <w:rsid w:val="00737661"/>
    <w:rsid w:val="00755D75"/>
    <w:rsid w:val="00756245"/>
    <w:rsid w:val="0076130F"/>
    <w:rsid w:val="00761662"/>
    <w:rsid w:val="00764043"/>
    <w:rsid w:val="007757CF"/>
    <w:rsid w:val="00776FFC"/>
    <w:rsid w:val="0078128F"/>
    <w:rsid w:val="0078683C"/>
    <w:rsid w:val="00790EDB"/>
    <w:rsid w:val="00791538"/>
    <w:rsid w:val="007918F0"/>
    <w:rsid w:val="0079326E"/>
    <w:rsid w:val="00796EDE"/>
    <w:rsid w:val="00797A02"/>
    <w:rsid w:val="007A27A9"/>
    <w:rsid w:val="007A5A58"/>
    <w:rsid w:val="007A6740"/>
    <w:rsid w:val="007B1C56"/>
    <w:rsid w:val="007B4996"/>
    <w:rsid w:val="007C3CD5"/>
    <w:rsid w:val="007C61EF"/>
    <w:rsid w:val="007D1C0D"/>
    <w:rsid w:val="007D2D23"/>
    <w:rsid w:val="007D7644"/>
    <w:rsid w:val="007E27D6"/>
    <w:rsid w:val="007E3921"/>
    <w:rsid w:val="007E5DDE"/>
    <w:rsid w:val="00801028"/>
    <w:rsid w:val="00802CE2"/>
    <w:rsid w:val="00803793"/>
    <w:rsid w:val="0080643F"/>
    <w:rsid w:val="00814052"/>
    <w:rsid w:val="008149FD"/>
    <w:rsid w:val="00817A01"/>
    <w:rsid w:val="00824F21"/>
    <w:rsid w:val="0082500C"/>
    <w:rsid w:val="00825E35"/>
    <w:rsid w:val="008270CC"/>
    <w:rsid w:val="008334F8"/>
    <w:rsid w:val="008341AA"/>
    <w:rsid w:val="00835D8E"/>
    <w:rsid w:val="008372F6"/>
    <w:rsid w:val="008377CA"/>
    <w:rsid w:val="00844D03"/>
    <w:rsid w:val="00847B0F"/>
    <w:rsid w:val="00852994"/>
    <w:rsid w:val="00873D89"/>
    <w:rsid w:val="00876659"/>
    <w:rsid w:val="00876677"/>
    <w:rsid w:val="0087734C"/>
    <w:rsid w:val="00882141"/>
    <w:rsid w:val="00887E3B"/>
    <w:rsid w:val="008922A8"/>
    <w:rsid w:val="00895728"/>
    <w:rsid w:val="00895BD5"/>
    <w:rsid w:val="0089742B"/>
    <w:rsid w:val="008A16C4"/>
    <w:rsid w:val="008A6FED"/>
    <w:rsid w:val="008B39C5"/>
    <w:rsid w:val="008B51AA"/>
    <w:rsid w:val="008B7932"/>
    <w:rsid w:val="008C4704"/>
    <w:rsid w:val="008C67F2"/>
    <w:rsid w:val="008D064A"/>
    <w:rsid w:val="008D0FDB"/>
    <w:rsid w:val="008D2B0F"/>
    <w:rsid w:val="008D30BC"/>
    <w:rsid w:val="008D4BC4"/>
    <w:rsid w:val="008E449E"/>
    <w:rsid w:val="008E7062"/>
    <w:rsid w:val="008F187F"/>
    <w:rsid w:val="008F402F"/>
    <w:rsid w:val="008F55FA"/>
    <w:rsid w:val="008F76E8"/>
    <w:rsid w:val="008F7CD0"/>
    <w:rsid w:val="00902902"/>
    <w:rsid w:val="00902A4B"/>
    <w:rsid w:val="009078A1"/>
    <w:rsid w:val="00911E9C"/>
    <w:rsid w:val="00915083"/>
    <w:rsid w:val="00917405"/>
    <w:rsid w:val="00920035"/>
    <w:rsid w:val="00920F7C"/>
    <w:rsid w:val="00934CAE"/>
    <w:rsid w:val="0094257D"/>
    <w:rsid w:val="00942F60"/>
    <w:rsid w:val="0095211B"/>
    <w:rsid w:val="0095467C"/>
    <w:rsid w:val="00954A61"/>
    <w:rsid w:val="00955C6F"/>
    <w:rsid w:val="009603FD"/>
    <w:rsid w:val="00966C7B"/>
    <w:rsid w:val="009701DC"/>
    <w:rsid w:val="009715D8"/>
    <w:rsid w:val="00980D0D"/>
    <w:rsid w:val="00985C4B"/>
    <w:rsid w:val="00995BF9"/>
    <w:rsid w:val="00997C3C"/>
    <w:rsid w:val="009A0CAF"/>
    <w:rsid w:val="009A1474"/>
    <w:rsid w:val="009A2207"/>
    <w:rsid w:val="009A5147"/>
    <w:rsid w:val="009A74C4"/>
    <w:rsid w:val="009B02D2"/>
    <w:rsid w:val="009B6C42"/>
    <w:rsid w:val="009D31F7"/>
    <w:rsid w:val="009D32C2"/>
    <w:rsid w:val="009D50DB"/>
    <w:rsid w:val="009E3A0A"/>
    <w:rsid w:val="009F26D4"/>
    <w:rsid w:val="009F3E91"/>
    <w:rsid w:val="009F6CE7"/>
    <w:rsid w:val="009F7D7D"/>
    <w:rsid w:val="00A01670"/>
    <w:rsid w:val="00A1499B"/>
    <w:rsid w:val="00A20879"/>
    <w:rsid w:val="00A20AFC"/>
    <w:rsid w:val="00A23E47"/>
    <w:rsid w:val="00A314C2"/>
    <w:rsid w:val="00A43B9C"/>
    <w:rsid w:val="00A53155"/>
    <w:rsid w:val="00A56FFA"/>
    <w:rsid w:val="00A63E86"/>
    <w:rsid w:val="00A65A1C"/>
    <w:rsid w:val="00A757C3"/>
    <w:rsid w:val="00A75E5B"/>
    <w:rsid w:val="00A7684A"/>
    <w:rsid w:val="00A82AED"/>
    <w:rsid w:val="00A83B69"/>
    <w:rsid w:val="00A86533"/>
    <w:rsid w:val="00A91176"/>
    <w:rsid w:val="00A9176A"/>
    <w:rsid w:val="00A91CA2"/>
    <w:rsid w:val="00A92FB8"/>
    <w:rsid w:val="00A948F1"/>
    <w:rsid w:val="00AA1D7D"/>
    <w:rsid w:val="00AA7525"/>
    <w:rsid w:val="00AB0EA9"/>
    <w:rsid w:val="00AB139D"/>
    <w:rsid w:val="00AB2C46"/>
    <w:rsid w:val="00AB3EFB"/>
    <w:rsid w:val="00AB5EF7"/>
    <w:rsid w:val="00AC0B05"/>
    <w:rsid w:val="00AC763F"/>
    <w:rsid w:val="00AD05C1"/>
    <w:rsid w:val="00AD079A"/>
    <w:rsid w:val="00AD1890"/>
    <w:rsid w:val="00AE2149"/>
    <w:rsid w:val="00AE33AE"/>
    <w:rsid w:val="00AE3785"/>
    <w:rsid w:val="00AE3F91"/>
    <w:rsid w:val="00AE452F"/>
    <w:rsid w:val="00AE76E6"/>
    <w:rsid w:val="00B00ACC"/>
    <w:rsid w:val="00B039E3"/>
    <w:rsid w:val="00B043C1"/>
    <w:rsid w:val="00B22838"/>
    <w:rsid w:val="00B27D52"/>
    <w:rsid w:val="00B32BC1"/>
    <w:rsid w:val="00B33E95"/>
    <w:rsid w:val="00B34EE1"/>
    <w:rsid w:val="00B35B5E"/>
    <w:rsid w:val="00B3720B"/>
    <w:rsid w:val="00B40EE3"/>
    <w:rsid w:val="00B4535A"/>
    <w:rsid w:val="00B55271"/>
    <w:rsid w:val="00B5558A"/>
    <w:rsid w:val="00B56513"/>
    <w:rsid w:val="00B56B2E"/>
    <w:rsid w:val="00B64376"/>
    <w:rsid w:val="00B71533"/>
    <w:rsid w:val="00B7401F"/>
    <w:rsid w:val="00B806C3"/>
    <w:rsid w:val="00B838F5"/>
    <w:rsid w:val="00B84FCA"/>
    <w:rsid w:val="00B9089F"/>
    <w:rsid w:val="00B91AEE"/>
    <w:rsid w:val="00B94F71"/>
    <w:rsid w:val="00B95F5A"/>
    <w:rsid w:val="00B96EAD"/>
    <w:rsid w:val="00BA22AF"/>
    <w:rsid w:val="00BA4B42"/>
    <w:rsid w:val="00BA504F"/>
    <w:rsid w:val="00BA79F5"/>
    <w:rsid w:val="00BB02E8"/>
    <w:rsid w:val="00BB3AB6"/>
    <w:rsid w:val="00BB766D"/>
    <w:rsid w:val="00BC007B"/>
    <w:rsid w:val="00BC15E7"/>
    <w:rsid w:val="00BC26BA"/>
    <w:rsid w:val="00BC35F8"/>
    <w:rsid w:val="00BC49BF"/>
    <w:rsid w:val="00BC5043"/>
    <w:rsid w:val="00BC7140"/>
    <w:rsid w:val="00BD1B89"/>
    <w:rsid w:val="00BD3944"/>
    <w:rsid w:val="00BF376F"/>
    <w:rsid w:val="00BF46A6"/>
    <w:rsid w:val="00BF62CF"/>
    <w:rsid w:val="00BF6B98"/>
    <w:rsid w:val="00BF73D6"/>
    <w:rsid w:val="00C06545"/>
    <w:rsid w:val="00C1161C"/>
    <w:rsid w:val="00C17F66"/>
    <w:rsid w:val="00C220FC"/>
    <w:rsid w:val="00C23C86"/>
    <w:rsid w:val="00C24DFA"/>
    <w:rsid w:val="00C35561"/>
    <w:rsid w:val="00C4202A"/>
    <w:rsid w:val="00C4211F"/>
    <w:rsid w:val="00C46A36"/>
    <w:rsid w:val="00C47037"/>
    <w:rsid w:val="00C53625"/>
    <w:rsid w:val="00C602C1"/>
    <w:rsid w:val="00C61C98"/>
    <w:rsid w:val="00C63FC0"/>
    <w:rsid w:val="00C66392"/>
    <w:rsid w:val="00C74C5E"/>
    <w:rsid w:val="00C77487"/>
    <w:rsid w:val="00C827A2"/>
    <w:rsid w:val="00C82B69"/>
    <w:rsid w:val="00C85394"/>
    <w:rsid w:val="00C8657D"/>
    <w:rsid w:val="00C91B28"/>
    <w:rsid w:val="00C91F3A"/>
    <w:rsid w:val="00C94A6F"/>
    <w:rsid w:val="00CA06E3"/>
    <w:rsid w:val="00CB328B"/>
    <w:rsid w:val="00CB5797"/>
    <w:rsid w:val="00CB6050"/>
    <w:rsid w:val="00CC1202"/>
    <w:rsid w:val="00CC4099"/>
    <w:rsid w:val="00CC45C1"/>
    <w:rsid w:val="00CD09E1"/>
    <w:rsid w:val="00CD5078"/>
    <w:rsid w:val="00CD6202"/>
    <w:rsid w:val="00CE2486"/>
    <w:rsid w:val="00CE4913"/>
    <w:rsid w:val="00CE66BD"/>
    <w:rsid w:val="00CF0671"/>
    <w:rsid w:val="00CF44AD"/>
    <w:rsid w:val="00CF4FC0"/>
    <w:rsid w:val="00CF7642"/>
    <w:rsid w:val="00D03909"/>
    <w:rsid w:val="00D1072F"/>
    <w:rsid w:val="00D108A5"/>
    <w:rsid w:val="00D14585"/>
    <w:rsid w:val="00D20EFF"/>
    <w:rsid w:val="00D30F1B"/>
    <w:rsid w:val="00D30FC0"/>
    <w:rsid w:val="00D34F0D"/>
    <w:rsid w:val="00D3516E"/>
    <w:rsid w:val="00D4064C"/>
    <w:rsid w:val="00D47F9F"/>
    <w:rsid w:val="00D501E4"/>
    <w:rsid w:val="00D53ED8"/>
    <w:rsid w:val="00D56380"/>
    <w:rsid w:val="00D56A47"/>
    <w:rsid w:val="00D64857"/>
    <w:rsid w:val="00D6493A"/>
    <w:rsid w:val="00D64EE2"/>
    <w:rsid w:val="00D67875"/>
    <w:rsid w:val="00D71CBD"/>
    <w:rsid w:val="00D71E86"/>
    <w:rsid w:val="00D731C6"/>
    <w:rsid w:val="00D745C5"/>
    <w:rsid w:val="00D75327"/>
    <w:rsid w:val="00D76473"/>
    <w:rsid w:val="00D80C36"/>
    <w:rsid w:val="00D86779"/>
    <w:rsid w:val="00D86EE1"/>
    <w:rsid w:val="00D9120E"/>
    <w:rsid w:val="00D913B1"/>
    <w:rsid w:val="00D93793"/>
    <w:rsid w:val="00D96126"/>
    <w:rsid w:val="00DB4B1C"/>
    <w:rsid w:val="00DB5085"/>
    <w:rsid w:val="00DB7706"/>
    <w:rsid w:val="00DC1062"/>
    <w:rsid w:val="00DC132C"/>
    <w:rsid w:val="00DC774B"/>
    <w:rsid w:val="00DD43F0"/>
    <w:rsid w:val="00DD44DE"/>
    <w:rsid w:val="00DE09AB"/>
    <w:rsid w:val="00DE4A3F"/>
    <w:rsid w:val="00DE4E53"/>
    <w:rsid w:val="00DE7AE9"/>
    <w:rsid w:val="00DF4367"/>
    <w:rsid w:val="00E0574A"/>
    <w:rsid w:val="00E1243D"/>
    <w:rsid w:val="00E12742"/>
    <w:rsid w:val="00E12E4A"/>
    <w:rsid w:val="00E146D4"/>
    <w:rsid w:val="00E20976"/>
    <w:rsid w:val="00E22079"/>
    <w:rsid w:val="00E22B44"/>
    <w:rsid w:val="00E236D8"/>
    <w:rsid w:val="00E30ACD"/>
    <w:rsid w:val="00E3184B"/>
    <w:rsid w:val="00E32735"/>
    <w:rsid w:val="00E5391D"/>
    <w:rsid w:val="00E544E5"/>
    <w:rsid w:val="00E66E36"/>
    <w:rsid w:val="00E6781E"/>
    <w:rsid w:val="00E702ED"/>
    <w:rsid w:val="00E705CC"/>
    <w:rsid w:val="00E709A4"/>
    <w:rsid w:val="00E73822"/>
    <w:rsid w:val="00E772DB"/>
    <w:rsid w:val="00E86012"/>
    <w:rsid w:val="00E86BAB"/>
    <w:rsid w:val="00E901A1"/>
    <w:rsid w:val="00E94E10"/>
    <w:rsid w:val="00E954BD"/>
    <w:rsid w:val="00E96743"/>
    <w:rsid w:val="00E96A42"/>
    <w:rsid w:val="00EA0A36"/>
    <w:rsid w:val="00EA49C5"/>
    <w:rsid w:val="00EB1C1C"/>
    <w:rsid w:val="00EB5027"/>
    <w:rsid w:val="00EC1836"/>
    <w:rsid w:val="00EC3990"/>
    <w:rsid w:val="00EC484B"/>
    <w:rsid w:val="00ED15FA"/>
    <w:rsid w:val="00ED1E00"/>
    <w:rsid w:val="00EE228F"/>
    <w:rsid w:val="00EE238D"/>
    <w:rsid w:val="00EE6E9A"/>
    <w:rsid w:val="00EF0BF1"/>
    <w:rsid w:val="00EF27DA"/>
    <w:rsid w:val="00EF2AC4"/>
    <w:rsid w:val="00EF397E"/>
    <w:rsid w:val="00F06F68"/>
    <w:rsid w:val="00F1332D"/>
    <w:rsid w:val="00F1534B"/>
    <w:rsid w:val="00F1713B"/>
    <w:rsid w:val="00F212CB"/>
    <w:rsid w:val="00F23C7D"/>
    <w:rsid w:val="00F243DB"/>
    <w:rsid w:val="00F24C2D"/>
    <w:rsid w:val="00F24F1B"/>
    <w:rsid w:val="00F27356"/>
    <w:rsid w:val="00F32A81"/>
    <w:rsid w:val="00F46998"/>
    <w:rsid w:val="00F47100"/>
    <w:rsid w:val="00F5382D"/>
    <w:rsid w:val="00F53D9C"/>
    <w:rsid w:val="00F5462B"/>
    <w:rsid w:val="00F634AD"/>
    <w:rsid w:val="00F63677"/>
    <w:rsid w:val="00F63ABE"/>
    <w:rsid w:val="00F75B81"/>
    <w:rsid w:val="00F804C4"/>
    <w:rsid w:val="00F82F83"/>
    <w:rsid w:val="00F832E5"/>
    <w:rsid w:val="00F90F40"/>
    <w:rsid w:val="00F92B30"/>
    <w:rsid w:val="00F933B9"/>
    <w:rsid w:val="00F94674"/>
    <w:rsid w:val="00F94919"/>
    <w:rsid w:val="00F94A59"/>
    <w:rsid w:val="00FA25B6"/>
    <w:rsid w:val="00FA2FAF"/>
    <w:rsid w:val="00FA5CCF"/>
    <w:rsid w:val="00FA64B1"/>
    <w:rsid w:val="00FA70F3"/>
    <w:rsid w:val="00FA71CD"/>
    <w:rsid w:val="00FB0453"/>
    <w:rsid w:val="00FB0C07"/>
    <w:rsid w:val="00FB298D"/>
    <w:rsid w:val="00FC1439"/>
    <w:rsid w:val="00FC58BE"/>
    <w:rsid w:val="00FC7225"/>
    <w:rsid w:val="00FC724B"/>
    <w:rsid w:val="00FC767C"/>
    <w:rsid w:val="00FC7910"/>
    <w:rsid w:val="00FD0834"/>
    <w:rsid w:val="00FD6EA4"/>
    <w:rsid w:val="00FE13AD"/>
    <w:rsid w:val="00FE348D"/>
    <w:rsid w:val="00FE51C8"/>
    <w:rsid w:val="00FE53B6"/>
    <w:rsid w:val="00FE72A6"/>
    <w:rsid w:val="00FF0628"/>
    <w:rsid w:val="00FF0ABF"/>
    <w:rsid w:val="00FF0DA7"/>
    <w:rsid w:val="00FF44E0"/>
    <w:rsid w:val="00FF4CB6"/>
    <w:rsid w:val="00FF5834"/>
    <w:rsid w:val="00FF6C72"/>
    <w:rsid w:val="017B1BF9"/>
    <w:rsid w:val="01877B89"/>
    <w:rsid w:val="01A53976"/>
    <w:rsid w:val="01E93A1B"/>
    <w:rsid w:val="020A500B"/>
    <w:rsid w:val="020B7110"/>
    <w:rsid w:val="0214602E"/>
    <w:rsid w:val="021B02FD"/>
    <w:rsid w:val="02D42536"/>
    <w:rsid w:val="03486B27"/>
    <w:rsid w:val="039B791C"/>
    <w:rsid w:val="040A094E"/>
    <w:rsid w:val="043548A2"/>
    <w:rsid w:val="05304A7F"/>
    <w:rsid w:val="056F201D"/>
    <w:rsid w:val="05B664D4"/>
    <w:rsid w:val="064B485A"/>
    <w:rsid w:val="064B7CB3"/>
    <w:rsid w:val="068C65C4"/>
    <w:rsid w:val="06EF57A4"/>
    <w:rsid w:val="06FA394E"/>
    <w:rsid w:val="07076C01"/>
    <w:rsid w:val="071B7716"/>
    <w:rsid w:val="071C12AC"/>
    <w:rsid w:val="07400897"/>
    <w:rsid w:val="0764478A"/>
    <w:rsid w:val="07A934B3"/>
    <w:rsid w:val="07EB6287"/>
    <w:rsid w:val="080609DA"/>
    <w:rsid w:val="0806421B"/>
    <w:rsid w:val="088A0B34"/>
    <w:rsid w:val="089D227F"/>
    <w:rsid w:val="08EE4992"/>
    <w:rsid w:val="08FC70AE"/>
    <w:rsid w:val="09016473"/>
    <w:rsid w:val="093525C0"/>
    <w:rsid w:val="0980799C"/>
    <w:rsid w:val="09944B8E"/>
    <w:rsid w:val="09AD03A9"/>
    <w:rsid w:val="09CC5188"/>
    <w:rsid w:val="09CC6F0C"/>
    <w:rsid w:val="0A0F4281"/>
    <w:rsid w:val="0A1034AD"/>
    <w:rsid w:val="0A197D3C"/>
    <w:rsid w:val="0A537131"/>
    <w:rsid w:val="0A6A18DB"/>
    <w:rsid w:val="0A975B48"/>
    <w:rsid w:val="0AA12C60"/>
    <w:rsid w:val="0ADA4EDD"/>
    <w:rsid w:val="0AEB67F9"/>
    <w:rsid w:val="0AEF3828"/>
    <w:rsid w:val="0B35394F"/>
    <w:rsid w:val="0B406381"/>
    <w:rsid w:val="0B697088"/>
    <w:rsid w:val="0BA17A09"/>
    <w:rsid w:val="0BAD583F"/>
    <w:rsid w:val="0BB452AA"/>
    <w:rsid w:val="0BBB665B"/>
    <w:rsid w:val="0BC144AC"/>
    <w:rsid w:val="0C914370"/>
    <w:rsid w:val="0D01680C"/>
    <w:rsid w:val="0D7B681B"/>
    <w:rsid w:val="0DB2651B"/>
    <w:rsid w:val="0E0216FA"/>
    <w:rsid w:val="0E3670BE"/>
    <w:rsid w:val="0E440B4F"/>
    <w:rsid w:val="0E80608C"/>
    <w:rsid w:val="0EC57542"/>
    <w:rsid w:val="0EEA6FC1"/>
    <w:rsid w:val="0F0247C9"/>
    <w:rsid w:val="0F2D32DC"/>
    <w:rsid w:val="0F56454A"/>
    <w:rsid w:val="0F790928"/>
    <w:rsid w:val="0FA80F53"/>
    <w:rsid w:val="10167A01"/>
    <w:rsid w:val="104D6442"/>
    <w:rsid w:val="10685029"/>
    <w:rsid w:val="109B50EF"/>
    <w:rsid w:val="10CD72BB"/>
    <w:rsid w:val="11BD13A5"/>
    <w:rsid w:val="11CE419F"/>
    <w:rsid w:val="11E37F81"/>
    <w:rsid w:val="12015736"/>
    <w:rsid w:val="12197477"/>
    <w:rsid w:val="131B5CD3"/>
    <w:rsid w:val="13710699"/>
    <w:rsid w:val="13776448"/>
    <w:rsid w:val="13C655F9"/>
    <w:rsid w:val="13C923B1"/>
    <w:rsid w:val="13D12EE6"/>
    <w:rsid w:val="1466407E"/>
    <w:rsid w:val="14834E28"/>
    <w:rsid w:val="148E7D65"/>
    <w:rsid w:val="14A05A82"/>
    <w:rsid w:val="14A751F2"/>
    <w:rsid w:val="14AD510F"/>
    <w:rsid w:val="14EB1A29"/>
    <w:rsid w:val="151E03AD"/>
    <w:rsid w:val="15231BF9"/>
    <w:rsid w:val="158C384D"/>
    <w:rsid w:val="158F73B3"/>
    <w:rsid w:val="15A666D7"/>
    <w:rsid w:val="15B1084D"/>
    <w:rsid w:val="15C4546D"/>
    <w:rsid w:val="15C93F1F"/>
    <w:rsid w:val="16912091"/>
    <w:rsid w:val="16D231FD"/>
    <w:rsid w:val="16F7146D"/>
    <w:rsid w:val="17342681"/>
    <w:rsid w:val="18613ABE"/>
    <w:rsid w:val="187A1C50"/>
    <w:rsid w:val="18815748"/>
    <w:rsid w:val="19766A09"/>
    <w:rsid w:val="19971CFA"/>
    <w:rsid w:val="19C60A34"/>
    <w:rsid w:val="1A064976"/>
    <w:rsid w:val="1A2272B8"/>
    <w:rsid w:val="1A3B68AA"/>
    <w:rsid w:val="1A3E1C1E"/>
    <w:rsid w:val="1A520C44"/>
    <w:rsid w:val="1A7E4348"/>
    <w:rsid w:val="1AA1648E"/>
    <w:rsid w:val="1AE53362"/>
    <w:rsid w:val="1AF951F7"/>
    <w:rsid w:val="1B316D83"/>
    <w:rsid w:val="1B4072CF"/>
    <w:rsid w:val="1B5B7B3E"/>
    <w:rsid w:val="1B6F4F40"/>
    <w:rsid w:val="1B9836DE"/>
    <w:rsid w:val="1BAC6712"/>
    <w:rsid w:val="1BAD2FAF"/>
    <w:rsid w:val="1BC3452C"/>
    <w:rsid w:val="1BED17B1"/>
    <w:rsid w:val="1BFF39FC"/>
    <w:rsid w:val="1C141836"/>
    <w:rsid w:val="1C743E09"/>
    <w:rsid w:val="1C757BA2"/>
    <w:rsid w:val="1C76537D"/>
    <w:rsid w:val="1CB6695C"/>
    <w:rsid w:val="1D3B0182"/>
    <w:rsid w:val="1D5142C7"/>
    <w:rsid w:val="1E466713"/>
    <w:rsid w:val="1E6B6A14"/>
    <w:rsid w:val="1FEA279E"/>
    <w:rsid w:val="203647FC"/>
    <w:rsid w:val="203E25E2"/>
    <w:rsid w:val="20461107"/>
    <w:rsid w:val="20550D9A"/>
    <w:rsid w:val="206B1699"/>
    <w:rsid w:val="20A756FA"/>
    <w:rsid w:val="20FB15D6"/>
    <w:rsid w:val="212C62B5"/>
    <w:rsid w:val="21444C32"/>
    <w:rsid w:val="21881778"/>
    <w:rsid w:val="218E2416"/>
    <w:rsid w:val="21FB6A27"/>
    <w:rsid w:val="21FF30ED"/>
    <w:rsid w:val="223A04CB"/>
    <w:rsid w:val="226915FE"/>
    <w:rsid w:val="22940A38"/>
    <w:rsid w:val="23EC2B7D"/>
    <w:rsid w:val="23FD4527"/>
    <w:rsid w:val="241804A5"/>
    <w:rsid w:val="243A6885"/>
    <w:rsid w:val="24A7216D"/>
    <w:rsid w:val="24AC1230"/>
    <w:rsid w:val="24B97929"/>
    <w:rsid w:val="24D54671"/>
    <w:rsid w:val="24D632D7"/>
    <w:rsid w:val="24E53DB0"/>
    <w:rsid w:val="250672D4"/>
    <w:rsid w:val="25216B98"/>
    <w:rsid w:val="25973F2A"/>
    <w:rsid w:val="25EB6089"/>
    <w:rsid w:val="25F71C7F"/>
    <w:rsid w:val="26466C94"/>
    <w:rsid w:val="26AE0668"/>
    <w:rsid w:val="26AF355A"/>
    <w:rsid w:val="27D65DBA"/>
    <w:rsid w:val="27FC1492"/>
    <w:rsid w:val="285F40CA"/>
    <w:rsid w:val="28812CD5"/>
    <w:rsid w:val="289E1AF0"/>
    <w:rsid w:val="28B93D89"/>
    <w:rsid w:val="28C01ECB"/>
    <w:rsid w:val="28DF06AA"/>
    <w:rsid w:val="28E27252"/>
    <w:rsid w:val="29587CD6"/>
    <w:rsid w:val="29986528"/>
    <w:rsid w:val="29BF71E3"/>
    <w:rsid w:val="29D44E36"/>
    <w:rsid w:val="29D6387F"/>
    <w:rsid w:val="29EA4B44"/>
    <w:rsid w:val="2A1139E4"/>
    <w:rsid w:val="2A127B63"/>
    <w:rsid w:val="2A451A6C"/>
    <w:rsid w:val="2AAA4765"/>
    <w:rsid w:val="2AC21606"/>
    <w:rsid w:val="2B0D0850"/>
    <w:rsid w:val="2B1F0D6E"/>
    <w:rsid w:val="2B2719CF"/>
    <w:rsid w:val="2B7E7608"/>
    <w:rsid w:val="2B7F04E9"/>
    <w:rsid w:val="2B8B554A"/>
    <w:rsid w:val="2C4C2FD2"/>
    <w:rsid w:val="2C8A1D3A"/>
    <w:rsid w:val="2CD31625"/>
    <w:rsid w:val="2D496D68"/>
    <w:rsid w:val="2DB31B82"/>
    <w:rsid w:val="2DF47B64"/>
    <w:rsid w:val="2E1C0147"/>
    <w:rsid w:val="2E474A29"/>
    <w:rsid w:val="2E7A48DE"/>
    <w:rsid w:val="2EBA5177"/>
    <w:rsid w:val="2EBD6ADC"/>
    <w:rsid w:val="2EDC3ED8"/>
    <w:rsid w:val="2EEB4B9B"/>
    <w:rsid w:val="2EF771FC"/>
    <w:rsid w:val="2F104B00"/>
    <w:rsid w:val="2F205BE3"/>
    <w:rsid w:val="2F257E5B"/>
    <w:rsid w:val="2F6351B4"/>
    <w:rsid w:val="2F662C24"/>
    <w:rsid w:val="2F723511"/>
    <w:rsid w:val="2FB476FB"/>
    <w:rsid w:val="2FBA0E88"/>
    <w:rsid w:val="2FC86126"/>
    <w:rsid w:val="2FCF199E"/>
    <w:rsid w:val="304765B2"/>
    <w:rsid w:val="30483E83"/>
    <w:rsid w:val="30BF3991"/>
    <w:rsid w:val="3111619A"/>
    <w:rsid w:val="3117118E"/>
    <w:rsid w:val="31B139DC"/>
    <w:rsid w:val="32454D73"/>
    <w:rsid w:val="32497AF3"/>
    <w:rsid w:val="33367608"/>
    <w:rsid w:val="33647AF5"/>
    <w:rsid w:val="33B87FFA"/>
    <w:rsid w:val="33D91C40"/>
    <w:rsid w:val="341838FD"/>
    <w:rsid w:val="343C0775"/>
    <w:rsid w:val="344A48C2"/>
    <w:rsid w:val="344C4197"/>
    <w:rsid w:val="346B261C"/>
    <w:rsid w:val="350727B3"/>
    <w:rsid w:val="35610C3B"/>
    <w:rsid w:val="356C50EC"/>
    <w:rsid w:val="357A422A"/>
    <w:rsid w:val="35866CE1"/>
    <w:rsid w:val="359531B5"/>
    <w:rsid w:val="36137E45"/>
    <w:rsid w:val="36376E0A"/>
    <w:rsid w:val="36415BD1"/>
    <w:rsid w:val="3700166C"/>
    <w:rsid w:val="372F3259"/>
    <w:rsid w:val="373468F5"/>
    <w:rsid w:val="37386C54"/>
    <w:rsid w:val="3782780B"/>
    <w:rsid w:val="379A1012"/>
    <w:rsid w:val="38694EE9"/>
    <w:rsid w:val="390E55DB"/>
    <w:rsid w:val="393F299B"/>
    <w:rsid w:val="3941358C"/>
    <w:rsid w:val="39537CF4"/>
    <w:rsid w:val="395D02DD"/>
    <w:rsid w:val="39744E61"/>
    <w:rsid w:val="39ED01CA"/>
    <w:rsid w:val="39F90DBF"/>
    <w:rsid w:val="3A3C6DBA"/>
    <w:rsid w:val="3A634E6A"/>
    <w:rsid w:val="3A6818FA"/>
    <w:rsid w:val="3A6F5083"/>
    <w:rsid w:val="3A7F09EA"/>
    <w:rsid w:val="3AD10301"/>
    <w:rsid w:val="3B365CC9"/>
    <w:rsid w:val="3B9A7B88"/>
    <w:rsid w:val="3D286CE1"/>
    <w:rsid w:val="3D2C7AC8"/>
    <w:rsid w:val="3D855D12"/>
    <w:rsid w:val="3D8B42FF"/>
    <w:rsid w:val="3DA54918"/>
    <w:rsid w:val="3DE86C4C"/>
    <w:rsid w:val="3DF36A6E"/>
    <w:rsid w:val="3E2C7004"/>
    <w:rsid w:val="3E9F31E1"/>
    <w:rsid w:val="3EBA1EE9"/>
    <w:rsid w:val="3F792F1E"/>
    <w:rsid w:val="3F88676B"/>
    <w:rsid w:val="3F930A4B"/>
    <w:rsid w:val="3FB72D53"/>
    <w:rsid w:val="40152228"/>
    <w:rsid w:val="40824826"/>
    <w:rsid w:val="40980764"/>
    <w:rsid w:val="40AB06AC"/>
    <w:rsid w:val="40B65B8D"/>
    <w:rsid w:val="40E63923"/>
    <w:rsid w:val="41122D51"/>
    <w:rsid w:val="41522F40"/>
    <w:rsid w:val="41711720"/>
    <w:rsid w:val="426C3C56"/>
    <w:rsid w:val="42753EA0"/>
    <w:rsid w:val="43630837"/>
    <w:rsid w:val="43A538C3"/>
    <w:rsid w:val="43A91E5B"/>
    <w:rsid w:val="43B5365F"/>
    <w:rsid w:val="449E0D39"/>
    <w:rsid w:val="45116CEE"/>
    <w:rsid w:val="45975B03"/>
    <w:rsid w:val="45DC4B63"/>
    <w:rsid w:val="45E32B26"/>
    <w:rsid w:val="460C5E7C"/>
    <w:rsid w:val="463A3650"/>
    <w:rsid w:val="46461627"/>
    <w:rsid w:val="46777787"/>
    <w:rsid w:val="46973570"/>
    <w:rsid w:val="469F0116"/>
    <w:rsid w:val="46AE6F33"/>
    <w:rsid w:val="46BA58D8"/>
    <w:rsid w:val="46F14C34"/>
    <w:rsid w:val="46F5246C"/>
    <w:rsid w:val="475259B7"/>
    <w:rsid w:val="47615D53"/>
    <w:rsid w:val="476678A7"/>
    <w:rsid w:val="47797541"/>
    <w:rsid w:val="488302AE"/>
    <w:rsid w:val="48831CF9"/>
    <w:rsid w:val="48A11161"/>
    <w:rsid w:val="48CB222B"/>
    <w:rsid w:val="48DF6239"/>
    <w:rsid w:val="48F16C96"/>
    <w:rsid w:val="49024C9C"/>
    <w:rsid w:val="49050BD6"/>
    <w:rsid w:val="49092B40"/>
    <w:rsid w:val="49B1408D"/>
    <w:rsid w:val="4A1718A5"/>
    <w:rsid w:val="4A210338"/>
    <w:rsid w:val="4A442B1E"/>
    <w:rsid w:val="4A7D4FD2"/>
    <w:rsid w:val="4A913C9A"/>
    <w:rsid w:val="4AB36FEA"/>
    <w:rsid w:val="4B1F70AC"/>
    <w:rsid w:val="4B240F94"/>
    <w:rsid w:val="4B6127C6"/>
    <w:rsid w:val="4BD07E54"/>
    <w:rsid w:val="4C0832E5"/>
    <w:rsid w:val="4C0A4DFC"/>
    <w:rsid w:val="4C380EA7"/>
    <w:rsid w:val="4C3C565C"/>
    <w:rsid w:val="4CCC79C7"/>
    <w:rsid w:val="4CF51D51"/>
    <w:rsid w:val="4D1B0752"/>
    <w:rsid w:val="4D4756ED"/>
    <w:rsid w:val="4D7555C7"/>
    <w:rsid w:val="4DC74040"/>
    <w:rsid w:val="4DCB3F26"/>
    <w:rsid w:val="4DEA3CD7"/>
    <w:rsid w:val="4DED3EA3"/>
    <w:rsid w:val="4E2A02A0"/>
    <w:rsid w:val="4EAE6DA0"/>
    <w:rsid w:val="4F251FAD"/>
    <w:rsid w:val="4F2F786D"/>
    <w:rsid w:val="4F367AC5"/>
    <w:rsid w:val="4F8A1DDC"/>
    <w:rsid w:val="4FA0240A"/>
    <w:rsid w:val="4FE617D9"/>
    <w:rsid w:val="5016514B"/>
    <w:rsid w:val="5049176B"/>
    <w:rsid w:val="504B134F"/>
    <w:rsid w:val="50BD049E"/>
    <w:rsid w:val="50BD4DF3"/>
    <w:rsid w:val="50F33EC0"/>
    <w:rsid w:val="50F9704A"/>
    <w:rsid w:val="50FC1A26"/>
    <w:rsid w:val="512359DE"/>
    <w:rsid w:val="51312C3A"/>
    <w:rsid w:val="51723664"/>
    <w:rsid w:val="517414DF"/>
    <w:rsid w:val="51CB1C78"/>
    <w:rsid w:val="51FD6A51"/>
    <w:rsid w:val="52457712"/>
    <w:rsid w:val="526B680A"/>
    <w:rsid w:val="52836F71"/>
    <w:rsid w:val="528648C0"/>
    <w:rsid w:val="52D26B02"/>
    <w:rsid w:val="537312E8"/>
    <w:rsid w:val="53A93257"/>
    <w:rsid w:val="53B65203"/>
    <w:rsid w:val="53B74A8B"/>
    <w:rsid w:val="540075EB"/>
    <w:rsid w:val="540C0F7E"/>
    <w:rsid w:val="541A5D30"/>
    <w:rsid w:val="541C234A"/>
    <w:rsid w:val="542B510D"/>
    <w:rsid w:val="547D680E"/>
    <w:rsid w:val="54D67D81"/>
    <w:rsid w:val="54F369C7"/>
    <w:rsid w:val="550D2661"/>
    <w:rsid w:val="55260746"/>
    <w:rsid w:val="556B3CDD"/>
    <w:rsid w:val="557708CE"/>
    <w:rsid w:val="55853555"/>
    <w:rsid w:val="55B1476A"/>
    <w:rsid w:val="55C1559C"/>
    <w:rsid w:val="55ED1438"/>
    <w:rsid w:val="55F068CD"/>
    <w:rsid w:val="566C3136"/>
    <w:rsid w:val="567F5A34"/>
    <w:rsid w:val="568D04F2"/>
    <w:rsid w:val="56C04B10"/>
    <w:rsid w:val="57062473"/>
    <w:rsid w:val="57596A47"/>
    <w:rsid w:val="576D7D2F"/>
    <w:rsid w:val="57BB1292"/>
    <w:rsid w:val="57E73000"/>
    <w:rsid w:val="58922210"/>
    <w:rsid w:val="58AC7AF6"/>
    <w:rsid w:val="593A2325"/>
    <w:rsid w:val="594D183A"/>
    <w:rsid w:val="598D5162"/>
    <w:rsid w:val="59981AA8"/>
    <w:rsid w:val="5A526582"/>
    <w:rsid w:val="5A534234"/>
    <w:rsid w:val="5A5F5C77"/>
    <w:rsid w:val="5A711A0D"/>
    <w:rsid w:val="5B070DD5"/>
    <w:rsid w:val="5B1071AB"/>
    <w:rsid w:val="5B1613E4"/>
    <w:rsid w:val="5B363129"/>
    <w:rsid w:val="5B4D65B1"/>
    <w:rsid w:val="5B78003B"/>
    <w:rsid w:val="5B8F4D5C"/>
    <w:rsid w:val="5BC11A60"/>
    <w:rsid w:val="5C061B0A"/>
    <w:rsid w:val="5C2158B2"/>
    <w:rsid w:val="5C245548"/>
    <w:rsid w:val="5C49467B"/>
    <w:rsid w:val="5C7522BA"/>
    <w:rsid w:val="5C7A4D54"/>
    <w:rsid w:val="5C902F0B"/>
    <w:rsid w:val="5CD23B73"/>
    <w:rsid w:val="5D376039"/>
    <w:rsid w:val="5D3C6BEF"/>
    <w:rsid w:val="5DC11479"/>
    <w:rsid w:val="5DE80B25"/>
    <w:rsid w:val="5DF11787"/>
    <w:rsid w:val="5DFD3BB5"/>
    <w:rsid w:val="5E5C5249"/>
    <w:rsid w:val="5EAC5EC6"/>
    <w:rsid w:val="5EF97313"/>
    <w:rsid w:val="5F127819"/>
    <w:rsid w:val="60350ED3"/>
    <w:rsid w:val="604F1AD5"/>
    <w:rsid w:val="60B72AEE"/>
    <w:rsid w:val="61025188"/>
    <w:rsid w:val="61057D5F"/>
    <w:rsid w:val="6126068F"/>
    <w:rsid w:val="6148692F"/>
    <w:rsid w:val="614D4977"/>
    <w:rsid w:val="618B5ECB"/>
    <w:rsid w:val="619F23BC"/>
    <w:rsid w:val="61D444F7"/>
    <w:rsid w:val="61D46E72"/>
    <w:rsid w:val="61FD7DEC"/>
    <w:rsid w:val="62B40FD5"/>
    <w:rsid w:val="62E03447"/>
    <w:rsid w:val="634A566E"/>
    <w:rsid w:val="63795AE4"/>
    <w:rsid w:val="63856C41"/>
    <w:rsid w:val="63AA3963"/>
    <w:rsid w:val="63C60FC0"/>
    <w:rsid w:val="63DD630A"/>
    <w:rsid w:val="64514F9F"/>
    <w:rsid w:val="64BA3D7A"/>
    <w:rsid w:val="64F179BC"/>
    <w:rsid w:val="651566D8"/>
    <w:rsid w:val="65395710"/>
    <w:rsid w:val="655F791E"/>
    <w:rsid w:val="657B67BE"/>
    <w:rsid w:val="65861F26"/>
    <w:rsid w:val="65D1387D"/>
    <w:rsid w:val="66220A94"/>
    <w:rsid w:val="665704D3"/>
    <w:rsid w:val="671C1B04"/>
    <w:rsid w:val="67306A48"/>
    <w:rsid w:val="67515549"/>
    <w:rsid w:val="675E59B4"/>
    <w:rsid w:val="67C065A4"/>
    <w:rsid w:val="67D2662F"/>
    <w:rsid w:val="67D359C9"/>
    <w:rsid w:val="68042537"/>
    <w:rsid w:val="68734EE5"/>
    <w:rsid w:val="689F0032"/>
    <w:rsid w:val="68D8070C"/>
    <w:rsid w:val="68FE36DD"/>
    <w:rsid w:val="693B4137"/>
    <w:rsid w:val="694E60FC"/>
    <w:rsid w:val="69643C1A"/>
    <w:rsid w:val="69825989"/>
    <w:rsid w:val="6997780F"/>
    <w:rsid w:val="69A43B52"/>
    <w:rsid w:val="69B032D0"/>
    <w:rsid w:val="69D31390"/>
    <w:rsid w:val="6A187633"/>
    <w:rsid w:val="6A256904"/>
    <w:rsid w:val="6A274783"/>
    <w:rsid w:val="6A503D6D"/>
    <w:rsid w:val="6AF1386A"/>
    <w:rsid w:val="6B376C47"/>
    <w:rsid w:val="6B581C23"/>
    <w:rsid w:val="6B610780"/>
    <w:rsid w:val="6B656832"/>
    <w:rsid w:val="6B767770"/>
    <w:rsid w:val="6B7A14A4"/>
    <w:rsid w:val="6B99520C"/>
    <w:rsid w:val="6C675CE6"/>
    <w:rsid w:val="6C684DF2"/>
    <w:rsid w:val="6C6F66D5"/>
    <w:rsid w:val="6CB25212"/>
    <w:rsid w:val="6D2F7BD6"/>
    <w:rsid w:val="6D34343E"/>
    <w:rsid w:val="6D38732A"/>
    <w:rsid w:val="6D46082E"/>
    <w:rsid w:val="6D4D2752"/>
    <w:rsid w:val="6D4F4321"/>
    <w:rsid w:val="6D660A31"/>
    <w:rsid w:val="6D8C327A"/>
    <w:rsid w:val="6DA0000F"/>
    <w:rsid w:val="6DA73884"/>
    <w:rsid w:val="6DB907EC"/>
    <w:rsid w:val="6DC24EEE"/>
    <w:rsid w:val="6DF41B82"/>
    <w:rsid w:val="6DFF7360"/>
    <w:rsid w:val="6E4F6D17"/>
    <w:rsid w:val="6E7A5F73"/>
    <w:rsid w:val="6EA60E07"/>
    <w:rsid w:val="6EE90F9D"/>
    <w:rsid w:val="6F027A5F"/>
    <w:rsid w:val="6F222448"/>
    <w:rsid w:val="6F222E51"/>
    <w:rsid w:val="6F406C3A"/>
    <w:rsid w:val="6F472C87"/>
    <w:rsid w:val="6F8A0BAA"/>
    <w:rsid w:val="6FC86526"/>
    <w:rsid w:val="6FD74228"/>
    <w:rsid w:val="7021106F"/>
    <w:rsid w:val="70770D14"/>
    <w:rsid w:val="708B25F8"/>
    <w:rsid w:val="708C3591"/>
    <w:rsid w:val="709F1144"/>
    <w:rsid w:val="70D87174"/>
    <w:rsid w:val="710B6BAC"/>
    <w:rsid w:val="715C790F"/>
    <w:rsid w:val="71633091"/>
    <w:rsid w:val="72921A8C"/>
    <w:rsid w:val="72EE51E1"/>
    <w:rsid w:val="73081CA5"/>
    <w:rsid w:val="73DB31C0"/>
    <w:rsid w:val="74201F7D"/>
    <w:rsid w:val="7487762D"/>
    <w:rsid w:val="74C33AA4"/>
    <w:rsid w:val="74D765DE"/>
    <w:rsid w:val="74EC1138"/>
    <w:rsid w:val="75210D7A"/>
    <w:rsid w:val="75324707"/>
    <w:rsid w:val="75385498"/>
    <w:rsid w:val="755A0A44"/>
    <w:rsid w:val="759E127A"/>
    <w:rsid w:val="75CC464E"/>
    <w:rsid w:val="75F37776"/>
    <w:rsid w:val="765544B9"/>
    <w:rsid w:val="769C6541"/>
    <w:rsid w:val="76B642A7"/>
    <w:rsid w:val="76BC207F"/>
    <w:rsid w:val="76EB4904"/>
    <w:rsid w:val="76EE4235"/>
    <w:rsid w:val="772B137B"/>
    <w:rsid w:val="77452BA0"/>
    <w:rsid w:val="77645DCD"/>
    <w:rsid w:val="777378F5"/>
    <w:rsid w:val="777A2D3C"/>
    <w:rsid w:val="779F2373"/>
    <w:rsid w:val="788903EB"/>
    <w:rsid w:val="79074B81"/>
    <w:rsid w:val="790C34C1"/>
    <w:rsid w:val="790F630F"/>
    <w:rsid w:val="794F0939"/>
    <w:rsid w:val="79750C34"/>
    <w:rsid w:val="798844C4"/>
    <w:rsid w:val="79975481"/>
    <w:rsid w:val="79AF0FCA"/>
    <w:rsid w:val="79F01E68"/>
    <w:rsid w:val="79FF304F"/>
    <w:rsid w:val="7A807CC3"/>
    <w:rsid w:val="7AAC3346"/>
    <w:rsid w:val="7AF9279C"/>
    <w:rsid w:val="7BD12F88"/>
    <w:rsid w:val="7C1203C8"/>
    <w:rsid w:val="7CC51958"/>
    <w:rsid w:val="7CD53DF9"/>
    <w:rsid w:val="7D00333D"/>
    <w:rsid w:val="7D097C86"/>
    <w:rsid w:val="7D1C7A4B"/>
    <w:rsid w:val="7D292004"/>
    <w:rsid w:val="7D3D52E6"/>
    <w:rsid w:val="7D545B04"/>
    <w:rsid w:val="7DA02DDA"/>
    <w:rsid w:val="7E003312"/>
    <w:rsid w:val="7E2936C3"/>
    <w:rsid w:val="7E2C729D"/>
    <w:rsid w:val="7E3F60E7"/>
    <w:rsid w:val="7E422725"/>
    <w:rsid w:val="7E6411B9"/>
    <w:rsid w:val="7E6D0C5D"/>
    <w:rsid w:val="7E7F0292"/>
    <w:rsid w:val="7FA53D28"/>
    <w:rsid w:val="7FC93EBA"/>
    <w:rsid w:val="7FED4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qFormat="1" w:uiPriority="39" w:semiHidden="0"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21"/>
      <w:lang w:val="en-US" w:eastAsia="zh-CN" w:bidi="ar-SA"/>
    </w:rPr>
  </w:style>
  <w:style w:type="paragraph" w:styleId="2">
    <w:name w:val="heading 1"/>
    <w:basedOn w:val="1"/>
    <w:next w:val="1"/>
    <w:link w:val="63"/>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65"/>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70"/>
    <w:qFormat/>
    <w:uiPriority w:val="0"/>
    <w:pPr>
      <w:keepNext/>
      <w:keepLines/>
      <w:spacing w:before="280" w:after="290" w:line="376" w:lineRule="auto"/>
      <w:outlineLvl w:val="3"/>
    </w:pPr>
    <w:rPr>
      <w:b/>
      <w:bCs/>
      <w:sz w:val="28"/>
      <w:szCs w:val="28"/>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ascii="Calibri" w:hAnsi="Calibri" w:cs="Calibri"/>
      <w:sz w:val="18"/>
      <w:szCs w:val="18"/>
    </w:rPr>
  </w:style>
  <w:style w:type="paragraph" w:styleId="7">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link w:val="62"/>
    <w:qFormat/>
    <w:uiPriority w:val="0"/>
    <w:pPr>
      <w:jc w:val="left"/>
    </w:pPr>
    <w:rPr>
      <w:rFonts w:ascii="Arial" w:hAnsi="Arial" w:eastAsia="黑体" w:cs="Arial"/>
    </w:rPr>
  </w:style>
  <w:style w:type="paragraph" w:styleId="10">
    <w:name w:val="Body Text"/>
    <w:basedOn w:val="1"/>
    <w:next w:val="11"/>
    <w:qFormat/>
    <w:uiPriority w:val="0"/>
    <w:pPr>
      <w:spacing w:after="120"/>
    </w:pPr>
    <w:rPr>
      <w:rFonts w:ascii="@微软简标宋" w:hAnsi="@微软简标宋" w:eastAsia="@微软简标宋" w:cs="@微软简标宋"/>
      <w:szCs w:val="24"/>
      <w:lang w:val="zh-CN"/>
    </w:rPr>
  </w:style>
  <w:style w:type="paragraph" w:customStyle="1" w:styleId="11">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12">
    <w:name w:val="Body Text Indent"/>
    <w:basedOn w:val="1"/>
    <w:qFormat/>
    <w:uiPriority w:val="0"/>
    <w:pPr>
      <w:spacing w:after="120"/>
      <w:ind w:left="420" w:leftChars="200"/>
    </w:pPr>
  </w:style>
  <w:style w:type="paragraph" w:styleId="13">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4">
    <w:name w:val="Plain Text"/>
    <w:basedOn w:val="1"/>
    <w:link w:val="52"/>
    <w:qFormat/>
    <w:uiPriority w:val="99"/>
    <w:rPr>
      <w:rFonts w:ascii="宋体" w:hAnsi="Courier New" w:eastAsiaTheme="minorEastAsia" w:cstheme="minorBidi"/>
      <w:szCs w:val="22"/>
    </w:rPr>
  </w:style>
  <w:style w:type="paragraph" w:styleId="15">
    <w:name w:val="Date"/>
    <w:basedOn w:val="1"/>
    <w:next w:val="1"/>
    <w:link w:val="59"/>
    <w:qFormat/>
    <w:uiPriority w:val="0"/>
    <w:rPr>
      <w:rFonts w:ascii="Arial" w:hAnsi="Arial" w:eastAsia="宋体" w:cs="Arial"/>
      <w:b/>
      <w:sz w:val="28"/>
    </w:rPr>
  </w:style>
  <w:style w:type="paragraph" w:styleId="16">
    <w:name w:val="Balloon Text"/>
    <w:basedOn w:val="1"/>
    <w:link w:val="46"/>
    <w:semiHidden/>
    <w:unhideWhenUsed/>
    <w:qFormat/>
    <w:uiPriority w:val="99"/>
    <w:rPr>
      <w:sz w:val="18"/>
      <w:szCs w:val="18"/>
    </w:rPr>
  </w:style>
  <w:style w:type="paragraph" w:styleId="17">
    <w:name w:val="footer"/>
    <w:basedOn w:val="1"/>
    <w:link w:val="51"/>
    <w:unhideWhenUsed/>
    <w:qFormat/>
    <w:uiPriority w:val="99"/>
    <w:pPr>
      <w:tabs>
        <w:tab w:val="center" w:pos="4153"/>
        <w:tab w:val="right" w:pos="8306"/>
      </w:tabs>
      <w:snapToGrid w:val="0"/>
      <w:jc w:val="left"/>
    </w:pPr>
    <w:rPr>
      <w:sz w:val="18"/>
      <w:szCs w:val="18"/>
    </w:rPr>
  </w:style>
  <w:style w:type="paragraph" w:styleId="18">
    <w:name w:val="envelope return"/>
    <w:basedOn w:val="1"/>
    <w:next w:val="6"/>
    <w:qFormat/>
    <w:uiPriority w:val="0"/>
    <w:pPr>
      <w:snapToGrid w:val="0"/>
    </w:pPr>
    <w:rPr>
      <w:rFonts w:ascii="Arial" w:hAnsi="Arial"/>
    </w:rPr>
  </w:style>
  <w:style w:type="paragraph" w:styleId="19">
    <w:name w:val="header"/>
    <w:basedOn w:val="1"/>
    <w:link w:val="50"/>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21">
    <w:name w:val="List"/>
    <w:basedOn w:val="1"/>
    <w:qFormat/>
    <w:uiPriority w:val="0"/>
    <w:pPr>
      <w:ind w:left="200" w:hanging="200" w:hangingChars="200"/>
    </w:pPr>
    <w:rPr>
      <w:rFonts w:ascii="Calibri" w:hAnsi="Calibri"/>
      <w:szCs w:val="22"/>
    </w:rPr>
  </w:style>
  <w:style w:type="paragraph" w:styleId="22">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23">
    <w:name w:val="Normal (Web)"/>
    <w:basedOn w:val="1"/>
    <w:next w:val="1"/>
    <w:qFormat/>
    <w:uiPriority w:val="0"/>
    <w:pPr>
      <w:spacing w:before="100" w:beforeAutospacing="1" w:after="100" w:afterAutospacing="1"/>
      <w:jc w:val="left"/>
    </w:pPr>
    <w:rPr>
      <w:rFonts w:cs="Times New Roman"/>
      <w:kern w:val="0"/>
      <w:sz w:val="24"/>
    </w:rPr>
  </w:style>
  <w:style w:type="paragraph" w:styleId="24">
    <w:name w:val="index 1"/>
    <w:basedOn w:val="1"/>
    <w:next w:val="1"/>
    <w:qFormat/>
    <w:uiPriority w:val="0"/>
    <w:pPr>
      <w:jc w:val="center"/>
    </w:pPr>
    <w:rPr>
      <w:rFonts w:ascii="Arial" w:hAnsi="Arial" w:eastAsia="Arial" w:cs="Arial"/>
      <w:b/>
      <w:bCs/>
      <w:sz w:val="28"/>
    </w:rPr>
  </w:style>
  <w:style w:type="paragraph" w:styleId="25">
    <w:name w:val="annotation subject"/>
    <w:basedOn w:val="9"/>
    <w:next w:val="9"/>
    <w:link w:val="73"/>
    <w:semiHidden/>
    <w:unhideWhenUsed/>
    <w:qFormat/>
    <w:uiPriority w:val="99"/>
    <w:rPr>
      <w:rFonts w:ascii="@仿宋_GB2312" w:hAnsi="@仿宋_GB2312" w:eastAsia="@仿宋_GB2312" w:cs="@仿宋_GB2312"/>
      <w:b/>
      <w:bCs/>
    </w:rPr>
  </w:style>
  <w:style w:type="paragraph" w:styleId="26">
    <w:name w:val="Body Text First Indent"/>
    <w:basedOn w:val="10"/>
    <w:unhideWhenUsed/>
    <w:qFormat/>
    <w:uiPriority w:val="99"/>
    <w:pPr>
      <w:ind w:firstLine="420" w:firstLineChars="100"/>
    </w:pPr>
  </w:style>
  <w:style w:type="paragraph" w:styleId="27">
    <w:name w:val="Body Text First Indent 2"/>
    <w:basedOn w:val="12"/>
    <w:qFormat/>
    <w:uiPriority w:val="0"/>
    <w:pPr>
      <w:ind w:firstLine="420" w:firstLineChars="200"/>
    </w:pPr>
  </w:style>
  <w:style w:type="table" w:styleId="29">
    <w:name w:val="Table Grid"/>
    <w:basedOn w:val="2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0"/>
    <w:rPr>
      <w:b/>
      <w:bCs/>
    </w:rPr>
  </w:style>
  <w:style w:type="character" w:styleId="32">
    <w:name w:val="FollowedHyperlink"/>
    <w:basedOn w:val="30"/>
    <w:semiHidden/>
    <w:unhideWhenUsed/>
    <w:qFormat/>
    <w:uiPriority w:val="99"/>
    <w:rPr>
      <w:color w:val="5C5C5C"/>
      <w:u w:val="none"/>
    </w:rPr>
  </w:style>
  <w:style w:type="character" w:styleId="33">
    <w:name w:val="Emphasis"/>
    <w:basedOn w:val="30"/>
    <w:qFormat/>
    <w:uiPriority w:val="20"/>
    <w:rPr>
      <w:b/>
      <w:bCs/>
    </w:rPr>
  </w:style>
  <w:style w:type="character" w:styleId="34">
    <w:name w:val="HTML Definition"/>
    <w:basedOn w:val="30"/>
    <w:semiHidden/>
    <w:unhideWhenUsed/>
    <w:qFormat/>
    <w:uiPriority w:val="99"/>
  </w:style>
  <w:style w:type="character" w:styleId="35">
    <w:name w:val="HTML Typewriter"/>
    <w:basedOn w:val="30"/>
    <w:semiHidden/>
    <w:unhideWhenUsed/>
    <w:qFormat/>
    <w:uiPriority w:val="99"/>
    <w:rPr>
      <w:rFonts w:hint="default" w:ascii="monospace" w:hAnsi="monospace" w:eastAsia="monospace" w:cs="monospace"/>
      <w:sz w:val="20"/>
    </w:rPr>
  </w:style>
  <w:style w:type="character" w:styleId="36">
    <w:name w:val="HTML Acronym"/>
    <w:basedOn w:val="30"/>
    <w:semiHidden/>
    <w:unhideWhenUsed/>
    <w:qFormat/>
    <w:uiPriority w:val="99"/>
  </w:style>
  <w:style w:type="character" w:styleId="37">
    <w:name w:val="HTML Variable"/>
    <w:basedOn w:val="30"/>
    <w:semiHidden/>
    <w:unhideWhenUsed/>
    <w:qFormat/>
    <w:uiPriority w:val="99"/>
  </w:style>
  <w:style w:type="character" w:styleId="38">
    <w:name w:val="Hyperlink"/>
    <w:basedOn w:val="30"/>
    <w:unhideWhenUsed/>
    <w:qFormat/>
    <w:uiPriority w:val="99"/>
    <w:rPr>
      <w:color w:val="0000FF" w:themeColor="hyperlink"/>
      <w:u w:val="single"/>
      <w14:textFill>
        <w14:solidFill>
          <w14:schemeClr w14:val="hlink"/>
        </w14:solidFill>
      </w14:textFill>
    </w:rPr>
  </w:style>
  <w:style w:type="character" w:styleId="39">
    <w:name w:val="HTML Code"/>
    <w:basedOn w:val="30"/>
    <w:semiHidden/>
    <w:unhideWhenUsed/>
    <w:qFormat/>
    <w:uiPriority w:val="99"/>
    <w:rPr>
      <w:rFonts w:ascii="monospace" w:hAnsi="monospace" w:eastAsia="monospace" w:cs="monospace"/>
      <w:sz w:val="20"/>
    </w:rPr>
  </w:style>
  <w:style w:type="character" w:styleId="40">
    <w:name w:val="annotation reference"/>
    <w:basedOn w:val="30"/>
    <w:semiHidden/>
    <w:unhideWhenUsed/>
    <w:qFormat/>
    <w:uiPriority w:val="99"/>
    <w:rPr>
      <w:sz w:val="21"/>
      <w:szCs w:val="21"/>
    </w:rPr>
  </w:style>
  <w:style w:type="character" w:styleId="41">
    <w:name w:val="HTML Cite"/>
    <w:basedOn w:val="30"/>
    <w:semiHidden/>
    <w:unhideWhenUsed/>
    <w:qFormat/>
    <w:uiPriority w:val="99"/>
    <w:rPr>
      <w:color w:val="333333"/>
      <w:shd w:val="clear" w:color="auto" w:fill="FFFFFF"/>
    </w:rPr>
  </w:style>
  <w:style w:type="character" w:styleId="42">
    <w:name w:val="HTML Keyboard"/>
    <w:basedOn w:val="30"/>
    <w:semiHidden/>
    <w:unhideWhenUsed/>
    <w:qFormat/>
    <w:uiPriority w:val="99"/>
    <w:rPr>
      <w:rFonts w:hint="default" w:ascii="monospace" w:hAnsi="monospace" w:eastAsia="monospace" w:cs="monospace"/>
      <w:sz w:val="20"/>
    </w:rPr>
  </w:style>
  <w:style w:type="character" w:styleId="43">
    <w:name w:val="HTML Sample"/>
    <w:basedOn w:val="30"/>
    <w:semiHidden/>
    <w:unhideWhenUsed/>
    <w:qFormat/>
    <w:uiPriority w:val="99"/>
    <w:rPr>
      <w:rFonts w:hint="default" w:ascii="monospace" w:hAnsi="monospace" w:eastAsia="monospace" w:cs="monospace"/>
    </w:rPr>
  </w:style>
  <w:style w:type="paragraph" w:customStyle="1" w:styleId="44">
    <w:name w:val="样式 10 磅"/>
    <w:qFormat/>
    <w:uiPriority w:val="99"/>
    <w:pPr>
      <w:widowControl w:val="0"/>
      <w:jc w:val="both"/>
    </w:pPr>
    <w:rPr>
      <w:rFonts w:ascii="Calibri" w:hAnsi="Calibri" w:eastAsia="宋体" w:cs="Times New Roman"/>
      <w:kern w:val="2"/>
      <w:sz w:val="21"/>
      <w:szCs w:val="24"/>
      <w:lang w:val="en-US" w:eastAsia="zh-CN" w:bidi="ar-SA"/>
    </w:rPr>
  </w:style>
  <w:style w:type="paragraph" w:customStyle="1" w:styleId="45">
    <w:name w:val="*正文"/>
    <w:basedOn w:val="1"/>
    <w:qFormat/>
    <w:uiPriority w:val="0"/>
    <w:rPr>
      <w:rFonts w:cs="Times New Roman"/>
      <w:szCs w:val="20"/>
    </w:rPr>
  </w:style>
  <w:style w:type="character" w:customStyle="1" w:styleId="46">
    <w:name w:val="批注框文本 字符"/>
    <w:basedOn w:val="30"/>
    <w:link w:val="16"/>
    <w:semiHidden/>
    <w:qFormat/>
    <w:uiPriority w:val="99"/>
    <w:rPr>
      <w:rFonts w:ascii="@仿宋_GB2312" w:hAnsi="@仿宋_GB2312" w:eastAsia="@仿宋_GB2312" w:cs="@仿宋_GB2312"/>
      <w:sz w:val="18"/>
      <w:szCs w:val="18"/>
    </w:rPr>
  </w:style>
  <w:style w:type="paragraph" w:customStyle="1" w:styleId="47">
    <w:name w:val="正文（缩进）"/>
    <w:basedOn w:val="1"/>
    <w:qFormat/>
    <w:uiPriority w:val="0"/>
    <w:pPr>
      <w:widowControl/>
      <w:spacing w:before="156" w:after="156"/>
      <w:ind w:firstLine="480" w:firstLineChars="200"/>
      <w:jc w:val="left"/>
    </w:pPr>
    <w:rPr>
      <w:kern w:val="0"/>
      <w:sz w:val="24"/>
      <w:szCs w:val="24"/>
    </w:rPr>
  </w:style>
  <w:style w:type="paragraph" w:customStyle="1" w:styleId="48">
    <w:name w:val="xl31"/>
    <w:basedOn w:val="1"/>
    <w:qFormat/>
    <w:uiPriority w:val="0"/>
    <w:pPr>
      <w:widowControl/>
      <w:spacing w:before="100" w:beforeAutospacing="1" w:after="100" w:afterAutospacing="1"/>
      <w:jc w:val="center"/>
    </w:pPr>
    <w:rPr>
      <w:b/>
      <w:bCs/>
      <w:kern w:val="0"/>
      <w:sz w:val="28"/>
      <w:szCs w:val="28"/>
    </w:rPr>
  </w:style>
  <w:style w:type="paragraph" w:customStyle="1" w:styleId="49">
    <w:name w:val="D&amp;L"/>
    <w:basedOn w:val="19"/>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50">
    <w:name w:val="页眉 字符"/>
    <w:basedOn w:val="30"/>
    <w:link w:val="19"/>
    <w:qFormat/>
    <w:uiPriority w:val="99"/>
    <w:rPr>
      <w:rFonts w:ascii="@仿宋_GB2312" w:hAnsi="@仿宋_GB2312" w:eastAsia="@仿宋_GB2312" w:cs="@仿宋_GB2312"/>
      <w:sz w:val="18"/>
      <w:szCs w:val="18"/>
    </w:rPr>
  </w:style>
  <w:style w:type="character" w:customStyle="1" w:styleId="51">
    <w:name w:val="页脚 字符"/>
    <w:basedOn w:val="30"/>
    <w:link w:val="17"/>
    <w:qFormat/>
    <w:uiPriority w:val="99"/>
    <w:rPr>
      <w:rFonts w:ascii="@仿宋_GB2312" w:hAnsi="@仿宋_GB2312" w:eastAsia="@仿宋_GB2312" w:cs="@仿宋_GB2312"/>
      <w:sz w:val="18"/>
      <w:szCs w:val="18"/>
    </w:rPr>
  </w:style>
  <w:style w:type="character" w:customStyle="1" w:styleId="52">
    <w:name w:val="纯文本 字符"/>
    <w:link w:val="14"/>
    <w:qFormat/>
    <w:uiPriority w:val="0"/>
    <w:rPr>
      <w:rFonts w:ascii="宋体" w:hAnsi="Courier New"/>
    </w:rPr>
  </w:style>
  <w:style w:type="character" w:customStyle="1" w:styleId="53">
    <w:name w:val="纯文本 字符1"/>
    <w:basedOn w:val="30"/>
    <w:semiHidden/>
    <w:qFormat/>
    <w:uiPriority w:val="99"/>
    <w:rPr>
      <w:rFonts w:hAnsi="Courier New" w:cs="Courier New" w:asciiTheme="minorEastAsia"/>
      <w:szCs w:val="20"/>
    </w:rPr>
  </w:style>
  <w:style w:type="character" w:customStyle="1" w:styleId="54">
    <w:name w:val="未处理的提及1"/>
    <w:basedOn w:val="30"/>
    <w:semiHidden/>
    <w:unhideWhenUsed/>
    <w:qFormat/>
    <w:uiPriority w:val="99"/>
    <w:rPr>
      <w:color w:val="605E5C"/>
      <w:shd w:val="clear" w:color="auto" w:fill="E1DFDD"/>
    </w:rPr>
  </w:style>
  <w:style w:type="paragraph" w:styleId="55">
    <w:name w:val="List Paragraph"/>
    <w:basedOn w:val="1"/>
    <w:qFormat/>
    <w:uiPriority w:val="34"/>
    <w:pPr>
      <w:ind w:firstLine="420" w:firstLineChars="200"/>
    </w:pPr>
  </w:style>
  <w:style w:type="paragraph" w:customStyle="1" w:styleId="56">
    <w:name w:val="Char Char Char Char Char Char Char1 Char"/>
    <w:basedOn w:val="1"/>
    <w:qFormat/>
    <w:uiPriority w:val="0"/>
    <w:rPr>
      <w:rFonts w:ascii="Arial" w:hAnsi="Arial" w:eastAsia="宋体" w:cs="Arial"/>
      <w:sz w:val="24"/>
    </w:rPr>
  </w:style>
  <w:style w:type="table" w:customStyle="1" w:styleId="57">
    <w:name w:val="网格表 1 浅色1"/>
    <w:basedOn w:val="2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58">
    <w:name w:val="日期 字符"/>
    <w:basedOn w:val="30"/>
    <w:semiHidden/>
    <w:qFormat/>
    <w:uiPriority w:val="99"/>
    <w:rPr>
      <w:rFonts w:ascii="@仿宋_GB2312" w:hAnsi="@仿宋_GB2312" w:eastAsia="@仿宋_GB2312" w:cs="@仿宋_GB2312"/>
      <w:szCs w:val="20"/>
    </w:rPr>
  </w:style>
  <w:style w:type="character" w:customStyle="1" w:styleId="59">
    <w:name w:val="日期 字符1"/>
    <w:link w:val="15"/>
    <w:qFormat/>
    <w:uiPriority w:val="0"/>
    <w:rPr>
      <w:rFonts w:ascii="Arial" w:hAnsi="Arial" w:eastAsia="宋体" w:cs="Arial"/>
      <w:b/>
      <w:sz w:val="28"/>
      <w:szCs w:val="20"/>
    </w:rPr>
  </w:style>
  <w:style w:type="character" w:customStyle="1" w:styleId="60">
    <w:name w:val="纯文本 Char1"/>
    <w:qFormat/>
    <w:locked/>
    <w:uiPriority w:val="99"/>
    <w:rPr>
      <w:rFonts w:ascii="Arial" w:hAnsi="Arial" w:eastAsia="Arial"/>
      <w:kern w:val="2"/>
      <w:sz w:val="21"/>
      <w:lang w:val="en-US" w:eastAsia="zh-CN" w:bidi="ar-SA"/>
    </w:rPr>
  </w:style>
  <w:style w:type="character" w:customStyle="1" w:styleId="61">
    <w:name w:val="批注文字 Char"/>
    <w:basedOn w:val="30"/>
    <w:semiHidden/>
    <w:qFormat/>
    <w:uiPriority w:val="99"/>
    <w:rPr>
      <w:rFonts w:ascii="@仿宋_GB2312" w:hAnsi="@仿宋_GB2312" w:eastAsia="@仿宋_GB2312" w:cs="@仿宋_GB2312"/>
      <w:szCs w:val="20"/>
    </w:rPr>
  </w:style>
  <w:style w:type="character" w:customStyle="1" w:styleId="62">
    <w:name w:val="批注文字 字符"/>
    <w:link w:val="9"/>
    <w:qFormat/>
    <w:uiPriority w:val="0"/>
    <w:rPr>
      <w:rFonts w:ascii="Arial" w:hAnsi="Arial" w:eastAsia="黑体" w:cs="Arial"/>
      <w:szCs w:val="20"/>
    </w:rPr>
  </w:style>
  <w:style w:type="character" w:customStyle="1" w:styleId="63">
    <w:name w:val="标题 1 字符"/>
    <w:basedOn w:val="30"/>
    <w:link w:val="2"/>
    <w:qFormat/>
    <w:uiPriority w:val="9"/>
    <w:rPr>
      <w:rFonts w:ascii="@仿宋_GB2312" w:hAnsi="@仿宋_GB2312" w:eastAsia="@仿宋_GB2312" w:cs="@仿宋_GB2312"/>
      <w:b/>
      <w:bCs/>
      <w:kern w:val="44"/>
      <w:sz w:val="44"/>
      <w:szCs w:val="44"/>
    </w:rPr>
  </w:style>
  <w:style w:type="paragraph" w:customStyle="1" w:styleId="64">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65">
    <w:name w:val="标题 3 字符"/>
    <w:basedOn w:val="30"/>
    <w:link w:val="4"/>
    <w:semiHidden/>
    <w:qFormat/>
    <w:uiPriority w:val="9"/>
    <w:rPr>
      <w:rFonts w:ascii="@仿宋_GB2312" w:hAnsi="@仿宋_GB2312" w:eastAsia="@仿宋_GB2312" w:cs="@仿宋_GB2312"/>
      <w:b/>
      <w:bCs/>
      <w:sz w:val="32"/>
      <w:szCs w:val="32"/>
    </w:rPr>
  </w:style>
  <w:style w:type="character" w:customStyle="1" w:styleId="66">
    <w:name w:val="fontstyle01"/>
    <w:basedOn w:val="30"/>
    <w:qFormat/>
    <w:uiPriority w:val="0"/>
    <w:rPr>
      <w:rFonts w:hint="eastAsia" w:ascii="宋体" w:hAnsi="宋体" w:eastAsia="宋体"/>
      <w:color w:val="000000"/>
      <w:sz w:val="22"/>
      <w:szCs w:val="22"/>
    </w:rPr>
  </w:style>
  <w:style w:type="character" w:customStyle="1" w:styleId="67">
    <w:name w:val="fontstyle21"/>
    <w:basedOn w:val="30"/>
    <w:qFormat/>
    <w:uiPriority w:val="0"/>
    <w:rPr>
      <w:rFonts w:hint="default" w:ascii="TimesNewRomanPSMT" w:hAnsi="TimesNewRomanPSMT"/>
      <w:color w:val="000000"/>
      <w:sz w:val="22"/>
      <w:szCs w:val="22"/>
    </w:rPr>
  </w:style>
  <w:style w:type="character" w:customStyle="1" w:styleId="68">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69">
    <w:name w:val="标题 4 字符"/>
    <w:basedOn w:val="30"/>
    <w:semiHidden/>
    <w:qFormat/>
    <w:uiPriority w:val="9"/>
    <w:rPr>
      <w:rFonts w:asciiTheme="majorHAnsi" w:hAnsiTheme="majorHAnsi" w:eastAsiaTheme="majorEastAsia" w:cstheme="majorBidi"/>
      <w:b/>
      <w:bCs/>
      <w:sz w:val="28"/>
      <w:szCs w:val="28"/>
    </w:rPr>
  </w:style>
  <w:style w:type="character" w:customStyle="1" w:styleId="70">
    <w:name w:val="标题 4 字符1"/>
    <w:link w:val="5"/>
    <w:qFormat/>
    <w:uiPriority w:val="0"/>
    <w:rPr>
      <w:rFonts w:ascii="@仿宋_GB2312" w:hAnsi="@仿宋_GB2312" w:eastAsia="@仿宋_GB2312" w:cs="@仿宋_GB2312"/>
      <w:b/>
      <w:bCs/>
      <w:sz w:val="28"/>
      <w:szCs w:val="28"/>
    </w:rPr>
  </w:style>
  <w:style w:type="character" w:customStyle="1" w:styleId="71">
    <w:name w:val="标题 4 Char"/>
    <w:qFormat/>
    <w:uiPriority w:val="0"/>
    <w:rPr>
      <w:rFonts w:ascii="Arial" w:hAnsi="Arial" w:eastAsia="Arial"/>
      <w:b/>
      <w:bCs/>
      <w:kern w:val="2"/>
      <w:sz w:val="28"/>
      <w:szCs w:val="28"/>
      <w:lang w:val="en-US" w:eastAsia="zh-CN" w:bidi="ar-SA"/>
    </w:rPr>
  </w:style>
  <w:style w:type="table" w:customStyle="1" w:styleId="72">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3">
    <w:name w:val="批注主题 字符"/>
    <w:basedOn w:val="62"/>
    <w:link w:val="25"/>
    <w:semiHidden/>
    <w:qFormat/>
    <w:uiPriority w:val="99"/>
    <w:rPr>
      <w:rFonts w:ascii="@仿宋_GB2312" w:hAnsi="@仿宋_GB2312" w:eastAsia="@仿宋_GB2312" w:cs="@仿宋_GB2312"/>
      <w:b/>
      <w:bCs/>
      <w:szCs w:val="20"/>
    </w:rPr>
  </w:style>
  <w:style w:type="table" w:customStyle="1" w:styleId="74">
    <w:name w:val="Table Normal"/>
    <w:semiHidden/>
    <w:unhideWhenUsed/>
    <w:qFormat/>
    <w:uiPriority w:val="0"/>
    <w:tblPr>
      <w:tblCellMar>
        <w:top w:w="0" w:type="dxa"/>
        <w:left w:w="0" w:type="dxa"/>
        <w:bottom w:w="0" w:type="dxa"/>
        <w:right w:w="0" w:type="dxa"/>
      </w:tblCellMar>
    </w:tblPr>
  </w:style>
  <w:style w:type="paragraph" w:customStyle="1" w:styleId="75">
    <w:name w:val="Table Text"/>
    <w:basedOn w:val="1"/>
    <w:semiHidden/>
    <w:qFormat/>
    <w:uiPriority w:val="0"/>
    <w:rPr>
      <w:rFonts w:ascii="Arial" w:hAnsi="Arial" w:eastAsia="Arial" w:cs="Arial"/>
      <w:szCs w:val="21"/>
      <w:lang w:eastAsia="en-US"/>
    </w:rPr>
  </w:style>
  <w:style w:type="paragraph" w:customStyle="1" w:styleId="7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77">
    <w:name w:val="列出段落1"/>
    <w:basedOn w:val="1"/>
    <w:qFormat/>
    <w:uiPriority w:val="0"/>
    <w:pPr>
      <w:ind w:firstLine="420" w:firstLineChars="200"/>
    </w:pPr>
    <w:rPr>
      <w:szCs w:val="21"/>
    </w:rPr>
  </w:style>
  <w:style w:type="character" w:customStyle="1" w:styleId="78">
    <w:name w:val="hover"/>
    <w:basedOn w:val="30"/>
    <w:qFormat/>
    <w:uiPriority w:val="0"/>
    <w:rPr>
      <w:color w:val="2590EB"/>
    </w:rPr>
  </w:style>
  <w:style w:type="character" w:customStyle="1" w:styleId="79">
    <w:name w:val="hover1"/>
    <w:basedOn w:val="30"/>
    <w:qFormat/>
    <w:uiPriority w:val="0"/>
    <w:rPr>
      <w:color w:val="2590EB"/>
    </w:rPr>
  </w:style>
  <w:style w:type="character" w:customStyle="1" w:styleId="80">
    <w:name w:val="hover2"/>
    <w:basedOn w:val="30"/>
    <w:qFormat/>
    <w:uiPriority w:val="0"/>
  </w:style>
  <w:style w:type="character" w:customStyle="1" w:styleId="81">
    <w:name w:val="hover3"/>
    <w:basedOn w:val="30"/>
    <w:qFormat/>
    <w:uiPriority w:val="0"/>
    <w:rPr>
      <w:color w:val="2590EB"/>
      <w:shd w:val="clear" w:color="auto" w:fill="E9F4FD"/>
    </w:rPr>
  </w:style>
  <w:style w:type="character" w:customStyle="1" w:styleId="82">
    <w:name w:val="hover4"/>
    <w:basedOn w:val="30"/>
    <w:qFormat/>
    <w:uiPriority w:val="0"/>
  </w:style>
  <w:style w:type="paragraph" w:customStyle="1" w:styleId="83">
    <w:name w:val="Other|1"/>
    <w:basedOn w:val="1"/>
    <w:qFormat/>
    <w:uiPriority w:val="0"/>
    <w:pPr>
      <w:spacing w:line="223" w:lineRule="exact"/>
    </w:pPr>
    <w:rPr>
      <w:rFonts w:ascii="宋体" w:hAnsi="宋体" w:cs="宋体"/>
      <w:sz w:val="17"/>
      <w:szCs w:val="17"/>
      <w:lang w:val="zh-TW" w:eastAsia="zh-TW" w:bidi="zh-TW"/>
    </w:rPr>
  </w:style>
  <w:style w:type="paragraph" w:customStyle="1" w:styleId="84">
    <w:name w:val="Table Paragraph"/>
    <w:basedOn w:val="1"/>
    <w:qFormat/>
    <w:uiPriority w:val="0"/>
  </w:style>
  <w:style w:type="character" w:customStyle="1" w:styleId="85">
    <w:name w:val="font61"/>
    <w:basedOn w:val="30"/>
    <w:qFormat/>
    <w:uiPriority w:val="0"/>
    <w:rPr>
      <w:rFonts w:hint="eastAsia" w:ascii="黑体" w:hAnsi="宋体" w:eastAsia="黑体" w:cs="黑体"/>
      <w:color w:val="000000"/>
      <w:sz w:val="24"/>
      <w:szCs w:val="24"/>
      <w:u w:val="none"/>
    </w:rPr>
  </w:style>
  <w:style w:type="character" w:customStyle="1" w:styleId="86">
    <w:name w:val="font51"/>
    <w:basedOn w:val="30"/>
    <w:qFormat/>
    <w:uiPriority w:val="0"/>
    <w:rPr>
      <w:rFonts w:hint="eastAsia" w:ascii="黑体" w:hAnsi="宋体" w:eastAsia="黑体" w:cs="黑体"/>
      <w:color w:val="000000"/>
      <w:sz w:val="24"/>
      <w:szCs w:val="24"/>
      <w:u w:val="none"/>
    </w:rPr>
  </w:style>
  <w:style w:type="character" w:customStyle="1" w:styleId="87">
    <w:name w:val="font71"/>
    <w:basedOn w:val="30"/>
    <w:qFormat/>
    <w:uiPriority w:val="0"/>
    <w:rPr>
      <w:rFonts w:hint="eastAsia" w:ascii="黑体" w:hAnsi="宋体" w:eastAsia="黑体" w:cs="黑体"/>
      <w:color w:val="000000"/>
      <w:sz w:val="24"/>
      <w:szCs w:val="24"/>
      <w:u w:val="none"/>
    </w:rPr>
  </w:style>
  <w:style w:type="character" w:customStyle="1" w:styleId="88">
    <w:name w:val="font81"/>
    <w:basedOn w:val="30"/>
    <w:qFormat/>
    <w:uiPriority w:val="0"/>
    <w:rPr>
      <w:rFonts w:hint="eastAsia" w:ascii="黑体" w:hAnsi="宋体" w:eastAsia="黑体" w:cs="黑体"/>
      <w:color w:val="FF6600"/>
      <w:sz w:val="28"/>
      <w:szCs w:val="28"/>
      <w:u w:val="none"/>
    </w:rPr>
  </w:style>
  <w:style w:type="character" w:customStyle="1" w:styleId="89">
    <w:name w:val="font91"/>
    <w:basedOn w:val="30"/>
    <w:qFormat/>
    <w:uiPriority w:val="0"/>
    <w:rPr>
      <w:rFonts w:hint="eastAsia" w:ascii="黑体" w:hAnsi="宋体" w:eastAsia="黑体" w:cs="黑体"/>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9AC3C6-84CB-4D2E-AFC0-C8AD46F7C0BA}">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75</Pages>
  <Words>39336</Words>
  <Characters>41505</Characters>
  <Lines>410</Lines>
  <Paragraphs>115</Paragraphs>
  <TotalTime>69</TotalTime>
  <ScaleCrop>false</ScaleCrop>
  <LinksUpToDate>false</LinksUpToDate>
  <CharactersWithSpaces>45036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小爽子</cp:lastModifiedBy>
  <cp:lastPrinted>2019-12-07T15:18:00Z</cp:lastPrinted>
  <dcterms:modified xsi:type="dcterms:W3CDTF">2025-04-27T02:36:30Z</dcterms:modified>
  <cp:revision>389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CA10BAED42C346D3B2CD69547B7CE327_13</vt:lpwstr>
  </property>
  <property fmtid="{D5CDD505-2E9C-101B-9397-08002B2CF9AE}" pid="4" name="KSOTemplateDocerSaveRecord">
    <vt:lpwstr>eyJoZGlkIjoiYWNlMjYxN2RiN2VhMTMwZGIzZGNmYWYyZTA1OTk2NGQiLCJ1c2VySWQiOiI1NTUxOTAwMTQifQ==</vt:lpwstr>
  </property>
</Properties>
</file>