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版本号：N513230202500006020250416001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大渡河流域生物多样性保护与水源涵养生态修复项目（壤塘部分）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N5132302025000060</w:t>
      </w:r>
    </w:p>
    <w:p>
      <w:pPr>
        <w:pStyle w:val="null3"/>
        <w:jc w:val="center"/>
        <w:outlineLvl w:val="2"/>
      </w:pPr>
      <w:r>
        <w:rPr>
          <w:rFonts w:ascii="仿宋_GB2312" w:hAnsi="仿宋_GB2312" w:cs="仿宋_GB2312" w:eastAsia="仿宋_GB2312"/>
          <w:sz w:val="28"/>
          <w:b/>
        </w:rPr>
        <w:t>壤塘县林业和草原局</w:t>
      </w:r>
    </w:p>
    <w:p>
      <w:pPr>
        <w:pStyle w:val="null3"/>
        <w:jc w:val="center"/>
        <w:outlineLvl w:val="2"/>
      </w:pPr>
      <w:r>
        <w:rPr>
          <w:rFonts w:ascii="仿宋_GB2312" w:hAnsi="仿宋_GB2312" w:cs="仿宋_GB2312" w:eastAsia="仿宋_GB2312"/>
          <w:sz w:val="28"/>
          <w:b/>
        </w:rPr>
        <w:t>中科标禾工程项目管理有限公司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中科标禾工程项目管理有限公司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壤塘县林业和草原局</w:t>
      </w:r>
      <w:r>
        <w:rPr>
          <w:rFonts w:ascii="仿宋_GB2312" w:hAnsi="仿宋_GB2312" w:cs="仿宋_GB2312" w:eastAsia="仿宋_GB2312"/>
        </w:rPr>
        <w:t xml:space="preserve"> 委托，拟对 </w:t>
      </w:r>
      <w:r>
        <w:rPr>
          <w:rFonts w:ascii="仿宋_GB2312" w:hAnsi="仿宋_GB2312" w:cs="仿宋_GB2312" w:eastAsia="仿宋_GB2312"/>
        </w:rPr>
        <w:t>大渡河流域生物多样性保护与水源涵养生态修复项目（壤塘部分）</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阿坝藏族羌族自治州壤塘县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N5132302025000060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大渡河流域生物多样性保护与水源涵养生态修复项目（壤塘部分）</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项目名称：大渡河流域生物多样性保护与水源涵养生态修复项目(壤塘部分) 项目地点：壤塘县吾伊乡、南木达镇、岗木达镇、宗科乡、茸木达乡、上杜柯乡。 项目规模及主要内容：封山育林 2.6 万亩、退化林修复 2.65 万亩，人工种草 4.4 万亩、草原改良 6.3 万亩，新建小型水利水保设施 25 处。</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1、本项目不接受联合体磋商（描述：本项目不接受联合体磋商（可不提供证明材料，根据响应文件认定)。）</w:t>
      </w:r>
    </w:p>
    <w:p>
      <w:pPr>
        <w:pStyle w:val="null3"/>
        <w:jc w:val="left"/>
      </w:pPr>
      <w:r>
        <w:rPr>
          <w:rFonts w:ascii="仿宋_GB2312" w:hAnsi="仿宋_GB2312" w:cs="仿宋_GB2312" w:eastAsia="仿宋_GB2312"/>
        </w:rPr>
        <w:t>2、供应商应具备林业调查规划设计乙级及以上资质（描述：供应商应具备林业调查规划设计乙级及以上资质（提供有效的证书扫描件并加盖供应商公章）。）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壤塘县林业和草原局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壤塘县岗木达镇罗吾壤中街182号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牟老师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0837-2378298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中科标禾工程项目管理有限公司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四川省成都市锦江区四川省成都市锦江区锦东路668号1栋14楼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610065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028-86618391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采购包1：623,800.00元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按照成交金额的10%收取，合同签订前按时缴纳。</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代理服务费收费标准：依照成本加合理利润的原则，代理费为固定价格：10000元整。</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壤塘县林业和草原局</w:t>
      </w:r>
      <w:r>
        <w:rPr>
          <w:rFonts w:ascii="仿宋_GB2312" w:hAnsi="仿宋_GB2312" w:cs="仿宋_GB2312" w:eastAsia="仿宋_GB2312"/>
        </w:rPr>
        <w:t xml:space="preserve"> 和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壤塘县林业和草原局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中科标禾工程项目管理有限公司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项目管护期满后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由州林业和草原局统一组织项目竣工验收。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按照项目实施方案和批复的技术要求进行验收。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按照磋商文件要求及成交供应商的响应文件执行。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达到阿坝州林业和草原局验收要求。</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壤塘县林业和草原局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联系人：牟老师</w:t>
      </w:r>
    </w:p>
    <w:p>
      <w:pPr>
        <w:pStyle w:val="null3"/>
        <w:jc w:val="left"/>
      </w:pPr>
      <w:r>
        <w:rPr>
          <w:rFonts w:ascii="仿宋_GB2312" w:hAnsi="仿宋_GB2312" w:cs="仿宋_GB2312" w:eastAsia="仿宋_GB2312"/>
        </w:rPr>
        <w:t>联系电话：0837-2378298</w:t>
      </w:r>
    </w:p>
    <w:p>
      <w:pPr>
        <w:pStyle w:val="null3"/>
        <w:jc w:val="left"/>
      </w:pPr>
      <w:r>
        <w:rPr>
          <w:rFonts w:ascii="仿宋_GB2312" w:hAnsi="仿宋_GB2312" w:cs="仿宋_GB2312" w:eastAsia="仿宋_GB2312"/>
        </w:rPr>
        <w:t>地址：壤塘县罗吾塘中街182号</w:t>
      </w:r>
    </w:p>
    <w:p>
      <w:pPr>
        <w:pStyle w:val="null3"/>
        <w:jc w:val="left"/>
      </w:pPr>
      <w:r>
        <w:rPr>
          <w:rFonts w:ascii="仿宋_GB2312" w:hAnsi="仿宋_GB2312" w:cs="仿宋_GB2312" w:eastAsia="仿宋_GB2312"/>
        </w:rPr>
        <w:t>邮编：624300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联系人：程老师</w:t>
      </w:r>
    </w:p>
    <w:p>
      <w:pPr>
        <w:pStyle w:val="null3"/>
        <w:jc w:val="left"/>
      </w:pPr>
      <w:r>
        <w:rPr>
          <w:rFonts w:ascii="仿宋_GB2312" w:hAnsi="仿宋_GB2312" w:cs="仿宋_GB2312" w:eastAsia="仿宋_GB2312"/>
        </w:rPr>
        <w:t>联系电话：028-86618391</w:t>
      </w:r>
    </w:p>
    <w:p>
      <w:pPr>
        <w:pStyle w:val="null3"/>
        <w:jc w:val="left"/>
      </w:pPr>
      <w:r>
        <w:rPr>
          <w:rFonts w:ascii="仿宋_GB2312" w:hAnsi="仿宋_GB2312" w:cs="仿宋_GB2312" w:eastAsia="仿宋_GB2312"/>
        </w:rPr>
        <w:t>地址：四川省成都市锦江区锦东路668号国嘉新视界广场14楼</w:t>
      </w:r>
    </w:p>
    <w:p>
      <w:pPr>
        <w:pStyle w:val="null3"/>
        <w:jc w:val="left"/>
      </w:pPr>
      <w:r>
        <w:rPr>
          <w:rFonts w:ascii="仿宋_GB2312" w:hAnsi="仿宋_GB2312" w:cs="仿宋_GB2312" w:eastAsia="仿宋_GB2312"/>
        </w:rPr>
        <w:t>邮编：610065</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623,800.00</w:t>
      </w:r>
    </w:p>
    <w:p>
      <w:pPr>
        <w:pStyle w:val="null3"/>
        <w:jc w:val="left"/>
      </w:pPr>
      <w:r>
        <w:rPr>
          <w:rFonts w:ascii="仿宋_GB2312" w:hAnsi="仿宋_GB2312" w:cs="仿宋_GB2312" w:eastAsia="仿宋_GB2312"/>
        </w:rPr>
        <w:t>采购包最高限价（元）: 623,800.00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C09990000 其他农林牧渔服务</w:t>
            </w:r>
          </w:p>
        </w:tc>
        <w:tc>
          <w:tcPr>
            <w:tcW w:type="dxa" w:w="821"/>
          </w:tcPr>
          <w:p>
            <w:pPr>
              <w:pStyle w:val="null3"/>
              <w:jc w:val="left"/>
            </w:pPr>
            <w:r>
              <w:rPr>
                <w:rFonts w:ascii="仿宋_GB2312" w:hAnsi="仿宋_GB2312" w:cs="仿宋_GB2312" w:eastAsia="仿宋_GB2312"/>
              </w:rPr>
              <w:t>大渡河流域生物多样性保护与水源涵养生态修复项目(壤塘部分)</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623,800.00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大渡河流域生物多样性保护与水源涵养生态修复项目(壤塘部分)</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623,800.00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标的名称：大渡河流域生物多样性保护与水源涵养生态修复项目(壤塘部分)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outlineLvl w:val="2"/>
            </w:pPr>
            <w:r>
              <w:rPr>
                <w:rFonts w:ascii="仿宋_GB2312" w:hAnsi="仿宋_GB2312" w:cs="仿宋_GB2312" w:eastAsia="仿宋_GB2312"/>
                <w:sz w:val="24"/>
                <w:b/>
              </w:rPr>
              <w:t>（一）</w:t>
            </w:r>
            <w:r>
              <w:rPr>
                <w:rFonts w:ascii="仿宋_GB2312" w:hAnsi="仿宋_GB2312" w:cs="仿宋_GB2312" w:eastAsia="仿宋_GB2312"/>
                <w:sz w:val="24"/>
                <w:b/>
              </w:rPr>
              <w:t>样地布设</w:t>
            </w:r>
          </w:p>
          <w:p>
            <w:pPr>
              <w:pStyle w:val="null3"/>
              <w:jc w:val="both"/>
              <w:outlineLvl w:val="3"/>
            </w:pPr>
            <w:r>
              <w:rPr>
                <w:rFonts w:ascii="仿宋_GB2312" w:hAnsi="仿宋_GB2312" w:cs="仿宋_GB2312" w:eastAsia="仿宋_GB2312"/>
                <w:sz w:val="24"/>
                <w:b/>
              </w:rPr>
              <w:t>1、</w:t>
            </w:r>
            <w:r>
              <w:rPr>
                <w:rFonts w:ascii="仿宋_GB2312" w:hAnsi="仿宋_GB2312" w:cs="仿宋_GB2312" w:eastAsia="仿宋_GB2312"/>
                <w:sz w:val="24"/>
                <w:b/>
              </w:rPr>
              <w:t>样地设置</w:t>
            </w:r>
          </w:p>
          <w:p>
            <w:pPr>
              <w:pStyle w:val="null3"/>
              <w:jc w:val="both"/>
              <w:outlineLvl w:val="4"/>
            </w:pPr>
            <w:r>
              <w:rPr>
                <w:rFonts w:ascii="仿宋_GB2312" w:hAnsi="仿宋_GB2312" w:cs="仿宋_GB2312" w:eastAsia="仿宋_GB2312"/>
                <w:sz w:val="24"/>
                <w:b/>
              </w:rPr>
              <w:t>(1)</w:t>
            </w:r>
            <w:r>
              <w:rPr>
                <w:rFonts w:ascii="仿宋_GB2312" w:hAnsi="仿宋_GB2312" w:cs="仿宋_GB2312" w:eastAsia="仿宋_GB2312"/>
                <w:sz w:val="24"/>
                <w:b/>
              </w:rPr>
              <w:t>森林监测样地</w:t>
            </w:r>
          </w:p>
          <w:p>
            <w:pPr>
              <w:pStyle w:val="null3"/>
              <w:jc w:val="left"/>
            </w:pPr>
            <w:r>
              <w:rPr>
                <w:rFonts w:ascii="仿宋_GB2312" w:hAnsi="仿宋_GB2312" w:cs="仿宋_GB2312" w:eastAsia="仿宋_GB2312"/>
                <w:sz w:val="24"/>
              </w:rPr>
              <w:t>林地范围设置乔木样地调查乔木林等森林植被，样地面积</w:t>
            </w:r>
            <w:r>
              <w:rPr>
                <w:rFonts w:ascii="仿宋_GB2312" w:hAnsi="仿宋_GB2312" w:cs="仿宋_GB2312" w:eastAsia="仿宋_GB2312"/>
                <w:sz w:val="24"/>
              </w:rPr>
              <w:t>0.06—0.08hm²之间，为边长25m的方形或半径15m的圆形样地（按第九次全国森林资源清查样地大小和形状）。</w:t>
            </w:r>
          </w:p>
          <w:p>
            <w:pPr>
              <w:pStyle w:val="null3"/>
              <w:jc w:val="left"/>
            </w:pPr>
            <w:r>
              <w:rPr>
                <w:rFonts w:ascii="仿宋_GB2312" w:hAnsi="仿宋_GB2312" w:cs="仿宋_GB2312" w:eastAsia="仿宋_GB2312"/>
                <w:sz w:val="24"/>
              </w:rPr>
              <w:t>设置灌木大样方调查灌木和草本植物，样方面积为</w:t>
            </w:r>
            <w:r>
              <w:rPr>
                <w:rFonts w:ascii="仿宋_GB2312" w:hAnsi="仿宋_GB2312" w:cs="仿宋_GB2312" w:eastAsia="仿宋_GB2312"/>
                <w:sz w:val="24"/>
              </w:rPr>
              <w:t>100m²，为10m×10m的方形样方（当灌木冠幅较小且分布均匀时，可缩小至5m×5m）。</w:t>
            </w:r>
          </w:p>
          <w:p>
            <w:pPr>
              <w:pStyle w:val="null3"/>
              <w:jc w:val="left"/>
            </w:pPr>
            <w:r>
              <w:rPr>
                <w:rFonts w:ascii="仿宋_GB2312" w:hAnsi="仿宋_GB2312" w:cs="仿宋_GB2312" w:eastAsia="仿宋_GB2312"/>
                <w:sz w:val="24"/>
              </w:rPr>
              <w:t>样地范围内对土壤进行取样调查，采用容积</w:t>
            </w:r>
            <w:r>
              <w:rPr>
                <w:rFonts w:ascii="仿宋_GB2312" w:hAnsi="仿宋_GB2312" w:cs="仿宋_GB2312" w:eastAsia="仿宋_GB2312"/>
                <w:sz w:val="24"/>
              </w:rPr>
              <w:t>100cm³环刀取样，每样地取样2份以上。</w:t>
            </w:r>
          </w:p>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草原监测样地</w:t>
            </w:r>
          </w:p>
          <w:p>
            <w:pPr>
              <w:pStyle w:val="null3"/>
              <w:jc w:val="left"/>
            </w:pPr>
            <w:r>
              <w:rPr>
                <w:rFonts w:ascii="仿宋_GB2312" w:hAnsi="仿宋_GB2312" w:cs="仿宋_GB2312" w:eastAsia="仿宋_GB2312"/>
                <w:sz w:val="24"/>
              </w:rPr>
              <w:t>草地范围设置草原样地用于调查草原类、草原型，样地面积</w:t>
            </w:r>
            <w:r>
              <w:rPr>
                <w:rFonts w:ascii="仿宋_GB2312" w:hAnsi="仿宋_GB2312" w:cs="仿宋_GB2312" w:eastAsia="仿宋_GB2312"/>
                <w:sz w:val="24"/>
              </w:rPr>
              <w:t>0.5hm²或0.125hm²，为样地中心点为圆心、半径40m或20m的圆形样地。</w:t>
            </w:r>
          </w:p>
          <w:p>
            <w:pPr>
              <w:pStyle w:val="null3"/>
              <w:jc w:val="left"/>
            </w:pPr>
            <w:r>
              <w:rPr>
                <w:rFonts w:ascii="仿宋_GB2312" w:hAnsi="仿宋_GB2312" w:cs="仿宋_GB2312" w:eastAsia="仿宋_GB2312"/>
                <w:sz w:val="24"/>
              </w:rPr>
              <w:t>当样地内只有中小草本（平均高＜</w:t>
            </w:r>
            <w:r>
              <w:rPr>
                <w:rFonts w:ascii="仿宋_GB2312" w:hAnsi="仿宋_GB2312" w:cs="仿宋_GB2312" w:eastAsia="仿宋_GB2312"/>
                <w:sz w:val="24"/>
              </w:rPr>
              <w:t>80cm）及小半灌木（平均高＜50cm、不形成大株丛），没有灌木和高大草本植物时，进行小样方调查。在3条40m或20m样线周围一侧5m范围内，选取3个最能代表样地状况的1m×1m草本小样方，用于草本植物、植被盖度及产草量等。样线调查样地内植被盖度和裸斑面积比，采用针刺法沿样线按1m间隔调查记录植物覆盖或裸地被刺中的次数，并计算植被盖度和裸斑面积比例。</w:t>
            </w:r>
          </w:p>
          <w:p>
            <w:pPr>
              <w:pStyle w:val="null3"/>
              <w:jc w:val="left"/>
            </w:pPr>
            <w:r>
              <w:rPr>
                <w:rFonts w:ascii="仿宋_GB2312" w:hAnsi="仿宋_GB2312" w:cs="仿宋_GB2312" w:eastAsia="仿宋_GB2312"/>
                <w:sz w:val="24"/>
              </w:rPr>
              <w:t>当样地内具有高大草本（平均高</w:t>
            </w:r>
            <w:r>
              <w:rPr>
                <w:rFonts w:ascii="仿宋_GB2312" w:hAnsi="仿宋_GB2312" w:cs="仿宋_GB2312" w:eastAsia="仿宋_GB2312"/>
                <w:sz w:val="24"/>
              </w:rPr>
              <w:t>≥80cm）或灌木（平均高≥50cm）时进行高大草本、灌木和半灌木大样方调查。在设置3个草本小样方的同时，还需增设1个10m×10m的灌木大样方用于调查灌木（当灌木冠幅较小且分布均匀时，可缩小至5m×5m）。</w:t>
            </w:r>
          </w:p>
          <w:p>
            <w:pPr>
              <w:pStyle w:val="null3"/>
              <w:jc w:val="left"/>
            </w:pPr>
            <w:r>
              <w:rPr>
                <w:rFonts w:ascii="仿宋_GB2312" w:hAnsi="仿宋_GB2312" w:cs="仿宋_GB2312" w:eastAsia="仿宋_GB2312"/>
                <w:sz w:val="24"/>
              </w:rPr>
              <w:t>样地范围内对土壤进行取样调查，采用容积</w:t>
            </w:r>
            <w:r>
              <w:rPr>
                <w:rFonts w:ascii="仿宋_GB2312" w:hAnsi="仿宋_GB2312" w:cs="仿宋_GB2312" w:eastAsia="仿宋_GB2312"/>
                <w:sz w:val="24"/>
              </w:rPr>
              <w:t>100cm³环刀取样，每样地取样2份以上。</w:t>
            </w:r>
          </w:p>
          <w:p>
            <w:pPr>
              <w:pStyle w:val="null3"/>
              <w:jc w:val="both"/>
              <w:outlineLvl w:val="4"/>
            </w:pPr>
            <w:r>
              <w:rPr>
                <w:rFonts w:ascii="仿宋_GB2312" w:hAnsi="仿宋_GB2312" w:cs="仿宋_GB2312" w:eastAsia="仿宋_GB2312"/>
                <w:sz w:val="24"/>
                <w:b/>
              </w:rPr>
              <w:t>(3)</w:t>
            </w:r>
            <w:r>
              <w:rPr>
                <w:rFonts w:ascii="仿宋_GB2312" w:hAnsi="仿宋_GB2312" w:cs="仿宋_GB2312" w:eastAsia="仿宋_GB2312"/>
                <w:sz w:val="24"/>
                <w:b/>
              </w:rPr>
              <w:t>小型水利水保设施监测</w:t>
            </w:r>
          </w:p>
          <w:p>
            <w:pPr>
              <w:pStyle w:val="null3"/>
              <w:jc w:val="left"/>
            </w:pPr>
            <w:r>
              <w:rPr>
                <w:rFonts w:ascii="仿宋_GB2312" w:hAnsi="仿宋_GB2312" w:cs="仿宋_GB2312" w:eastAsia="仿宋_GB2312"/>
                <w:sz w:val="24"/>
              </w:rPr>
              <w:t>定期对新建的</w:t>
            </w:r>
            <w:r>
              <w:rPr>
                <w:rFonts w:ascii="仿宋_GB2312" w:hAnsi="仿宋_GB2312" w:cs="仿宋_GB2312" w:eastAsia="仿宋_GB2312"/>
                <w:sz w:val="24"/>
              </w:rPr>
              <w:t>铅丝笼</w:t>
            </w:r>
            <w:r>
              <w:rPr>
                <w:rFonts w:ascii="仿宋_GB2312" w:hAnsi="仿宋_GB2312" w:cs="仿宋_GB2312" w:eastAsia="仿宋_GB2312"/>
                <w:sz w:val="24"/>
              </w:rPr>
              <w:t>护岸进行监测，尤其在</w:t>
            </w:r>
            <w:r>
              <w:rPr>
                <w:rFonts w:ascii="仿宋_GB2312" w:hAnsi="仿宋_GB2312" w:cs="仿宋_GB2312" w:eastAsia="仿宋_GB2312"/>
                <w:sz w:val="24"/>
              </w:rPr>
              <w:t>丰水期</w:t>
            </w:r>
            <w:r>
              <w:rPr>
                <w:rFonts w:ascii="仿宋_GB2312" w:hAnsi="仿宋_GB2312" w:cs="仿宋_GB2312" w:eastAsia="仿宋_GB2312"/>
                <w:sz w:val="24"/>
              </w:rPr>
              <w:t>要增加监测的频次</w:t>
            </w:r>
            <w:r>
              <w:rPr>
                <w:rFonts w:ascii="仿宋_GB2312" w:hAnsi="仿宋_GB2312" w:cs="仿宋_GB2312" w:eastAsia="仿宋_GB2312"/>
                <w:sz w:val="24"/>
              </w:rPr>
              <w:t>，如遇超设计的洪水，可能会对铅丝笼造成一定损坏，应及时</w:t>
            </w:r>
            <w:r>
              <w:rPr>
                <w:rFonts w:ascii="仿宋_GB2312" w:hAnsi="仿宋_GB2312" w:cs="仿宋_GB2312" w:eastAsia="仿宋_GB2312"/>
                <w:sz w:val="24"/>
              </w:rPr>
              <w:t>观测</w:t>
            </w:r>
            <w:r>
              <w:rPr>
                <w:rFonts w:ascii="仿宋_GB2312" w:hAnsi="仿宋_GB2312" w:cs="仿宋_GB2312" w:eastAsia="仿宋_GB2312"/>
                <w:sz w:val="24"/>
              </w:rPr>
              <w:t>并上报</w:t>
            </w:r>
            <w:r>
              <w:rPr>
                <w:rFonts w:ascii="仿宋_GB2312" w:hAnsi="仿宋_GB2312" w:cs="仿宋_GB2312" w:eastAsia="仿宋_GB2312"/>
                <w:sz w:val="24"/>
              </w:rPr>
              <w:t>。</w:t>
            </w:r>
            <w:r>
              <w:rPr>
                <w:rFonts w:ascii="仿宋_GB2312" w:hAnsi="仿宋_GB2312" w:cs="仿宋_GB2312" w:eastAsia="仿宋_GB2312"/>
                <w:sz w:val="24"/>
              </w:rPr>
              <w:t>常规监测中主要对新建铅丝笼护岸</w:t>
            </w:r>
            <w:r>
              <w:rPr>
                <w:rFonts w:ascii="仿宋_GB2312" w:hAnsi="仿宋_GB2312" w:cs="仿宋_GB2312" w:eastAsia="仿宋_GB2312"/>
                <w:sz w:val="24"/>
              </w:rPr>
              <w:t>的</w:t>
            </w:r>
            <w:r>
              <w:rPr>
                <w:rFonts w:ascii="仿宋_GB2312" w:hAnsi="仿宋_GB2312" w:cs="仿宋_GB2312" w:eastAsia="仿宋_GB2312"/>
                <w:sz w:val="24"/>
              </w:rPr>
              <w:t>质量</w:t>
            </w:r>
            <w:r>
              <w:rPr>
                <w:rFonts w:ascii="仿宋_GB2312" w:hAnsi="仿宋_GB2312" w:cs="仿宋_GB2312" w:eastAsia="仿宋_GB2312"/>
                <w:sz w:val="24"/>
              </w:rPr>
              <w:t>和</w:t>
            </w:r>
            <w:r>
              <w:rPr>
                <w:rFonts w:ascii="仿宋_GB2312" w:hAnsi="仿宋_GB2312" w:cs="仿宋_GB2312" w:eastAsia="仿宋_GB2312"/>
                <w:sz w:val="24"/>
              </w:rPr>
              <w:t>结构</w:t>
            </w:r>
            <w:r>
              <w:rPr>
                <w:rFonts w:ascii="仿宋_GB2312" w:hAnsi="仿宋_GB2312" w:cs="仿宋_GB2312" w:eastAsia="仿宋_GB2312"/>
                <w:sz w:val="24"/>
              </w:rPr>
              <w:t>进行监测，</w:t>
            </w:r>
            <w:r>
              <w:rPr>
                <w:rFonts w:ascii="仿宋_GB2312" w:hAnsi="仿宋_GB2312" w:cs="仿宋_GB2312" w:eastAsia="仿宋_GB2312"/>
                <w:sz w:val="24"/>
              </w:rPr>
              <w:t>监测后</w:t>
            </w:r>
            <w:r>
              <w:rPr>
                <w:rFonts w:ascii="仿宋_GB2312" w:hAnsi="仿宋_GB2312" w:cs="仿宋_GB2312" w:eastAsia="仿宋_GB2312"/>
                <w:sz w:val="24"/>
              </w:rPr>
              <w:t>对设施稳定性进行评估。</w:t>
            </w:r>
            <w:r>
              <w:rPr>
                <w:rFonts w:ascii="仿宋_GB2312" w:hAnsi="仿宋_GB2312" w:cs="仿宋_GB2312" w:eastAsia="仿宋_GB2312"/>
                <w:sz w:val="24"/>
              </w:rPr>
              <w:t>监测内容包括：</w:t>
            </w:r>
          </w:p>
          <w:p>
            <w:pPr>
              <w:pStyle w:val="null3"/>
              <w:jc w:val="left"/>
            </w:pPr>
            <w:r>
              <w:rPr>
                <w:rFonts w:ascii="仿宋_GB2312" w:hAnsi="仿宋_GB2312" w:cs="仿宋_GB2312" w:eastAsia="仿宋_GB2312"/>
                <w:sz w:val="24"/>
              </w:rPr>
              <w:t>定期</w:t>
            </w:r>
            <w:r>
              <w:rPr>
                <w:rFonts w:ascii="仿宋_GB2312" w:hAnsi="仿宋_GB2312" w:cs="仿宋_GB2312" w:eastAsia="仿宋_GB2312"/>
                <w:sz w:val="24"/>
              </w:rPr>
              <w:t>监测</w:t>
            </w:r>
            <w:r>
              <w:rPr>
                <w:rFonts w:ascii="仿宋_GB2312" w:hAnsi="仿宋_GB2312" w:cs="仿宋_GB2312" w:eastAsia="仿宋_GB2312"/>
                <w:sz w:val="24"/>
              </w:rPr>
              <w:t>铅丝笼的老化情况，确保</w:t>
            </w:r>
            <w:r>
              <w:rPr>
                <w:rFonts w:ascii="仿宋_GB2312" w:hAnsi="仿宋_GB2312" w:cs="仿宋_GB2312" w:eastAsia="仿宋_GB2312"/>
                <w:sz w:val="24"/>
              </w:rPr>
              <w:t>铅丝</w:t>
            </w:r>
            <w:r>
              <w:rPr>
                <w:rFonts w:ascii="仿宋_GB2312" w:hAnsi="仿宋_GB2312" w:cs="仿宋_GB2312" w:eastAsia="仿宋_GB2312"/>
                <w:sz w:val="24"/>
              </w:rPr>
              <w:t>强度足够，避免</w:t>
            </w:r>
            <w:r>
              <w:rPr>
                <w:rFonts w:ascii="仿宋_GB2312" w:hAnsi="仿宋_GB2312" w:cs="仿宋_GB2312" w:eastAsia="仿宋_GB2312"/>
                <w:sz w:val="24"/>
              </w:rPr>
              <w:t>铅丝网线</w:t>
            </w:r>
            <w:r>
              <w:rPr>
                <w:rFonts w:ascii="仿宋_GB2312" w:hAnsi="仿宋_GB2312" w:cs="仿宋_GB2312" w:eastAsia="仿宋_GB2312"/>
                <w:sz w:val="24"/>
              </w:rPr>
              <w:t>老化导致铅丝笼护岸结构破坏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监测</w:t>
            </w:r>
            <w:r>
              <w:rPr>
                <w:rFonts w:ascii="仿宋_GB2312" w:hAnsi="仿宋_GB2312" w:cs="仿宋_GB2312" w:eastAsia="仿宋_GB2312"/>
                <w:sz w:val="24"/>
              </w:rPr>
              <w:t>石料填充的质量</w:t>
            </w:r>
            <w:r>
              <w:rPr>
                <w:rFonts w:ascii="仿宋_GB2312" w:hAnsi="仿宋_GB2312" w:cs="仿宋_GB2312" w:eastAsia="仿宋_GB2312"/>
                <w:sz w:val="24"/>
              </w:rPr>
              <w:t>是否合格</w:t>
            </w:r>
            <w:r>
              <w:rPr>
                <w:rFonts w:ascii="仿宋_GB2312" w:hAnsi="仿宋_GB2312" w:cs="仿宋_GB2312" w:eastAsia="仿宋_GB2312"/>
                <w:sz w:val="24"/>
              </w:rPr>
              <w:t>，</w:t>
            </w:r>
            <w:r>
              <w:rPr>
                <w:rFonts w:ascii="仿宋_GB2312" w:hAnsi="仿宋_GB2312" w:cs="仿宋_GB2312" w:eastAsia="仿宋_GB2312"/>
                <w:sz w:val="24"/>
              </w:rPr>
              <w:t>有无松动位移</w:t>
            </w:r>
            <w:r>
              <w:rPr>
                <w:rFonts w:ascii="仿宋_GB2312" w:hAnsi="仿宋_GB2312" w:cs="仿宋_GB2312" w:eastAsia="仿宋_GB2312"/>
                <w:sz w:val="24"/>
              </w:rPr>
              <w:t>，避免</w:t>
            </w:r>
            <w:r>
              <w:rPr>
                <w:rFonts w:ascii="仿宋_GB2312" w:hAnsi="仿宋_GB2312" w:cs="仿宋_GB2312" w:eastAsia="仿宋_GB2312"/>
                <w:sz w:val="24"/>
              </w:rPr>
              <w:t>因石料</w:t>
            </w:r>
            <w:r>
              <w:rPr>
                <w:rFonts w:ascii="仿宋_GB2312" w:hAnsi="仿宋_GB2312" w:cs="仿宋_GB2312" w:eastAsia="仿宋_GB2312"/>
                <w:sz w:val="24"/>
              </w:rPr>
              <w:t>质量不佳导致铅丝笼护岸结构破坏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监测时</w:t>
            </w:r>
            <w:r>
              <w:rPr>
                <w:rFonts w:ascii="仿宋_GB2312" w:hAnsi="仿宋_GB2312" w:cs="仿宋_GB2312" w:eastAsia="仿宋_GB2312"/>
                <w:sz w:val="24"/>
              </w:rPr>
              <w:t>按施工长度每</w:t>
            </w:r>
            <w:r>
              <w:rPr>
                <w:rFonts w:ascii="仿宋_GB2312" w:hAnsi="仿宋_GB2312" w:cs="仿宋_GB2312" w:eastAsia="仿宋_GB2312"/>
                <w:sz w:val="24"/>
              </w:rPr>
              <w:t>25m</w:t>
            </w:r>
            <w:r>
              <w:rPr>
                <w:rFonts w:ascii="仿宋_GB2312" w:hAnsi="仿宋_GB2312" w:cs="仿宋_GB2312" w:eastAsia="仿宋_GB2312"/>
                <w:sz w:val="24"/>
              </w:rPr>
              <w:t>～</w:t>
            </w:r>
            <w:r>
              <w:rPr>
                <w:rFonts w:ascii="仿宋_GB2312" w:hAnsi="仿宋_GB2312" w:cs="仿宋_GB2312" w:eastAsia="仿宋_GB2312"/>
                <w:sz w:val="24"/>
              </w:rPr>
              <w:t>50m测量一次，每个点至少取三组。检测合格率大于90%。</w:t>
            </w:r>
          </w:p>
          <w:p>
            <w:pPr>
              <w:pStyle w:val="null3"/>
              <w:jc w:val="both"/>
              <w:outlineLvl w:val="4"/>
            </w:pPr>
            <w:r>
              <w:rPr>
                <w:rFonts w:ascii="仿宋_GB2312" w:hAnsi="仿宋_GB2312" w:cs="仿宋_GB2312" w:eastAsia="仿宋_GB2312"/>
                <w:sz w:val="24"/>
                <w:b/>
              </w:rPr>
              <w:t>(4)</w:t>
            </w:r>
            <w:r>
              <w:rPr>
                <w:rFonts w:ascii="仿宋_GB2312" w:hAnsi="仿宋_GB2312" w:cs="仿宋_GB2312" w:eastAsia="仿宋_GB2312"/>
                <w:sz w:val="24"/>
                <w:b/>
              </w:rPr>
              <w:t>影像采集</w:t>
            </w:r>
          </w:p>
          <w:p>
            <w:pPr>
              <w:pStyle w:val="null3"/>
              <w:jc w:val="left"/>
            </w:pPr>
            <w:r>
              <w:rPr>
                <w:rFonts w:ascii="仿宋_GB2312" w:hAnsi="仿宋_GB2312" w:cs="仿宋_GB2312" w:eastAsia="仿宋_GB2312"/>
                <w:sz w:val="24"/>
              </w:rPr>
              <w:t>对所有实测样地，拍摄样地、样方、土壤、远景观、近景照或其它能反映样地显著特征的照片。远景照片应反映样地及周边地区的整体状况，一般按照</w:t>
            </w:r>
            <w:r>
              <w:rPr>
                <w:rFonts w:ascii="仿宋_GB2312" w:hAnsi="仿宋_GB2312" w:cs="仿宋_GB2312" w:eastAsia="仿宋_GB2312"/>
                <w:sz w:val="24"/>
              </w:rPr>
              <w:t>1/3天空、2/3地面的原则横向拍摄，近景照片应反映样地局部植被生长状况。</w:t>
            </w:r>
          </w:p>
          <w:p>
            <w:pPr>
              <w:pStyle w:val="null3"/>
              <w:jc w:val="both"/>
              <w:outlineLvl w:val="3"/>
            </w:pPr>
            <w:r>
              <w:rPr>
                <w:rFonts w:ascii="仿宋_GB2312" w:hAnsi="仿宋_GB2312" w:cs="仿宋_GB2312" w:eastAsia="仿宋_GB2312"/>
                <w:sz w:val="24"/>
                <w:b/>
              </w:rPr>
              <w:t>2、</w:t>
            </w:r>
            <w:r>
              <w:rPr>
                <w:rFonts w:ascii="仿宋_GB2312" w:hAnsi="仿宋_GB2312" w:cs="仿宋_GB2312" w:eastAsia="仿宋_GB2312"/>
                <w:sz w:val="24"/>
                <w:b/>
              </w:rPr>
              <w:t>样地数量</w:t>
            </w:r>
          </w:p>
          <w:p>
            <w:pPr>
              <w:pStyle w:val="null3"/>
              <w:jc w:val="left"/>
            </w:pPr>
            <w:r>
              <w:rPr>
                <w:rFonts w:ascii="仿宋_GB2312" w:hAnsi="仿宋_GB2312" w:cs="仿宋_GB2312" w:eastAsia="仿宋_GB2312"/>
                <w:sz w:val="24"/>
              </w:rPr>
              <w:t>按每个治理类型至少设置</w:t>
            </w:r>
            <w:r>
              <w:rPr>
                <w:rFonts w:ascii="仿宋_GB2312" w:hAnsi="仿宋_GB2312" w:cs="仿宋_GB2312" w:eastAsia="仿宋_GB2312"/>
                <w:sz w:val="24"/>
              </w:rPr>
              <w:t>2个样地，按治理面积每增加5000亩增加1个样地计算：</w:t>
            </w:r>
          </w:p>
          <w:p>
            <w:pPr>
              <w:pStyle w:val="null3"/>
              <w:jc w:val="left"/>
            </w:pPr>
            <w:r>
              <w:rPr>
                <w:rFonts w:ascii="仿宋_GB2312" w:hAnsi="仿宋_GB2312" w:cs="仿宋_GB2312" w:eastAsia="仿宋_GB2312"/>
                <w:sz w:val="24"/>
              </w:rPr>
              <w:t>表</w:t>
            </w:r>
            <w:r>
              <w:rPr>
                <w:rFonts w:ascii="仿宋_GB2312" w:hAnsi="仿宋_GB2312" w:cs="仿宋_GB2312" w:eastAsia="仿宋_GB2312"/>
                <w:sz w:val="24"/>
              </w:rPr>
              <w:t xml:space="preserve">7-12 </w:t>
            </w:r>
            <w:r>
              <w:rPr>
                <w:rFonts w:ascii="仿宋_GB2312" w:hAnsi="仿宋_GB2312" w:cs="仿宋_GB2312" w:eastAsia="仿宋_GB2312"/>
                <w:sz w:val="24"/>
              </w:rPr>
              <w:t>成效监测样地布设</w:t>
            </w:r>
          </w:p>
          <w:tbl>
            <w:tblPr>
              <w:tblBorders>
                <w:top w:val="none" w:color="000000" w:sz="4"/>
                <w:left w:val="none" w:color="000000" w:sz="4"/>
                <w:bottom w:val="none" w:color="000000" w:sz="4"/>
                <w:right w:val="none" w:color="000000" w:sz="4"/>
                <w:insideH w:val="none"/>
                <w:insideV w:val="none"/>
              </w:tblBorders>
            </w:tblPr>
            <w:tblGrid>
              <w:gridCol w:w="1926"/>
              <w:gridCol w:w="1423"/>
              <w:gridCol w:w="1167"/>
              <w:gridCol w:w="1072"/>
            </w:tblGrid>
            <w:tr>
              <w:tc>
                <w:tcPr>
                  <w:tcW w:type="dxa" w:w="1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治理类型</w:t>
                  </w:r>
                </w:p>
              </w:tc>
              <w:tc>
                <w:tcPr>
                  <w:tcW w:type="dxa" w:w="1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建设类型</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面积（亩）</w:t>
                  </w:r>
                </w:p>
              </w:tc>
              <w:tc>
                <w:tcPr>
                  <w:tcW w:type="dxa" w:w="1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样地数量</w:t>
                  </w:r>
                </w:p>
              </w:tc>
            </w:tr>
            <w:tr>
              <w:tc>
                <w:tcPr>
                  <w:tcW w:type="dxa" w:w="19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森林生态系统治理</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退化林修复</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26500</w:t>
                  </w: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926"/>
                  <w:vMerge/>
                  <w:tcBorders>
                    <w:top w:val="none" w:color="000000" w:sz="4"/>
                    <w:left w:val="single" w:color="000000" w:sz="4"/>
                    <w:bottom w:val="single" w:color="000000" w:sz="4"/>
                    <w:right w:val="single" w:color="000000" w:sz="4"/>
                  </w:tcBorders>
                </w:tcP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封山育林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26000</w:t>
                  </w: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9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草原生态系统治理</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人工种草</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44000</w:t>
                  </w: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926"/>
                  <w:vMerge/>
                  <w:tcBorders>
                    <w:top w:val="none" w:color="000000" w:sz="4"/>
                    <w:left w:val="single" w:color="000000" w:sz="4"/>
                    <w:bottom w:val="single" w:color="000000" w:sz="4"/>
                    <w:right w:val="single" w:color="000000" w:sz="4"/>
                  </w:tcBorders>
                </w:tcP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草原改良</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63000</w:t>
                  </w: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r>
            <w:tr>
              <w:tc>
                <w:tcPr>
                  <w:tcW w:type="dxa" w:w="33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bl>
          <w:p>
            <w:pPr>
              <w:pStyle w:val="null3"/>
              <w:jc w:val="both"/>
              <w:outlineLvl w:val="2"/>
            </w:pPr>
            <w:r>
              <w:rPr>
                <w:rFonts w:ascii="仿宋_GB2312" w:hAnsi="仿宋_GB2312" w:cs="仿宋_GB2312" w:eastAsia="仿宋_GB2312"/>
                <w:sz w:val="24"/>
                <w:b/>
              </w:rPr>
              <w:t>（二）</w:t>
            </w:r>
            <w:r>
              <w:rPr>
                <w:rFonts w:ascii="仿宋_GB2312" w:hAnsi="仿宋_GB2312" w:cs="仿宋_GB2312" w:eastAsia="仿宋_GB2312"/>
                <w:sz w:val="24"/>
                <w:b/>
              </w:rPr>
              <w:t>监测指标</w:t>
            </w:r>
          </w:p>
          <w:p>
            <w:pPr>
              <w:pStyle w:val="null3"/>
              <w:jc w:val="left"/>
            </w:pPr>
            <w:r>
              <w:rPr>
                <w:rFonts w:ascii="仿宋_GB2312" w:hAnsi="仿宋_GB2312" w:cs="仿宋_GB2312" w:eastAsia="仿宋_GB2312"/>
                <w:sz w:val="24"/>
              </w:rPr>
              <w:t>2025年、2026年、2027年、2028年6-9月对固定样地进行监测。参照《退化林修复技术规程（试行）》（办生字〔2023〕80号）、《封山(沙)育林技术规程》（GB/T 15163—2018）、《草地资源调查技术规程》（NY/T 2998—2016）等相关技术规范，结合项目区具体情况，主要针对能反映</w:t>
            </w:r>
            <w:r>
              <w:rPr>
                <w:rFonts w:ascii="仿宋_GB2312" w:hAnsi="仿宋_GB2312" w:cs="仿宋_GB2312" w:eastAsia="仿宋_GB2312"/>
                <w:sz w:val="24"/>
              </w:rPr>
              <w:t>退化林修复、</w:t>
            </w:r>
            <w:r>
              <w:rPr>
                <w:rFonts w:ascii="仿宋_GB2312" w:hAnsi="仿宋_GB2312" w:cs="仿宋_GB2312" w:eastAsia="仿宋_GB2312"/>
                <w:sz w:val="24"/>
              </w:rPr>
              <w:t>封山育林、人工种草、草原改良基本特征的一系列指标进行监测，主要通过现地调查记录，以及采集样品后带回实验室分析化验进行。主要监测指标如下：</w:t>
            </w:r>
          </w:p>
          <w:p>
            <w:pPr>
              <w:pStyle w:val="null3"/>
              <w:jc w:val="left"/>
            </w:pPr>
            <w:r>
              <w:rPr>
                <w:rFonts w:ascii="仿宋_GB2312" w:hAnsi="仿宋_GB2312" w:cs="仿宋_GB2312" w:eastAsia="仿宋_GB2312"/>
                <w:sz w:val="24"/>
              </w:rPr>
              <w:t>表</w:t>
            </w:r>
            <w:r>
              <w:rPr>
                <w:rFonts w:ascii="仿宋_GB2312" w:hAnsi="仿宋_GB2312" w:cs="仿宋_GB2312" w:eastAsia="仿宋_GB2312"/>
                <w:sz w:val="24"/>
              </w:rPr>
              <w:t>7-13</w:t>
            </w:r>
            <w:r>
              <w:rPr>
                <w:rFonts w:ascii="仿宋_GB2312" w:hAnsi="仿宋_GB2312" w:cs="仿宋_GB2312" w:eastAsia="仿宋_GB2312"/>
              </w:rPr>
              <w:t xml:space="preserve"> </w:t>
            </w:r>
            <w:r>
              <w:rPr>
                <w:rFonts w:ascii="仿宋_GB2312" w:hAnsi="仿宋_GB2312" w:cs="仿宋_GB2312" w:eastAsia="仿宋_GB2312"/>
                <w:sz w:val="24"/>
              </w:rPr>
              <w:t>样地主要监测指标</w:t>
            </w:r>
          </w:p>
          <w:tbl>
            <w:tblPr>
              <w:tblBorders>
                <w:top w:val="none" w:color="000000" w:sz="4"/>
                <w:left w:val="none" w:color="000000" w:sz="4"/>
                <w:bottom w:val="none" w:color="000000" w:sz="4"/>
                <w:right w:val="none" w:color="000000" w:sz="4"/>
                <w:insideH w:val="none"/>
                <w:insideV w:val="none"/>
              </w:tblBorders>
            </w:tblPr>
            <w:tblGrid>
              <w:gridCol w:w="1258"/>
              <w:gridCol w:w="1218"/>
              <w:gridCol w:w="1961"/>
              <w:gridCol w:w="1129"/>
            </w:tblGrid>
            <w:tr>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指标类型</w:t>
                  </w:r>
                </w:p>
              </w:tc>
              <w:tc>
                <w:tcPr>
                  <w:tcW w:type="dxa" w:w="1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监测方法</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观测指标</w:t>
                  </w:r>
                </w:p>
              </w:tc>
              <w:tc>
                <w:tcPr>
                  <w:tcW w:type="dxa" w:w="1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乔灌林调查</w:t>
                  </w:r>
                </w:p>
              </w:tc>
              <w:tc>
                <w:tcPr>
                  <w:tcW w:type="dxa" w:w="1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现地记录</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树种保存率</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群落的种类组成</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总盖度</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乔木层郁闭度</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灌木层盖度</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草本调查</w:t>
                  </w:r>
                </w:p>
              </w:tc>
              <w:tc>
                <w:tcPr>
                  <w:tcW w:type="dxa" w:w="1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现地记录</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主要植物名称</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植被覆盖度（</w:t>
                  </w:r>
                  <w:r>
                    <w:rPr>
                      <w:rFonts w:ascii="仿宋_GB2312" w:hAnsi="仿宋_GB2312" w:cs="仿宋_GB2312" w:eastAsia="仿宋_GB2312"/>
                      <w:sz w:val="24"/>
                    </w:rPr>
                    <w:t>%）</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平均高度（</w:t>
                  </w:r>
                  <w:r>
                    <w:rPr>
                      <w:rFonts w:ascii="仿宋_GB2312" w:hAnsi="仿宋_GB2312" w:cs="仿宋_GB2312" w:eastAsia="仿宋_GB2312"/>
                      <w:sz w:val="24"/>
                    </w:rPr>
                    <w:t>cm）</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cm</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裸地（斑）面积比例</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物种丰富度</w:t>
                  </w:r>
                  <w:r>
                    <w:rPr>
                      <w:rFonts w:ascii="仿宋_GB2312" w:hAnsi="仿宋_GB2312" w:cs="仿宋_GB2312" w:eastAsia="仿宋_GB2312"/>
                      <w:sz w:val="24"/>
                    </w:rPr>
                    <w:t>*</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种</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鲜草产量</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kg/hm²</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可食牧草比例</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毒害草比例</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土壤物理性质</w:t>
                  </w:r>
                </w:p>
              </w:tc>
              <w:tc>
                <w:tcPr>
                  <w:tcW w:type="dxa" w:w="1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取样分析</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土壤含水率</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容重</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g/m³</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机械组成</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土壤化学性质</w:t>
                  </w:r>
                </w:p>
              </w:tc>
              <w:tc>
                <w:tcPr>
                  <w:tcW w:type="dxa" w:w="1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取样分析</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有机质</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g/kg</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全效氮磷钾</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mg/kg</w:t>
                  </w:r>
                </w:p>
              </w:tc>
            </w:tr>
            <w:tr>
              <w:tc>
                <w:tcPr>
                  <w:tcW w:type="dxa" w:w="1258"/>
                  <w:vMerge/>
                  <w:tcBorders>
                    <w:top w:val="none" w:color="000000" w:sz="4"/>
                    <w:left w:val="single" w:color="000000" w:sz="4"/>
                    <w:bottom w:val="single" w:color="000000" w:sz="4"/>
                    <w:right w:val="single" w:color="000000" w:sz="4"/>
                  </w:tcBorders>
                </w:tcPr>
                <w:p/>
              </w:tc>
              <w:tc>
                <w:tcPr>
                  <w:tcW w:type="dxa" w:w="1218"/>
                  <w:vMerge/>
                  <w:tcBorders>
                    <w:top w:val="none" w:color="000000" w:sz="4"/>
                    <w:left w:val="none" w:color="000000" w:sz="4"/>
                    <w:bottom w:val="single" w:color="000000" w:sz="4"/>
                    <w:right w:val="single" w:color="000000" w:sz="4"/>
                  </w:tcBorders>
                </w:tcP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速效氮磷钾</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mg/kg</w:t>
                  </w:r>
                </w:p>
              </w:tc>
            </w:tr>
          </w:tbl>
          <w:p>
            <w:pPr>
              <w:pStyle w:val="null3"/>
              <w:ind w:left="600"/>
              <w:jc w:val="left"/>
            </w:pPr>
            <w:r>
              <w:rPr>
                <w:rFonts w:ascii="仿宋_GB2312" w:hAnsi="仿宋_GB2312" w:cs="仿宋_GB2312" w:eastAsia="仿宋_GB2312"/>
                <w:sz w:val="24"/>
              </w:rPr>
              <w:t>备注：</w:t>
            </w:r>
            <w:r>
              <w:rPr>
                <w:rFonts w:ascii="仿宋_GB2312" w:hAnsi="仿宋_GB2312" w:cs="仿宋_GB2312" w:eastAsia="仿宋_GB2312"/>
                <w:sz w:val="24"/>
              </w:rPr>
              <w:t>1.</w:t>
            </w:r>
            <w:r>
              <w:rPr>
                <w:rFonts w:ascii="仿宋_GB2312" w:hAnsi="仿宋_GB2312" w:cs="仿宋_GB2312" w:eastAsia="仿宋_GB2312"/>
                <w:sz w:val="24"/>
              </w:rPr>
              <w:t>物种丰富度即为植物种数；郁闭度按小数填写，精确到</w:t>
            </w:r>
            <w:r>
              <w:rPr>
                <w:rFonts w:ascii="仿宋_GB2312" w:hAnsi="仿宋_GB2312" w:cs="仿宋_GB2312" w:eastAsia="仿宋_GB2312"/>
                <w:sz w:val="24"/>
              </w:rPr>
              <w:t>0.1</w:t>
            </w:r>
            <w:r>
              <w:rPr>
                <w:rFonts w:ascii="仿宋_GB2312" w:hAnsi="仿宋_GB2312" w:cs="仿宋_GB2312" w:eastAsia="仿宋_GB2312"/>
                <w:sz w:val="24"/>
              </w:rPr>
              <w:t>；</w:t>
            </w:r>
          </w:p>
          <w:p>
            <w:pPr>
              <w:pStyle w:val="null3"/>
              <w:ind w:firstLine="840"/>
              <w:jc w:val="left"/>
            </w:pPr>
            <w:r>
              <w:rPr>
                <w:rFonts w:ascii="仿宋_GB2312" w:hAnsi="仿宋_GB2312" w:cs="仿宋_GB2312" w:eastAsia="仿宋_GB2312"/>
                <w:sz w:val="24"/>
              </w:rPr>
              <w:t>2.样地主要监测指标应不低于项目建设目标值。</w:t>
            </w:r>
          </w:p>
          <w:p>
            <w:pPr>
              <w:pStyle w:val="null3"/>
              <w:jc w:val="both"/>
              <w:outlineLvl w:val="2"/>
            </w:pPr>
            <w:r>
              <w:rPr>
                <w:rFonts w:ascii="仿宋_GB2312" w:hAnsi="仿宋_GB2312" w:cs="仿宋_GB2312" w:eastAsia="仿宋_GB2312"/>
                <w:sz w:val="24"/>
                <w:b/>
              </w:rPr>
              <w:t>（三）</w:t>
            </w:r>
            <w:r>
              <w:rPr>
                <w:rFonts w:ascii="仿宋_GB2312" w:hAnsi="仿宋_GB2312" w:cs="仿宋_GB2312" w:eastAsia="仿宋_GB2312"/>
                <w:sz w:val="24"/>
                <w:b/>
              </w:rPr>
              <w:t>成效监测报告</w:t>
            </w:r>
          </w:p>
          <w:p>
            <w:pPr>
              <w:pStyle w:val="null3"/>
              <w:jc w:val="left"/>
            </w:pPr>
            <w:r>
              <w:rPr>
                <w:rFonts w:ascii="仿宋_GB2312" w:hAnsi="仿宋_GB2312" w:cs="仿宋_GB2312" w:eastAsia="仿宋_GB2312"/>
                <w:sz w:val="24"/>
              </w:rPr>
              <w:t>根据实地调查结果，编制成效监测报告，内容包括调查时间、地点、方法、样地数量和监测结果，分析与评价、存在问题与建议等。</w:t>
            </w:r>
          </w:p>
          <w:p>
            <w:pPr>
              <w:pStyle w:val="null3"/>
              <w:jc w:val="left"/>
            </w:pPr>
            <w:r>
              <w:rPr>
                <w:rFonts w:ascii="仿宋_GB2312" w:hAnsi="仿宋_GB2312" w:cs="仿宋_GB2312" w:eastAsia="仿宋_GB2312"/>
                <w:sz w:val="24"/>
              </w:rPr>
              <w:t>2025年形成《2025年成效监测报告》，为森林生态系统综合治理与草原生态系统综合治理阶段性验收提供数据支撑。2026年、2027年、2028年分年度形成《成效监测报告》，为项目管护期验收和整体竣工验收提供数据支撑。</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商务要求</w:t>
            </w:r>
          </w:p>
        </w:tc>
        <w:tc>
          <w:tcPr>
            <w:tcW w:type="dxa" w:w="5814"/>
          </w:tcPr>
          <w:p>
            <w:pPr>
              <w:pStyle w:val="null3"/>
              <w:numPr>
                <w:ilvl w:val="0"/>
                <w:numId w:val="1"/>
              </w:numPr>
              <w:jc w:val="both"/>
            </w:pPr>
            <w:r>
              <w:rPr>
                <w:rFonts w:ascii="仿宋_GB2312" w:hAnsi="仿宋_GB2312" w:cs="仿宋_GB2312" w:eastAsia="仿宋_GB2312"/>
                <w:sz w:val="24"/>
              </w:rPr>
              <w:t>服务期限：</w:t>
            </w:r>
            <w:r>
              <w:rPr>
                <w:rFonts w:ascii="仿宋_GB2312" w:hAnsi="仿宋_GB2312" w:cs="仿宋_GB2312" w:eastAsia="仿宋_GB2312"/>
                <w:sz w:val="24"/>
              </w:rPr>
              <w:t>自合同签订之日起</w:t>
            </w:r>
            <w:r>
              <w:rPr>
                <w:rFonts w:ascii="仿宋_GB2312" w:hAnsi="仿宋_GB2312" w:cs="仿宋_GB2312" w:eastAsia="仿宋_GB2312"/>
                <w:sz w:val="24"/>
              </w:rPr>
              <w:t>1460日</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2、付款方式及条件：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进度款：第一次进度款在</w:t>
            </w:r>
            <w:r>
              <w:rPr>
                <w:rFonts w:ascii="仿宋_GB2312" w:hAnsi="仿宋_GB2312" w:cs="仿宋_GB2312" w:eastAsia="仿宋_GB2312"/>
                <w:sz w:val="24"/>
              </w:rPr>
              <w:t>提交第一年年度监测报告，由乙方向甲方提交书面请款申请及相应金额的增值税专用发票</w:t>
            </w:r>
            <w:r>
              <w:rPr>
                <w:rFonts w:ascii="仿宋_GB2312" w:hAnsi="仿宋_GB2312" w:cs="仿宋_GB2312" w:eastAsia="仿宋_GB2312"/>
                <w:sz w:val="24"/>
              </w:rPr>
              <w:t>并</w:t>
            </w:r>
            <w:r>
              <w:rPr>
                <w:rFonts w:ascii="仿宋_GB2312" w:hAnsi="仿宋_GB2312" w:cs="仿宋_GB2312" w:eastAsia="仿宋_GB2312"/>
                <w:sz w:val="24"/>
              </w:rPr>
              <w:t>经甲方认可后，达到付款条件起</w:t>
            </w:r>
            <w:r>
              <w:rPr>
                <w:rFonts w:ascii="仿宋_GB2312" w:hAnsi="仿宋_GB2312" w:cs="仿宋_GB2312" w:eastAsia="仿宋_GB2312"/>
                <w:sz w:val="24"/>
              </w:rPr>
              <w:t>15日内，支付合同总金额的60.00%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尾款：尾款在</w:t>
            </w:r>
            <w:r>
              <w:rPr>
                <w:rFonts w:ascii="仿宋_GB2312" w:hAnsi="仿宋_GB2312" w:cs="仿宋_GB2312" w:eastAsia="仿宋_GB2312"/>
                <w:sz w:val="24"/>
              </w:rPr>
              <w:t>项目完成竣工验收，形成总体监测报告，由乙方向甲方提交书面请款申请及相应金额的增值税专用发票</w:t>
            </w:r>
            <w:r>
              <w:rPr>
                <w:rFonts w:ascii="仿宋_GB2312" w:hAnsi="仿宋_GB2312" w:cs="仿宋_GB2312" w:eastAsia="仿宋_GB2312"/>
                <w:sz w:val="24"/>
              </w:rPr>
              <w:t>并</w:t>
            </w:r>
            <w:r>
              <w:rPr>
                <w:rFonts w:ascii="仿宋_GB2312" w:hAnsi="仿宋_GB2312" w:cs="仿宋_GB2312" w:eastAsia="仿宋_GB2312"/>
                <w:sz w:val="24"/>
              </w:rPr>
              <w:t>经甲方认可后，达到付款条件起</w:t>
            </w:r>
            <w:r>
              <w:rPr>
                <w:rFonts w:ascii="仿宋_GB2312" w:hAnsi="仿宋_GB2312" w:cs="仿宋_GB2312" w:eastAsia="仿宋_GB2312"/>
                <w:sz w:val="24"/>
              </w:rPr>
              <w:t>15日内，支付合同总金额的40.00%</w:t>
            </w:r>
          </w:p>
          <w:p>
            <w:pPr>
              <w:pStyle w:val="null3"/>
              <w:ind w:firstLine="480"/>
              <w:jc w:val="both"/>
            </w:pPr>
            <w:r>
              <w:rPr>
                <w:rFonts w:ascii="仿宋_GB2312" w:hAnsi="仿宋_GB2312" w:cs="仿宋_GB2312" w:eastAsia="仿宋_GB2312"/>
                <w:sz w:val="24"/>
              </w:rPr>
              <w:t>3、服务地点：</w:t>
            </w:r>
            <w:r>
              <w:rPr>
                <w:rFonts w:ascii="仿宋_GB2312" w:hAnsi="仿宋_GB2312" w:cs="仿宋_GB2312" w:eastAsia="仿宋_GB2312"/>
                <w:sz w:val="24"/>
              </w:rPr>
              <w:t>壤塘县吾伊乡、南木达镇、岗木达镇、宗科乡、茸木达乡、上杜柯乡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4、履约保证金：按照成交金额的10%收取</w:t>
            </w:r>
            <w:r>
              <w:rPr>
                <w:rFonts w:ascii="仿宋_GB2312" w:hAnsi="仿宋_GB2312" w:cs="仿宋_GB2312" w:eastAsia="仿宋_GB2312"/>
                <w:sz w:val="24"/>
              </w:rPr>
              <w:t>，</w:t>
            </w:r>
            <w:r>
              <w:rPr>
                <w:rFonts w:ascii="仿宋_GB2312" w:hAnsi="仿宋_GB2312" w:cs="仿宋_GB2312" w:eastAsia="仿宋_GB2312"/>
                <w:sz w:val="24"/>
              </w:rPr>
              <w:t>合同签订前</w:t>
            </w:r>
            <w:r>
              <w:rPr>
                <w:rFonts w:ascii="仿宋_GB2312" w:hAnsi="仿宋_GB2312" w:cs="仿宋_GB2312" w:eastAsia="仿宋_GB2312"/>
                <w:sz w:val="24"/>
              </w:rPr>
              <w:t>按时缴纳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5、验收、交付标准和方法：</w:t>
            </w:r>
          </w:p>
          <w:p>
            <w:pPr>
              <w:pStyle w:val="null3"/>
              <w:ind w:firstLine="480"/>
              <w:jc w:val="both"/>
            </w:pPr>
            <w:r>
              <w:rPr>
                <w:rFonts w:ascii="仿宋_GB2312" w:hAnsi="仿宋_GB2312" w:cs="仿宋_GB2312" w:eastAsia="仿宋_GB2312"/>
                <w:sz w:val="24"/>
              </w:rPr>
              <w:t>本项目采购人将严格按照《财政部关于进一步加强政府采购需求和履约验收管理的指导意见》（财库〔</w:t>
            </w:r>
            <w:r>
              <w:rPr>
                <w:rFonts w:ascii="仿宋_GB2312" w:hAnsi="仿宋_GB2312" w:cs="仿宋_GB2312" w:eastAsia="仿宋_GB2312"/>
                <w:sz w:val="24"/>
              </w:rPr>
              <w:t>2016〕205号）、《政府采购需求管理办法》（财库〔2021〕22号）文件</w:t>
            </w:r>
            <w:r>
              <w:rPr>
                <w:rFonts w:ascii="仿宋_GB2312" w:hAnsi="仿宋_GB2312" w:cs="仿宋_GB2312" w:eastAsia="仿宋_GB2312"/>
                <w:sz w:val="24"/>
              </w:rPr>
              <w:t>、</w:t>
            </w:r>
            <w:r>
              <w:rPr>
                <w:rFonts w:ascii="仿宋_GB2312" w:hAnsi="仿宋_GB2312" w:cs="仿宋_GB2312" w:eastAsia="仿宋_GB2312"/>
                <w:sz w:val="24"/>
              </w:rPr>
              <w:t>项目实施方案及批复</w:t>
            </w:r>
            <w:r>
              <w:rPr>
                <w:rFonts w:ascii="仿宋_GB2312" w:hAnsi="仿宋_GB2312" w:cs="仿宋_GB2312" w:eastAsia="仿宋_GB2312"/>
                <w:sz w:val="24"/>
              </w:rPr>
              <w:t>等相关文件等相关规定的要求进行验收。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（一）安全要求</w:t>
            </w:r>
            <w:r>
              <w:rPr>
                <w:rFonts w:ascii="仿宋_GB2312" w:hAnsi="仿宋_GB2312" w:cs="仿宋_GB2312" w:eastAsia="仿宋_GB2312"/>
                <w:sz w:val="24"/>
              </w:rPr>
              <w:t>:本项目自签订合同之日起至服务结束之日止，供应商将负责该项目实施过程中的人身安全、财产安全等相应安全责任。在项目实施过程中造成的直接或间接损失，均由供应商自行承担。</w:t>
            </w:r>
          </w:p>
          <w:p>
            <w:pPr>
              <w:pStyle w:val="null3"/>
              <w:ind w:firstLine="480"/>
              <w:jc w:val="both"/>
            </w:pPr>
            <w:r>
              <w:rPr>
                <w:rFonts w:ascii="仿宋_GB2312" w:hAnsi="仿宋_GB2312" w:cs="仿宋_GB2312" w:eastAsia="仿宋_GB2312"/>
                <w:sz w:val="24"/>
              </w:rPr>
              <w:t>（二）成交供应商对本次服务内容应严格履行保密义务，不得未经采购人允许向第三方提供本项目所有的相关资料。</w:t>
            </w:r>
          </w:p>
          <w:p>
            <w:pPr>
              <w:pStyle w:val="null3"/>
              <w:ind w:firstLine="480"/>
              <w:jc w:val="both"/>
            </w:pPr>
            <w:r>
              <w:rPr>
                <w:rFonts w:ascii="仿宋_GB2312" w:hAnsi="仿宋_GB2312" w:cs="仿宋_GB2312" w:eastAsia="仿宋_GB2312"/>
                <w:sz w:val="24"/>
              </w:rPr>
              <w:t>（三）供应商应保证所提供的服务或其任何一部分均不会侵犯任何第三方的专利权，商标权或著作权。</w:t>
            </w:r>
          </w:p>
          <w:p>
            <w:pPr>
              <w:pStyle w:val="null3"/>
              <w:ind w:firstLine="480"/>
              <w:jc w:val="both"/>
            </w:pPr>
            <w:r>
              <w:rPr>
                <w:rFonts w:ascii="仿宋_GB2312" w:hAnsi="仿宋_GB2312" w:cs="仿宋_GB2312" w:eastAsia="仿宋_GB2312"/>
                <w:sz w:val="24"/>
              </w:rPr>
              <w:t>（四）如成交，不可因未了解项目现场情况而放弃成交不履行成交人义务。如因供应商不能正常履约，给采购人造成任何损失的，采购人将保留进一步追溯的权利，并要求供应商赔偿由此带来的损失；如放弃成交，所产生的后果按照政府采购相关法律法规执行。</w:t>
            </w:r>
          </w:p>
          <w:p>
            <w:pPr>
              <w:pStyle w:val="null3"/>
              <w:ind w:firstLine="480"/>
              <w:jc w:val="both"/>
            </w:pPr>
            <w:r>
              <w:rPr>
                <w:rFonts w:ascii="仿宋_GB2312" w:hAnsi="仿宋_GB2312" w:cs="仿宋_GB2312" w:eastAsia="仿宋_GB2312"/>
                <w:sz w:val="24"/>
              </w:rPr>
              <w:t>（五）本项目的报价包括但不限于人员工资、保险费、加班费、交通费、税费、管理费、利润、各种风险等在内的一切费用；供应商需自行考虑所有不确定因素，如出现因投标报价估算错误等引起的损失由供应商自行承担，采购人不承担任何费用。</w:t>
            </w:r>
          </w:p>
          <w:p>
            <w:pPr>
              <w:pStyle w:val="null3"/>
              <w:jc w:val="both"/>
            </w:pPr>
            <w:r>
              <w:rPr>
                <w:rFonts w:ascii="仿宋_GB2312" w:hAnsi="仿宋_GB2312" w:cs="仿宋_GB2312" w:eastAsia="仿宋_GB2312"/>
                <w:sz w:val="24"/>
              </w:rPr>
              <w:t>注：本项目所引用的规范</w:t>
            </w:r>
            <w:r>
              <w:rPr>
                <w:rFonts w:ascii="仿宋_GB2312" w:hAnsi="仿宋_GB2312" w:cs="仿宋_GB2312" w:eastAsia="仿宋_GB2312"/>
                <w:sz w:val="24"/>
              </w:rPr>
              <w:t>/标准/文件，如有最新版本，依照其最新规定执行。</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履约要求</w:t>
            </w:r>
          </w:p>
        </w:tc>
        <w:tc>
          <w:tcPr>
            <w:tcW w:type="dxa" w:w="5814"/>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供应商应针对本项目提供</w:t>
            </w:r>
            <w:r>
              <w:rPr>
                <w:rFonts w:ascii="仿宋_GB2312" w:hAnsi="仿宋_GB2312" w:cs="仿宋_GB2312" w:eastAsia="仿宋_GB2312"/>
                <w:sz w:val="24"/>
              </w:rPr>
              <w:t>服务方案</w:t>
            </w:r>
            <w:r>
              <w:rPr>
                <w:rFonts w:ascii="仿宋_GB2312" w:hAnsi="仿宋_GB2312" w:cs="仿宋_GB2312" w:eastAsia="仿宋_GB2312"/>
                <w:sz w:val="24"/>
              </w:rPr>
              <w:t>，</w:t>
            </w:r>
            <w:r>
              <w:rPr>
                <w:rFonts w:ascii="仿宋_GB2312" w:hAnsi="仿宋_GB2312" w:cs="仿宋_GB2312" w:eastAsia="仿宋_GB2312"/>
                <w:sz w:val="24"/>
              </w:rPr>
              <w:t>方案包括但不限于</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监测</w:t>
            </w:r>
            <w:r>
              <w:rPr>
                <w:rFonts w:ascii="仿宋_GB2312" w:hAnsi="仿宋_GB2312" w:cs="仿宋_GB2312" w:eastAsia="仿宋_GB2312"/>
                <w:sz w:val="24"/>
              </w:rPr>
              <w:t>方案：</w:t>
            </w:r>
            <w:r>
              <w:rPr>
                <w:rFonts w:ascii="仿宋_GB2312" w:hAnsi="仿宋_GB2312" w:cs="仿宋_GB2312" w:eastAsia="仿宋_GB2312"/>
                <w:sz w:val="24"/>
              </w:rPr>
              <w:t>①对监测项目的理解、②监测布局</w:t>
            </w:r>
            <w:r>
              <w:rPr>
                <w:rFonts w:ascii="仿宋_GB2312" w:hAnsi="仿宋_GB2312" w:cs="仿宋_GB2312" w:eastAsia="仿宋_GB2312"/>
                <w:sz w:val="24"/>
              </w:rPr>
              <w:t>、</w:t>
            </w:r>
            <w:r>
              <w:rPr>
                <w:rFonts w:ascii="仿宋_GB2312" w:hAnsi="仿宋_GB2312" w:cs="仿宋_GB2312" w:eastAsia="仿宋_GB2312"/>
                <w:sz w:val="24"/>
              </w:rPr>
              <w:t>③监测</w:t>
            </w:r>
            <w:r>
              <w:rPr>
                <w:rFonts w:ascii="仿宋_GB2312" w:hAnsi="仿宋_GB2312" w:cs="仿宋_GB2312" w:eastAsia="仿宋_GB2312"/>
                <w:sz w:val="24"/>
              </w:rPr>
              <w:t>技术</w:t>
            </w:r>
            <w:r>
              <w:rPr>
                <w:rFonts w:ascii="仿宋_GB2312" w:hAnsi="仿宋_GB2312" w:cs="仿宋_GB2312" w:eastAsia="仿宋_GB2312"/>
                <w:sz w:val="24"/>
              </w:rPr>
              <w:t>、</w:t>
            </w:r>
            <w:r>
              <w:rPr>
                <w:rFonts w:ascii="仿宋_GB2312" w:hAnsi="仿宋_GB2312" w:cs="仿宋_GB2312" w:eastAsia="仿宋_GB2312"/>
                <w:sz w:val="24"/>
              </w:rPr>
              <w:t>④拟投入监测的人员分工及进度安排、⑤监测工作服务的目标、⑥数据整理与分析</w:t>
            </w:r>
            <w:r>
              <w:rPr>
                <w:rFonts w:ascii="仿宋_GB2312" w:hAnsi="仿宋_GB2312" w:cs="仿宋_GB2312" w:eastAsia="仿宋_GB2312"/>
                <w:sz w:val="24"/>
              </w:rPr>
              <w:t>、</w:t>
            </w:r>
            <w:r>
              <w:rPr>
                <w:rFonts w:ascii="仿宋_GB2312" w:hAnsi="仿宋_GB2312" w:cs="仿宋_GB2312" w:eastAsia="仿宋_GB2312"/>
                <w:sz w:val="24"/>
              </w:rPr>
              <w:t>⑦成果报告编制及数据库建立、</w:t>
            </w:r>
            <w:r>
              <w:rPr>
                <w:rFonts w:ascii="仿宋_GB2312" w:hAnsi="仿宋_GB2312" w:cs="仿宋_GB2312" w:eastAsia="仿宋_GB2312"/>
                <w:sz w:val="24"/>
              </w:rPr>
              <w:t>⑧</w:t>
            </w:r>
            <w:r>
              <w:rPr>
                <w:rFonts w:ascii="仿宋_GB2312" w:hAnsi="仿宋_GB2312" w:cs="仿宋_GB2312" w:eastAsia="仿宋_GB2312"/>
                <w:sz w:val="24"/>
              </w:rPr>
              <w:t>质量安全保证措施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）后续服务方案：</w:t>
            </w:r>
            <w:r>
              <w:rPr>
                <w:rFonts w:ascii="仿宋_GB2312" w:hAnsi="仿宋_GB2312" w:cs="仿宋_GB2312" w:eastAsia="仿宋_GB2312"/>
                <w:sz w:val="24"/>
              </w:rPr>
              <w:t>①后续服务内容；②后续服务质量保障措施；③应急处理方案；④后续服务人员配置；⑤响应时间</w:t>
            </w:r>
            <w:r>
              <w:rPr>
                <w:rFonts w:ascii="仿宋_GB2312" w:hAnsi="仿宋_GB2312" w:cs="仿宋_GB2312" w:eastAsia="仿宋_GB2312"/>
                <w:sz w:val="24"/>
              </w:rPr>
              <w:t>；</w:t>
            </w:r>
            <w:r>
              <w:rPr>
                <w:rFonts w:ascii="仿宋_GB2312" w:hAnsi="仿宋_GB2312" w:cs="仿宋_GB2312" w:eastAsia="仿宋_GB2312"/>
                <w:sz w:val="24"/>
              </w:rPr>
              <w:t>⑥</w:t>
            </w:r>
            <w:r>
              <w:rPr>
                <w:rFonts w:ascii="仿宋_GB2312" w:hAnsi="仿宋_GB2312" w:cs="仿宋_GB2312" w:eastAsia="仿宋_GB2312"/>
                <w:sz w:val="24"/>
              </w:rPr>
              <w:t>资料归档管理措施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综合实力：拟投入的人员及证书。</w:t>
            </w:r>
          </w:p>
          <w:p>
            <w:pPr>
              <w:pStyle w:val="null3"/>
              <w:ind w:firstLine="420"/>
              <w:jc w:val="both"/>
            </w:pPr>
            <w:r>
              <w:rPr>
                <w:rFonts w:ascii="仿宋_GB2312" w:hAnsi="仿宋_GB2312" w:cs="仿宋_GB2312" w:eastAsia="仿宋_GB2312"/>
                <w:sz w:val="24"/>
                <w:b/>
              </w:rPr>
              <w:t>注：</w:t>
            </w:r>
            <w:r>
              <w:rPr>
                <w:rFonts w:ascii="仿宋_GB2312" w:hAnsi="仿宋_GB2312" w:cs="仿宋_GB2312" w:eastAsia="仿宋_GB2312"/>
                <w:sz w:val="24"/>
                <w:b/>
              </w:rPr>
              <w:t>“履约要求”作为评分因素，供应商未完全满足仅按要求进行扣分，不影响其响应文件有效性。</w:t>
            </w:r>
          </w:p>
          <w:p>
            <w:pPr>
              <w:pStyle w:val="null3"/>
              <w:spacing w:after="225"/>
              <w:ind w:firstLine="420"/>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服务内容与要求</w:t>
            </w:r>
          </w:p>
        </w:tc>
        <w:tc>
          <w:tcPr>
            <w:tcW w:type="dxa" w:w="5814"/>
          </w:tcPr>
          <w:p>
            <w:pPr>
              <w:pStyle w:val="null3"/>
              <w:ind w:firstLine="480"/>
              <w:jc w:val="both"/>
            </w:pPr>
            <w:r>
              <w:rPr>
                <w:rFonts w:ascii="仿宋_GB2312" w:hAnsi="仿宋_GB2312" w:cs="仿宋_GB2312" w:eastAsia="仿宋_GB2312"/>
                <w:sz w:val="24"/>
              </w:rPr>
              <w:t>（一）成效监测范围：</w:t>
            </w:r>
          </w:p>
          <w:p>
            <w:pPr>
              <w:pStyle w:val="null3"/>
              <w:ind w:firstLine="480"/>
              <w:jc w:val="both"/>
            </w:pPr>
            <w:r>
              <w:rPr>
                <w:rFonts w:ascii="仿宋_GB2312" w:hAnsi="仿宋_GB2312" w:cs="仿宋_GB2312" w:eastAsia="仿宋_GB2312"/>
                <w:sz w:val="24"/>
              </w:rPr>
              <w:t>包含森林生态系统综合治理区、草原生态系统综合治理区和水土保持综合治理区，在项目建设范围内设置固定监测样地和随机监测样地，采取样地现场调查、室内分析与遥感判定结合的方法，开展系统监测，根据监测所得数据，深入分析治理前后、治理区域内外的植被盖度、草群平均高度、植被组成结构、地上生物量等变化，按年度形成《</w:t>
            </w:r>
            <w:r>
              <w:rPr>
                <w:rFonts w:ascii="仿宋_GB2312" w:hAnsi="仿宋_GB2312" w:cs="仿宋_GB2312" w:eastAsia="仿宋_GB2312"/>
                <w:sz w:val="24"/>
              </w:rPr>
              <w:t>2024年度四川省阿坝州大渡河流域生物多样性保护与水源涵养生态修复项目（壤塘县部分）成效评估报告》，对工程治理提供定量评价，供项目建设单位、行业主管部门决策参考。</w:t>
            </w:r>
          </w:p>
          <w:p>
            <w:pPr>
              <w:pStyle w:val="null3"/>
              <w:ind w:firstLine="480"/>
              <w:jc w:val="both"/>
            </w:pPr>
            <w:r>
              <w:rPr>
                <w:rFonts w:ascii="仿宋_GB2312" w:hAnsi="仿宋_GB2312" w:cs="仿宋_GB2312" w:eastAsia="仿宋_GB2312"/>
                <w:sz w:val="24"/>
              </w:rPr>
              <w:t>（二）成效监测要求：</w:t>
            </w:r>
          </w:p>
          <w:p>
            <w:pPr>
              <w:pStyle w:val="null3"/>
              <w:ind w:firstLine="420"/>
              <w:jc w:val="both"/>
            </w:pPr>
            <w:r>
              <w:rPr>
                <w:rFonts w:ascii="仿宋_GB2312" w:hAnsi="仿宋_GB2312" w:cs="仿宋_GB2312" w:eastAsia="仿宋_GB2312"/>
                <w:sz w:val="24"/>
              </w:rPr>
              <w:t>在项目竣工验收前，连续四年分年度开展成效监测（</w:t>
            </w:r>
            <w:r>
              <w:rPr>
                <w:rFonts w:ascii="仿宋_GB2312" w:hAnsi="仿宋_GB2312" w:cs="仿宋_GB2312" w:eastAsia="仿宋_GB2312"/>
                <w:sz w:val="24"/>
              </w:rPr>
              <w:t>2025年项目建设时适时开展监测工作，采集本底数据，2026年～2028年进行建成后监测工作）。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自合同签订之日起1460日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壤塘县吾伊乡、南木达镇、岗木达镇、宗科乡、茸木达乡、上杜柯乡。</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号）、《政府采购需求管理办法》（财库〔2021〕22号）文件、项目实施方案及批复等相关文件等相关规定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1、进度款，（1）、进度款：第一次进度款在提交第一年年度监测报告，由乙方向甲方提交书面请款申请及相应金额的增值税专用发票并经甲方认可后，达到付款条件起15日内，支付合同总金额的60.00%</w:t>
            </w:r>
          </w:p>
          <w:p>
            <w:pPr>
              <w:pStyle w:val="null3"/>
              <w:jc w:val="left"/>
            </w:pPr>
            <w:r>
              <w:rPr>
                <w:rFonts w:ascii="仿宋_GB2312" w:hAnsi="仿宋_GB2312" w:cs="仿宋_GB2312" w:eastAsia="仿宋_GB2312"/>
              </w:rPr>
              <w:t>2、尾款，（2）、尾款：尾款在项目完成竣工验收，形成总体监测报告，由乙方向甲方提交书面请款申请及相应金额的增值税专用发票并经甲方认可后，达到付款条件起15日内，支付合同总金额的40.00%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 xml:space="preserve">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如有未尽事宜由供需双方合同约定为准。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在获得采购人代表确认的前提下，可以根据磋商情况实质性变动相关内容。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在获得采购人代表确认的前提下，可以根据磋商情况实质性变动相关内容。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⑤非独立法人分支机构参加须提供具有独立法人资格的总公司出具的授权书，并提供“统一社会信用代码营业执照”:未换证的提供“营业执照、税务登记证、组织机构代码证”。以上均提供电子版本文件。</w:t>
            </w:r>
          </w:p>
        </w:tc>
        <w:tc>
          <w:tcPr>
            <w:tcW w:type="dxa" w:w="1910"/>
          </w:tcPr>
          <w:p>
            <w:pPr>
              <w:pStyle w:val="null3"/>
              <w:jc w:val="left"/>
            </w:pPr>
            <w:r>
              <w:rPr>
                <w:rFonts w:ascii="仿宋_GB2312" w:hAnsi="仿宋_GB2312" w:cs="仿宋_GB2312" w:eastAsia="仿宋_GB2312"/>
              </w:rPr>
              <w:t>响应文件封面,供应商应提交的相关资格证明材料.docx,投标（响应）函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以来（含2023年）任意一年，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投标（响应）函,磋商文件要求的或供应商认为应该提供的其他资料.docx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本项目不接受联合体磋商</w:t>
            </w:r>
          </w:p>
        </w:tc>
        <w:tc>
          <w:tcPr>
            <w:tcW w:type="dxa" w:w="3322"/>
          </w:tcPr>
          <w:p>
            <w:pPr>
              <w:pStyle w:val="null3"/>
              <w:jc w:val="left"/>
            </w:pPr>
            <w:r>
              <w:rPr>
                <w:rFonts w:ascii="仿宋_GB2312" w:hAnsi="仿宋_GB2312" w:cs="仿宋_GB2312" w:eastAsia="仿宋_GB2312"/>
              </w:rPr>
              <w:t>本项目不接受联合体磋商（可不提供证明材料，根据响应文件认定)。</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供应商应具备林业调查规划设计乙级及以上资质</w:t>
            </w:r>
          </w:p>
        </w:tc>
        <w:tc>
          <w:tcPr>
            <w:tcW w:type="dxa" w:w="3322"/>
          </w:tcPr>
          <w:p>
            <w:pPr>
              <w:pStyle w:val="null3"/>
              <w:jc w:val="left"/>
            </w:pPr>
            <w:r>
              <w:rPr>
                <w:rFonts w:ascii="仿宋_GB2312" w:hAnsi="仿宋_GB2312" w:cs="仿宋_GB2312" w:eastAsia="仿宋_GB2312"/>
              </w:rPr>
              <w:t>供应商应具备林业调查规划设计乙级及以上资质（提供有效的证书扫描件并加盖供应商公章）。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投标（响应）函,磋商文件要求的或供应商认为应该提供的其他资料.docx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采购文件规定的其他实质性内容</w:t>
            </w:r>
          </w:p>
        </w:tc>
        <w:tc>
          <w:tcPr>
            <w:tcW w:type="dxa" w:w="3322"/>
          </w:tcPr>
          <w:p>
            <w:pPr>
              <w:pStyle w:val="null3"/>
              <w:jc w:val="left"/>
            </w:pPr>
            <w:r>
              <w:rPr>
                <w:rFonts w:ascii="仿宋_GB2312" w:hAnsi="仿宋_GB2312" w:cs="仿宋_GB2312" w:eastAsia="仿宋_GB2312"/>
              </w:rPr>
              <w:t>响应文件是否符合采购文件规定的其他实质性内容要求</w:t>
            </w:r>
          </w:p>
        </w:tc>
        <w:tc>
          <w:tcPr>
            <w:tcW w:type="dxa" w:w="1910"/>
          </w:tcPr>
          <w:p>
            <w:pPr>
              <w:pStyle w:val="null3"/>
              <w:jc w:val="left"/>
            </w:pPr>
            <w:r>
              <w:rPr>
                <w:rFonts w:ascii="仿宋_GB2312" w:hAnsi="仿宋_GB2312" w:cs="仿宋_GB2312" w:eastAsia="仿宋_GB2312"/>
              </w:rPr>
              <w:t>商务应答表.docx,投标（响应）函,磋商文件要求的或供应商认为应该提供的其他资料.docx,服务应答表.docx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监测方案</w:t>
            </w:r>
          </w:p>
        </w:tc>
        <w:tc>
          <w:tcPr>
            <w:tcW w:type="dxa" w:w="2575"/>
          </w:tcPr>
          <w:p>
            <w:pPr>
              <w:pStyle w:val="null3"/>
              <w:jc w:val="left"/>
            </w:pPr>
            <w:r>
              <w:rPr>
                <w:rFonts w:ascii="仿宋_GB2312" w:hAnsi="仿宋_GB2312" w:cs="仿宋_GB2312" w:eastAsia="仿宋_GB2312"/>
              </w:rPr>
              <w:t>根据供应商针对本项目提供的监测方案评审包括以下内容：①对监测项目的理解、②监测布局、③监测技术、④拟投入监测的人员分工及进度安排、⑤监测工作服务的目标、⑥数据整理与分析、⑦成果报告编制及数据库建立、⑧质量安全保证措施。方案齐全且无缺陷的得48分，每缺少一项内容的扣6分；每项中每有一处缺陷扣3分。扣完为止。 注：缺陷是指：项目名称错误或实施地点区域错误；虽有响应但与方案内容要求不符或未按采购需求针对描述或存在描述内容过于简略；表述不清晰；套用其他项目方案；存在与本项目无关的内容或不可能实现的情形；工作流程错误不符合采购需求或工作进度及人员安排不合理或不利于项目实施等情形中的任一种情形。</w:t>
            </w:r>
          </w:p>
        </w:tc>
        <w:tc>
          <w:tcPr>
            <w:tcW w:type="dxa" w:w="831"/>
          </w:tcPr>
          <w:p>
            <w:pPr>
              <w:pStyle w:val="null3"/>
              <w:jc w:val="center"/>
            </w:pPr>
            <w:r>
              <w:rPr>
                <w:rFonts w:ascii="仿宋_GB2312" w:hAnsi="仿宋_GB2312" w:cs="仿宋_GB2312" w:eastAsia="仿宋_GB2312"/>
              </w:rPr>
              <w:t>48.0000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监测方案.docx</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575"/>
          </w:tcPr>
          <w:p>
            <w:pPr>
              <w:pStyle w:val="null3"/>
              <w:jc w:val="left"/>
            </w:pPr>
            <w:r>
              <w:rPr>
                <w:rFonts w:ascii="仿宋_GB2312" w:hAnsi="仿宋_GB2312" w:cs="仿宋_GB2312" w:eastAsia="仿宋_GB2312"/>
              </w:rPr>
              <w:t>1、项目负责人（1人）：具有林草类相关专业中级技术职称得3分；具有林草类高级及以上技术职称得5分；本项最高得5分； 2、技术负责人1名：具有林草类相关专业中级技术职称得3分；具有林草类高级及以上技术职称得5分；本项最高得5分； 3、其他人员中：每有一名具有林草类相关专业中级及以上技术职称得2分，本项目最高得8分。 注：1.拟派本项目人员应提供相应有效的身份证复印件、职称证复印件，加盖供应商公章； 2.拟派本项目的所有人员应是供应商本单位人员，提供在职证明材料，加盖供应商公章； 3.以上人员不重复计分。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人员配备.docx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供应商2022年01月01日（含）至今每提供1个类似业绩（类似业绩是指：生态修复类项目监测或生态修复类勘察设计或生物多样性类调查项目）得6分，本项最多得6分。 注：提供中标（成交）通知书（以签署时间为准）或合同协议书（以签订时间为准）复印件并加盖公章，不提供不盖章不得分。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针对本项目制定的后续服务方案进行综合评分，包含：①后续服务内容；②后续服务质量保障措施；③应急处理方案；④后续服务人员配置；⑤响应时间；⑥资料归档管理措施。前述6项提供一项得3分，最多得18分，未提供不得分，每有1处存在内容缺陷扣1.5分。 注：缺陷是指：项目名称错误或实施地点区域错误；虽有响应但与方案内容要求不符或未按采购需求针对描述或存在描述内容过于简略；表述不清晰；套用其他项目方案；存在与本项目无关的内容或不可能实现的情形；工作流程错误不符合采购需求或工作进度及人员安排不合理或不利于项目实施等情形中的任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后续服务方案.docx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详见附件：监测方案.docx</w:t>
      </w:r>
    </w:p>
    <w:p>
      <w:pPr>
        <w:pStyle w:val="null3"/>
        <w:ind w:firstLine="960"/>
        <w:jc w:val="left"/>
      </w:pPr>
      <w:r>
        <w:rPr>
          <w:rFonts w:ascii="仿宋_GB2312" w:hAnsi="仿宋_GB2312" w:cs="仿宋_GB2312" w:eastAsia="仿宋_GB2312"/>
        </w:rPr>
        <w:t>详见附件：人员配备.docx</w:t>
      </w:r>
    </w:p>
    <w:p>
      <w:pPr>
        <w:pStyle w:val="null3"/>
        <w:ind w:firstLine="960"/>
        <w:jc w:val="left"/>
      </w:pPr>
      <w:r>
        <w:rPr>
          <w:rFonts w:ascii="仿宋_GB2312" w:hAnsi="仿宋_GB2312" w:cs="仿宋_GB2312" w:eastAsia="仿宋_GB2312"/>
        </w:rPr>
        <w:t>详见附件：后续服务方案.docx</w:t>
      </w:r>
    </w:p>
    <w:p>
      <w:pPr>
        <w:pStyle w:val="null3"/>
        <w:ind w:firstLine="960"/>
        <w:jc w:val="left"/>
      </w:pPr>
      <w:r>
        <w:rPr>
          <w:rFonts w:ascii="仿宋_GB2312" w:hAnsi="仿宋_GB2312" w:cs="仿宋_GB2312" w:eastAsia="仿宋_GB2312"/>
        </w:rPr>
        <w:t>详见附件：磋商文件要求的或供应商认为应该提供的其他资料.docx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