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罗源县公共实训基地建设项目全过程咨询服务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CGXM-2025-350123-00215[2025]00162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[350123]ZJGC[CS]2025001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罗源县人力资源和社会保障局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福建紫金工程技术有限公司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罗源县人力资源和社会保障局</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罗源县公共实训基地建设项目全过程咨询服务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福建紫金工程技术有限公司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罗源县公共实训基地建设项目全过程咨询服务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CGXM-2025-350123-00215[2025]00162</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[350123]ZJGC[CS]2025001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695,042.00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全过程咨询服务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700,000.00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罗源县公共实训基地建设项目全过程咨询服务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695,042.00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罗源县公共实训基地建设项目全过程咨询服务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设计</w:t>
            </w:r>
          </w:p>
        </w:tc>
        <w:tc>
          <w:tcPr>
            <w:tcW w:type="dxa" w:w="2076"/>
          </w:tcPr>
          <w:p>
            <w:pPr>
              <w:pStyle w:val="null3"/>
              <w:jc w:val="left"/>
            </w:pPr>
            <w:r>
              <w:rPr>
                <w:rFonts w:ascii="仿宋_GB2312" w:hAnsi="仿宋_GB2312" w:cs="仿宋_GB2312" w:eastAsia="仿宋_GB2312"/>
              </w:rPr>
              <w:t>按磋商文件要求</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552,237.00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勘察</w:t>
            </w:r>
          </w:p>
        </w:tc>
        <w:tc>
          <w:tcPr>
            <w:tcW w:type="dxa" w:w="2076"/>
          </w:tcPr>
          <w:p>
            <w:pPr>
              <w:pStyle w:val="null3"/>
              <w:jc w:val="left"/>
            </w:pPr>
            <w:r>
              <w:rPr>
                <w:rFonts w:ascii="仿宋_GB2312" w:hAnsi="仿宋_GB2312" w:cs="仿宋_GB2312" w:eastAsia="仿宋_GB2312"/>
              </w:rPr>
              <w:t>按磋商文件要求</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82,800.00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造价咨询</w:t>
            </w:r>
          </w:p>
        </w:tc>
        <w:tc>
          <w:tcPr>
            <w:tcW w:type="dxa" w:w="2076"/>
          </w:tcPr>
          <w:p>
            <w:pPr>
              <w:pStyle w:val="null3"/>
              <w:jc w:val="left"/>
            </w:pPr>
            <w:r>
              <w:rPr>
                <w:rFonts w:ascii="仿宋_GB2312" w:hAnsi="仿宋_GB2312" w:cs="仿宋_GB2312" w:eastAsia="仿宋_GB2312"/>
              </w:rPr>
              <w:t>按磋商文件要求</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60,005.00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资质要求</w:t>
            </w:r>
          </w:p>
        </w:tc>
        <w:tc>
          <w:tcPr>
            <w:tcW w:type="dxa" w:w="4614"/>
          </w:tcPr>
          <w:p>
            <w:pPr>
              <w:pStyle w:val="null3"/>
              <w:jc w:val="left"/>
            </w:pPr>
            <w:r>
              <w:rPr>
                <w:rFonts w:ascii="仿宋_GB2312" w:hAnsi="仿宋_GB2312" w:cs="仿宋_GB2312" w:eastAsia="仿宋_GB2312"/>
              </w:rPr>
              <w:t>供应商具备的资质及其等级必须满足下列条件： （1）具备建设行政主管部门核发有效的工程设计建筑行业(建筑工程)专业乙级及以上资质或工程设计建筑行业行业乙级及以上资质或工程设计综合资质甲级； （2）具备建设行政主管部门核发有效的工程勘察综合类资质甲级或工程勘察专业类岩土工程（勘察）甲级及以上资质，根据闽建办科〔2018〕16号文规定，非我省工商登记注册的勘察单位（包括以联合体形式参与投标的工程勘察单位），应在我省具有与招标项目相适应的土工试验室和技术人员； （3）承担造价咨询任务的单位法人营业执照经营范围应包括工程造价咨询业务。</w:t>
            </w:r>
          </w:p>
        </w:tc>
      </w:tr>
      <w:tr>
        <w:tc>
          <w:tcPr>
            <w:tcW w:type="dxa" w:w="3692"/>
          </w:tcPr>
          <w:p>
            <w:pPr>
              <w:pStyle w:val="null3"/>
              <w:jc w:val="left"/>
            </w:pPr>
            <w:r>
              <w:rPr>
                <w:rFonts w:ascii="仿宋_GB2312" w:hAnsi="仿宋_GB2312" w:cs="仿宋_GB2312" w:eastAsia="仿宋_GB2312"/>
              </w:rPr>
              <w:t>其他要求</w:t>
            </w:r>
          </w:p>
        </w:tc>
        <w:tc>
          <w:tcPr>
            <w:tcW w:type="dxa" w:w="4614"/>
          </w:tcPr>
          <w:p>
            <w:pPr>
              <w:pStyle w:val="null3"/>
              <w:jc w:val="left"/>
            </w:pPr>
            <w:r>
              <w:rPr>
                <w:rFonts w:ascii="仿宋_GB2312" w:hAnsi="仿宋_GB2312" w:cs="仿宋_GB2312" w:eastAsia="仿宋_GB2312"/>
              </w:rPr>
              <w:t>本项目允许联合体投标。 ①联合体投标的，联合体牵头人应由承担设计咨询任务的成员担任，且联合体所有成员单位（含联合体牵头人）总数不得超过3家；②联合体各方在同一采购项目中不得以自己名义单独投标或者参加其他联合体的投标；③联合体各方应具备其所承担采购项目承包内容的相应资质条件；承担相同承包内容的专业单位组成联合体的，按照资质等级较低的单位确定资质等级；④联合体各成员应签订联合体协议书，联合体协议中明确承担设计任务的单位为牵头人；⑤联合体投标的，拟派出的项目总负责人必须由联合体牵头人派出。</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罗源县人力资源和社会保障局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福建省福州市罗源县凤山镇北环城路49号物资大楼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0591-26837323</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福建紫金工程技术有限公司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福州市鼓楼区杨桥西路145号福建地矿大厦四楼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黄金星、黄富英、周梅金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0591-87600506</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福建紫金工程技术有限公司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资质要求</w:t>
                  </w:r>
                </w:p>
              </w:tc>
              <w:tc>
                <w:tcPr>
                  <w:tcW w:type="dxa" w:w="1418"/>
                </w:tcPr>
                <w:p>
                  <w:pPr>
                    <w:pStyle w:val="null3"/>
                    <w:jc w:val="left"/>
                  </w:pPr>
                  <w:r>
                    <w:rPr>
                      <w:rFonts w:ascii="仿宋_GB2312" w:hAnsi="仿宋_GB2312" w:cs="仿宋_GB2312" w:eastAsia="仿宋_GB2312"/>
                    </w:rPr>
                    <w:t>供应商具备的资质及其等级必须满足下列条件： （1）具备建设行政主管部门核发有效的工程设计建筑行业(建筑工程)专业乙级及以上资质或工程设计建筑行业行业乙级及以上资质或工程设计综合资质甲级； （2）具备建设行政主管部门核发有效的工程勘察综合类资质甲级或工程勘察专业类岩土工程（勘察）甲级及以上资质，根据闽建办科〔2018〕16号文规定，非我省工商登记注册的勘察单位（包括以联合体形式参与投标的工程勘察单位），应在我省具有与招标项目相适应的土工试验室和技术人员； （3）承担造价咨询任务的单位法人营业执照经营范围应包括工程造价咨询业务。</w:t>
                  </w:r>
                </w:p>
              </w:tc>
            </w:tr>
            <w:tr>
              <w:tc>
                <w:tcPr>
                  <w:tcW w:type="dxa" w:w="1135"/>
                </w:tcPr>
                <w:p>
                  <w:pPr>
                    <w:pStyle w:val="null3"/>
                    <w:jc w:val="left"/>
                  </w:pPr>
                  <w:r>
                    <w:rPr>
                      <w:rFonts w:ascii="仿宋_GB2312" w:hAnsi="仿宋_GB2312" w:cs="仿宋_GB2312" w:eastAsia="仿宋_GB2312"/>
                    </w:rPr>
                    <w:t>其他要求</w:t>
                  </w:r>
                </w:p>
              </w:tc>
              <w:tc>
                <w:tcPr>
                  <w:tcW w:type="dxa" w:w="1418"/>
                </w:tcPr>
                <w:p>
                  <w:pPr>
                    <w:pStyle w:val="null3"/>
                    <w:jc w:val="left"/>
                  </w:pPr>
                  <w:r>
                    <w:rPr>
                      <w:rFonts w:ascii="仿宋_GB2312" w:hAnsi="仿宋_GB2312" w:cs="仿宋_GB2312" w:eastAsia="仿宋_GB2312"/>
                    </w:rPr>
                    <w:t>本项目允许联合体投标。 ①联合体投标的，联合体牵头人应由承担设计咨询任务的成员担任，且联合体所有成员单位（含联合体牵头人）总数不得超过3家；②联合体各方在同一采购项目中不得以自己名义单独投标或者参加其他联合体的投标；③联合体各方应具备其所承担采购项目承包内容的相应资质条件；承担相同承包内容的专业单位组成联合体的，按照资质等级较低的单位确定资质等级；④联合体各成员应签订联合体协议书，联合体协议中明确承担设计任务的单位为牵头人；⑤联合体投标的，拟派出的项目总负责人必须由联合体牵头人派出。</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罗源县财政局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原国家计委《招标代理服务收费管理暂行办法》（[2002]1980号）文规定收费标准的50%计取，以成交金额作为收费的计算基数，按差额定率累进法计算。成交人在领取成交通知书前向招标代理单位一次性付清。</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供应商资质证书应根据《住房城乡建设部建筑市场监管司关于建设工程企业资质延续有关事项的通知》（建司局函市[2023]116号)、《福建省住房和城乡建设厅关于明确建设工程企业资质证书有效期延续有关事宜的通知》(闽建许[2024]10号)及其他相关规定执行，并提供有效的资质证书或相关证明材料。 ②本项目建设单位为罗源县人力资源和社会保障局，代建单位为罗源县城乡建设发展集团有限公司，代建单位负责本项目的全部管理工作，具体权限以代建合同为准。成交人成交后应与建设单位和代建单位签订三方合同，采购合同内容以线下签订的纸质合同为准（具体合同内容详见附件）。</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a.供应商在福建省政府采购网上公开信息系统注册报名时应录入供应商单位中文全称，不应使用简称、字母、符号等，否则可能出现电子响应无法进行或核验保证金未能通过等情形，从而导致投标失败等后果均由供应商自行承担。 b.远程开标的规定 b1.本项目支持远程开标，供应商可通过远程线上参与开标，具体系统操作指南详见福建省政府采购网首页上相关操作手册。 b2.本项目开标过程中解密的操作时限为30分钟，远程签章的操作时限为30分钟。请供应商务必密切关注实时开标流程，完成远程解密、远程签章。 b3.供应商应确保自身设施、设备、网络环境状况良好，在开标过程中因供应商自身原因未在规定的操作时间内完成投标文件的解密，逾期未解密的，视为自行放弃投标。供应商未在规定的操作时间内完成远程签章的，视为默认开标结果。 b3.远程解密及远程签章的开放起始时间均在开标过程中临时开启，请供应商务必密切关注实时开标流程，并根据流程在系统内按时操作,否则产生的后果由供应商自行承担。b5.在开标过程中，因系统故障等导致无法继续进行开标的，供应商须配合等待故障处理，待故障解除后继续开标。c.招标文件关于供应商串通投标情形补充条款详见《关于福建省财政厅关于电子化政府采购项目中视为串标情形认定与处理的指导意见》闽财购〔2018〕30号文件规定。</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F1指价格项评审因素得分＝（评标基准价/投标报价）×100×价格项评审因素所占的权重（注：满足采购文件要求且投标价格最低的投标报价为评标基准价。）最低报价不是中标的唯一依据。因落实政府采购政策进行价格调整的，以调整后的价格计算评标基准价和投标报价。</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 注：1、本项目为非专门面向中小企业采购的项目；2、本采购包为服务类采购项目，采购标的对应的所属行业为：“其他未列明行业”。</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5.00%</w:t>
            </w:r>
          </w:p>
        </w:tc>
        <w:tc>
          <w:tcPr>
            <w:tcW w:type="dxa" w:w="4153"/>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 5%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 注：1、本项目为非专门面向中小企业采购的项目；2、本采购包为服务类采购项目，采购标的对应的所属行业为：“其他未列明行业”。</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满分为69.0000分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1.技术要求响应情况</w:t>
            </w:r>
          </w:p>
        </w:tc>
        <w:tc>
          <w:tcPr>
            <w:tcW w:type="dxa" w:w="831"/>
          </w:tcPr>
          <w:p>
            <w:pPr>
              <w:pStyle w:val="null3"/>
              <w:jc w:val="right"/>
            </w:pPr>
            <w:r>
              <w:rPr>
                <w:rFonts w:ascii="仿宋_GB2312" w:hAnsi="仿宋_GB2312" w:cs="仿宋_GB2312" w:eastAsia="仿宋_GB2312"/>
              </w:rPr>
              <w:t>60.00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对第三章《采购内容及要求》“二、技术和服务要求”的各项要求的响应情况，由磋商小组进行评分：完全满足磋商文件要求的得60分；标注“★”的技术参数为实质性不允许负偏离的条款，有负偏离的按无效响应处理；未标注“★”的技术参数（共计21项）每负偏离或未响应一项扣2.86分，正偏离不加分。 注：磋商文件中技术指标若有要求供应商提供相应佐证材料的，供应商未提供相应佐证材料或者供应商的响应承诺与其佐证材料不一致的，磋商小组将以不利于供应商的内容为准进行评审（负偏离）。</w:t>
            </w:r>
          </w:p>
        </w:tc>
      </w:tr>
      <w:tr>
        <w:tc>
          <w:tcPr>
            <w:tcW w:type="dxa" w:w="3322"/>
          </w:tcPr>
          <w:p>
            <w:pPr>
              <w:pStyle w:val="null3"/>
              <w:jc w:val="left"/>
            </w:pPr>
            <w:r>
              <w:rPr>
                <w:rFonts w:ascii="仿宋_GB2312" w:hAnsi="仿宋_GB2312" w:cs="仿宋_GB2312" w:eastAsia="仿宋_GB2312"/>
              </w:rPr>
              <w:t>2.设计标准和规范采用</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根据各供应商提供对本项目设计应采用的技术标准和规范的准确、齐全、有效等情况进行评分： （1）有提供相应方案的得2分；（2）在满足（1）的基础上，工作方案中对设计标准和规范采用进行阐述的得2.5分；（3）在满足（2）的基础上，制定的方案明确了设计导则、设计规范、设计标准的得3分。未提供或提供的内容与本项目无关的不得分。</w:t>
            </w:r>
          </w:p>
        </w:tc>
      </w:tr>
      <w:tr>
        <w:tc>
          <w:tcPr>
            <w:tcW w:type="dxa" w:w="3322"/>
          </w:tcPr>
          <w:p>
            <w:pPr>
              <w:pStyle w:val="null3"/>
              <w:jc w:val="left"/>
            </w:pPr>
            <w:r>
              <w:rPr>
                <w:rFonts w:ascii="仿宋_GB2312" w:hAnsi="仿宋_GB2312" w:cs="仿宋_GB2312" w:eastAsia="仿宋_GB2312"/>
              </w:rPr>
              <w:t>3.质量保证措施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根据各供应商提供的质量保证措施进行评价： （1）有提供相应方案的得2分；（2）在满足（1）的基础上，方案包含质量保证措施，符合项目实际情况，合理、可行的得2.5分；（3）在满足（2）的基础上，制定安全保证措施及安全管理制度等，符合项目实际情况，合理、可行的得3分；未提供或提供的内容与本项目无关的不得分。</w:t>
            </w:r>
          </w:p>
        </w:tc>
      </w:tr>
      <w:tr>
        <w:tc>
          <w:tcPr>
            <w:tcW w:type="dxa" w:w="3322"/>
          </w:tcPr>
          <w:p>
            <w:pPr>
              <w:pStyle w:val="null3"/>
              <w:jc w:val="left"/>
            </w:pPr>
            <w:r>
              <w:rPr>
                <w:rFonts w:ascii="仿宋_GB2312" w:hAnsi="仿宋_GB2312" w:cs="仿宋_GB2312" w:eastAsia="仿宋_GB2312"/>
              </w:rPr>
              <w:t>4.进度保证措施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根据各供应商提供的设计周期，满足采购文件要求、进度计划合理、可行性等进行评分： （1）有提供相应方案的得2分；（2）在满足（1）的基础上，方案包含进度计划，符合项目实际情况，合理、可行的得2.5分；（3）在满足（2）的基础上，制定了详细的进度计划、定期审查和更新项目计划、成立项目管理小组，符合项目实际情况，合理、可行的得3分；未提供或提供的内容与本项目无关的不得分。</w:t>
            </w:r>
          </w:p>
        </w:tc>
      </w:tr>
    </w:tbl>
    <w:p>
      <w:pPr>
        <w:pStyle w:val="null3"/>
        <w:jc w:val="left"/>
      </w:pPr>
      <w:r>
        <w:rPr>
          <w:rFonts w:ascii="仿宋_GB2312" w:hAnsi="仿宋_GB2312" w:cs="仿宋_GB2312" w:eastAsia="仿宋_GB2312"/>
        </w:rPr>
        <w:t>商务部分评分PB 满分为21.0000分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1.信用评价</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独立投标人或联合体牵头人）在“福建省勘察设计单位和施工图审查机构信用评价系统”中2025年第一季度企业信用分大于85分的得3分，75分（不含）~85分（含）的得2分，65分（不含）~75分（含）的得1分，其余不得分。 注：须提供“福建省勘察设计单位和施工图审查机构信用评价系统”查询结果的网页截图并加盖单位公章。</w:t>
            </w:r>
          </w:p>
        </w:tc>
      </w:tr>
      <w:tr>
        <w:tc>
          <w:tcPr>
            <w:tcW w:type="dxa" w:w="3322"/>
          </w:tcPr>
          <w:p>
            <w:pPr>
              <w:pStyle w:val="null3"/>
              <w:jc w:val="left"/>
            </w:pPr>
            <w:r>
              <w:rPr>
                <w:rFonts w:ascii="仿宋_GB2312" w:hAnsi="仿宋_GB2312" w:cs="仿宋_GB2312" w:eastAsia="仿宋_GB2312"/>
              </w:rPr>
              <w:t>2.综合实力①</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独立投标人或联合体牵头人）具备有效期内的ISO9001质量管理体系认证、ISO14001环境管理体系认证和ISO45001职业健康安全管理体系认证，且上述各认证的覆盖范围均包含工程勘察、建筑行业（建筑工程）设计、全过程工程咨询，每提供一项得1分，满分3分。 注：须提供上述证书复印件并加盖公章，否则不得分。</w:t>
            </w:r>
          </w:p>
        </w:tc>
      </w:tr>
      <w:tr>
        <w:tc>
          <w:tcPr>
            <w:tcW w:type="dxa" w:w="3322"/>
          </w:tcPr>
          <w:p>
            <w:pPr>
              <w:pStyle w:val="null3"/>
              <w:jc w:val="left"/>
            </w:pPr>
            <w:r>
              <w:rPr>
                <w:rFonts w:ascii="仿宋_GB2312" w:hAnsi="仿宋_GB2312" w:cs="仿宋_GB2312" w:eastAsia="仿宋_GB2312"/>
              </w:rPr>
              <w:t>3.综合实力②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供应商（独立投标人或联合体牵头人）自本招标公告发布之日的前5年内（不含响应文件递交截止时间当月，以获奖证书的落款日期为准），获得过市级及以上人民政府颁发的政府质量奖的得3分， 注：须提供相关证书复印件并加盖公章，否则不得分。</w:t>
            </w:r>
          </w:p>
        </w:tc>
      </w:tr>
      <w:tr>
        <w:tc>
          <w:tcPr>
            <w:tcW w:type="dxa" w:w="3322"/>
          </w:tcPr>
          <w:p>
            <w:pPr>
              <w:pStyle w:val="null3"/>
              <w:jc w:val="left"/>
            </w:pPr>
            <w:r>
              <w:rPr>
                <w:rFonts w:ascii="仿宋_GB2312" w:hAnsi="仿宋_GB2312" w:cs="仿宋_GB2312" w:eastAsia="仿宋_GB2312"/>
              </w:rPr>
              <w:t>4.咨询团队①</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供应商拟派本项目的设计负责人、勘察负责人、造价负责人，均具备高级工程师及以上职称的，得3分。 注：须提供证书复印件、身份证复印件及供应商为其缴纳的近六个月（不含响应文件递交截止时间当月）内任意连续三个月的社保缴纳凭证复印件。</w:t>
            </w:r>
          </w:p>
        </w:tc>
      </w:tr>
      <w:tr>
        <w:tc>
          <w:tcPr>
            <w:tcW w:type="dxa" w:w="3322"/>
          </w:tcPr>
          <w:p>
            <w:pPr>
              <w:pStyle w:val="null3"/>
              <w:jc w:val="left"/>
            </w:pPr>
            <w:r>
              <w:rPr>
                <w:rFonts w:ascii="仿宋_GB2312" w:hAnsi="仿宋_GB2312" w:cs="仿宋_GB2312" w:eastAsia="仿宋_GB2312"/>
              </w:rPr>
              <w:t>5.咨询团队②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独立投标人或联合体牵头人）具备国家人力资源和社会保障部教育培训中心颁发的BIM应用设计师岗位能力证书（或BIM应用设计技术培训证书）或中国图学学会颁发的全国BIM技能等级考试三级证书，人数在6人（含）及以上且其中同时具备一级注册建筑师执业资格及正高级工程师职称不少于2人的，得3分；人数在3人（含）及以上且其中同时具备一级注册建筑师执业资格及正高级工程师职称不少于1人的，得1分；其余不得分。 注：须提供证书复印件、身份证复印件及供应商为其缴纳的近六个月（不含响应文件递交截止时间当月）内任意连续三个月的社保缴纳凭证复印件。</w:t>
            </w:r>
          </w:p>
        </w:tc>
      </w:tr>
      <w:tr>
        <w:tc>
          <w:tcPr>
            <w:tcW w:type="dxa" w:w="3322"/>
          </w:tcPr>
          <w:p>
            <w:pPr>
              <w:pStyle w:val="null3"/>
              <w:jc w:val="left"/>
            </w:pPr>
            <w:r>
              <w:rPr>
                <w:rFonts w:ascii="仿宋_GB2312" w:hAnsi="仿宋_GB2312" w:cs="仿宋_GB2312" w:eastAsia="仿宋_GB2312"/>
              </w:rPr>
              <w:t>6.类似业绩①</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独立投标人或联合体牵头人）近三年内(指2022年3月1日至响应文件递交截止时间止，以合同或协议书日期为准)以独立投标人或联合体牵头人承接过全过程工程咨询业绩（须包含勘察、设计、造价三项咨询内容）的，每提供一项得1.5分，满分3分。 注：须提供中标通知书复印件、合同（或协议书）关键页复印件并加盖公章。</w:t>
            </w:r>
          </w:p>
        </w:tc>
      </w:tr>
      <w:tr>
        <w:tc>
          <w:tcPr>
            <w:tcW w:type="dxa" w:w="3322"/>
          </w:tcPr>
          <w:p>
            <w:pPr>
              <w:pStyle w:val="null3"/>
              <w:jc w:val="left"/>
            </w:pPr>
            <w:r>
              <w:rPr>
                <w:rFonts w:ascii="仿宋_GB2312" w:hAnsi="仿宋_GB2312" w:cs="仿宋_GB2312" w:eastAsia="仿宋_GB2312"/>
              </w:rPr>
              <w:t>7.类似业绩②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派本项目的项目总负责人近三年内(指2022年3月1日至响应文件递交截止时间止，以合同或协议书日期为准)作为项目总负责人承担过1项全过程工程咨询业绩（须包含勘察、设计、造价三项咨询内容）的，得3分。 注：须提供合同（或协议书）关键页复印件，且须体现项目总负责人姓名，并加盖公章。本项与“全过程工程咨询业绩” 评分项同一项目的不重复计分。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对磋商文件第三章招标内容及要求、“二、技术和服务要求”中标往★号条款未响应或负偏离的；2、技术部分出现报价部分的全部或部分的投标报价信息(或组成资料)；3、出现磋商文件中载明“投标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1、对磋商文件第三章招标内容及要求“三商务条件”中有任一条款未响应或负偏离的；2、商务部分出现报价部分的全部或部分的投标报价信息(或组成资料)；3、出现磋商文件中载明“投标无效”条款的规定。</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关于最后报价计算错误修正的原则： ①报价一览表内容与分项报价表内容不一致的，以报价一览表为准； ②大写金额和小写金额不一致的，以大写金额为准； ③单价金额小数点或百分比有明显错位的，以报价一览表的总价为准，并修改单价。 ④总价金额与按单价汇总金额不一致的，以单价金额计算结果为准； ※同时出现两种以上不一致的，按照前款规定的顺序修正。若磋商小组按照上述规定修正，则相应供应商应予接受且修正后的报价对其起约束作用。若供应商不接受修正或未按照磋商小组的要求提交修正后的报价确认意见，则视为该供应商未实质性响应竞争性磋商文件要求，其符合性检查不合格。</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建设规模与建设内容：项目建设1栋5层实训用房及1层地下室。配套建设道路与停车、绿化、消防、大门、围墙、照明、给排水、电力、通信等附属设施。项目规划用地面积5356㎡，项目总建筑面积7000㎡(地上建筑面积6150㎡，地下建筑面积850㎡)。</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本项目估算工程费用3221.21万元，全过程工程咨询服务费最高限价暂定为69.5042万元，其中：（1）设计费最高限价暂定为55.2237万元，收费计费额暂按为3221.21万元。本工程其他专项设计不另行收费，结算时以施工中标价为设计收费的计费基数，参照《工程勘察设计收费标准》（2002年修订本）规定收费标准的50%计取，调整设计费总额。其中：专业调整系数1.0，工程复杂程度调整系数1.0，附加调整系数1.0，最终设计费用以有权部门审核后金额为准，且不超过55.2237万元；（2）勘察费最高限价暂定为8.28万元，收费计费额暂按为3221.21万元，参照《工程勘察设计收费标准》（2002年修订本）规定收费标准的40%计取，具体以正式勘察成果文件并经采购人确认的工作量计算，最终费用以有权部门审核后金额为准，且不超过8.28万元；（3）造价咨询费最高限价暂定为6.0005万元，收费计费额暂按为3221.21万元，参照《福建省物价局关于规范建设工程造价咨询服务收费有关问题的通知》（闽价[2002]房457号）规定收费标准的40%计取。结算时，以罗源县财政投资评审中心审核后出具的工程招标控制价为计费基数，参照《福建省物价局关于规范建设工程造价咨询服务收费有关问题的通知》（闽价[2002]房457号）规定收费标准的40%计取，且结算金额不超过6.0005万元。</w:t>
      </w:r>
    </w:p>
    <w:p>
      <w:pPr>
        <w:pStyle w:val="null3"/>
        <w:ind w:firstLine="482"/>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、本项目各项咨询服务费报价时应为统一报价（即采购文件规定的最高限价），否则视为无效响应。</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b/>
          <w:color w:val="000000"/>
        </w:rPr>
        <w:t>（一）项目范围</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、项目范围：罗源县公共实训基地建设项目设计咨询、工程勘察、造价咨询。</w:t>
      </w:r>
      <w:r>
        <w:rPr>
          <w:rFonts w:ascii="仿宋_GB2312" w:hAnsi="仿宋_GB2312" w:cs="仿宋_GB2312" w:eastAsia="仿宋_GB2312"/>
          <w:sz w:val="24"/>
          <w:b/>
          <w:color w:val="000000"/>
        </w:rPr>
        <w:t>（项</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、项目内容：（</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设计咨询：包括但不限于建设规划红线图内的方案设计、初步设计及概算编制工作、扩大初步设计（若有）、施工图设计、服务和配合工作及项目后续阶段相关配合服务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工程勘察：</w:t>
      </w:r>
      <w:r>
        <w:rPr>
          <w:rFonts w:ascii="仿宋_GB2312" w:hAnsi="仿宋_GB2312" w:cs="仿宋_GB2312" w:eastAsia="仿宋_GB2312"/>
          <w:sz w:val="24"/>
          <w:color w:val="000000"/>
        </w:rPr>
        <w:t>满足设计和规范所要求的全部勘察报告和资料，以及工程施工、验收、备案所需要的配合服务，包括但不限于收集资料，现场踏勘，制定勘察纲要，进行测绘、勘探、取样、试验、测试等勘察作业，编制工程勘察文件，与</w:t>
      </w:r>
      <w:r>
        <w:rPr>
          <w:rFonts w:ascii="仿宋_GB2312" w:hAnsi="仿宋_GB2312" w:cs="仿宋_GB2312" w:eastAsia="仿宋_GB2312"/>
          <w:sz w:val="24"/>
          <w:color w:val="000000"/>
        </w:rPr>
        <w:t>业主</w:t>
      </w:r>
      <w:r>
        <w:rPr>
          <w:rFonts w:ascii="仿宋_GB2312" w:hAnsi="仿宋_GB2312" w:cs="仿宋_GB2312" w:eastAsia="仿宋_GB2312"/>
          <w:sz w:val="24"/>
          <w:color w:val="000000"/>
        </w:rPr>
        <w:t>单位、设计单位、施工单位的配合服务等；（</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造价咨询：</w:t>
      </w:r>
      <w:r>
        <w:rPr>
          <w:rFonts w:ascii="仿宋_GB2312" w:hAnsi="仿宋_GB2312" w:cs="仿宋_GB2312" w:eastAsia="仿宋_GB2312"/>
          <w:sz w:val="24"/>
          <w:color w:val="000000"/>
        </w:rPr>
        <w:t>编制工程量清单、招标控制价等造价咨询服务。</w:t>
      </w:r>
      <w:r>
        <w:rPr>
          <w:rFonts w:ascii="仿宋_GB2312" w:hAnsi="仿宋_GB2312" w:cs="仿宋_GB2312" w:eastAsia="仿宋_GB2312"/>
          <w:sz w:val="24"/>
          <w:b/>
          <w:color w:val="000000"/>
        </w:rPr>
        <w:t>（项</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p>
    <w:p>
      <w:pPr>
        <w:pStyle w:val="null3"/>
        <w:ind w:firstLine="482"/>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（二）人员要求</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总负责人要求：须具备合格有效的一级注册建筑师执业资格或一级注册结构师执业资格或一级注册建造师（建筑工程专业）或注册监理工程师注册执业证书（房屋建筑工程专业），且应是独立投标人或联合体牵头人的本单位正式在岗职工，项目总负责人可以兼任项目设计负责人，但应满足其资格要求。</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、专业咨询负责人的资格要求：</w:t>
      </w:r>
    </w:p>
    <w:p>
      <w:pPr>
        <w:pStyle w:val="null3"/>
        <w:ind w:firstLine="480"/>
      </w:pPr>
      <w:r>
        <w:rPr>
          <w:rFonts w:ascii="仿宋_GB2312" w:hAnsi="仿宋_GB2312" w:cs="仿宋_GB2312" w:eastAsia="仿宋_GB2312"/>
          <w:sz w:val="24"/>
          <w:color w:val="000000"/>
        </w:rPr>
        <w:t>（1）设计负责人：须具备合格有效的一级注册建筑师执业资格，且应是独立投标人或</w:t>
      </w:r>
      <w:r>
        <w:rPr>
          <w:rFonts w:ascii="仿宋_GB2312" w:hAnsi="仿宋_GB2312" w:cs="仿宋_GB2312" w:eastAsia="仿宋_GB2312"/>
          <w:sz w:val="24"/>
          <w:color w:val="000000"/>
        </w:rPr>
        <w:t>联合体成员中承担设计任务单位的本单位正式在岗职工。</w:t>
      </w:r>
    </w:p>
    <w:p>
      <w:pPr>
        <w:pStyle w:val="null3"/>
        <w:ind w:firstLine="480"/>
      </w:pPr>
      <w:r>
        <w:rPr>
          <w:rFonts w:ascii="仿宋_GB2312" w:hAnsi="仿宋_GB2312" w:cs="仿宋_GB2312" w:eastAsia="仿宋_GB2312"/>
          <w:sz w:val="24"/>
          <w:color w:val="000000"/>
        </w:rPr>
        <w:t>（2）工程勘察负责人：合格有效的国家注册岩土工程师执业资格证书，且应是独立投标人或联合体成员中承担勘察任务单位的本单位正式在岗职工。</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造价咨询负责人：须具备合格有效的国家（一级）注册造价工程师执业资格，应是独立投标人或联合体成员中承担造价咨询任务单位的本单位正式在职职工。</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、项目管理人员</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拟担任本项目的其他主要设计单位人员至少包括：</w:t>
      </w:r>
    </w:p>
    <w:p>
      <w:pPr>
        <w:pStyle w:val="null3"/>
        <w:ind w:firstLine="480"/>
      </w:pPr>
      <w:r>
        <w:rPr>
          <w:rFonts w:ascii="仿宋_GB2312" w:hAnsi="仿宋_GB2312" w:cs="仿宋_GB2312" w:eastAsia="仿宋_GB2312"/>
          <w:sz w:val="24"/>
          <w:color w:val="000000"/>
        </w:rPr>
        <w:t>建筑专业负责人</w:t>
      </w:r>
      <w:r>
        <w:rPr>
          <w:rFonts w:ascii="仿宋_GB2312" w:hAnsi="仿宋_GB2312" w:cs="仿宋_GB2312" w:eastAsia="仿宋_GB2312"/>
          <w:sz w:val="24"/>
          <w:color w:val="000000"/>
          <w:u w:val="single"/>
        </w:rPr>
        <w:t>1</w:t>
      </w:r>
      <w:r>
        <w:rPr>
          <w:rFonts w:ascii="仿宋_GB2312" w:hAnsi="仿宋_GB2312" w:cs="仿宋_GB2312" w:eastAsia="仿宋_GB2312"/>
          <w:sz w:val="24"/>
          <w:color w:val="000000"/>
        </w:rPr>
        <w:t>人，资格（职称）：具备国家一级注册建筑师执业资格；</w:t>
      </w:r>
    </w:p>
    <w:p>
      <w:pPr>
        <w:pStyle w:val="null3"/>
        <w:ind w:firstLine="480"/>
      </w:pPr>
      <w:r>
        <w:rPr>
          <w:rFonts w:ascii="仿宋_GB2312" w:hAnsi="仿宋_GB2312" w:cs="仿宋_GB2312" w:eastAsia="仿宋_GB2312"/>
          <w:sz w:val="24"/>
          <w:color w:val="000000"/>
        </w:rPr>
        <w:t>结构专业负责人</w:t>
      </w:r>
      <w:r>
        <w:rPr>
          <w:rFonts w:ascii="仿宋_GB2312" w:hAnsi="仿宋_GB2312" w:cs="仿宋_GB2312" w:eastAsia="仿宋_GB2312"/>
          <w:sz w:val="24"/>
          <w:color w:val="000000"/>
          <w:u w:val="single"/>
        </w:rPr>
        <w:t>1</w:t>
      </w:r>
      <w:r>
        <w:rPr>
          <w:rFonts w:ascii="仿宋_GB2312" w:hAnsi="仿宋_GB2312" w:cs="仿宋_GB2312" w:eastAsia="仿宋_GB2312"/>
          <w:sz w:val="24"/>
          <w:color w:val="000000"/>
        </w:rPr>
        <w:t>人，资格（职称）：具备国家一级注册结构师执业资格；</w:t>
      </w:r>
    </w:p>
    <w:p>
      <w:pPr>
        <w:pStyle w:val="null3"/>
        <w:ind w:firstLine="480"/>
      </w:pPr>
      <w:r>
        <w:rPr>
          <w:rFonts w:ascii="仿宋_GB2312" w:hAnsi="仿宋_GB2312" w:cs="仿宋_GB2312" w:eastAsia="仿宋_GB2312"/>
          <w:sz w:val="24"/>
          <w:color w:val="000000"/>
        </w:rPr>
        <w:t>电气设备专业负责人</w:t>
      </w:r>
      <w:r>
        <w:rPr>
          <w:rFonts w:ascii="仿宋_GB2312" w:hAnsi="仿宋_GB2312" w:cs="仿宋_GB2312" w:eastAsia="仿宋_GB2312"/>
          <w:sz w:val="24"/>
          <w:color w:val="000000"/>
          <w:u w:val="single"/>
        </w:rPr>
        <w:t>1</w:t>
      </w:r>
      <w:r>
        <w:rPr>
          <w:rFonts w:ascii="仿宋_GB2312" w:hAnsi="仿宋_GB2312" w:cs="仿宋_GB2312" w:eastAsia="仿宋_GB2312"/>
          <w:sz w:val="24"/>
          <w:color w:val="000000"/>
        </w:rPr>
        <w:t>人，资格（职称）：具备注册电气工程师执业资格或电气专业中级工程师及以上职称；</w:t>
      </w:r>
    </w:p>
    <w:p>
      <w:pPr>
        <w:pStyle w:val="null3"/>
        <w:ind w:firstLine="480"/>
      </w:pPr>
      <w:r>
        <w:rPr>
          <w:rFonts w:ascii="仿宋_GB2312" w:hAnsi="仿宋_GB2312" w:cs="仿宋_GB2312" w:eastAsia="仿宋_GB2312"/>
          <w:sz w:val="24"/>
          <w:color w:val="000000"/>
        </w:rPr>
        <w:t>给排水专业负责人</w:t>
      </w:r>
      <w:r>
        <w:rPr>
          <w:rFonts w:ascii="仿宋_GB2312" w:hAnsi="仿宋_GB2312" w:cs="仿宋_GB2312" w:eastAsia="仿宋_GB2312"/>
          <w:sz w:val="24"/>
          <w:color w:val="000000"/>
          <w:u w:val="single"/>
        </w:rPr>
        <w:t>1</w:t>
      </w:r>
      <w:r>
        <w:rPr>
          <w:rFonts w:ascii="仿宋_GB2312" w:hAnsi="仿宋_GB2312" w:cs="仿宋_GB2312" w:eastAsia="仿宋_GB2312"/>
          <w:sz w:val="24"/>
          <w:color w:val="000000"/>
        </w:rPr>
        <w:t>人，资格（职称）：具备注册公用设备工程师执业资格（专业为给水排水工程）或给排水专业中级工程师及以上职称；</w:t>
      </w:r>
    </w:p>
    <w:p>
      <w:pPr>
        <w:pStyle w:val="null3"/>
        <w:ind w:firstLine="480"/>
      </w:pPr>
      <w:r>
        <w:rPr>
          <w:rFonts w:ascii="仿宋_GB2312" w:hAnsi="仿宋_GB2312" w:cs="仿宋_GB2312" w:eastAsia="仿宋_GB2312"/>
          <w:sz w:val="24"/>
          <w:color w:val="000000"/>
        </w:rPr>
        <w:t>暖通专业负责人</w:t>
      </w:r>
      <w:r>
        <w:rPr>
          <w:rFonts w:ascii="仿宋_GB2312" w:hAnsi="仿宋_GB2312" w:cs="仿宋_GB2312" w:eastAsia="仿宋_GB2312"/>
          <w:sz w:val="24"/>
          <w:color w:val="000000"/>
          <w:u w:val="single"/>
        </w:rPr>
        <w:t>1</w:t>
      </w:r>
      <w:r>
        <w:rPr>
          <w:rFonts w:ascii="仿宋_GB2312" w:hAnsi="仿宋_GB2312" w:cs="仿宋_GB2312" w:eastAsia="仿宋_GB2312"/>
          <w:sz w:val="24"/>
          <w:color w:val="000000"/>
        </w:rPr>
        <w:t>人，资格（职称）：具备注册公用设备工程师执业资格（专业为暖通空调）或暖通专业中级工程师及以上职称。</w:t>
      </w:r>
    </w:p>
    <w:p>
      <w:pPr>
        <w:pStyle w:val="null3"/>
        <w:ind w:firstLine="480"/>
      </w:pPr>
      <w:r>
        <w:rPr>
          <w:rFonts w:ascii="仿宋_GB2312" w:hAnsi="仿宋_GB2312" w:cs="仿宋_GB2312" w:eastAsia="仿宋_GB2312"/>
          <w:sz w:val="24"/>
          <w:color w:val="000000"/>
        </w:rPr>
        <w:t>（2）拟担任本项目的其他主要勘察人员至少包括：</w:t>
      </w:r>
    </w:p>
    <w:p>
      <w:pPr>
        <w:pStyle w:val="null3"/>
        <w:ind w:firstLine="480"/>
        <w:jc w:val="both"/>
      </w:pPr>
      <w:r>
        <w:rPr>
          <w:rFonts w:ascii="仿宋_GB2312" w:hAnsi="仿宋_GB2312" w:cs="仿宋_GB2312" w:eastAsia="仿宋_GB2312"/>
          <w:sz w:val="24"/>
          <w:color w:val="000000"/>
        </w:rPr>
        <w:t>勘察现场负责人</w:t>
      </w:r>
      <w:r>
        <w:rPr>
          <w:rFonts w:ascii="仿宋_GB2312" w:hAnsi="仿宋_GB2312" w:cs="仿宋_GB2312" w:eastAsia="仿宋_GB2312"/>
          <w:sz w:val="24"/>
          <w:color w:val="000000"/>
          <w:u w:val="single"/>
        </w:rPr>
        <w:t>1</w:t>
      </w:r>
      <w:r>
        <w:rPr>
          <w:rFonts w:ascii="仿宋_GB2312" w:hAnsi="仿宋_GB2312" w:cs="仿宋_GB2312" w:eastAsia="仿宋_GB2312"/>
          <w:sz w:val="24"/>
          <w:color w:val="000000"/>
        </w:rPr>
        <w:t>名，资格（职称）：具有国家注册土木工程师（岩土）执业证书或岩土工程相关专业中级工程师及以上职称。</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拟担任本项目的其他主要造价人员至少包括：</w:t>
      </w:r>
    </w:p>
    <w:p>
      <w:pPr>
        <w:pStyle w:val="null3"/>
        <w:ind w:firstLine="480"/>
      </w:pPr>
      <w:r>
        <w:rPr>
          <w:rFonts w:ascii="仿宋_GB2312" w:hAnsi="仿宋_GB2312" w:cs="仿宋_GB2312" w:eastAsia="仿宋_GB2312"/>
          <w:sz w:val="24"/>
          <w:color w:val="000000"/>
        </w:rPr>
        <w:t>土建专业造价人员</w:t>
      </w:r>
      <w:r>
        <w:rPr>
          <w:rFonts w:ascii="仿宋_GB2312" w:hAnsi="仿宋_GB2312" w:cs="仿宋_GB2312" w:eastAsia="仿宋_GB2312"/>
          <w:sz w:val="24"/>
          <w:color w:val="000000"/>
          <w:u w:val="single"/>
        </w:rPr>
        <w:t>1</w:t>
      </w:r>
      <w:r>
        <w:rPr>
          <w:rFonts w:ascii="仿宋_GB2312" w:hAnsi="仿宋_GB2312" w:cs="仿宋_GB2312" w:eastAsia="仿宋_GB2312"/>
          <w:sz w:val="24"/>
          <w:color w:val="000000"/>
        </w:rPr>
        <w:t>人，安装专业造价人员</w:t>
      </w:r>
      <w:r>
        <w:rPr>
          <w:rFonts w:ascii="仿宋_GB2312" w:hAnsi="仿宋_GB2312" w:cs="仿宋_GB2312" w:eastAsia="仿宋_GB2312"/>
          <w:sz w:val="24"/>
          <w:color w:val="000000"/>
          <w:u w:val="single"/>
        </w:rPr>
        <w:t>1</w:t>
      </w:r>
      <w:r>
        <w:rPr>
          <w:rFonts w:ascii="仿宋_GB2312" w:hAnsi="仿宋_GB2312" w:cs="仿宋_GB2312" w:eastAsia="仿宋_GB2312"/>
          <w:sz w:val="24"/>
          <w:color w:val="000000"/>
        </w:rPr>
        <w:t>人。</w:t>
      </w:r>
    </w:p>
    <w:p>
      <w:pPr>
        <w:pStyle w:val="null3"/>
      </w:pPr>
      <w:r>
        <w:rPr>
          <w:rFonts w:ascii="仿宋_GB2312" w:hAnsi="仿宋_GB2312" w:cs="仿宋_GB2312" w:eastAsia="仿宋_GB2312"/>
          <w:sz w:val="24"/>
          <w:b/>
          <w:color w:val="000000"/>
        </w:rPr>
        <w:t>说明：</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除采购文件规定可兼任的岗位外，本采购项目其余各岗位必须一人一职，不得由一人兼任多个岗位。</w:t>
      </w:r>
    </w:p>
    <w:p>
      <w:pPr>
        <w:pStyle w:val="null3"/>
        <w:ind w:firstLine="482"/>
      </w:pPr>
      <w:r>
        <w:rPr>
          <w:rFonts w:ascii="仿宋_GB2312" w:hAnsi="仿宋_GB2312" w:cs="仿宋_GB2312" w:eastAsia="仿宋_GB2312"/>
          <w:sz w:val="24"/>
          <w:b/>
          <w:color w:val="000000"/>
        </w:rPr>
        <w:t>（2）</w:t>
      </w:r>
      <w:r>
        <w:rPr>
          <w:rFonts w:ascii="仿宋_GB2312" w:hAnsi="仿宋_GB2312" w:cs="仿宋_GB2312" w:eastAsia="仿宋_GB2312"/>
          <w:sz w:val="24"/>
          <w:b/>
          <w:color w:val="000000"/>
          <w:u w:val="single"/>
        </w:rPr>
        <w:t>供应商应在响应文件“附件8  要求作为响应文件组成部分的其他内容”中提供《拟委派其他主要人员汇总表》</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b/>
          <w:color w:val="000000"/>
        </w:rPr>
        <w:t>拟委派其他主要人员汇总表</w:t>
      </w:r>
    </w:p>
    <w:p>
      <w:pPr>
        <w:pStyle w:val="null3"/>
        <w:jc w:val="center"/>
      </w:pPr>
      <w:r>
        <w:rPr>
          <w:rFonts w:ascii="仿宋_GB2312" w:hAnsi="仿宋_GB2312" w:cs="仿宋_GB2312" w:eastAsia="仿宋_GB2312"/>
        </w:rPr>
        <w:t xml:space="preserve"> </w:t>
      </w:r>
    </w:p>
    <w:tbl>
      <w:tblPr>
        <w:tblW w:w="0" w:type="auto"/>
        <w:tblBorders>
          <w:top w:val="single"/>
          <w:left w:val="single"/>
          <w:bottom w:val="single"/>
          <w:right w:val="single"/>
          <w:insideH w:val="single"/>
          <w:insideV w:val="single"/>
        </w:tblBorders>
      </w:tblPr>
      <w:tblGrid>
        <w:gridCol w:w="1071"/>
        <w:gridCol w:w="1071"/>
        <w:gridCol w:w="1071"/>
        <w:gridCol w:w="1071"/>
        <w:gridCol w:w="1071"/>
        <w:gridCol w:w="1071"/>
        <w:gridCol w:w="1071"/>
      </w:tblGrid>
      <w:tr>
        <w:tc>
          <w:tcPr>
            <w:tcW w:type="dxa" w:w="1071"/>
            <w:vMerge w:val="restart"/>
          </w:tcPr>
          <w:p>
            <w:pPr>
              <w:pStyle w:val="null3"/>
              <w:jc w:val="center"/>
            </w:pPr>
            <w:r>
              <w:rPr>
                <w:rFonts w:ascii="仿宋_GB2312" w:hAnsi="仿宋_GB2312" w:cs="仿宋_GB2312" w:eastAsia="仿宋_GB2312"/>
              </w:rPr>
              <w:t>序号</w:t>
            </w:r>
          </w:p>
        </w:tc>
        <w:tc>
          <w:tcPr>
            <w:tcW w:type="dxa" w:w="1071"/>
            <w:vMerge w:val="restart"/>
          </w:tcPr>
          <w:p>
            <w:pPr>
              <w:pStyle w:val="null3"/>
              <w:jc w:val="center"/>
            </w:pPr>
            <w:r>
              <w:rPr>
                <w:rFonts w:ascii="仿宋_GB2312" w:hAnsi="仿宋_GB2312" w:cs="仿宋_GB2312" w:eastAsia="仿宋_GB2312"/>
              </w:rPr>
              <w:t>姓名</w:t>
            </w:r>
          </w:p>
        </w:tc>
        <w:tc>
          <w:tcPr>
            <w:tcW w:type="dxa" w:w="1071"/>
            <w:vMerge w:val="restart"/>
          </w:tcPr>
          <w:p>
            <w:pPr>
              <w:pStyle w:val="null3"/>
              <w:jc w:val="center"/>
            </w:pPr>
            <w:r>
              <w:rPr>
                <w:rFonts w:ascii="仿宋_GB2312" w:hAnsi="仿宋_GB2312" w:cs="仿宋_GB2312" w:eastAsia="仿宋_GB2312"/>
                <w:sz w:val="24"/>
                <w:color w:val="000000"/>
              </w:rPr>
              <w:t>本采购项目专业任职</w:t>
            </w:r>
          </w:p>
        </w:tc>
        <w:tc>
          <w:tcPr>
            <w:tcW w:type="dxa" w:w="1071"/>
            <w:vMerge w:val="restart"/>
          </w:tcPr>
          <w:p>
            <w:pPr>
              <w:pStyle w:val="null3"/>
              <w:jc w:val="center"/>
            </w:pPr>
            <w:r>
              <w:rPr>
                <w:rFonts w:ascii="仿宋_GB2312" w:hAnsi="仿宋_GB2312" w:cs="仿宋_GB2312" w:eastAsia="仿宋_GB2312"/>
                <w:sz w:val="24"/>
                <w:color w:val="000000"/>
              </w:rPr>
              <w:t>职称</w:t>
            </w:r>
          </w:p>
        </w:tc>
        <w:tc>
          <w:tcPr>
            <w:tcW w:type="dxa" w:w="2142"/>
            <w:gridSpan w:val="2"/>
          </w:tcPr>
          <w:p>
            <w:pPr>
              <w:pStyle w:val="null3"/>
              <w:jc w:val="center"/>
            </w:pPr>
            <w:r>
              <w:rPr>
                <w:rFonts w:ascii="仿宋_GB2312" w:hAnsi="仿宋_GB2312" w:cs="仿宋_GB2312" w:eastAsia="仿宋_GB2312"/>
                <w:sz w:val="24"/>
                <w:color w:val="000000"/>
              </w:rPr>
              <w:t>注册执业（职业）资格（水平）证书名称</w:t>
            </w:r>
          </w:p>
        </w:tc>
        <w:tc>
          <w:tcPr>
            <w:tcW w:type="dxa" w:w="1071"/>
            <w:vMerge w:val="restart"/>
          </w:tcPr>
          <w:p>
            <w:pPr>
              <w:pStyle w:val="null3"/>
              <w:jc w:val="center"/>
            </w:pPr>
            <w:r>
              <w:rPr>
                <w:rFonts w:ascii="仿宋_GB2312" w:hAnsi="仿宋_GB2312" w:cs="仿宋_GB2312" w:eastAsia="仿宋_GB2312"/>
                <w:sz w:val="24"/>
                <w:color w:val="000000"/>
              </w:rPr>
              <w:t>所在单位</w:t>
            </w:r>
          </w:p>
        </w:tc>
      </w:tr>
      <w:tr>
        <w:tc>
          <w:tcPr>
            <w:tcW w:type="dxa" w:w="1071"/>
            <w:vMerge/>
          </w:tcPr>
          <w:p/>
        </w:tc>
        <w:tc>
          <w:tcPr>
            <w:tcW w:type="dxa" w:w="1071"/>
            <w:vMerge/>
          </w:tcPr>
          <w:p/>
        </w:tc>
        <w:tc>
          <w:tcPr>
            <w:tcW w:type="dxa" w:w="1071"/>
            <w:vMerge/>
          </w:tcPr>
          <w:p/>
        </w:tc>
        <w:tc>
          <w:tcPr>
            <w:tcW w:type="dxa" w:w="1071"/>
            <w:vMerge/>
          </w:tcPr>
          <w:p/>
        </w:tc>
        <w:tc>
          <w:tcPr>
            <w:tcW w:type="dxa" w:w="1071"/>
          </w:tcPr>
          <w:p>
            <w:pPr>
              <w:pStyle w:val="null3"/>
            </w:pPr>
            <w:r>
              <w:rPr>
                <w:rFonts w:ascii="仿宋_GB2312" w:hAnsi="仿宋_GB2312" w:cs="仿宋_GB2312" w:eastAsia="仿宋_GB2312"/>
              </w:rPr>
              <w:t>证书名称</w:t>
            </w:r>
          </w:p>
        </w:tc>
        <w:tc>
          <w:tcPr>
            <w:tcW w:type="dxa" w:w="1071"/>
          </w:tcPr>
          <w:p>
            <w:pPr>
              <w:pStyle w:val="null3"/>
            </w:pPr>
            <w:r>
              <w:rPr>
                <w:rFonts w:ascii="仿宋_GB2312" w:hAnsi="仿宋_GB2312" w:cs="仿宋_GB2312" w:eastAsia="仿宋_GB2312"/>
              </w:rPr>
              <w:t>证号</w:t>
            </w:r>
          </w:p>
        </w:tc>
        <w:tc>
          <w:tcPr>
            <w:tcW w:type="dxa" w:w="1071"/>
            <w:vMerge/>
          </w:tcPr>
          <w:p/>
        </w:tc>
      </w:tr>
      <w:tr>
        <w:tc>
          <w:tcPr>
            <w:tcW w:type="dxa" w:w="1071"/>
          </w:tcPr>
          <w:p>
            <w:pPr>
              <w:pStyle w:val="null3"/>
            </w:pPr>
            <w:r>
              <w:rPr>
                <w:rFonts w:ascii="仿宋_GB2312" w:hAnsi="仿宋_GB2312" w:cs="仿宋_GB2312" w:eastAsia="仿宋_GB2312"/>
              </w:rPr>
              <w:t>1</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sz w:val="24"/>
                <w:color w:val="000000"/>
              </w:rPr>
              <w:t>项目总负责人</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rPr>
              <w:t xml:space="preserve"> </w:t>
            </w:r>
          </w:p>
        </w:tc>
      </w:tr>
      <w:tr>
        <w:tc>
          <w:tcPr>
            <w:tcW w:type="dxa" w:w="1071"/>
          </w:tcPr>
          <w:p>
            <w:pPr>
              <w:pStyle w:val="null3"/>
            </w:pPr>
            <w:r>
              <w:rPr>
                <w:rFonts w:ascii="仿宋_GB2312" w:hAnsi="仿宋_GB2312" w:cs="仿宋_GB2312" w:eastAsia="仿宋_GB2312"/>
              </w:rPr>
              <w:t>2</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sz w:val="24"/>
                <w:color w:val="000000"/>
              </w:rPr>
              <w:t>设计负责人</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rPr>
              <w:t xml:space="preserve"> </w:t>
            </w:r>
          </w:p>
        </w:tc>
      </w:tr>
      <w:tr>
        <w:tc>
          <w:tcPr>
            <w:tcW w:type="dxa" w:w="1071"/>
          </w:tcPr>
          <w:p>
            <w:pPr>
              <w:pStyle w:val="null3"/>
            </w:pPr>
            <w:r>
              <w:rPr>
                <w:rFonts w:ascii="仿宋_GB2312" w:hAnsi="仿宋_GB2312" w:cs="仿宋_GB2312" w:eastAsia="仿宋_GB2312"/>
              </w:rPr>
              <w:t>3</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sz w:val="24"/>
                <w:color w:val="000000"/>
              </w:rPr>
              <w:t>工程勘察负责人</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rPr>
              <w:t xml:space="preserve"> </w:t>
            </w:r>
          </w:p>
        </w:tc>
      </w:tr>
      <w:tr>
        <w:tc>
          <w:tcPr>
            <w:tcW w:type="dxa" w:w="1071"/>
          </w:tcPr>
          <w:p>
            <w:pPr>
              <w:pStyle w:val="null3"/>
            </w:pPr>
            <w:r>
              <w:rPr>
                <w:rFonts w:ascii="仿宋_GB2312" w:hAnsi="仿宋_GB2312" w:cs="仿宋_GB2312" w:eastAsia="仿宋_GB2312"/>
              </w:rPr>
              <w:t>4</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sz w:val="24"/>
                <w:color w:val="000000"/>
              </w:rPr>
              <w:t>造价咨询负责人</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rPr>
              <w:t xml:space="preserve"> </w:t>
            </w:r>
          </w:p>
        </w:tc>
      </w:tr>
      <w:tr>
        <w:tc>
          <w:tcPr>
            <w:tcW w:type="dxa" w:w="1071"/>
          </w:tcPr>
          <w:p>
            <w:pPr>
              <w:pStyle w:val="null3"/>
            </w:pPr>
            <w:r>
              <w:rPr>
                <w:rFonts w:ascii="仿宋_GB2312" w:hAnsi="仿宋_GB2312" w:cs="仿宋_GB2312" w:eastAsia="仿宋_GB2312"/>
              </w:rPr>
              <w:t>......</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rPr>
              <w:t>......</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rPr>
              <w:t xml:space="preserve"> </w:t>
            </w:r>
          </w:p>
        </w:tc>
        <w:tc>
          <w:tcPr>
            <w:tcW w:type="dxa" w:w="1071"/>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sz w:val="24"/>
        </w:rPr>
        <w:t xml:space="preserve">  </w:t>
      </w:r>
      <w:r>
        <w:rPr>
          <w:rFonts w:ascii="仿宋_GB2312" w:hAnsi="仿宋_GB2312" w:cs="仿宋_GB2312" w:eastAsia="仿宋_GB2312"/>
          <w:sz w:val="24"/>
          <w:color w:val="000000"/>
        </w:rPr>
        <w:t>（3）本采购项目评标时，仅对拟派出项目总负责人和专业咨询负责人进行考核。项目总负责人和专业咨询负责人应按要求附上能够证明其资格符合采购文件要求的相关证明材料原件彩色扫描件。项目总负责人应为独立投标人或联合体牵头人的本企业在岗人员，专业咨询负责人应为独立投标人或联合体各方的本企业在岗人员。</w:t>
      </w:r>
    </w:p>
    <w:p>
      <w:pPr>
        <w:pStyle w:val="null3"/>
        <w:ind w:firstLine="480"/>
      </w:pPr>
      <w:r>
        <w:rPr>
          <w:rFonts w:ascii="仿宋_GB2312" w:hAnsi="仿宋_GB2312" w:cs="仿宋_GB2312" w:eastAsia="仿宋_GB2312"/>
          <w:sz w:val="24"/>
          <w:color w:val="000000"/>
        </w:rPr>
        <w:t>①提供工程类注册执业资格，其所属单位以建设主管部门颁发的执业资格证书上所明确的聘用企业为准，专业以注册证书上所明确的专业类别为准。供应商应在响应文件中同时附上注册证书和身份证原件彩色扫描件（设计咨询负责人必须是本单位正式在岗职工，所谓本单位正式在岗职工，是指具有本单位社保缴费证明或住房城乡建设行政主管部门核发的执业资格证书证明（如上述人员所提交的加盖注册章的执业资格证书的章号与供应商单位资质证书号一致或执业资格证书所署的单位名称与供应商名称一致的，则可以不提交社保费证明）。专业技术职称，其所属单位以社保管理部门出具的社保缴费证明上所署单位为准。供应商应在响应文件中同时附上注册证书或专业技术职称证书、社保缴费证明和身份证原件彩色扫描件。）。</w:t>
      </w:r>
    </w:p>
    <w:p>
      <w:pPr>
        <w:pStyle w:val="null3"/>
        <w:ind w:firstLine="480"/>
      </w:pPr>
      <w:r>
        <w:rPr>
          <w:rFonts w:ascii="仿宋_GB2312" w:hAnsi="仿宋_GB2312" w:cs="仿宋_GB2312" w:eastAsia="仿宋_GB2312"/>
          <w:sz w:val="24"/>
          <w:color w:val="000000"/>
        </w:rPr>
        <w:t>②项目总负责人还须附上职称证书原件扫描件并加盖公章，职称专业以职称证书所署专业为准。</w:t>
      </w:r>
    </w:p>
    <w:p>
      <w:pPr>
        <w:pStyle w:val="null3"/>
        <w:ind w:firstLine="480"/>
      </w:pPr>
      <w:r>
        <w:rPr>
          <w:rFonts w:ascii="仿宋_GB2312" w:hAnsi="仿宋_GB2312" w:cs="仿宋_GB2312" w:eastAsia="仿宋_GB2312"/>
          <w:sz w:val="24"/>
          <w:color w:val="000000"/>
        </w:rPr>
        <w:t>③上述所有原件彩色扫描件应包括年审及变更等记录页（如有）；</w:t>
      </w:r>
    </w:p>
    <w:p>
      <w:pPr>
        <w:pStyle w:val="null3"/>
        <w:ind w:firstLine="480"/>
      </w:pPr>
      <w:r>
        <w:rPr>
          <w:rFonts w:ascii="仿宋_GB2312" w:hAnsi="仿宋_GB2312" w:cs="仿宋_GB2312" w:eastAsia="仿宋_GB2312"/>
          <w:sz w:val="24"/>
          <w:color w:val="000000"/>
        </w:rPr>
        <w:t>④“社保缴费证明”是指社保管理部门出具的自本采购项目响应截止之日的上二个月为始点并往前追溯连续缴费累计六个月及以上的社保缴费证明。社保由上级单位统筹缴纳的，还应提供上级单位出具的统筹缴纳证明。</w:t>
      </w:r>
    </w:p>
    <w:p>
      <w:pPr>
        <w:pStyle w:val="null3"/>
        <w:ind w:firstLine="480"/>
      </w:pPr>
      <w:r>
        <w:rPr>
          <w:rFonts w:ascii="仿宋_GB2312" w:hAnsi="仿宋_GB2312" w:cs="仿宋_GB2312" w:eastAsia="仿宋_GB2312"/>
          <w:sz w:val="24"/>
          <w:color w:val="000000"/>
        </w:rPr>
        <w:t>⑤上述各类注册执业证书发生变更的，应按有关规定办理完变更手续后方可参加投标，并以发证机关核准的变更为准；</w:t>
      </w:r>
      <w:r>
        <w:rPr>
          <w:rFonts w:ascii="仿宋_GB2312" w:hAnsi="仿宋_GB2312" w:cs="仿宋_GB2312" w:eastAsia="仿宋_GB2312"/>
          <w:sz w:val="24"/>
          <w:b/>
          <w:color w:val="000000"/>
        </w:rPr>
        <w:t>否则其投标将被否决</w:t>
      </w:r>
      <w:r>
        <w:rPr>
          <w:rFonts w:ascii="仿宋_GB2312" w:hAnsi="仿宋_GB2312" w:cs="仿宋_GB2312" w:eastAsia="仿宋_GB2312"/>
          <w:sz w:val="24"/>
          <w:color w:val="000000"/>
        </w:rPr>
        <w:t>。</w:t>
      </w:r>
    </w:p>
    <w:p>
      <w:pPr>
        <w:pStyle w:val="null3"/>
        <w:ind w:firstLine="482"/>
      </w:pPr>
      <w:r>
        <w:rPr>
          <w:rFonts w:ascii="仿宋_GB2312" w:hAnsi="仿宋_GB2312" w:cs="仿宋_GB2312" w:eastAsia="仿宋_GB2312"/>
          <w:sz w:val="24"/>
          <w:b/>
          <w:color w:val="000000"/>
        </w:rPr>
        <w:t>（三）技术要求</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质量标准：本项目咨询成果应达到上级有关部门审批项目的要求，按国家有关规定及规范内容与深度要求进行。</w:t>
      </w:r>
      <w:r>
        <w:rPr>
          <w:rFonts w:ascii="仿宋_GB2312" w:hAnsi="仿宋_GB2312" w:cs="仿宋_GB2312" w:eastAsia="仿宋_GB2312"/>
          <w:sz w:val="24"/>
          <w:b/>
          <w:color w:val="000000"/>
        </w:rPr>
        <w:t>（项</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p>
    <w:p>
      <w:pPr>
        <w:pStyle w:val="null3"/>
        <w:ind w:firstLine="480"/>
      </w:pPr>
      <w:r>
        <w:rPr>
          <w:rFonts w:ascii="仿宋_GB2312" w:hAnsi="仿宋_GB2312" w:cs="仿宋_GB2312" w:eastAsia="仿宋_GB2312"/>
          <w:sz w:val="24"/>
        </w:rPr>
        <w:t>2、本项目各项咨询服务需合理分配并且符合行业标准及相关规定。</w:t>
      </w:r>
      <w:r>
        <w:rPr>
          <w:rFonts w:ascii="仿宋_GB2312" w:hAnsi="仿宋_GB2312" w:cs="仿宋_GB2312" w:eastAsia="仿宋_GB2312"/>
          <w:sz w:val="24"/>
          <w:b/>
          <w:color w:val="000000"/>
        </w:rPr>
        <w:t>（项4）</w:t>
      </w:r>
    </w:p>
    <w:p>
      <w:pPr>
        <w:pStyle w:val="null3"/>
        <w:ind w:firstLine="480"/>
      </w:pPr>
      <w:r>
        <w:rPr>
          <w:rFonts w:ascii="仿宋_GB2312" w:hAnsi="仿宋_GB2312" w:cs="仿宋_GB2312" w:eastAsia="仿宋_GB2312"/>
          <w:sz w:val="24"/>
        </w:rPr>
        <w:t>3、本项目各项咨询成文件所需份数，以采购人要求数量为准。</w:t>
      </w:r>
      <w:r>
        <w:rPr>
          <w:rFonts w:ascii="仿宋_GB2312" w:hAnsi="仿宋_GB2312" w:cs="仿宋_GB2312" w:eastAsia="仿宋_GB2312"/>
          <w:sz w:val="24"/>
          <w:b/>
          <w:color w:val="000000"/>
        </w:rPr>
        <w:t>（项5）</w:t>
      </w:r>
    </w:p>
    <w:p>
      <w:pPr>
        <w:pStyle w:val="null3"/>
        <w:ind w:firstLine="480"/>
      </w:pPr>
      <w:r>
        <w:rPr>
          <w:rFonts w:ascii="仿宋_GB2312" w:hAnsi="仿宋_GB2312" w:cs="仿宋_GB2312" w:eastAsia="仿宋_GB2312"/>
          <w:sz w:val="24"/>
        </w:rPr>
        <w:t>4、供应商不按响应时的承诺派出专业负责人的，采购人有权拒绝与其签订全过程工程咨询合同；由此给采购人造成损失的，供应商应当负责赔偿。</w:t>
      </w:r>
      <w:r>
        <w:rPr>
          <w:rFonts w:ascii="仿宋_GB2312" w:hAnsi="仿宋_GB2312" w:cs="仿宋_GB2312" w:eastAsia="仿宋_GB2312"/>
          <w:sz w:val="24"/>
          <w:b/>
          <w:color w:val="000000"/>
        </w:rPr>
        <w:t>（项6）</w:t>
      </w:r>
    </w:p>
    <w:p>
      <w:pPr>
        <w:pStyle w:val="null3"/>
        <w:ind w:firstLine="480"/>
      </w:pPr>
      <w:r>
        <w:rPr>
          <w:rFonts w:ascii="仿宋_GB2312" w:hAnsi="仿宋_GB2312" w:cs="仿宋_GB2312" w:eastAsia="仿宋_GB2312"/>
          <w:sz w:val="24"/>
        </w:rPr>
        <w:t>5、供应商的各专业负责人因其单位变动等特殊原因不能出任的，供应商应向采购人提出更换专业负责人申请，其替换人选的资格、经验和能力不得低于响应文件所报的人员。为此给采购人造成损失的，供应商应当予以赔偿。</w:t>
      </w:r>
      <w:r>
        <w:rPr>
          <w:rFonts w:ascii="仿宋_GB2312" w:hAnsi="仿宋_GB2312" w:cs="仿宋_GB2312" w:eastAsia="仿宋_GB2312"/>
          <w:sz w:val="24"/>
          <w:b/>
          <w:color w:val="000000"/>
        </w:rPr>
        <w:t>（项7）</w:t>
      </w:r>
    </w:p>
    <w:p>
      <w:pPr>
        <w:pStyle w:val="null3"/>
        <w:ind w:firstLine="482"/>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、设计咨询</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设计人</w:t>
      </w:r>
      <w:r>
        <w:rPr>
          <w:rFonts w:ascii="仿宋_GB2312" w:hAnsi="仿宋_GB2312" w:cs="仿宋_GB2312" w:eastAsia="仿宋_GB2312"/>
          <w:sz w:val="24"/>
          <w:color w:val="000000"/>
        </w:rPr>
        <w:t>应依据项目设计合同的规定，通过有效地计划、组织和协调，按时完成合同规定的设计任务，保证设计质量、合理控制工程投资，为建设各方提供优良的设计服务。</w:t>
      </w:r>
      <w:r>
        <w:rPr>
          <w:rFonts w:ascii="仿宋_GB2312" w:hAnsi="仿宋_GB2312" w:cs="仿宋_GB2312" w:eastAsia="仿宋_GB2312"/>
          <w:sz w:val="24"/>
          <w:b/>
          <w:color w:val="000000"/>
        </w:rPr>
        <w:t>（项</w:t>
      </w:r>
      <w:r>
        <w:rPr>
          <w:rFonts w:ascii="仿宋_GB2312" w:hAnsi="仿宋_GB2312" w:cs="仿宋_GB2312" w:eastAsia="仿宋_GB2312"/>
          <w:sz w:val="24"/>
          <w:b/>
          <w:color w:val="000000"/>
        </w:rPr>
        <w:t>8</w:t>
      </w:r>
      <w:r>
        <w:rPr>
          <w:rFonts w:ascii="仿宋_GB2312" w:hAnsi="仿宋_GB2312" w:cs="仿宋_GB2312" w:eastAsia="仿宋_GB2312"/>
          <w:sz w:val="24"/>
          <w:b/>
          <w:color w:val="000000"/>
        </w:rPr>
        <w:t>）</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设计人</w:t>
      </w:r>
      <w:r>
        <w:rPr>
          <w:rFonts w:ascii="仿宋_GB2312" w:hAnsi="仿宋_GB2312" w:cs="仿宋_GB2312" w:eastAsia="仿宋_GB2312"/>
          <w:sz w:val="24"/>
          <w:color w:val="000000"/>
        </w:rPr>
        <w:t>应积极配合施工图审查、图纸交底等采购人认为有必要</w:t>
      </w:r>
      <w:r>
        <w:rPr>
          <w:rFonts w:ascii="仿宋_GB2312" w:hAnsi="仿宋_GB2312" w:cs="仿宋_GB2312" w:eastAsia="仿宋_GB2312"/>
          <w:sz w:val="24"/>
          <w:color w:val="000000"/>
        </w:rPr>
        <w:t>设计人</w:t>
      </w:r>
      <w:r>
        <w:rPr>
          <w:rFonts w:ascii="仿宋_GB2312" w:hAnsi="仿宋_GB2312" w:cs="仿宋_GB2312" w:eastAsia="仿宋_GB2312"/>
          <w:sz w:val="24"/>
          <w:color w:val="000000"/>
        </w:rPr>
        <w:t>参加、配合的工作。</w:t>
      </w:r>
      <w:r>
        <w:rPr>
          <w:rFonts w:ascii="仿宋_GB2312" w:hAnsi="仿宋_GB2312" w:cs="仿宋_GB2312" w:eastAsia="仿宋_GB2312"/>
          <w:sz w:val="24"/>
          <w:b/>
          <w:color w:val="000000"/>
        </w:rPr>
        <w:t>（项</w:t>
      </w:r>
      <w:r>
        <w:rPr>
          <w:rFonts w:ascii="仿宋_GB2312" w:hAnsi="仿宋_GB2312" w:cs="仿宋_GB2312" w:eastAsia="仿宋_GB2312"/>
          <w:sz w:val="24"/>
          <w:b/>
          <w:color w:val="000000"/>
        </w:rPr>
        <w:t>9</w:t>
      </w:r>
      <w:r>
        <w:rPr>
          <w:rFonts w:ascii="仿宋_GB2312" w:hAnsi="仿宋_GB2312" w:cs="仿宋_GB2312" w:eastAsia="仿宋_GB2312"/>
          <w:sz w:val="24"/>
          <w:b/>
          <w:color w:val="000000"/>
        </w:rPr>
        <w:t>）</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color w:val="000000"/>
        </w:rPr>
        <w:t>设计人</w:t>
      </w:r>
      <w:r>
        <w:rPr>
          <w:rFonts w:ascii="仿宋_GB2312" w:hAnsi="仿宋_GB2312" w:cs="仿宋_GB2312" w:eastAsia="仿宋_GB2312"/>
          <w:sz w:val="24"/>
        </w:rPr>
        <w:t>所做的设计应当符合设计标准和规范要求，由于设计失误引起重大设计变更造成采购人的工程费用增加的，</w:t>
      </w:r>
      <w:r>
        <w:rPr>
          <w:rFonts w:ascii="仿宋_GB2312" w:hAnsi="仿宋_GB2312" w:cs="仿宋_GB2312" w:eastAsia="仿宋_GB2312"/>
          <w:sz w:val="24"/>
          <w:color w:val="000000"/>
        </w:rPr>
        <w:t>设计人</w:t>
      </w:r>
      <w:r>
        <w:rPr>
          <w:rFonts w:ascii="仿宋_GB2312" w:hAnsi="仿宋_GB2312" w:cs="仿宋_GB2312" w:eastAsia="仿宋_GB2312"/>
          <w:sz w:val="24"/>
        </w:rPr>
        <w:t>应赔偿损失，且最高赔偿金额不超过合同设计费总额。</w:t>
      </w:r>
      <w:r>
        <w:rPr>
          <w:rFonts w:ascii="仿宋_GB2312" w:hAnsi="仿宋_GB2312" w:cs="仿宋_GB2312" w:eastAsia="仿宋_GB2312"/>
          <w:sz w:val="24"/>
          <w:b/>
        </w:rPr>
        <w:t>（项10）</w:t>
      </w:r>
    </w:p>
    <w:p>
      <w:pPr>
        <w:pStyle w:val="null3"/>
        <w:ind w:firstLine="480"/>
      </w:pPr>
      <w:r>
        <w:rPr>
          <w:rFonts w:ascii="仿宋_GB2312" w:hAnsi="仿宋_GB2312" w:cs="仿宋_GB2312" w:eastAsia="仿宋_GB2312"/>
          <w:sz w:val="24"/>
        </w:rPr>
        <w:t>（4）采购人要求分期出具成果报告的，则</w:t>
      </w:r>
      <w:r>
        <w:rPr>
          <w:rFonts w:ascii="仿宋_GB2312" w:hAnsi="仿宋_GB2312" w:cs="仿宋_GB2312" w:eastAsia="仿宋_GB2312"/>
          <w:sz w:val="24"/>
          <w:color w:val="000000"/>
        </w:rPr>
        <w:t>设计人</w:t>
      </w:r>
      <w:r>
        <w:rPr>
          <w:rFonts w:ascii="仿宋_GB2312" w:hAnsi="仿宋_GB2312" w:cs="仿宋_GB2312" w:eastAsia="仿宋_GB2312"/>
          <w:sz w:val="24"/>
        </w:rPr>
        <w:t>应按其要求分别提交招标项目所需的图纸、文件资料，满足采购人的需要。</w:t>
      </w:r>
      <w:r>
        <w:rPr>
          <w:rFonts w:ascii="仿宋_GB2312" w:hAnsi="仿宋_GB2312" w:cs="仿宋_GB2312" w:eastAsia="仿宋_GB2312"/>
          <w:sz w:val="24"/>
          <w:b/>
        </w:rPr>
        <w:t>（项11）</w:t>
      </w:r>
    </w:p>
    <w:p>
      <w:pPr>
        <w:pStyle w:val="null3"/>
        <w:ind w:firstLine="480"/>
      </w:pPr>
      <w:r>
        <w:rPr>
          <w:rFonts w:ascii="仿宋_GB2312" w:hAnsi="仿宋_GB2312" w:cs="仿宋_GB2312" w:eastAsia="仿宋_GB2312"/>
          <w:sz w:val="24"/>
        </w:rPr>
        <w:t>（5）若后续工作中需</w:t>
      </w:r>
      <w:r>
        <w:rPr>
          <w:rFonts w:ascii="仿宋_GB2312" w:hAnsi="仿宋_GB2312" w:cs="仿宋_GB2312" w:eastAsia="仿宋_GB2312"/>
          <w:sz w:val="24"/>
          <w:color w:val="000000"/>
        </w:rPr>
        <w:t>设计人</w:t>
      </w:r>
      <w:r>
        <w:rPr>
          <w:rFonts w:ascii="仿宋_GB2312" w:hAnsi="仿宋_GB2312" w:cs="仿宋_GB2312" w:eastAsia="仿宋_GB2312"/>
          <w:sz w:val="24"/>
        </w:rPr>
        <w:t>配合或协调解决的，采购人提前1天通知</w:t>
      </w:r>
      <w:r>
        <w:rPr>
          <w:rFonts w:ascii="仿宋_GB2312" w:hAnsi="仿宋_GB2312" w:cs="仿宋_GB2312" w:eastAsia="仿宋_GB2312"/>
          <w:sz w:val="24"/>
          <w:color w:val="000000"/>
        </w:rPr>
        <w:t>设计人</w:t>
      </w:r>
      <w:r>
        <w:rPr>
          <w:rFonts w:ascii="仿宋_GB2312" w:hAnsi="仿宋_GB2312" w:cs="仿宋_GB2312" w:eastAsia="仿宋_GB2312"/>
          <w:sz w:val="24"/>
        </w:rPr>
        <w:t>，</w:t>
      </w:r>
      <w:r>
        <w:rPr>
          <w:rFonts w:ascii="仿宋_GB2312" w:hAnsi="仿宋_GB2312" w:cs="仿宋_GB2312" w:eastAsia="仿宋_GB2312"/>
          <w:sz w:val="24"/>
          <w:color w:val="000000"/>
        </w:rPr>
        <w:t>设计人</w:t>
      </w:r>
      <w:r>
        <w:rPr>
          <w:rFonts w:ascii="仿宋_GB2312" w:hAnsi="仿宋_GB2312" w:cs="仿宋_GB2312" w:eastAsia="仿宋_GB2312"/>
          <w:sz w:val="24"/>
        </w:rPr>
        <w:t>应自接到通知后24小时内到达。</w:t>
      </w:r>
      <w:r>
        <w:rPr>
          <w:rFonts w:ascii="仿宋_GB2312" w:hAnsi="仿宋_GB2312" w:cs="仿宋_GB2312" w:eastAsia="仿宋_GB2312"/>
          <w:sz w:val="24"/>
          <w:b/>
        </w:rPr>
        <w:t>（项12）</w:t>
      </w:r>
    </w:p>
    <w:p>
      <w:pPr>
        <w:pStyle w:val="null3"/>
        <w:ind w:firstLine="480"/>
      </w:pPr>
      <w:r>
        <w:rPr>
          <w:rFonts w:ascii="仿宋_GB2312" w:hAnsi="仿宋_GB2312" w:cs="仿宋_GB2312" w:eastAsia="仿宋_GB2312"/>
          <w:sz w:val="24"/>
        </w:rPr>
        <w:t>7、配合施工图设计的设计代表，如有不尽其职或虚挂其名的情况，采购人有权要求调换具有相应资历的人选的权利。</w:t>
      </w:r>
      <w:r>
        <w:rPr>
          <w:rFonts w:ascii="仿宋_GB2312" w:hAnsi="仿宋_GB2312" w:cs="仿宋_GB2312" w:eastAsia="仿宋_GB2312"/>
          <w:sz w:val="24"/>
          <w:b/>
        </w:rPr>
        <w:t>（项13）</w:t>
      </w:r>
    </w:p>
    <w:p>
      <w:pPr>
        <w:pStyle w:val="null3"/>
        <w:ind w:firstLine="480"/>
      </w:pPr>
      <w:r>
        <w:rPr>
          <w:rFonts w:ascii="仿宋_GB2312" w:hAnsi="仿宋_GB2312" w:cs="仿宋_GB2312" w:eastAsia="仿宋_GB2312"/>
          <w:sz w:val="24"/>
        </w:rPr>
        <w:t>8、设计阶段：方案设计、初步设计、施工图设计及施工配合四个阶段；</w:t>
      </w:r>
      <w:r>
        <w:rPr>
          <w:rFonts w:ascii="仿宋_GB2312" w:hAnsi="仿宋_GB2312" w:cs="仿宋_GB2312" w:eastAsia="仿宋_GB2312"/>
          <w:sz w:val="24"/>
          <w:b/>
        </w:rPr>
        <w:t>（项14）</w:t>
      </w:r>
    </w:p>
    <w:p>
      <w:pPr>
        <w:pStyle w:val="null3"/>
        <w:ind w:firstLine="480"/>
      </w:pPr>
      <w:r>
        <w:rPr>
          <w:rFonts w:ascii="仿宋_GB2312" w:hAnsi="仿宋_GB2312" w:cs="仿宋_GB2312" w:eastAsia="仿宋_GB2312"/>
          <w:sz w:val="24"/>
        </w:rPr>
        <w:t>9、总平面布置应体现以人为本的原则，要求合理、科学地考虑总平面布局与流程，充分满足使用要求。</w:t>
      </w:r>
      <w:r>
        <w:rPr>
          <w:rFonts w:ascii="仿宋_GB2312" w:hAnsi="仿宋_GB2312" w:cs="仿宋_GB2312" w:eastAsia="仿宋_GB2312"/>
          <w:sz w:val="24"/>
          <w:b/>
        </w:rPr>
        <w:t>（项15）</w:t>
      </w:r>
    </w:p>
    <w:p>
      <w:pPr>
        <w:pStyle w:val="null3"/>
        <w:ind w:firstLine="480"/>
      </w:pPr>
      <w:r>
        <w:rPr>
          <w:rFonts w:ascii="仿宋_GB2312" w:hAnsi="仿宋_GB2312" w:cs="仿宋_GB2312" w:eastAsia="仿宋_GB2312"/>
          <w:sz w:val="24"/>
        </w:rPr>
        <w:t>10、建筑布局满足使用功能的要求，各项设施功能人性化，视觉和谐，使用方便。</w:t>
      </w:r>
      <w:r>
        <w:rPr>
          <w:rFonts w:ascii="仿宋_GB2312" w:hAnsi="仿宋_GB2312" w:cs="仿宋_GB2312" w:eastAsia="仿宋_GB2312"/>
          <w:sz w:val="24"/>
          <w:b/>
        </w:rPr>
        <w:t>（项16）</w:t>
      </w:r>
    </w:p>
    <w:p>
      <w:pPr>
        <w:pStyle w:val="null3"/>
        <w:ind w:firstLine="480"/>
      </w:pPr>
      <w:r>
        <w:rPr>
          <w:rFonts w:ascii="仿宋_GB2312" w:hAnsi="仿宋_GB2312" w:cs="仿宋_GB2312" w:eastAsia="仿宋_GB2312"/>
          <w:sz w:val="24"/>
        </w:rPr>
        <w:t>11、结构选择科学合理的结构形式和基础形式，结构设计满足功能需求。</w:t>
      </w:r>
      <w:r>
        <w:rPr>
          <w:rFonts w:ascii="仿宋_GB2312" w:hAnsi="仿宋_GB2312" w:cs="仿宋_GB2312" w:eastAsia="仿宋_GB2312"/>
          <w:sz w:val="24"/>
          <w:b/>
        </w:rPr>
        <w:t>（项17）</w:t>
      </w:r>
    </w:p>
    <w:p>
      <w:pPr>
        <w:pStyle w:val="null3"/>
        <w:ind w:firstLine="480"/>
      </w:pPr>
      <w:r>
        <w:rPr>
          <w:rFonts w:ascii="仿宋_GB2312" w:hAnsi="仿宋_GB2312" w:cs="仿宋_GB2312" w:eastAsia="仿宋_GB2312"/>
          <w:sz w:val="24"/>
        </w:rPr>
        <w:t>12、结构工程各负荷计算正确无缺漏项，设计方案满足功能需求，技术措施成熟、适用、科学、经济。</w:t>
      </w:r>
      <w:r>
        <w:rPr>
          <w:rFonts w:ascii="仿宋_GB2312" w:hAnsi="仿宋_GB2312" w:cs="仿宋_GB2312" w:eastAsia="仿宋_GB2312"/>
          <w:sz w:val="24"/>
          <w:b/>
        </w:rPr>
        <w:t>（项18）</w:t>
      </w:r>
    </w:p>
    <w:p>
      <w:pPr>
        <w:pStyle w:val="null3"/>
        <w:ind w:firstLine="480"/>
      </w:pPr>
      <w:r>
        <w:rPr>
          <w:rFonts w:ascii="仿宋_GB2312" w:hAnsi="仿宋_GB2312" w:cs="仿宋_GB2312" w:eastAsia="仿宋_GB2312"/>
          <w:sz w:val="24"/>
        </w:rPr>
        <w:t>13、机电设备系统和设备选型应考虑技术成熟先进、维护方便、经济合理的原则，体现科技环保、可持续发展的理念。</w:t>
      </w:r>
      <w:r>
        <w:rPr>
          <w:rFonts w:ascii="仿宋_GB2312" w:hAnsi="仿宋_GB2312" w:cs="仿宋_GB2312" w:eastAsia="仿宋_GB2312"/>
          <w:sz w:val="24"/>
          <w:b/>
        </w:rPr>
        <w:t>（项19）</w:t>
      </w:r>
    </w:p>
    <w:p>
      <w:pPr>
        <w:pStyle w:val="null3"/>
        <w:ind w:firstLine="480"/>
      </w:pPr>
      <w:r>
        <w:rPr>
          <w:rFonts w:ascii="仿宋_GB2312" w:hAnsi="仿宋_GB2312" w:cs="仿宋_GB2312" w:eastAsia="仿宋_GB2312"/>
          <w:sz w:val="24"/>
        </w:rPr>
        <w:t>14、设计图纸所用材料具应节约、节能，充分考虑本项目的施工成本和日常维修成本。</w:t>
      </w:r>
      <w:r>
        <w:rPr>
          <w:rFonts w:ascii="仿宋_GB2312" w:hAnsi="仿宋_GB2312" w:cs="仿宋_GB2312" w:eastAsia="仿宋_GB2312"/>
          <w:sz w:val="24"/>
          <w:b/>
        </w:rPr>
        <w:t>（项20）</w:t>
      </w:r>
    </w:p>
    <w:p>
      <w:pPr>
        <w:pStyle w:val="null3"/>
        <w:ind w:firstLine="480"/>
      </w:pPr>
      <w:r>
        <w:rPr>
          <w:rFonts w:ascii="仿宋_GB2312" w:hAnsi="仿宋_GB2312" w:cs="仿宋_GB2312" w:eastAsia="仿宋_GB2312"/>
          <w:sz w:val="24"/>
        </w:rPr>
        <w:t>15、设计阶段完成后，应配合采购人及施工单位完成各个建设环节有关工作，直至工程完工验收合格。</w:t>
      </w:r>
      <w:r>
        <w:rPr>
          <w:rFonts w:ascii="仿宋_GB2312" w:hAnsi="仿宋_GB2312" w:cs="仿宋_GB2312" w:eastAsia="仿宋_GB2312"/>
          <w:sz w:val="24"/>
          <w:b/>
        </w:rPr>
        <w:t>（项21）</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合同签订后90天内交付</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按照磋商文件、响应文件及合同约定的验收要求，验收合格后交付</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1、期次1，说明：根据本采购文件、成交人的响应文件及相关承诺、有关国家、行业规定进行验收。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1、具体合同支付方式以“序号9 其他”内容为准。，达到付款条件起30日内，支付合同总金额的100.00%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pPr>
            <w:r>
              <w:rPr>
                <w:rFonts w:ascii="仿宋_GB2312" w:hAnsi="仿宋_GB2312" w:cs="仿宋_GB2312" w:eastAsia="仿宋_GB2312"/>
              </w:rPr>
              <w:t>说明：为中标合同价的10％（联合体投标的，其履约保证金由联合体牵头人负责缴交）</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履约保证金支付方式： 履约担保形式：以现金或银行保函或工程担保或建设工程保证保险的方式提交。现金及银行保函方式须满足闽建筑〔2013〕29号的规定，工程担保及建设工程保证保险方式须满足闽建筑〔2015〕29号文、闽建筑〔2018〕19号文和闽建筑〔2021〕16号文的规定。 履约担保以现金形式递交的，应由成交人基本账户转出；以银行保函递交的，应由成交人账户所在银行出具,所需费用由成交人承担； 履约担保若为银行保函或工程担保或建设工程保证保险的方式提交的，成交人应对履约担保材料的真实性负责，若发现提供虚假材料的，成交人承担一切后果并处罚如下：①处罚违约金10万元；②重新提供履约担保必须以现金方式提交；③采购人如实上报行政主管部门，列入不良记录。 履约担保提交时间：成交人在收到成交通知书后14天内提交。成交人未按规定提交履约担保的，采购人有权按照5000元/天进行处罚，直至办理完成履约担保。 履约担保期限：履约担保有效期应持续到主合同约定的竣工验收合格后28日止。成交人采用银行保函的，必须保证该银行保函在合同履行期间一直保持其真实有效；履约担保到期前10天内需重新提交履约担保，否则采购人有权按照5000元/天进行处罚，直至办理完成履约保函延期手续止。 履约担保退还：履约担保有效期满后无息退给成交人。</w:t>
            </w:r>
          </w:p>
        </w:tc>
      </w:tr>
      <w:tr>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合同支付方式：（1）设计咨询 ①设计人提交图审后施工图蓝图及提供等额正式发票后10个工作日内，由采购人向设计人支付合同总额的70%； ②采购人在项目竣工验收合格且工程结算经罗源县财政投资评审中心审核，以出具的工程施工结算价为计费基数重新计算后 15个工作日内，向设计人支付剩余款项，结清全部服务费。 （2）工程勘察 ①勘察人出具正式勘察成果文件后，自提出申请之日起10个工作日内，采购人支付至实际完成工程量价款的70%； ②项目工程结算审核完成后，由勘察人提出申请，采购人15个工作日内向勘察人支付全部剩余勘察费。 （3）造价咨询 ①咨询人提供该项目的正式合格文件并通过罗源县财政评审中心审核，由咨询人提供计价依据等请款材料后10个工作日内，采购人支付批复金额的70%； ②待工程量清单核对完成后15个工作日内，支付剩余的30%咨询费（若施工项目中标通知书发出之日起28 天内，采购人未向咨询人提交工程量清单核对的相关材料，视为工程量清单核对已完成)。 注：若为联合体的，各专项服务费用均由联合体牵头人向采购人提出申请支付，经采购人批准后，以转账方式转至联合体牵头人账户。</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、违约责</w:t>
      </w:r>
      <w:r>
        <w:rPr>
          <w:rFonts w:ascii="仿宋_GB2312" w:hAnsi="仿宋_GB2312" w:cs="仿宋_GB2312" w:eastAsia="仿宋_GB2312"/>
          <w:sz w:val="24"/>
          <w:color w:val="000000"/>
        </w:rPr>
        <w:t>任</w:t>
      </w:r>
    </w:p>
    <w:p>
      <w:pPr>
        <w:pStyle w:val="null3"/>
        <w:ind w:firstLine="480"/>
      </w:pPr>
      <w:r>
        <w:rPr>
          <w:rFonts w:ascii="仿宋_GB2312" w:hAnsi="仿宋_GB2312" w:cs="仿宋_GB2312" w:eastAsia="仿宋_GB2312"/>
          <w:sz w:val="24"/>
          <w:color w:val="000000"/>
        </w:rPr>
        <w:t>（1）成交人逾期交付全过程工程咨询服务成果文件的违约金：每逾期一天，按每天3000元向采购人支付违约金，超过30天仍无法交付的，采购人有权解除合同，成交人应退回已收的全部费用。</w:t>
      </w:r>
    </w:p>
    <w:p>
      <w:pPr>
        <w:pStyle w:val="null3"/>
        <w:ind w:firstLine="480"/>
      </w:pPr>
      <w:r>
        <w:rPr>
          <w:rFonts w:ascii="仿宋_GB2312" w:hAnsi="仿宋_GB2312" w:cs="仿宋_GB2312" w:eastAsia="仿宋_GB2312"/>
          <w:sz w:val="24"/>
          <w:color w:val="000000"/>
        </w:rPr>
        <w:t>（2）相关违约责任以采购人提供的合同内容为准。</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本磋商文件未明确的其它约定事项或条款，待采购人与供应商签订合同时，由双方协商订立</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[350123]ZJGC[CS]2025001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罗源县公共实训基地建设项目全过程咨询服务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1(罗源县公共实训基地建设项目全过程咨询服务)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罗源县公共实训基地建设项目全过程咨询服务</w:t>
            </w:r>
          </w:p>
        </w:tc>
        <w:tc>
          <w:tcPr>
            <w:tcW w:type="dxa" w:w="1661"/>
          </w:tcPr>
          <w:p>
            <w:pPr>
              <w:pStyle w:val="null3"/>
              <w:jc w:val="left"/>
            </w:pPr>
            <w:r>
              <w:rPr>
                <w:rFonts w:ascii="仿宋_GB2312" w:hAnsi="仿宋_GB2312" w:cs="仿宋_GB2312" w:eastAsia="仿宋_GB2312"/>
              </w:rPr>
              <w:t xml:space="preserve"> 695042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[350123]ZJGC[CS]2025001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罗源县公共实训基地建设项目全过程咨询服务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罗源县公共实训基地建设项目全过程咨询服务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罗源县公共实训基地建设项目全过程咨询服务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设计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552237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勘察</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82800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造价咨询</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60005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