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版本号：N510601202500004920250326001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反诈资金分析平台服务采购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N5106012025000049</w:t>
      </w:r>
    </w:p>
    <w:p>
      <w:pPr>
        <w:pStyle w:val="null3"/>
        <w:jc w:val="left"/>
        <w:outlineLvl w:val="2"/>
      </w:pPr>
      <w:r>
        <w:rPr>
          <w:rFonts w:ascii="仿宋_GB2312" w:hAnsi="仿宋_GB2312" w:cs="仿宋_GB2312" w:eastAsia="仿宋_GB2312"/>
          <w:sz w:val="28"/>
          <w:b/>
        </w:rPr>
        <w:t>德阳市公安局</w:t>
      </w:r>
    </w:p>
    <w:p>
      <w:pPr>
        <w:pStyle w:val="null3"/>
        <w:jc w:val="center"/>
        <w:outlineLvl w:val="2"/>
      </w:pPr>
      <w:r>
        <w:rPr>
          <w:rFonts w:ascii="仿宋_GB2312" w:hAnsi="仿宋_GB2312" w:cs="仿宋_GB2312" w:eastAsia="仿宋_GB2312"/>
          <w:sz w:val="28"/>
          <w:b/>
        </w:rPr>
        <w:t>四川三和源招标代理有限公司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四川三和源招标代理有限公司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德阳市公安局</w:t>
      </w:r>
      <w:r>
        <w:rPr>
          <w:rFonts w:ascii="仿宋_GB2312" w:hAnsi="仿宋_GB2312" w:cs="仿宋_GB2312" w:eastAsia="仿宋_GB2312"/>
        </w:rPr>
        <w:t xml:space="preserve"> 委托，拟对 </w:t>
      </w:r>
      <w:r>
        <w:rPr>
          <w:rFonts w:ascii="仿宋_GB2312" w:hAnsi="仿宋_GB2312" w:cs="仿宋_GB2312" w:eastAsia="仿宋_GB2312"/>
        </w:rPr>
        <w:t>反诈资金分析平台服务采购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N5106012025000049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反诈资金分析平台服务采购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为满足电信网络诈骗案件侦查中对受害人被骗资金查控返还需要，拟采购反诈资金分析平台服务。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德阳市公安局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长江东路238号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0838-2598097</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四川三和源招标代理有限公司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德阳市泰山南路二段733号银鑫.五洲广场一期21栋24楼1号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0838-2657777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代理服务费收费标准：1、根据川财采〔2020〕74 号文、发改价格〔2015〕299 号文及计价格〔2002〕1980 号文的相关规定，本项目采购代理服务费：9261元（大写：玖仟贰佰陆拾壹元整），由中标人在领取中标通知书时一次性支付给采购代理机构。2、成交公告在四川政府采购网上公告后，请成交供应商按磋商文件关于领取成交通知书的要求领取成交通知书。 代理服务费交款请转至以下账户： 收款单位：四川三和源招标代理有限公司。 开 户 行：中国农业银行股份有限公司德阳市分行。 银行账号：22226001040005643。</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德阳市公安局</w:t>
      </w:r>
      <w:r>
        <w:rPr>
          <w:rFonts w:ascii="仿宋_GB2312" w:hAnsi="仿宋_GB2312" w:cs="仿宋_GB2312" w:eastAsia="仿宋_GB2312"/>
        </w:rPr>
        <w:t xml:space="preserve"> 和 </w:t>
      </w:r>
      <w:r>
        <w:rPr>
          <w:rFonts w:ascii="仿宋_GB2312" w:hAnsi="仿宋_GB2312" w:cs="仿宋_GB2312" w:eastAsia="仿宋_GB2312"/>
        </w:rPr>
        <w:t>四川三和源招标代理有限公司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德阳市公安局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四川三和源招标代理有限公司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一年服务期满</w:t>
      </w:r>
      <w:r>
        <w:rPr>
          <w:rFonts w:ascii="仿宋_GB2312" w:hAnsi="仿宋_GB2312" w:cs="仿宋_GB2312" w:eastAsia="仿宋_GB2312"/>
        </w:rPr>
        <w:t xml:space="preserve"> ，达到验收条件起 </w:t>
      </w:r>
      <w:r>
        <w:rPr>
          <w:rFonts w:ascii="仿宋_GB2312" w:hAnsi="仿宋_GB2312" w:cs="仿宋_GB2312" w:eastAsia="仿宋_GB2312"/>
        </w:rPr>
        <w:t>14</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结合本项目招标文件服务内容及要求、中标人的投标文件、合同进行验收。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结合本项目招标文件商务要求、合同进行验收。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中标人须在中标通知书发出后规定的时间内与采购人签订政府采购合同；按照《财政部关于进一步加强政府采购需求和履约验收管理的指导意见》（财库〔2016〕205号）和《政府采购需求管理办法》（财库〔2021〕22号）等相关法律、法规的要求，以及本项目招标文件的要求和中标人的投标文件、合同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履约验收各条款规定有不一致时，按较高标准进行。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德阳市公安局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四川三和源招标代理有限公司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四川三和源招标代理有限公司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联系电话：0838-2598097</w:t>
      </w:r>
    </w:p>
    <w:p>
      <w:pPr>
        <w:pStyle w:val="null3"/>
        <w:jc w:val="left"/>
      </w:pPr>
      <w:r>
        <w:rPr>
          <w:rFonts w:ascii="仿宋_GB2312" w:hAnsi="仿宋_GB2312" w:cs="仿宋_GB2312" w:eastAsia="仿宋_GB2312"/>
        </w:rPr>
        <w:t>地址：长江东路238号</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联系人：杜老师</w:t>
      </w:r>
    </w:p>
    <w:p>
      <w:pPr>
        <w:pStyle w:val="null3"/>
        <w:jc w:val="left"/>
      </w:pPr>
      <w:r>
        <w:rPr>
          <w:rFonts w:ascii="仿宋_GB2312" w:hAnsi="仿宋_GB2312" w:cs="仿宋_GB2312" w:eastAsia="仿宋_GB2312"/>
        </w:rPr>
        <w:t>联系电话：0838-2657777</w:t>
      </w:r>
    </w:p>
    <w:p>
      <w:pPr>
        <w:pStyle w:val="null3"/>
        <w:jc w:val="left"/>
      </w:pPr>
      <w:r>
        <w:rPr>
          <w:rFonts w:ascii="仿宋_GB2312" w:hAnsi="仿宋_GB2312" w:cs="仿宋_GB2312" w:eastAsia="仿宋_GB2312"/>
        </w:rPr>
        <w:t>地址：德阳市泰山南路二段733号银鑫.五洲广场一期21栋24楼1号</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740,000.00</w:t>
      </w:r>
    </w:p>
    <w:p>
      <w:pPr>
        <w:pStyle w:val="null3"/>
        <w:jc w:val="left"/>
      </w:pPr>
      <w:r>
        <w:rPr>
          <w:rFonts w:ascii="仿宋_GB2312" w:hAnsi="仿宋_GB2312" w:cs="仿宋_GB2312" w:eastAsia="仿宋_GB2312"/>
        </w:rPr>
        <w:t>采购包最高限价（元）: 614,700.00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C17990000 其他电信和信息传输服务</w:t>
            </w:r>
          </w:p>
        </w:tc>
        <w:tc>
          <w:tcPr>
            <w:tcW w:type="dxa" w:w="821"/>
          </w:tcPr>
          <w:p>
            <w:pPr>
              <w:pStyle w:val="null3"/>
              <w:jc w:val="left"/>
            </w:pPr>
            <w:r>
              <w:rPr>
                <w:rFonts w:ascii="仿宋_GB2312" w:hAnsi="仿宋_GB2312" w:cs="仿宋_GB2312" w:eastAsia="仿宋_GB2312"/>
              </w:rPr>
              <w:t>反诈资金分析平台服务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614,700.00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反诈资金分析平台服务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614,700.00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报价须包含本项目实施所需全部费用，包括服务费、安装部署调试费、人工费、交通费、税金、代理服务费等，是实现本项目所有服务内容和采购需求的固定不变价格。不因任何原因进行调整，投标人报价时应充分考虑相关因素，因此而造成的损失由投标人自行承担。</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标的名称：反诈资金分析平台服务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jc w:val="left"/>
            </w:pPr>
            <w:r>
              <w:rPr>
                <w:rFonts w:ascii="仿宋_GB2312" w:hAnsi="仿宋_GB2312" w:cs="仿宋_GB2312" w:eastAsia="仿宋_GB2312"/>
              </w:rPr>
              <w:t>（一）服务内容：反诈资金分析平台6套（含6套工作站）。</w:t>
            </w:r>
            <w:r>
              <w:br/>
            </w:r>
            <w:r>
              <w:rPr>
                <w:rFonts w:ascii="仿宋_GB2312" w:hAnsi="仿宋_GB2312" w:cs="仿宋_GB2312" w:eastAsia="仿宋_GB2312"/>
              </w:rPr>
              <w:t xml:space="preserve"> （二）服务要求</w:t>
            </w:r>
            <w:r>
              <w:br/>
            </w:r>
            <w:r>
              <w:rPr>
                <w:rFonts w:ascii="仿宋_GB2312" w:hAnsi="仿宋_GB2312" w:cs="仿宋_GB2312" w:eastAsia="仿宋_GB2312"/>
              </w:rPr>
              <w:t xml:space="preserve"> 2、提供服务的软件主要功能</w:t>
            </w:r>
            <w:r>
              <w:br/>
            </w:r>
            <w:r>
              <w:rPr>
                <w:rFonts w:ascii="仿宋_GB2312" w:hAnsi="仿宋_GB2312" w:cs="仿宋_GB2312" w:eastAsia="仿宋_GB2312"/>
              </w:rPr>
              <w:t xml:space="preserve"> 2.1平台管理服务</w:t>
            </w:r>
            <w:r>
              <w:br/>
            </w:r>
            <w:r>
              <w:rPr>
                <w:rFonts w:ascii="仿宋_GB2312" w:hAnsi="仿宋_GB2312" w:cs="仿宋_GB2312" w:eastAsia="仿宋_GB2312"/>
              </w:rPr>
              <w:t xml:space="preserve"> 2.1.1 安全管理</w:t>
            </w:r>
            <w:r>
              <w:br/>
            </w:r>
            <w:r>
              <w:rPr>
                <w:rFonts w:ascii="仿宋_GB2312" w:hAnsi="仿宋_GB2312" w:cs="仿宋_GB2312" w:eastAsia="仿宋_GB2312"/>
              </w:rPr>
              <w:t xml:space="preserve"> 提供账号基本管理服务，激活授权，本地版账号支持1台终端设备使用。</w:t>
            </w:r>
            <w:r>
              <w:br/>
            </w:r>
            <w:r>
              <w:rPr>
                <w:rFonts w:ascii="仿宋_GB2312" w:hAnsi="仿宋_GB2312" w:cs="仿宋_GB2312" w:eastAsia="仿宋_GB2312"/>
              </w:rPr>
              <w:t xml:space="preserve"> 2.1.2 支持案件管理功能，提供新建、删除、修改等多种能力。</w:t>
            </w:r>
            <w:r>
              <w:br/>
            </w:r>
            <w:r>
              <w:rPr>
                <w:rFonts w:ascii="仿宋_GB2312" w:hAnsi="仿宋_GB2312" w:cs="仿宋_GB2312" w:eastAsia="仿宋_GB2312"/>
              </w:rPr>
              <w:t xml:space="preserve"> 2.1.3 数据治理</w:t>
            </w:r>
            <w:r>
              <w:br/>
            </w:r>
            <w:r>
              <w:rPr>
                <w:rFonts w:ascii="仿宋_GB2312" w:hAnsi="仿宋_GB2312" w:cs="仿宋_GB2312" w:eastAsia="仿宋_GB2312"/>
              </w:rPr>
              <w:t xml:space="preserve"> 1）支持上传Excel和CSV格式、ET、财付通TXT数据。</w:t>
            </w:r>
            <w:r>
              <w:br/>
            </w:r>
            <w:r>
              <w:rPr>
                <w:rFonts w:ascii="仿宋_GB2312" w:hAnsi="仿宋_GB2312" w:cs="仿宋_GB2312" w:eastAsia="仿宋_GB2312"/>
              </w:rPr>
              <w:t xml:space="preserve"> 2）支持上传银行交易流水、银行卡户信息、三方支付、支付宝五连表数据。</w:t>
            </w:r>
            <w:r>
              <w:br/>
            </w:r>
            <w:r>
              <w:rPr>
                <w:rFonts w:ascii="仿宋_GB2312" w:hAnsi="仿宋_GB2312" w:cs="仿宋_GB2312" w:eastAsia="仿宋_GB2312"/>
              </w:rPr>
              <w:t xml:space="preserve"> 3）支持对调单资金账户间的重复交易进行去重。</w:t>
            </w:r>
            <w:r>
              <w:br/>
            </w:r>
            <w:r>
              <w:rPr>
                <w:rFonts w:ascii="仿宋_GB2312" w:hAnsi="仿宋_GB2312" w:cs="仿宋_GB2312" w:eastAsia="仿宋_GB2312"/>
              </w:rPr>
              <w:t xml:space="preserve"> ●4）支持通过压缩包、单文件、文件夹的方式上传数据。</w:t>
            </w:r>
            <w:r>
              <w:br/>
            </w:r>
            <w:r>
              <w:rPr>
                <w:rFonts w:ascii="仿宋_GB2312" w:hAnsi="仿宋_GB2312" w:cs="仿宋_GB2312" w:eastAsia="仿宋_GB2312"/>
              </w:rPr>
              <w:t xml:space="preserve"> 5）支持离线批量上传数据。</w:t>
            </w:r>
            <w:r>
              <w:br/>
            </w:r>
            <w:r>
              <w:rPr>
                <w:rFonts w:ascii="仿宋_GB2312" w:hAnsi="仿宋_GB2312" w:cs="仿宋_GB2312" w:eastAsia="仿宋_GB2312"/>
              </w:rPr>
              <w:t xml:space="preserve"> 6）支持自动将上传文件与系统模版进行匹配并自动上传。</w:t>
            </w:r>
            <w:r>
              <w:br/>
            </w:r>
            <w:r>
              <w:rPr>
                <w:rFonts w:ascii="仿宋_GB2312" w:hAnsi="仿宋_GB2312" w:cs="仿宋_GB2312" w:eastAsia="仿宋_GB2312"/>
              </w:rPr>
              <w:t xml:space="preserve"> 7）支持对文件中的列与系统模版进行自定义匹配并保存为模版。</w:t>
            </w:r>
            <w:r>
              <w:br/>
            </w:r>
            <w:r>
              <w:rPr>
                <w:rFonts w:ascii="仿宋_GB2312" w:hAnsi="仿宋_GB2312" w:cs="仿宋_GB2312" w:eastAsia="仿宋_GB2312"/>
              </w:rPr>
              <w:t xml:space="preserve"> 8）支持自动清洗IP数据格式。</w:t>
            </w:r>
            <w:r>
              <w:br/>
            </w:r>
            <w:r>
              <w:rPr>
                <w:rFonts w:ascii="仿宋_GB2312" w:hAnsi="仿宋_GB2312" w:cs="仿宋_GB2312" w:eastAsia="仿宋_GB2312"/>
              </w:rPr>
              <w:t xml:space="preserve"> 9）支持上传通话记录数据。</w:t>
            </w:r>
            <w:r>
              <w:br/>
            </w:r>
            <w:r>
              <w:rPr>
                <w:rFonts w:ascii="仿宋_GB2312" w:hAnsi="仿宋_GB2312" w:cs="仿宋_GB2312" w:eastAsia="仿宋_GB2312"/>
              </w:rPr>
              <w:t xml:space="preserve"> 10）支持通过开户信息批量修改账号关联的卡号。</w:t>
            </w:r>
            <w:r>
              <w:br/>
            </w:r>
            <w:r>
              <w:rPr>
                <w:rFonts w:ascii="仿宋_GB2312" w:hAnsi="仿宋_GB2312" w:cs="仿宋_GB2312" w:eastAsia="仿宋_GB2312"/>
              </w:rPr>
              <w:t xml:space="preserve"> 11）支持通过开户信息批量修改账户卡户名信息。</w:t>
            </w:r>
            <w:r>
              <w:br/>
            </w:r>
            <w:r>
              <w:rPr>
                <w:rFonts w:ascii="仿宋_GB2312" w:hAnsi="仿宋_GB2312" w:cs="仿宋_GB2312" w:eastAsia="仿宋_GB2312"/>
              </w:rPr>
              <w:t xml:space="preserve"> 12）可支持高效批量读取处理文件，单次上传文件大小≥1G、单次上传文件数量≥100个。</w:t>
            </w:r>
            <w:r>
              <w:br/>
            </w:r>
            <w:r>
              <w:rPr>
                <w:rFonts w:ascii="仿宋_GB2312" w:hAnsi="仿宋_GB2312" w:cs="仿宋_GB2312" w:eastAsia="仿宋_GB2312"/>
              </w:rPr>
              <w:t xml:space="preserve"> 13）支持止付能力：有内网电脑和账户密码即可自动完成提交止付，不受时间和空间限制，录入方便，无需PKI，支持三方止付。</w:t>
            </w:r>
            <w:r>
              <w:br/>
            </w:r>
            <w:r>
              <w:rPr>
                <w:rFonts w:ascii="仿宋_GB2312" w:hAnsi="仿宋_GB2312" w:cs="仿宋_GB2312" w:eastAsia="仿宋_GB2312"/>
              </w:rPr>
              <w:t xml:space="preserve"> 2.2.智能分析</w:t>
            </w:r>
            <w:r>
              <w:br/>
            </w:r>
            <w:r>
              <w:rPr>
                <w:rFonts w:ascii="仿宋_GB2312" w:hAnsi="仿宋_GB2312" w:cs="仿宋_GB2312" w:eastAsia="仿宋_GB2312"/>
              </w:rPr>
              <w:t xml:space="preserve"> 2.2.1 识别交易行为类别</w:t>
            </w:r>
            <w:r>
              <w:br/>
            </w:r>
            <w:r>
              <w:rPr>
                <w:rFonts w:ascii="仿宋_GB2312" w:hAnsi="仿宋_GB2312" w:cs="仿宋_GB2312" w:eastAsia="仿宋_GB2312"/>
              </w:rPr>
              <w:t xml:space="preserve"> ●1）支持识别银行线下存取现金交易行为。</w:t>
            </w:r>
            <w:r>
              <w:br/>
            </w:r>
            <w:r>
              <w:rPr>
                <w:rFonts w:ascii="仿宋_GB2312" w:hAnsi="仿宋_GB2312" w:cs="仿宋_GB2312" w:eastAsia="仿宋_GB2312"/>
              </w:rPr>
              <w:t xml:space="preserve"> ●2）支持识别衣食住行等生活消费交易行为。</w:t>
            </w:r>
            <w:r>
              <w:br/>
            </w:r>
            <w:r>
              <w:rPr>
                <w:rFonts w:ascii="仿宋_GB2312" w:hAnsi="仿宋_GB2312" w:cs="仿宋_GB2312" w:eastAsia="仿宋_GB2312"/>
              </w:rPr>
              <w:t xml:space="preserve"> 3）支持识别试卡行为。 </w:t>
            </w:r>
            <w:r>
              <w:br/>
            </w:r>
            <w:r>
              <w:rPr>
                <w:rFonts w:ascii="仿宋_GB2312" w:hAnsi="仿宋_GB2312" w:cs="仿宋_GB2312" w:eastAsia="仿宋_GB2312"/>
              </w:rPr>
              <w:t xml:space="preserve"> ●4）支持识别快进快出行为。 </w:t>
            </w:r>
            <w:r>
              <w:br/>
            </w:r>
            <w:r>
              <w:rPr>
                <w:rFonts w:ascii="仿宋_GB2312" w:hAnsi="仿宋_GB2312" w:cs="仿宋_GB2312" w:eastAsia="仿宋_GB2312"/>
              </w:rPr>
              <w:t xml:space="preserve"> 5）支持识别发放工资行为。 </w:t>
            </w:r>
            <w:r>
              <w:br/>
            </w:r>
            <w:r>
              <w:rPr>
                <w:rFonts w:ascii="仿宋_GB2312" w:hAnsi="仿宋_GB2312" w:cs="仿宋_GB2312" w:eastAsia="仿宋_GB2312"/>
              </w:rPr>
              <w:t xml:space="preserve"> 2.2.2 识别IP所属地、网络类型信息</w:t>
            </w:r>
            <w:r>
              <w:br/>
            </w:r>
            <w:r>
              <w:rPr>
                <w:rFonts w:ascii="仿宋_GB2312" w:hAnsi="仿宋_GB2312" w:cs="仿宋_GB2312" w:eastAsia="仿宋_GB2312"/>
              </w:rPr>
              <w:t xml:space="preserve"> 1）支持支持ipv4所属地、网络类型。</w:t>
            </w:r>
            <w:r>
              <w:br/>
            </w:r>
            <w:r>
              <w:rPr>
                <w:rFonts w:ascii="仿宋_GB2312" w:hAnsi="仿宋_GB2312" w:cs="仿宋_GB2312" w:eastAsia="仿宋_GB2312"/>
              </w:rPr>
              <w:t xml:space="preserve"> 2）支持识别ipv6网络类型。</w:t>
            </w:r>
            <w:r>
              <w:br/>
            </w:r>
            <w:r>
              <w:rPr>
                <w:rFonts w:ascii="仿宋_GB2312" w:hAnsi="仿宋_GB2312" w:cs="仿宋_GB2312" w:eastAsia="仿宋_GB2312"/>
              </w:rPr>
              <w:t xml:space="preserve"> 2.2.3 识别银行卡开户行、开户地等信息。</w:t>
            </w:r>
            <w:r>
              <w:br/>
            </w:r>
            <w:r>
              <w:rPr>
                <w:rFonts w:ascii="仿宋_GB2312" w:hAnsi="仿宋_GB2312" w:cs="仿宋_GB2312" w:eastAsia="仿宋_GB2312"/>
              </w:rPr>
              <w:t xml:space="preserve"> 2.2.4 支持分析交易来源去向。</w:t>
            </w:r>
            <w:r>
              <w:br/>
            </w:r>
            <w:r>
              <w:rPr>
                <w:rFonts w:ascii="仿宋_GB2312" w:hAnsi="仿宋_GB2312" w:cs="仿宋_GB2312" w:eastAsia="仿宋_GB2312"/>
              </w:rPr>
              <w:t xml:space="preserve"> 1）支持识别交易资金去向，对其进行资金追踪。</w:t>
            </w:r>
            <w:r>
              <w:br/>
            </w:r>
            <w:r>
              <w:rPr>
                <w:rFonts w:ascii="仿宋_GB2312" w:hAnsi="仿宋_GB2312" w:cs="仿宋_GB2312" w:eastAsia="仿宋_GB2312"/>
              </w:rPr>
              <w:t xml:space="preserve"> 2）支持识别交易资金来源，对其进行资金溯源。</w:t>
            </w:r>
            <w:r>
              <w:br/>
            </w:r>
            <w:r>
              <w:rPr>
                <w:rFonts w:ascii="仿宋_GB2312" w:hAnsi="仿宋_GB2312" w:cs="仿宋_GB2312" w:eastAsia="仿宋_GB2312"/>
              </w:rPr>
              <w:t xml:space="preserve"> 2.2.5 支持分析资金归集卡</w:t>
            </w:r>
            <w:r>
              <w:br/>
            </w:r>
            <w:r>
              <w:rPr>
                <w:rFonts w:ascii="仿宋_GB2312" w:hAnsi="仿宋_GB2312" w:cs="仿宋_GB2312" w:eastAsia="仿宋_GB2312"/>
              </w:rPr>
              <w:t xml:space="preserve"> 2.2.6 支持通过共用的IP、MAC进行分析发现团伙线索</w:t>
            </w:r>
            <w:r>
              <w:br/>
            </w:r>
            <w:r>
              <w:rPr>
                <w:rFonts w:ascii="仿宋_GB2312" w:hAnsi="仿宋_GB2312" w:cs="仿宋_GB2312" w:eastAsia="仿宋_GB2312"/>
              </w:rPr>
              <w:t xml:space="preserve"> 2.2.7 支持识别重点角色账户</w:t>
            </w:r>
            <w:r>
              <w:br/>
            </w:r>
            <w:r>
              <w:rPr>
                <w:rFonts w:ascii="仿宋_GB2312" w:hAnsi="仿宋_GB2312" w:cs="仿宋_GB2312" w:eastAsia="仿宋_GB2312"/>
              </w:rPr>
              <w:t xml:space="preserve"> ●1）支持识别网赌充值账户。 </w:t>
            </w:r>
            <w:r>
              <w:br/>
            </w:r>
            <w:r>
              <w:rPr>
                <w:rFonts w:ascii="仿宋_GB2312" w:hAnsi="仿宋_GB2312" w:cs="仿宋_GB2312" w:eastAsia="仿宋_GB2312"/>
              </w:rPr>
              <w:t xml:space="preserve"> 2）支持识别网赌代理账户。 </w:t>
            </w:r>
            <w:r>
              <w:br/>
            </w:r>
            <w:r>
              <w:rPr>
                <w:rFonts w:ascii="仿宋_GB2312" w:hAnsi="仿宋_GB2312" w:cs="仿宋_GB2312" w:eastAsia="仿宋_GB2312"/>
              </w:rPr>
              <w:t xml:space="preserve"> 3）支持识别洗钱中出现马甲卡、跑分卡、商户卡。</w:t>
            </w:r>
            <w:r>
              <w:br/>
            </w:r>
            <w:r>
              <w:rPr>
                <w:rFonts w:ascii="仿宋_GB2312" w:hAnsi="仿宋_GB2312" w:cs="仿宋_GB2312" w:eastAsia="仿宋_GB2312"/>
              </w:rPr>
              <w:t xml:space="preserve"> ●2.2.8 支持识别重点断卡线索，异常交易（快进快出）支出金额≥30万元。</w:t>
            </w:r>
            <w:r>
              <w:br/>
            </w:r>
            <w:r>
              <w:rPr>
                <w:rFonts w:ascii="仿宋_GB2312" w:hAnsi="仿宋_GB2312" w:cs="仿宋_GB2312" w:eastAsia="仿宋_GB2312"/>
              </w:rPr>
              <w:t xml:space="preserve"> 2.3.智能绘图</w:t>
            </w:r>
            <w:r>
              <w:br/>
            </w:r>
            <w:r>
              <w:rPr>
                <w:rFonts w:ascii="仿宋_GB2312" w:hAnsi="仿宋_GB2312" w:cs="仿宋_GB2312" w:eastAsia="仿宋_GB2312"/>
              </w:rPr>
              <w:t xml:space="preserve"> 2.3.1 资金追踪画布</w:t>
            </w:r>
            <w:r>
              <w:br/>
            </w:r>
            <w:r>
              <w:rPr>
                <w:rFonts w:ascii="仿宋_GB2312" w:hAnsi="仿宋_GB2312" w:cs="仿宋_GB2312" w:eastAsia="仿宋_GB2312"/>
              </w:rPr>
              <w:t xml:space="preserve"> 1）追踪或溯源指定交易资金的来源和去向，并按资金层级自动绘制金流图进行分析。</w:t>
            </w:r>
            <w:r>
              <w:br/>
            </w:r>
            <w:r>
              <w:rPr>
                <w:rFonts w:ascii="仿宋_GB2312" w:hAnsi="仿宋_GB2312" w:cs="仿宋_GB2312" w:eastAsia="仿宋_GB2312"/>
              </w:rPr>
              <w:t xml:space="preserve"> ●2）支持自动识别资金交易数据中的各类错误数据并提示用户修改。</w:t>
            </w:r>
            <w:r>
              <w:br/>
            </w:r>
            <w:r>
              <w:rPr>
                <w:rFonts w:ascii="仿宋_GB2312" w:hAnsi="仿宋_GB2312" w:cs="仿宋_GB2312" w:eastAsia="仿宋_GB2312"/>
              </w:rPr>
              <w:t xml:space="preserve"> 3）支持对模型的追踪结果进行可视化验证和调整。</w:t>
            </w:r>
            <w:r>
              <w:br/>
            </w:r>
            <w:r>
              <w:rPr>
                <w:rFonts w:ascii="仿宋_GB2312" w:hAnsi="仿宋_GB2312" w:cs="仿宋_GB2312" w:eastAsia="仿宋_GB2312"/>
              </w:rPr>
              <w:t xml:space="preserve"> 4）支持对三方扫码支付转账进行画布分析。</w:t>
            </w:r>
            <w:r>
              <w:br/>
            </w:r>
            <w:r>
              <w:rPr>
                <w:rFonts w:ascii="仿宋_GB2312" w:hAnsi="仿宋_GB2312" w:cs="仿宋_GB2312" w:eastAsia="仿宋_GB2312"/>
              </w:rPr>
              <w:t xml:space="preserve"> 5）支持银行卡交易与三方交易共同分析，金流图不中断。 </w:t>
            </w:r>
            <w:r>
              <w:br/>
            </w:r>
            <w:r>
              <w:rPr>
                <w:rFonts w:ascii="仿宋_GB2312" w:hAnsi="仿宋_GB2312" w:cs="仿宋_GB2312" w:eastAsia="仿宋_GB2312"/>
              </w:rPr>
              <w:t xml:space="preserve"> 6）支持识别银行交易中银行与备付金的交易，在三方交易流水中对应的交易。 </w:t>
            </w:r>
            <w:r>
              <w:br/>
            </w:r>
            <w:r>
              <w:rPr>
                <w:rFonts w:ascii="仿宋_GB2312" w:hAnsi="仿宋_GB2312" w:cs="仿宋_GB2312" w:eastAsia="仿宋_GB2312"/>
              </w:rPr>
              <w:t xml:space="preserve"> 7）支持将结果导出为思维导图。 </w:t>
            </w:r>
            <w:r>
              <w:br/>
            </w:r>
            <w:r>
              <w:rPr>
                <w:rFonts w:ascii="仿宋_GB2312" w:hAnsi="仿宋_GB2312" w:cs="仿宋_GB2312" w:eastAsia="仿宋_GB2312"/>
              </w:rPr>
              <w:t xml:space="preserve"> 8）支持将结果导出为高清图片。</w:t>
            </w:r>
            <w:r>
              <w:br/>
            </w:r>
            <w:r>
              <w:rPr>
                <w:rFonts w:ascii="仿宋_GB2312" w:hAnsi="仿宋_GB2312" w:cs="仿宋_GB2312" w:eastAsia="仿宋_GB2312"/>
              </w:rPr>
              <w:t xml:space="preserve"> 9）支持分析存在同开户名、同IP、同MAC、同手机号、同地点的交易账户。</w:t>
            </w:r>
            <w:r>
              <w:br/>
            </w:r>
            <w:r>
              <w:rPr>
                <w:rFonts w:ascii="仿宋_GB2312" w:hAnsi="仿宋_GB2312" w:cs="仿宋_GB2312" w:eastAsia="仿宋_GB2312"/>
              </w:rPr>
              <w:t xml:space="preserve"> 2.3.2 自由分析画布</w:t>
            </w:r>
            <w:r>
              <w:br/>
            </w:r>
            <w:r>
              <w:rPr>
                <w:rFonts w:ascii="仿宋_GB2312" w:hAnsi="仿宋_GB2312" w:cs="仿宋_GB2312" w:eastAsia="仿宋_GB2312"/>
              </w:rPr>
              <w:t xml:space="preserve"> 1）支持银行卡交易、三方交易、通话记录融合分析。</w:t>
            </w:r>
            <w:r>
              <w:br/>
            </w:r>
            <w:r>
              <w:rPr>
                <w:rFonts w:ascii="仿宋_GB2312" w:hAnsi="仿宋_GB2312" w:cs="仿宋_GB2312" w:eastAsia="仿宋_GB2312"/>
              </w:rPr>
              <w:t xml:space="preserve"> 2）支持按交易金额前N名扩线。</w:t>
            </w:r>
            <w:r>
              <w:br/>
            </w:r>
            <w:r>
              <w:rPr>
                <w:rFonts w:ascii="仿宋_GB2312" w:hAnsi="仿宋_GB2312" w:cs="仿宋_GB2312" w:eastAsia="仿宋_GB2312"/>
              </w:rPr>
              <w:t xml:space="preserve"> 3）支持按交易净额前N名扩线。</w:t>
            </w:r>
            <w:r>
              <w:br/>
            </w:r>
            <w:r>
              <w:rPr>
                <w:rFonts w:ascii="仿宋_GB2312" w:hAnsi="仿宋_GB2312" w:cs="仿宋_GB2312" w:eastAsia="仿宋_GB2312"/>
              </w:rPr>
              <w:t xml:space="preserve"> 4）支持扩线交易账户间交易。</w:t>
            </w:r>
            <w:r>
              <w:br/>
            </w:r>
            <w:r>
              <w:rPr>
                <w:rFonts w:ascii="仿宋_GB2312" w:hAnsi="仿宋_GB2312" w:cs="仿宋_GB2312" w:eastAsia="仿宋_GB2312"/>
              </w:rPr>
              <w:t xml:space="preserve"> 5）支持扩交易账户的共同交易对手。</w:t>
            </w:r>
            <w:r>
              <w:br/>
            </w:r>
            <w:r>
              <w:rPr>
                <w:rFonts w:ascii="仿宋_GB2312" w:hAnsi="仿宋_GB2312" w:cs="仿宋_GB2312" w:eastAsia="仿宋_GB2312"/>
              </w:rPr>
              <w:t xml:space="preserve"> 6）支持扩交易账户使用的IP、MAC。</w:t>
            </w:r>
            <w:r>
              <w:br/>
            </w:r>
            <w:r>
              <w:rPr>
                <w:rFonts w:ascii="仿宋_GB2312" w:hAnsi="仿宋_GB2312" w:cs="仿宋_GB2312" w:eastAsia="仿宋_GB2312"/>
              </w:rPr>
              <w:t xml:space="preserve"> 7）支持扩线使用过IP、MAC的交易账户。</w:t>
            </w:r>
            <w:r>
              <w:br/>
            </w:r>
            <w:r>
              <w:rPr>
                <w:rFonts w:ascii="仿宋_GB2312" w:hAnsi="仿宋_GB2312" w:cs="仿宋_GB2312" w:eastAsia="仿宋_GB2312"/>
              </w:rPr>
              <w:t xml:space="preserve"> 8）支持分析存在同开户名、同IP、同MAC、同手机号、同地点的交易账户。</w:t>
            </w:r>
            <w:r>
              <w:br/>
            </w:r>
            <w:r>
              <w:rPr>
                <w:rFonts w:ascii="仿宋_GB2312" w:hAnsi="仿宋_GB2312" w:cs="仿宋_GB2312" w:eastAsia="仿宋_GB2312"/>
              </w:rPr>
              <w:t xml:space="preserve"> 9）支持扩电话号码的通话记录。</w:t>
            </w:r>
            <w:r>
              <w:br/>
            </w:r>
            <w:r>
              <w:rPr>
                <w:rFonts w:ascii="仿宋_GB2312" w:hAnsi="仿宋_GB2312" w:cs="仿宋_GB2312" w:eastAsia="仿宋_GB2312"/>
              </w:rPr>
              <w:t xml:space="preserve"> ●10）支持关系布局、流向布局、层级布局，并支持对局部或全局节点分别进行布局。</w:t>
            </w:r>
            <w:r>
              <w:br/>
            </w:r>
            <w:r>
              <w:rPr>
                <w:rFonts w:ascii="仿宋_GB2312" w:hAnsi="仿宋_GB2312" w:cs="仿宋_GB2312" w:eastAsia="仿宋_GB2312"/>
              </w:rPr>
              <w:t xml:space="preserve"> 11）支持通过左对齐、顶部对齐、横向分布等能力，对全局或局部节点进行布局。</w:t>
            </w:r>
            <w:r>
              <w:br/>
            </w:r>
            <w:r>
              <w:rPr>
                <w:rFonts w:ascii="仿宋_GB2312" w:hAnsi="仿宋_GB2312" w:cs="仿宋_GB2312" w:eastAsia="仿宋_GB2312"/>
              </w:rPr>
              <w:t xml:space="preserve"> 12）支持对节点进行自定义标签标记重点研判信息。</w:t>
            </w:r>
            <w:r>
              <w:br/>
            </w:r>
            <w:r>
              <w:rPr>
                <w:rFonts w:ascii="仿宋_GB2312" w:hAnsi="仿宋_GB2312" w:cs="仿宋_GB2312" w:eastAsia="仿宋_GB2312"/>
              </w:rPr>
              <w:t xml:space="preserve"> 13）支持按交易金额大小动态修改关系线颜色。</w:t>
            </w:r>
            <w:r>
              <w:br/>
            </w:r>
            <w:r>
              <w:rPr>
                <w:rFonts w:ascii="仿宋_GB2312" w:hAnsi="仿宋_GB2312" w:cs="仿宋_GB2312" w:eastAsia="仿宋_GB2312"/>
              </w:rPr>
              <w:t xml:space="preserve"> 14）支持按关联节点数、交易总量、收入资金、支出资金、交易净额、交易次数修改节点尺寸。</w:t>
            </w:r>
            <w:r>
              <w:br/>
            </w:r>
            <w:r>
              <w:rPr>
                <w:rFonts w:ascii="仿宋_GB2312" w:hAnsi="仿宋_GB2312" w:cs="仿宋_GB2312" w:eastAsia="仿宋_GB2312"/>
              </w:rPr>
              <w:t xml:space="preserve"> 15）支持按交易金额、交易次数修改关系尺寸。</w:t>
            </w:r>
            <w:r>
              <w:br/>
            </w:r>
            <w:r>
              <w:rPr>
                <w:rFonts w:ascii="仿宋_GB2312" w:hAnsi="仿宋_GB2312" w:cs="仿宋_GB2312" w:eastAsia="仿宋_GB2312"/>
              </w:rPr>
              <w:t xml:space="preserve"> 16）支持一键调整全局或局部节点的紧凑度。 </w:t>
            </w:r>
            <w:r>
              <w:br/>
            </w:r>
            <w:r>
              <w:rPr>
                <w:rFonts w:ascii="仿宋_GB2312" w:hAnsi="仿宋_GB2312" w:cs="仿宋_GB2312" w:eastAsia="仿宋_GB2312"/>
              </w:rPr>
              <w:t xml:space="preserve"> 17）支持按交易金额对关系进行筛选。</w:t>
            </w:r>
            <w:r>
              <w:br/>
            </w:r>
            <w:r>
              <w:rPr>
                <w:rFonts w:ascii="仿宋_GB2312" w:hAnsi="仿宋_GB2312" w:cs="仿宋_GB2312" w:eastAsia="仿宋_GB2312"/>
              </w:rPr>
              <w:t xml:space="preserve"> 18）支持自定义添加节点和关系。</w:t>
            </w:r>
            <w:r>
              <w:br/>
            </w:r>
            <w:r>
              <w:rPr>
                <w:rFonts w:ascii="仿宋_GB2312" w:hAnsi="仿宋_GB2312" w:cs="仿宋_GB2312" w:eastAsia="仿宋_GB2312"/>
              </w:rPr>
              <w:t xml:space="preserve"> 2.3.3 统计分析图</w:t>
            </w:r>
            <w:r>
              <w:br/>
            </w:r>
            <w:r>
              <w:rPr>
                <w:rFonts w:ascii="仿宋_GB2312" w:hAnsi="仿宋_GB2312" w:cs="仿宋_GB2312" w:eastAsia="仿宋_GB2312"/>
              </w:rPr>
              <w:t xml:space="preserve"> 1）支持以流向图形式分析账户资金来源去向，按双向交易、单向流出、单向流入、三方支付、ATM、柜台进行分类展示，并支持下钻展示交易对手。 </w:t>
            </w:r>
            <w:r>
              <w:br/>
            </w:r>
            <w:r>
              <w:rPr>
                <w:rFonts w:ascii="仿宋_GB2312" w:hAnsi="仿宋_GB2312" w:cs="仿宋_GB2312" w:eastAsia="仿宋_GB2312"/>
              </w:rPr>
              <w:t xml:space="preserve"> ●2）支持以时序图形式分析账户余额变化，并标注节假日等重点日期，支持快速定位至具体交易 </w:t>
            </w:r>
            <w:r>
              <w:br/>
            </w:r>
            <w:r>
              <w:rPr>
                <w:rFonts w:ascii="仿宋_GB2312" w:hAnsi="仿宋_GB2312" w:cs="仿宋_GB2312" w:eastAsia="仿宋_GB2312"/>
              </w:rPr>
              <w:t xml:space="preserve"> ●3）支持以时序图形式每日交易金额变化，并支持快速定位至具体交易。</w:t>
            </w:r>
            <w:r>
              <w:br/>
            </w:r>
            <w:r>
              <w:rPr>
                <w:rFonts w:ascii="仿宋_GB2312" w:hAnsi="仿宋_GB2312" w:cs="仿宋_GB2312" w:eastAsia="仿宋_GB2312"/>
              </w:rPr>
              <w:t xml:space="preserve"> 2.4.表格分析</w:t>
            </w:r>
            <w:r>
              <w:br/>
            </w:r>
            <w:r>
              <w:rPr>
                <w:rFonts w:ascii="仿宋_GB2312" w:hAnsi="仿宋_GB2312" w:cs="仿宋_GB2312" w:eastAsia="仿宋_GB2312"/>
              </w:rPr>
              <w:t xml:space="preserve"> 2.4.1 支持多维度表格分析</w:t>
            </w:r>
            <w:r>
              <w:br/>
            </w:r>
            <w:r>
              <w:rPr>
                <w:rFonts w:ascii="仿宋_GB2312" w:hAnsi="仿宋_GB2312" w:cs="仿宋_GB2312" w:eastAsia="仿宋_GB2312"/>
              </w:rPr>
              <w:t xml:space="preserve"> 1）账户收支统计。</w:t>
            </w:r>
            <w:r>
              <w:br/>
            </w:r>
            <w:r>
              <w:rPr>
                <w:rFonts w:ascii="仿宋_GB2312" w:hAnsi="仿宋_GB2312" w:cs="仿宋_GB2312" w:eastAsia="仿宋_GB2312"/>
              </w:rPr>
              <w:t xml:space="preserve"> 2）账户交易对手统计。</w:t>
            </w:r>
            <w:r>
              <w:br/>
            </w:r>
            <w:r>
              <w:rPr>
                <w:rFonts w:ascii="仿宋_GB2312" w:hAnsi="仿宋_GB2312" w:cs="仿宋_GB2312" w:eastAsia="仿宋_GB2312"/>
              </w:rPr>
              <w:t xml:space="preserve"> 3）IP/MAC使用次数及相关交易统计。</w:t>
            </w:r>
            <w:r>
              <w:br/>
            </w:r>
            <w:r>
              <w:rPr>
                <w:rFonts w:ascii="仿宋_GB2312" w:hAnsi="仿宋_GB2312" w:cs="仿宋_GB2312" w:eastAsia="仿宋_GB2312"/>
              </w:rPr>
              <w:t xml:space="preserve"> 4）实人交易行为统计。</w:t>
            </w:r>
            <w:r>
              <w:br/>
            </w:r>
            <w:r>
              <w:rPr>
                <w:rFonts w:ascii="仿宋_GB2312" w:hAnsi="仿宋_GB2312" w:cs="仿宋_GB2312" w:eastAsia="仿宋_GB2312"/>
              </w:rPr>
              <w:t xml:space="preserve"> 5）风险交易行为统计。</w:t>
            </w:r>
            <w:r>
              <w:br/>
            </w:r>
            <w:r>
              <w:rPr>
                <w:rFonts w:ascii="仿宋_GB2312" w:hAnsi="仿宋_GB2312" w:cs="仿宋_GB2312" w:eastAsia="仿宋_GB2312"/>
              </w:rPr>
              <w:t xml:space="preserve"> 2.4.2 支持对关键信息进行下钻分析，展示相关账户信息及交易明细。</w:t>
            </w:r>
            <w:r>
              <w:br/>
            </w:r>
            <w:r>
              <w:rPr>
                <w:rFonts w:ascii="仿宋_GB2312" w:hAnsi="仿宋_GB2312" w:cs="仿宋_GB2312" w:eastAsia="仿宋_GB2312"/>
              </w:rPr>
              <w:t xml:space="preserve"> 2.4.3 支持导出Excel表格。</w:t>
            </w:r>
            <w:r>
              <w:br/>
            </w:r>
            <w:r>
              <w:rPr>
                <w:rFonts w:ascii="仿宋_GB2312" w:hAnsi="仿宋_GB2312" w:cs="仿宋_GB2312" w:eastAsia="仿宋_GB2312"/>
              </w:rPr>
              <w:t xml:space="preserve"> 2.4.4 支持将表格中的交易信息快速生成自由分析画布进行可视化分析。</w:t>
            </w:r>
            <w:r>
              <w:br/>
            </w:r>
            <w:r>
              <w:rPr>
                <w:rFonts w:ascii="仿宋_GB2312" w:hAnsi="仿宋_GB2312" w:cs="仿宋_GB2312" w:eastAsia="仿宋_GB2312"/>
              </w:rPr>
              <w:t xml:space="preserve"> 2.5记录待调单账户信息</w:t>
            </w:r>
            <w:r>
              <w:br/>
            </w:r>
            <w:r>
              <w:rPr>
                <w:rFonts w:ascii="仿宋_GB2312" w:hAnsi="仿宋_GB2312" w:cs="仿宋_GB2312" w:eastAsia="仿宋_GB2312"/>
              </w:rPr>
              <w:t xml:space="preserve"> 1）支持快捷记录待调单金融账户的信息，包括银行卡、三方账户、交易流水号，并支持导出为Excel。</w:t>
            </w:r>
            <w:r>
              <w:br/>
            </w:r>
            <w:r>
              <w:rPr>
                <w:rFonts w:ascii="仿宋_GB2312" w:hAnsi="仿宋_GB2312" w:cs="仿宋_GB2312" w:eastAsia="仿宋_GB2312"/>
              </w:rPr>
              <w:t xml:space="preserve"> 3、工作站配置要求</w:t>
            </w:r>
            <w:r>
              <w:br/>
            </w:r>
            <w:r>
              <w:rPr>
                <w:rFonts w:ascii="仿宋_GB2312" w:hAnsi="仿宋_GB2312" w:cs="仿宋_GB2312" w:eastAsia="仿宋_GB2312"/>
              </w:rPr>
              <w:t xml:space="preserve"> 配套专用工作站配置性能需求，并明确服务期内配套设备可能存在的升级配套适配，内存≥16g，硬盘≥512g ssd，独立图形显卡，需完全满足反诈资金分析平台。</w:t>
            </w:r>
            <w:r>
              <w:br/>
            </w:r>
            <w:r>
              <w:rPr>
                <w:rFonts w:ascii="仿宋_GB2312" w:hAnsi="仿宋_GB2312" w:cs="仿宋_GB2312" w:eastAsia="仿宋_GB2312"/>
              </w:rPr>
              <w:t xml:space="preserve"> （三）其他服务要求</w:t>
            </w:r>
            <w:r>
              <w:br/>
            </w:r>
            <w:r>
              <w:rPr>
                <w:rFonts w:ascii="仿宋_GB2312" w:hAnsi="仿宋_GB2312" w:cs="仿宋_GB2312" w:eastAsia="仿宋_GB2312"/>
              </w:rPr>
              <w:t xml:space="preserve"> 1、培训：中标人应负责对采购人技术人员进行设备、软件操作等各方面的技术培训，使采购人掌握或熟悉设备的运用、检查、修理和维护，培训相关费用由中标人承担。</w:t>
            </w:r>
            <w:r>
              <w:br/>
            </w:r>
            <w:r>
              <w:rPr>
                <w:rFonts w:ascii="仿宋_GB2312" w:hAnsi="仿宋_GB2312" w:cs="仿宋_GB2312" w:eastAsia="仿宋_GB2312"/>
              </w:rPr>
              <w:t xml:space="preserve"> 2、服务期内响应时间：提供7×24小时的技术支持服务。应在接到采购人系统故障报修0.5小时内响应，12小时内到达现场，24小时内不能排除故障的应提供备用机，以保证系统的正常运转。故障问题解决后24小时内，应向采购人提交问题处理报告，说明问题种类、问题原因、问题解决中使用的方法及造成的损失等情况。在服务期内，中标人对所投产品提供每年不少于4次的巡检和维护保养。当采购人有需要时，中标人应当提供现场技术保障服务。</w:t>
            </w:r>
            <w:r>
              <w:br/>
            </w:r>
            <w:r>
              <w:rPr>
                <w:rFonts w:ascii="仿宋_GB2312" w:hAnsi="仿宋_GB2312" w:cs="仿宋_GB2312" w:eastAsia="仿宋_GB2312"/>
              </w:rPr>
              <w:t xml:space="preserve"> 3、中标人在项目实施过程中，对于采购人提供的任何形式的任何资料信息（包括技术信息和内容信息）及项目实施过程中产生的过程资料、成果资料均为保密资料，仅可用于与采购人一起完成本项目规定的工作任务，未经采购人书面同意不得向任何第三人泄露，且保密责任不因合同的终止或解除而失效。如采购人提出要求，成交供应商须无条件与采购人签订保密协议。项目完成后，成交供应商须将采购人提供的所有资料、数据完整归还采购人，并不得留存任何复制品。</w:t>
            </w:r>
            <w:r>
              <w:br/>
            </w:r>
            <w:r>
              <w:rPr>
                <w:rFonts w:ascii="仿宋_GB2312" w:hAnsi="仿宋_GB2312" w:cs="仿宋_GB2312" w:eastAsia="仿宋_GB2312"/>
              </w:rPr>
              <w:t xml:space="preserve"> 4、投标人须接受采购人的监督和考核，采购人具有制定权（具体考核标准由采购人与中标人在中标后签订合同时共同协商），且项目实施过程中，采购人有权按照本项目服务要求根据工作实际对考核标准进行完善细化或修改调整，中标人须接受。</w:t>
            </w:r>
            <w:r>
              <w:br/>
            </w:r>
            <w:r>
              <w:rPr>
                <w:rFonts w:ascii="仿宋_GB2312" w:hAnsi="仿宋_GB2312" w:cs="仿宋_GB2312" w:eastAsia="仿宋_GB2312"/>
              </w:rPr>
              <w:t xml:space="preserve"> （四）本章带“●”符号的项为需要演示的内容，投标人有负偏离的，按综合评分明细表的规定进行处理。现场演示要求： </w:t>
            </w:r>
            <w:r>
              <w:br/>
            </w:r>
            <w:r>
              <w:rPr>
                <w:rFonts w:ascii="仿宋_GB2312" w:hAnsi="仿宋_GB2312" w:cs="仿宋_GB2312" w:eastAsia="仿宋_GB2312"/>
              </w:rPr>
              <w:t xml:space="preserve"> （1）投标人如需进行现场演示，请自行准备演示设备； </w:t>
            </w:r>
            <w:r>
              <w:br/>
            </w:r>
            <w:r>
              <w:rPr>
                <w:rFonts w:ascii="仿宋_GB2312" w:hAnsi="仿宋_GB2312" w:cs="仿宋_GB2312" w:eastAsia="仿宋_GB2312"/>
              </w:rPr>
              <w:t xml:space="preserve"> （2）现场演示地址：德阳市泰山南路二段733号银鑫.五洲广场一期21栋24楼1号。 </w:t>
            </w:r>
            <w:r>
              <w:br/>
            </w:r>
            <w:r>
              <w:rPr>
                <w:rFonts w:ascii="仿宋_GB2312" w:hAnsi="仿宋_GB2312" w:cs="仿宋_GB2312" w:eastAsia="仿宋_GB2312"/>
              </w:rPr>
              <w:t xml:space="preserve"> （3）请需要演示的投标人提前准备现场演示人员的介绍信或授权委托书，于开标截止时间前到现场进行签到，未到现场签到的投标人视为不演示，我公司不再另行通知，不利后果由投标人自行承担。现场演示人员不超过2人，通过现场抽签确定演示顺序，演示时间不超过15分钟。 </w:t>
            </w:r>
            <w:r>
              <w:br/>
            </w:r>
            <w:r>
              <w:rPr>
                <w:rFonts w:ascii="仿宋_GB2312" w:hAnsi="仿宋_GB2312" w:cs="仿宋_GB2312" w:eastAsia="仿宋_GB2312"/>
              </w:rPr>
              <w:t xml:space="preserve"> （4）投标在演示过程中，不能直接或间接向评标委员会明示或暗示其公司名称，否则，视为无效演示，不予计分处理。 </w:t>
            </w:r>
            <w:r>
              <w:br/>
            </w:r>
            <w:r>
              <w:rPr>
                <w:rFonts w:ascii="仿宋_GB2312" w:hAnsi="仿宋_GB2312" w:cs="仿宋_GB2312" w:eastAsia="仿宋_GB2312"/>
              </w:rPr>
              <w:t xml:space="preserve"> （5）根据本项目综合评分明细表中现场演示要求的内容，投标人结合自身实际情况进行演示。</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rPr>
              <w:t>（二）服务要求</w:t>
            </w:r>
            <w:r>
              <w:br/>
            </w:r>
            <w:r>
              <w:rPr>
                <w:rFonts w:ascii="仿宋_GB2312" w:hAnsi="仿宋_GB2312" w:cs="仿宋_GB2312" w:eastAsia="仿宋_GB2312"/>
              </w:rPr>
              <w:t xml:space="preserve"> ★1、服务基本要求</w:t>
            </w:r>
            <w:r>
              <w:br/>
            </w:r>
            <w:r>
              <w:rPr>
                <w:rFonts w:ascii="仿宋_GB2312" w:hAnsi="仿宋_GB2312" w:cs="仿宋_GB2312" w:eastAsia="仿宋_GB2312"/>
              </w:rPr>
              <w:t xml:space="preserve"> 1.1系统服务平台为在工作站部署运行的系统平台，无需网络可随时开展数据分析工作，充分保障案件数据安全性。</w:t>
            </w:r>
            <w:r>
              <w:br/>
            </w:r>
            <w:r>
              <w:rPr>
                <w:rFonts w:ascii="仿宋_GB2312" w:hAnsi="仿宋_GB2312" w:cs="仿宋_GB2312" w:eastAsia="仿宋_GB2312"/>
              </w:rPr>
              <w:t xml:space="preserve"> 1.2工作站需完全满足反诈资金分析平台部署及运行的要求。</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4"/>
              </w:rPr>
              <w:t>（一）成本风险与控制：投标人报价须包含本项目实施所需全部费用，包括服务费、安装部署调试费、人工费、交通费、税金、代理服务费等，是实现本项目所有服务内容和采购需求的固定不变价格。不因任何原因进行调整，投标人报价时应充分考虑相关因素，因此而造成的损失由投标人自行承担。</w:t>
            </w:r>
          </w:p>
          <w:p>
            <w:pPr>
              <w:pStyle w:val="null3"/>
              <w:ind w:firstLine="480"/>
              <w:jc w:val="left"/>
            </w:pPr>
            <w:r>
              <w:rPr>
                <w:rFonts w:ascii="仿宋_GB2312" w:hAnsi="仿宋_GB2312" w:cs="仿宋_GB2312" w:eastAsia="仿宋_GB2312"/>
                <w:sz w:val="24"/>
              </w:rPr>
              <w:t>（二）中标人应服从采购人的统一指挥、调配、指导及管理，遵守采购人的各项管理及规章制度，做到文明、安全实施。采购人有权对中标人派出的素质不足的工作及业务人员提出更换，中标人应积极配合，并及时更换。</w:t>
            </w:r>
          </w:p>
          <w:p>
            <w:pPr>
              <w:pStyle w:val="null3"/>
              <w:ind w:firstLine="480"/>
              <w:jc w:val="left"/>
            </w:pPr>
            <w:r>
              <w:rPr>
                <w:rFonts w:ascii="仿宋_GB2312" w:hAnsi="仿宋_GB2312" w:cs="仿宋_GB2312" w:eastAsia="仿宋_GB2312"/>
                <w:sz w:val="24"/>
              </w:rPr>
              <w:t>（三）安全责任及要求：服务期内，投标人须加强拟派本项目的服务人员的安全、素质教育和管理，在工作中遵纪守法，不得损害他人利益和社会公共利益，如造成损害的，由中标人承担全部责任。投标人拟派本项目的服务人员发生人身安全及其他任何事故，一切责任和经济赔偿均由中标人负责，与采购人无关。</w:t>
            </w:r>
          </w:p>
          <w:p>
            <w:pPr>
              <w:pStyle w:val="null3"/>
              <w:ind w:firstLine="480"/>
              <w:jc w:val="left"/>
            </w:pPr>
            <w:r>
              <w:rPr>
                <w:rFonts w:ascii="仿宋_GB2312" w:hAnsi="仿宋_GB2312" w:cs="仿宋_GB2312" w:eastAsia="仿宋_GB2312"/>
                <w:sz w:val="24"/>
              </w:rPr>
              <w:t>（四）中标人在政府采购合同履约期间，因自身原因造成政府采购合同终止的，因此产生的所有经济损失由中标人自行承担，如给采购人造成经济损失的，采购人将依法追究其法律责任。</w:t>
            </w:r>
          </w:p>
          <w:p>
            <w:pPr>
              <w:pStyle w:val="null3"/>
              <w:ind w:firstLine="480"/>
              <w:jc w:val="left"/>
            </w:pPr>
            <w:r>
              <w:rPr>
                <w:rFonts w:ascii="仿宋_GB2312" w:hAnsi="仿宋_GB2312" w:cs="仿宋_GB2312" w:eastAsia="仿宋_GB2312"/>
                <w:sz w:val="24"/>
              </w:rPr>
              <w:t>（五）中标人必须遵守本项目各项规定，保证本项目的正常履行。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w:t>
            </w:r>
          </w:p>
          <w:p>
            <w:pPr>
              <w:pStyle w:val="null3"/>
              <w:ind w:firstLine="480"/>
              <w:jc w:val="left"/>
            </w:pPr>
            <w:r>
              <w:rPr>
                <w:rFonts w:ascii="仿宋_GB2312" w:hAnsi="仿宋_GB2312" w:cs="仿宋_GB2312" w:eastAsia="仿宋_GB2312"/>
                <w:sz w:val="24"/>
              </w:rPr>
              <w:t>（六）其他未尽事宜由采购人与中标人在政府采购合同中进行约定（约定的内容须符合国家相关法律法规的规定，所需费用包含在报价中）。</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本项目一采三年，签订采购合同生效之日起一年，在考核合格及财政资金预算保障的前提下可续签两年，合同一年一签。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德阳市</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中标人须在中标通知书发出后规定的时间内与采购人签订政府采购合同；按照《财政部关于进一步加强政府采购需求和履约验收管理的指导意见》（财库〔2016〕205号）和《政府采购需求管理办法》（财库〔2021〕22号）等相关法律、法规的要求，以及本项目招标文件的要求和中标人的投标文件、合同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1、合同签订生效后，10天内完成系统部署并保障系统正常可用，达到付款条件起14日内，支付合同总金额的80.00%</w:t>
            </w:r>
          </w:p>
          <w:p>
            <w:pPr>
              <w:pStyle w:val="null3"/>
              <w:jc w:val="left"/>
            </w:pPr>
            <w:r>
              <w:rPr>
                <w:rFonts w:ascii="仿宋_GB2312" w:hAnsi="仿宋_GB2312" w:cs="仿宋_GB2312" w:eastAsia="仿宋_GB2312"/>
              </w:rPr>
              <w:t>2、服务期满，考核通过后，达到付款条件起14日内，支付合同总金额的20.00%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二、争议解决办法 在执行本合同中发生的或与本合同有关的争端，双方应通过友好协商解决，经协商在30天内不能达成协议时，可向甲方所属地人民法院提起诉讼。争议解决期间，除争议事项外，双方应继续履行本合同未涉争议的其它部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一、投标人应具备为本项目服务的能力，履约经验、人员配备能满足为本项目提供有效服务的需求，同时针对本项目提供以下内容（具体细则详见本项目综合评分明细表）： 1、根据投标人针对本项目提供的服务方案（包括：①针对本项目的理解和分析；②服务重难点及解决办法；③服务计划及保障措施；④安装、部署、调试；⑤服务质量控制措施；⑥协调方案；⑦系统日常维护服务；⑧软件升级服务）；培训方案（包括：①培训目的及程序；②培训内容；③培训方式及时间安排）；内部管理方案（包括：①项目团队人员职责分工；②日常管理制度；③保密管理制度）；应急方案[包括：①应急组织与职责分工；②风险识别与预警机制；③针对突发情况（如自然灾害、争议纠纷处理、人员短缺等）的相应解决方案]。 2、投标人2022年1月1日（含）至今（以合同签订时间为准）具有类似项目业绩。 二、关于质疑的其他要求： 1、根据《中华人民共和国政府采购法》的规定，供应商质疑不得超出采购文件、采购过程、采购结果的范围。 2、不在法定质疑期内提出的质疑书会被拒收，不符合要求的质疑书在法定质疑期内及时补充完善，否则作质疑不成立处理。 3、质疑应当以书面形式提出，供应商在法定质疑期内一次性提出针对同一采购程序环节的质疑。 4、质疑函原件应当采取当面递交方式，如当面递交困难可以选择邮寄的方式送达。以邮寄方式送达的，应在寄出前联系采购人/代理机构，确定收件单位的地址收件人和收件人联系方式，并提供邮寄件的单号和有效查询方式。若因质疑人未提前联系告知邮件单号导致采购人/代理机构未及时收到质疑函的，责任由质疑供应商负责。质疑提出日期应当以邮寄件上的戳记日期之日起计算，质疑收到日期则以收到质疑函原件之日计算。 5、对采购文件提出质疑的应附获取采购文件回执单。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并进行电子签章。2、①供应商若为企业法人：提供“统一社会信用代码营业执照副本”；未换证的提供“营业执照副本、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复印件”。⑤非独立法人分支机构参加需提供具有独立法人资格的总公司针对本项目的授权书原件或经总公司出具愿为其参与本项目投标以及履约行为承担民事责任的承诺函（原件），并提供分支机构“统一社会信用代码营业执照副本”；未换证的提供“营业执照、税务登记证、组织机构代码证”。前述资料均提供原件扫描件。注：总公司只能授权其下属的一家分支机构参与投标，且总公司不能与其下属的分支机构同时参与同一项目的采购。</w:t>
            </w:r>
          </w:p>
        </w:tc>
        <w:tc>
          <w:tcPr>
            <w:tcW w:type="dxa" w:w="1910"/>
          </w:tcPr>
          <w:p>
            <w:pPr>
              <w:pStyle w:val="null3"/>
              <w:jc w:val="left"/>
            </w:pPr>
            <w:r>
              <w:rPr>
                <w:rFonts w:ascii="仿宋_GB2312" w:hAnsi="仿宋_GB2312" w:cs="仿宋_GB2312" w:eastAsia="仿宋_GB2312"/>
              </w:rPr>
              <w:t>具有独立承担民事责任的能力证明材料.docx,投标（响应）函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投标人或者其投标文件有下列情形之一的，作为无效投标处理：（一）投标有效期等不符合招标文件的规定，影响评标委员会评判的；（二）投标报价不符合招标文件报价规定的；（三）技术参数与性能指标应答内容没有完全响应招标文件的实质性要求的；（四）招标文件有明确要求，但投标文件未载明或者载明的采购项目履约时间、方式、数量与招标文件要求不一致的；（五）满足招标文件要求的其他无效投标情形的。</w:t>
            </w:r>
          </w:p>
        </w:tc>
        <w:tc>
          <w:tcPr>
            <w:tcW w:type="dxa" w:w="3322"/>
          </w:tcPr>
          <w:p>
            <w:pPr>
              <w:pStyle w:val="null3"/>
              <w:jc w:val="left"/>
            </w:pPr>
            <w:r>
              <w:rPr>
                <w:rFonts w:ascii="仿宋_GB2312" w:hAnsi="仿宋_GB2312" w:cs="仿宋_GB2312" w:eastAsia="仿宋_GB2312"/>
              </w:rPr>
              <w:t>本项目投标人或者其投标文件有下列情形之一的，作为无效投标处理：（一）投标有效期等不符合招标文件的规定，影响评标委员会评判的；（二）投标报价不符合招标文件报价规定的；（三）技术参数与性能指标应答内容没有完全响应招标文件的实质性要求的；（四）招标文件有明确要求，但投标文件未载明或者载明的采购项目履约时间、方式、数量与招标文件要求不一致的；（五）满足招标文件要求的其他无效投标情形的。</w:t>
            </w:r>
          </w:p>
        </w:tc>
        <w:tc>
          <w:tcPr>
            <w:tcW w:type="dxa" w:w="1910"/>
          </w:tcPr>
          <w:p>
            <w:pPr>
              <w:pStyle w:val="null3"/>
              <w:jc w:val="left"/>
            </w:pPr>
            <w:r>
              <w:rPr>
                <w:rFonts w:ascii="仿宋_GB2312" w:hAnsi="仿宋_GB2312" w:cs="仿宋_GB2312" w:eastAsia="仿宋_GB2312"/>
              </w:rPr>
              <w:t>报价一览表,服务内容和商务应答表.docx,报价明细表,技术参数与性能指标应答表.docx,投标人认为需要提供的其他材料.docx,投标（响应）函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 投标人未响应而将投标文件作无效处理。</w:t>
            </w:r>
          </w:p>
        </w:tc>
        <w:tc>
          <w:tcPr>
            <w:tcW w:type="dxa" w:w="332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 投标人未响应而将投标文件作无效处理。</w:t>
            </w:r>
          </w:p>
        </w:tc>
        <w:tc>
          <w:tcPr>
            <w:tcW w:type="dxa" w:w="1910"/>
          </w:tcPr>
          <w:p>
            <w:pPr>
              <w:pStyle w:val="null3"/>
              <w:jc w:val="left"/>
            </w:pPr>
            <w:r>
              <w:rPr>
                <w:rFonts w:ascii="仿宋_GB2312" w:hAnsi="仿宋_GB2312" w:cs="仿宋_GB2312" w:eastAsia="仿宋_GB2312"/>
              </w:rPr>
              <w:t>投标文件封面</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响应情况</w:t>
            </w:r>
          </w:p>
        </w:tc>
        <w:tc>
          <w:tcPr>
            <w:tcW w:type="dxa" w:w="2575"/>
          </w:tcPr>
          <w:p>
            <w:pPr>
              <w:pStyle w:val="null3"/>
              <w:jc w:val="left"/>
            </w:pPr>
            <w:r>
              <w:rPr>
                <w:rFonts w:ascii="仿宋_GB2312" w:hAnsi="仿宋_GB2312" w:cs="仿宋_GB2312" w:eastAsia="仿宋_GB2312"/>
              </w:rPr>
              <w:t>投标人响应的内容完全满足本项目服务要求的得11分，带“★”、“●”符号外的服务要求每有一项负偏离的扣0.19分，直至扣完为止。 注：①上述描述中的“一项”是指本项目技术要求/（二）服务要求中最低级别的项。 ②带“★”符号的项为本项目实质性要求，不允许有负偏离，否则作无效投标处理。“●”符号的为演示项，有负偏离的按现场演示的规定进行扣分处理。</w:t>
            </w:r>
          </w:p>
        </w:tc>
        <w:tc>
          <w:tcPr>
            <w:tcW w:type="dxa" w:w="831"/>
          </w:tcPr>
          <w:p>
            <w:pPr>
              <w:pStyle w:val="null3"/>
              <w:jc w:val="center"/>
            </w:pPr>
            <w:r>
              <w:rPr>
                <w:rFonts w:ascii="仿宋_GB2312" w:hAnsi="仿宋_GB2312" w:cs="仿宋_GB2312" w:eastAsia="仿宋_GB2312"/>
              </w:rPr>
              <w:t>11.0000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技术参数与性能指标应答表.docx</w:t>
            </w:r>
          </w:p>
        </w:tc>
      </w:tr>
      <w:tr>
        <w:tc>
          <w:tcPr>
            <w:tcW w:type="dxa" w:w="831"/>
            <w:vMerge/>
          </w:tcPr>
          <w:p/>
        </w:tc>
        <w:tc>
          <w:tcPr>
            <w:tcW w:type="dxa" w:w="1661"/>
          </w:tcPr>
          <w:p>
            <w:pPr>
              <w:pStyle w:val="null3"/>
              <w:jc w:val="left"/>
            </w:pPr>
            <w:r>
              <w:rPr>
                <w:rFonts w:ascii="仿宋_GB2312" w:hAnsi="仿宋_GB2312" w:cs="仿宋_GB2312" w:eastAsia="仿宋_GB2312"/>
              </w:rPr>
              <w:t>现场演示</w:t>
            </w:r>
          </w:p>
        </w:tc>
        <w:tc>
          <w:tcPr>
            <w:tcW w:type="dxa" w:w="2575"/>
          </w:tcPr>
          <w:p>
            <w:pPr>
              <w:pStyle w:val="null3"/>
              <w:jc w:val="left"/>
            </w:pPr>
            <w:r>
              <w:rPr>
                <w:rFonts w:ascii="仿宋_GB2312" w:hAnsi="仿宋_GB2312" w:cs="仿宋_GB2312" w:eastAsia="仿宋_GB2312"/>
              </w:rPr>
              <w:t>演示内容：对本项目服务要求中带“●”符号的内容进行逐条演示。根据投标人的现场演示情况进行评审：演示内容完整无缺失、系统功能完善、性能完备、演示流程清晰、层次结构清晰、界面规范、功能齐全、操作简便、完全满足采购需求及招标文件功能要求的得 15 分，若演示内容不满足招标文件功能要求的，每有一项扣 1.5 分，扣完为止。 演示形式：系统演示时自行携带设备使用真实系统演示(不得使用 demo、PPT 或文字图片、视频等方式进行演示)。</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现场演示.docx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提供的服务方案（包括：①针对本项目的理解和分析；②服务重难点及解决办法；③服务计划及保障措施；④安装、部署、调试；⑤服务质量控制措施；⑥协调方案；⑦系统日常维护服务；⑧软件升级服务）进行综合评审。每项2分，共16分。每缺少一项扣2分，扣完为止。方案内容有缺陷的，一处扣1分，扣完为止。不提供此方案不得分。[缺陷是指：项目信息错误或内容与本项目需求无关或方案内容前后矛盾或方案内容表述前后不一致或方案内容仅有框架或标题或无实际内容或适用的标准(方法)错误]</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575"/>
          </w:tcPr>
          <w:p>
            <w:pPr>
              <w:pStyle w:val="null3"/>
              <w:jc w:val="left"/>
            </w:pPr>
            <w:r>
              <w:rPr>
                <w:rFonts w:ascii="仿宋_GB2312" w:hAnsi="仿宋_GB2312" w:cs="仿宋_GB2312" w:eastAsia="仿宋_GB2312"/>
              </w:rPr>
              <w:t>根据投标人针对本项目提供的培训方案（包括：①培训目的及程序；②培训内容；③培训方式及时间安排）进行综合评审。每项4分，共12分。每缺少一项扣4分，扣完为止。方案内容有缺陷的，一处扣2分，扣完为止。不提供此方案不得分。[缺陷是指：项目信息错误或内容与本项目需求无关或方案内容前后矛盾或方案内容表述前后不一致或方案内容仅有框架或标题或无实际内容或适用的标准(方法)错误]</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内部管理方案</w:t>
            </w:r>
          </w:p>
        </w:tc>
        <w:tc>
          <w:tcPr>
            <w:tcW w:type="dxa" w:w="2575"/>
          </w:tcPr>
          <w:p>
            <w:pPr>
              <w:pStyle w:val="null3"/>
              <w:jc w:val="left"/>
            </w:pPr>
            <w:r>
              <w:rPr>
                <w:rFonts w:ascii="仿宋_GB2312" w:hAnsi="仿宋_GB2312" w:cs="仿宋_GB2312" w:eastAsia="仿宋_GB2312"/>
              </w:rPr>
              <w:t>根据投标人针对本项目提供的内部管理方案（包括：①项目团队人员职责分工；②日常管理制度；③保密管理制度）进行综合评审。每项4分，共12分。每缺少一项扣4分，扣完为止。方案内容有缺陷的，一处扣2分，扣完为止。不提供此方案不得分。[缺陷是指：项目信息错误或内容与本项目需求无关或方案内容前后矛盾或方案内容表述前后不一致或方案内容仅有框架或标题或无实际内容或适用的标准(方法)错误]</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根据投标人针对本项目提供的应急方案[包括：①应急组织与职责分工；②风险识别与预警机制；③针对突发情况（如自然灾害、争议纠纷处理、人员短缺等）的相应解决方案]进行综合评审。每项4分，共12分。每缺少一项扣4分，扣完为止。方案内容有缺陷的，一处扣2分，扣完为止。不提供此方案不得分。[缺陷是指：项目信息错误或内容与本项目需求无关或方案内容前后矛盾或方案内容表述前后不一致或方案内容仅有框架或标题或无实际内容或适用的标准(方法)错误]</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投标人2022年1月1日（含）至今（以合同签订时间为准）具有类似项目业绩的，每提供一个得2分，本项满分12分。 注：须提供合同复印件并加盖投标人公章，不提供或不满足不得分。类似项目是指：协同开展反诈资金分析类服务项目。</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以满足招标文件要求且报价最低的报价作为评标基准价，其价格分为满分。其他投标人的价格分别按照下列公式计算：投标报价得分=(评标基准价／投标报价)×10%×100。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详见附件：服务内容和商务应答表.docx</w:t>
      </w:r>
    </w:p>
    <w:p>
      <w:pPr>
        <w:pStyle w:val="null3"/>
        <w:ind w:firstLine="960"/>
        <w:jc w:val="left"/>
      </w:pPr>
      <w:r>
        <w:rPr>
          <w:rFonts w:ascii="仿宋_GB2312" w:hAnsi="仿宋_GB2312" w:cs="仿宋_GB2312" w:eastAsia="仿宋_GB2312"/>
        </w:rPr>
        <w:t>详见附件：技术参数与性能指标应答表.docx</w:t>
      </w:r>
    </w:p>
    <w:p>
      <w:pPr>
        <w:pStyle w:val="null3"/>
        <w:ind w:firstLine="960"/>
        <w:jc w:val="left"/>
      </w:pPr>
      <w:r>
        <w:rPr>
          <w:rFonts w:ascii="仿宋_GB2312" w:hAnsi="仿宋_GB2312" w:cs="仿宋_GB2312" w:eastAsia="仿宋_GB2312"/>
        </w:rPr>
        <w:t>详见附件：具有独立承担民事责任的能力证明材料.docx</w:t>
      </w:r>
    </w:p>
    <w:p>
      <w:pPr>
        <w:pStyle w:val="null3"/>
        <w:ind w:firstLine="960"/>
        <w:jc w:val="left"/>
      </w:pPr>
      <w:r>
        <w:rPr>
          <w:rFonts w:ascii="仿宋_GB2312" w:hAnsi="仿宋_GB2312" w:cs="仿宋_GB2312" w:eastAsia="仿宋_GB2312"/>
        </w:rPr>
        <w:t>详见附件：投标人认为需要提供的其他材料.docx</w:t>
      </w:r>
    </w:p>
    <w:p>
      <w:pPr>
        <w:pStyle w:val="null3"/>
        <w:ind w:firstLine="960"/>
        <w:jc w:val="left"/>
      </w:pPr>
      <w:r>
        <w:rPr>
          <w:rFonts w:ascii="仿宋_GB2312" w:hAnsi="仿宋_GB2312" w:cs="仿宋_GB2312" w:eastAsia="仿宋_GB2312"/>
        </w:rPr>
        <w:t>详见附件：业绩一览表.docx</w:t>
      </w:r>
    </w:p>
    <w:p>
      <w:pPr>
        <w:pStyle w:val="null3"/>
        <w:ind w:firstLine="960"/>
        <w:jc w:val="left"/>
      </w:pPr>
      <w:r>
        <w:rPr>
          <w:rFonts w:ascii="仿宋_GB2312" w:hAnsi="仿宋_GB2312" w:cs="仿宋_GB2312" w:eastAsia="仿宋_GB2312"/>
        </w:rPr>
        <w:t>详见附件：现场演示.docx</w:t>
      </w:r>
    </w:p>
    <w:p>
      <w:pPr>
        <w:pStyle w:val="null3"/>
        <w:ind w:firstLine="960"/>
        <w:jc w:val="left"/>
      </w:pPr>
      <w:r>
        <w:rPr>
          <w:rFonts w:ascii="仿宋_GB2312" w:hAnsi="仿宋_GB2312" w:cs="仿宋_GB2312" w:eastAsia="仿宋_GB2312"/>
        </w:rPr>
        <w:t>详见附件：方案.docx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