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版本号：N511083202500006020250415002</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松材线虫病防治项目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N5110832025000060</w:t>
      </w:r>
    </w:p>
    <w:p>
      <w:pPr>
        <w:pStyle w:val="null3"/>
        <w:jc w:val="left"/>
        <w:outlineLvl w:val="2"/>
      </w:pPr>
      <w:r>
        <w:rPr>
          <w:rFonts w:ascii="仿宋_GB2312" w:hAnsi="仿宋_GB2312" w:cs="仿宋_GB2312" w:eastAsia="仿宋_GB2312"/>
          <w:sz w:val="28"/>
          <w:b/>
        </w:rPr>
        <w:t>隆昌市自然资源和规划局</w:t>
      </w:r>
    </w:p>
    <w:p>
      <w:pPr>
        <w:pStyle w:val="null3"/>
        <w:jc w:val="center"/>
        <w:outlineLvl w:val="2"/>
      </w:pPr>
      <w:r>
        <w:rPr>
          <w:rFonts w:ascii="仿宋_GB2312" w:hAnsi="仿宋_GB2312" w:cs="仿宋_GB2312" w:eastAsia="仿宋_GB2312"/>
          <w:sz w:val="28"/>
          <w:b/>
        </w:rPr>
        <w:t>四川梦意招标代理有限公司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四川梦意招标代理有限公司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隆昌市自然资源和规划局</w:t>
      </w:r>
      <w:r>
        <w:rPr>
          <w:rFonts w:ascii="仿宋_GB2312" w:hAnsi="仿宋_GB2312" w:cs="仿宋_GB2312" w:eastAsia="仿宋_GB2312"/>
        </w:rPr>
        <w:t xml:space="preserve"> 委托，拟对 </w:t>
      </w:r>
      <w:r>
        <w:rPr>
          <w:rFonts w:ascii="仿宋_GB2312" w:hAnsi="仿宋_GB2312" w:cs="仿宋_GB2312" w:eastAsia="仿宋_GB2312"/>
        </w:rPr>
        <w:t>松材线虫病防治项目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内江市隆昌市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N5110832025000060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松材线虫病防治项目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根据《内江市林业局关于做好松材线虫病防控成果巩固工作的通知》文件精神，遵循“监测预防、科学控制、三年巩固”的防控理念，按照《隆昌市松材线虫病疫区拔除成果巩固实施方案》所制订的主要防治措施，2025年将陆续开展松材线虫病疫情监测普查、枯死松木清理、药物防治等综合防控工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1、参加政府采购活动的供应商及其现任法定代表人、主要负责人无行贿犯罪记录；（描述：参加政府采购活动的供应商及其现任法定代表人、主要负责人无行贿犯罪记录；（供应商需提供独立的承诺函））</w:t>
      </w:r>
    </w:p>
    <w:p>
      <w:pPr>
        <w:pStyle w:val="null3"/>
        <w:jc w:val="left"/>
      </w:pPr>
      <w:r>
        <w:rPr>
          <w:rFonts w:ascii="仿宋_GB2312" w:hAnsi="仿宋_GB2312" w:cs="仿宋_GB2312" w:eastAsia="仿宋_GB2312"/>
        </w:rPr>
        <w:t>2、本次政府采购活动不接受联合体投标；（描述：本次政府采购活动不接受联合体投标；（供应商需提供独立的承诺函））</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隆昌市自然资源和规划局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隆昌市康复西路一段2号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642150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18090301314</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四川梦意招标代理有限公司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四川省内江市隆昌市金鹅镇环城北路二段81号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642150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18283278039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代理服务费收费标准：按照《四川省政府采购营商环境指标提升专项行动工作方案》中“成本+合理利润”原则，由成交供应商在领取成交通知书时向招标代理机构全额支付，代理费：9750.00元。 代理机构：四川梦意招标代理有限公司（纳税人识别号：91511028MA64U3RL7R） ； 地址：四川省隆昌市金鹅街道环城北路二段81号； 开户行：中国建设银行股份有限公司隆昌支行； 账号：5105 0168 7608 0000 1051。</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隆昌市自然资源和规划局</w:t>
      </w:r>
      <w:r>
        <w:rPr>
          <w:rFonts w:ascii="仿宋_GB2312" w:hAnsi="仿宋_GB2312" w:cs="仿宋_GB2312" w:eastAsia="仿宋_GB2312"/>
        </w:rPr>
        <w:t xml:space="preserve"> 和 </w:t>
      </w:r>
      <w:r>
        <w:rPr>
          <w:rFonts w:ascii="仿宋_GB2312" w:hAnsi="仿宋_GB2312" w:cs="仿宋_GB2312" w:eastAsia="仿宋_GB2312"/>
        </w:rPr>
        <w:t>四川梦意招标代理有限公司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隆昌市自然资源和规划局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四川梦意招标代理有限公司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供应商提出验收申请之日起 </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签订合同时约定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完全满足磋商文件、技术参数的要求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完全满足磋商文件、商务质量的要求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按照采购文件和响应文件的要约以及《财政部关于进一步加强政府采购需求和履约验收管理的指导意见》（财库〔2016〕205号）文件执行验收。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隆昌市自然资源和规划局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四川梦意招标代理有限公司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四川梦意招标代理有限公司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联系电话：18090301314</w:t>
      </w:r>
    </w:p>
    <w:p>
      <w:pPr>
        <w:pStyle w:val="null3"/>
        <w:jc w:val="left"/>
      </w:pPr>
      <w:r>
        <w:rPr>
          <w:rFonts w:ascii="仿宋_GB2312" w:hAnsi="仿宋_GB2312" w:cs="仿宋_GB2312" w:eastAsia="仿宋_GB2312"/>
        </w:rPr>
        <w:t>地址：隆昌市康复西路一段2号</w:t>
      </w:r>
    </w:p>
    <w:p>
      <w:pPr>
        <w:pStyle w:val="null3"/>
        <w:jc w:val="left"/>
      </w:pPr>
      <w:r>
        <w:rPr>
          <w:rFonts w:ascii="仿宋_GB2312" w:hAnsi="仿宋_GB2312" w:cs="仿宋_GB2312" w:eastAsia="仿宋_GB2312"/>
        </w:rPr>
        <w:t>邮编：642150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联系人：袁老师</w:t>
      </w:r>
    </w:p>
    <w:p>
      <w:pPr>
        <w:pStyle w:val="null3"/>
        <w:jc w:val="left"/>
      </w:pPr>
      <w:r>
        <w:rPr>
          <w:rFonts w:ascii="仿宋_GB2312" w:hAnsi="仿宋_GB2312" w:cs="仿宋_GB2312" w:eastAsia="仿宋_GB2312"/>
        </w:rPr>
        <w:t>联系电话：18283278039</w:t>
      </w:r>
    </w:p>
    <w:p>
      <w:pPr>
        <w:pStyle w:val="null3"/>
        <w:jc w:val="left"/>
      </w:pPr>
      <w:r>
        <w:rPr>
          <w:rFonts w:ascii="仿宋_GB2312" w:hAnsi="仿宋_GB2312" w:cs="仿宋_GB2312" w:eastAsia="仿宋_GB2312"/>
        </w:rPr>
        <w:t>地址：四川省内江市隆昌市金鹅镇环城北路二段81号</w:t>
      </w:r>
    </w:p>
    <w:p>
      <w:pPr>
        <w:pStyle w:val="null3"/>
        <w:jc w:val="left"/>
      </w:pPr>
      <w:r>
        <w:rPr>
          <w:rFonts w:ascii="仿宋_GB2312" w:hAnsi="仿宋_GB2312" w:cs="仿宋_GB2312" w:eastAsia="仿宋_GB2312"/>
        </w:rPr>
        <w:t>邮编：642150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C09020400 林业有害生物防治服务</w:t>
            </w:r>
          </w:p>
        </w:tc>
        <w:tc>
          <w:tcPr>
            <w:tcW w:type="dxa" w:w="821"/>
          </w:tcPr>
          <w:p>
            <w:pPr>
              <w:pStyle w:val="null3"/>
              <w:jc w:val="left"/>
            </w:pPr>
            <w:r>
              <w:rPr>
                <w:rFonts w:ascii="仿宋_GB2312" w:hAnsi="仿宋_GB2312" w:cs="仿宋_GB2312" w:eastAsia="仿宋_GB2312"/>
              </w:rPr>
              <w:t>松材线虫病防治服务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650,000.00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松材线虫病防治服务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标的名称：松材线虫病防治服务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spacing w:before="15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国家林草原局</w:t>
            </w:r>
            <w:r>
              <w:rPr>
                <w:rFonts w:ascii="仿宋_GB2312" w:hAnsi="仿宋_GB2312" w:cs="仿宋_GB2312" w:eastAsia="仿宋_GB2312"/>
                <w:sz w:val="24"/>
              </w:rPr>
              <w:t>2024年5号公告撤销了隆昌市松材线虫病疫区，为应对我市周边松材线虫病高发蔓延趋势，严防入侵反弹，根据《内江市林业局关于做好松材线虫病防控成果巩固工作的通知》文件精神，遵循“监测预防、科学控制、三年巩固”的防控理念，</w:t>
            </w:r>
            <w:r>
              <w:rPr>
                <w:rFonts w:ascii="仿宋_GB2312" w:hAnsi="仿宋_GB2312" w:cs="仿宋_GB2312" w:eastAsia="仿宋_GB2312"/>
                <w:sz w:val="24"/>
              </w:rPr>
              <w:t>按照《隆昌市松材线虫病疫区拔除成果巩固实施方案》所制订的主要防治措施，</w:t>
            </w:r>
            <w:r>
              <w:rPr>
                <w:rFonts w:ascii="仿宋_GB2312" w:hAnsi="仿宋_GB2312" w:cs="仿宋_GB2312" w:eastAsia="仿宋_GB2312"/>
                <w:sz w:val="24"/>
              </w:rPr>
              <w:t>2025年将陆续开展松材线虫病疫情监测普查、</w:t>
            </w:r>
            <w:r>
              <w:rPr>
                <w:rFonts w:ascii="仿宋_GB2312" w:hAnsi="仿宋_GB2312" w:cs="仿宋_GB2312" w:eastAsia="仿宋_GB2312"/>
                <w:sz w:val="24"/>
              </w:rPr>
              <w:t>枯死松木清理</w:t>
            </w:r>
            <w:r>
              <w:rPr>
                <w:rFonts w:ascii="仿宋_GB2312" w:hAnsi="仿宋_GB2312" w:cs="仿宋_GB2312" w:eastAsia="仿宋_GB2312"/>
                <w:sz w:val="24"/>
              </w:rPr>
              <w:t>、药物防治等综合防控工作。</w:t>
            </w:r>
          </w:p>
          <w:p>
            <w:pPr>
              <w:pStyle w:val="null3"/>
              <w:spacing w:before="150"/>
              <w:jc w:val="both"/>
            </w:pPr>
            <w:r>
              <w:rPr>
                <w:rFonts w:ascii="仿宋_GB2312" w:hAnsi="仿宋_GB2312" w:cs="仿宋_GB2312" w:eastAsia="仿宋_GB2312"/>
                <w:sz w:val="24"/>
                <w:b/>
              </w:rPr>
              <w:t>二、服务内容及要求</w:t>
            </w:r>
          </w:p>
          <w:tbl>
            <w:tblPr>
              <w:tblInd w:type="dxa" w:w="135"/>
              <w:tblBorders>
                <w:top w:val="none" w:color="000000" w:sz="4"/>
                <w:left w:val="none" w:color="000000" w:sz="4"/>
                <w:bottom w:val="none" w:color="000000" w:sz="4"/>
                <w:right w:val="none" w:color="000000" w:sz="4"/>
                <w:insideH w:val="none"/>
                <w:insideV w:val="none"/>
              </w:tblBorders>
            </w:tblPr>
            <w:tblGrid>
              <w:gridCol w:w="531"/>
              <w:gridCol w:w="611"/>
              <w:gridCol w:w="1390"/>
              <w:gridCol w:w="956"/>
              <w:gridCol w:w="2072"/>
            </w:tblGrid>
            <w:tr>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00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项目内容</w:t>
                  </w:r>
                </w:p>
              </w:tc>
              <w:tc>
                <w:tcPr>
                  <w:tcW w:type="dxa" w:w="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防治技术要求</w:t>
                  </w:r>
                </w:p>
              </w:tc>
            </w:tr>
            <w:tr>
              <w:tc>
                <w:tcPr>
                  <w:tcW w:type="dxa" w:w="5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疫情监测</w:t>
                  </w:r>
                </w:p>
                <w:p>
                  <w:pPr>
                    <w:pStyle w:val="null3"/>
                    <w:jc w:val="center"/>
                  </w:pPr>
                  <w:r>
                    <w:rPr>
                      <w:rFonts w:ascii="仿宋_GB2312" w:hAnsi="仿宋_GB2312" w:cs="仿宋_GB2312" w:eastAsia="仿宋_GB2312"/>
                      <w:sz w:val="24"/>
                    </w:rPr>
                    <w:t>普查</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日常监测</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3万亩</w:t>
                  </w:r>
                </w:p>
              </w:tc>
              <w:tc>
                <w:tcPr>
                  <w:tcW w:type="dxa" w:w="20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按照国家《松材线虫病防治技术方案（</w:t>
                  </w:r>
                  <w:r>
                    <w:rPr>
                      <w:rFonts w:ascii="仿宋_GB2312" w:hAnsi="仿宋_GB2312" w:cs="仿宋_GB2312" w:eastAsia="仿宋_GB2312"/>
                      <w:sz w:val="24"/>
                    </w:rPr>
                    <w:t>2024年版）》执行</w:t>
                  </w:r>
                </w:p>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专项普查</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2072"/>
                  <w:vMerge/>
                  <w:tcBorders>
                    <w:top w:val="single" w:color="000000" w:sz="4"/>
                    <w:left w:val="single" w:color="000000" w:sz="4"/>
                    <w:bottom w:val="single" w:color="000000" w:sz="4"/>
                    <w:right w:val="single" w:color="000000" w:sz="4"/>
                  </w:tcBorders>
                </w:tcPr>
                <w:p/>
              </w:tc>
            </w:tr>
            <w:tr>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枯死松木清理</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人工费、林农补助费</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w:t>
                  </w:r>
                </w:p>
              </w:tc>
              <w:tc>
                <w:tcPr>
                  <w:tcW w:type="dxa" w:w="2072"/>
                  <w:vMerge/>
                  <w:tcBorders>
                    <w:top w:val="single" w:color="000000" w:sz="4"/>
                    <w:left w:val="single" w:color="000000" w:sz="4"/>
                    <w:bottom w:val="single" w:color="000000" w:sz="4"/>
                    <w:right w:val="single" w:color="000000" w:sz="4"/>
                  </w:tcBorders>
                </w:tcPr>
                <w:p/>
              </w:tc>
            </w:tr>
            <w:tr>
              <w:tc>
                <w:tcPr>
                  <w:tcW w:type="dxa" w:w="5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药物防治</w:t>
                  </w: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媒介昆虫地面人工喷药防治</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0.5万亩</w:t>
                  </w:r>
                </w:p>
              </w:tc>
              <w:tc>
                <w:tcPr>
                  <w:tcW w:type="dxa" w:w="2072"/>
                  <w:vMerge/>
                  <w:tcBorders>
                    <w:top w:val="single" w:color="000000" w:sz="4"/>
                    <w:left w:val="single" w:color="000000" w:sz="4"/>
                    <w:bottom w:val="single" w:color="000000" w:sz="4"/>
                    <w:right w:val="single" w:color="000000" w:sz="4"/>
                  </w:tcBorders>
                </w:tcPr>
                <w:p/>
              </w:tc>
            </w:tr>
            <w:tr>
              <w:tc>
                <w:tcPr>
                  <w:tcW w:type="dxa" w:w="531"/>
                  <w:vMerge/>
                  <w:tcBorders>
                    <w:top w:val="none" w:color="000000" w:sz="4"/>
                    <w:left w:val="single" w:color="000000" w:sz="4"/>
                    <w:bottom w:val="single" w:color="000000" w:sz="4"/>
                    <w:right w:val="single" w:color="000000" w:sz="4"/>
                  </w:tcBorders>
                </w:tcPr>
                <w:p/>
              </w:tc>
              <w:tc>
                <w:tcPr>
                  <w:tcW w:type="dxa" w:w="611"/>
                  <w:vMerge/>
                  <w:tcBorders>
                    <w:top w:val="none" w:color="000000" w:sz="4"/>
                    <w:left w:val="single" w:color="000000" w:sz="4"/>
                    <w:bottom w:val="single" w:color="000000" w:sz="4"/>
                    <w:right w:val="single" w:color="000000" w:sz="4"/>
                  </w:tcBorders>
                </w:tcPr>
                <w:p/>
              </w:tc>
              <w:tc>
                <w:tcPr>
                  <w:tcW w:type="dxa" w:w="1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打孔注药保护</w:t>
                  </w:r>
                </w:p>
              </w:tc>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1000株</w:t>
                  </w:r>
                </w:p>
              </w:tc>
              <w:tc>
                <w:tcPr>
                  <w:tcW w:type="dxa" w:w="2072"/>
                  <w:vMerge/>
                  <w:tcBorders>
                    <w:top w:val="single" w:color="000000" w:sz="4"/>
                    <w:left w:val="single" w:color="000000" w:sz="4"/>
                    <w:bottom w:val="single" w:color="000000" w:sz="4"/>
                    <w:right w:val="single" w:color="000000" w:sz="4"/>
                  </w:tcBorders>
                </w:tcPr>
                <w:p/>
              </w:tc>
            </w:tr>
          </w:tbl>
          <w:p>
            <w:pPr>
              <w:pStyle w:val="null3"/>
              <w:spacing w:before="150"/>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按照采购文件和响应文件的要约以及《财政部关于进一步加强政府采购需求和履约验收管理的指导意见》（财库〔2016〕205号）文件执行验收。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项目完工经采购人验收合格，申请付款前，成交供应商须向采购人出具合法有效完整的完税发票及凭证资料,采购人依据成交供应商提交的付款资料进行支付结算，若成交供应商未出具完税发票，采购人可拒绝付款且不承担任何责任。，达到付款条件起20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采购人违约：1.采购人应遵守本合同并执行合同中的各项规定，保证本合同的正常履行；2.如有延期支付合同款项，或因甲方原因导致变更、中止或终止政府采购合同的，应依照合同约定对乙方受到的损失予以赔偿或补偿。供应商违约：1.供应商必须遵守采购合同并执行合同中的各项规定，保证采购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（二）在项目实施期间所发生的一切安全责任事故由供应商自行负责。 （三）如成交，不可因为未了解项目现场情况等理由而放弃成交不履行成交人义务。如因供应商不能正常履约，给采购人造成任何损失的，采购人将保留进一步追诉的权利，并要求成交供应商赔偿由此带来的所有损失；如放弃成交，所产生的后果按照政府采购相关法律法规执行。 以上（一）、（二）、（三）供应商需提供承诺函 （四）服务指标：1、采伐对象清除率和处理合格率100%；2、疫情监测准确率达90%以上；3、松墨天牛药剂防治覆盖率和质量合格率均达100%；4、目标松树打孔注药合格率达100%、目标松树注干剂药瓶拔除率达100% 。 （五）供应商针对本项目提供的服务方案（内容）包含但不限于以下方面： 1）服务需求分析和人员安排； 2）确保采伐对象清除率和处理合格率100%的措施；3）确保疫情监测准确率达90%以上的技术措施；4）确保松墨天牛药剂防治覆盖率和质量合格率均达100%的措施；5）目标松树打孔注药合格率达100%、目标松树注干剂药瓶拔除率达100%； 6）进度控制措施； 7）质量控制措施； 8）信息管理措施； 9）档案管理措施； 10）宣传协调措施； 11）安全管理措施。本项目拟采购的内容，需供应商具备相应的人员配置及履约经验。（注：本项目相关方案要求不作为实质性要求，仅作为评审因素，供应商应当根据实际情况提供真实、 客观的证明材料，具体评审标准详见“评审标准”表。）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参加政府采购活动的供应商及其现任法定代表人、主要负责人无行贿犯罪记录；</w:t>
            </w:r>
          </w:p>
        </w:tc>
        <w:tc>
          <w:tcPr>
            <w:tcW w:type="dxa" w:w="3322"/>
          </w:tcPr>
          <w:p>
            <w:pPr>
              <w:pStyle w:val="null3"/>
              <w:jc w:val="left"/>
            </w:pPr>
            <w:r>
              <w:rPr>
                <w:rFonts w:ascii="仿宋_GB2312" w:hAnsi="仿宋_GB2312" w:cs="仿宋_GB2312" w:eastAsia="仿宋_GB2312"/>
              </w:rPr>
              <w:t>参加政府采购活动的供应商及其现任法定代表人、主要负责人无行贿犯罪记录；（供应商需提供独立的承诺函）</w:t>
            </w:r>
          </w:p>
        </w:tc>
        <w:tc>
          <w:tcPr>
            <w:tcW w:type="dxa" w:w="1910"/>
          </w:tcPr>
          <w:p>
            <w:pPr>
              <w:pStyle w:val="null3"/>
              <w:jc w:val="left"/>
            </w:pPr>
            <w:r>
              <w:rPr>
                <w:rFonts w:ascii="仿宋_GB2312" w:hAnsi="仿宋_GB2312" w:cs="仿宋_GB2312" w:eastAsia="仿宋_GB2312"/>
              </w:rPr>
              <w:t>供应商认为需要提供的其他资料.docx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本次政府采购活动不接受联合体投标；</w:t>
            </w:r>
          </w:p>
        </w:tc>
        <w:tc>
          <w:tcPr>
            <w:tcW w:type="dxa" w:w="3322"/>
          </w:tcPr>
          <w:p>
            <w:pPr>
              <w:pStyle w:val="null3"/>
              <w:jc w:val="left"/>
            </w:pPr>
            <w:r>
              <w:rPr>
                <w:rFonts w:ascii="仿宋_GB2312" w:hAnsi="仿宋_GB2312" w:cs="仿宋_GB2312" w:eastAsia="仿宋_GB2312"/>
              </w:rPr>
              <w:t>本次政府采购活动不接受联合体投标；（供应商需提供独立的承诺函）</w:t>
            </w:r>
          </w:p>
        </w:tc>
        <w:tc>
          <w:tcPr>
            <w:tcW w:type="dxa" w:w="1910"/>
          </w:tcPr>
          <w:p>
            <w:pPr>
              <w:pStyle w:val="null3"/>
              <w:jc w:val="left"/>
            </w:pPr>
            <w:r>
              <w:rPr>
                <w:rFonts w:ascii="仿宋_GB2312" w:hAnsi="仿宋_GB2312" w:cs="仿宋_GB2312" w:eastAsia="仿宋_GB2312"/>
              </w:rPr>
              <w:t>非联合体承诺函.docx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需要供应商提供证明材料的实质性要求。</w:t>
            </w:r>
          </w:p>
        </w:tc>
        <w:tc>
          <w:tcPr>
            <w:tcW w:type="dxa" w:w="3322"/>
          </w:tcPr>
          <w:p>
            <w:pPr>
              <w:pStyle w:val="null3"/>
              <w:jc w:val="left"/>
            </w:pPr>
            <w:r>
              <w:rPr>
                <w:rFonts w:ascii="仿宋_GB2312" w:hAnsi="仿宋_GB2312" w:cs="仿宋_GB2312" w:eastAsia="仿宋_GB2312"/>
              </w:rPr>
              <w:t>采购文件第三章中明确要求供应商在投标（响应）文件中提供证明材料的实质性要求。供应商在投标（响应）文件中，如有证明材料缺失或供应商提供证明材料不能证明满足要求的，视为未响应采购文件的实质性要求。</w:t>
            </w:r>
          </w:p>
        </w:tc>
        <w:tc>
          <w:tcPr>
            <w:tcW w:type="dxa" w:w="1910"/>
          </w:tcPr>
          <w:p>
            <w:pPr>
              <w:pStyle w:val="null3"/>
              <w:jc w:val="left"/>
            </w:pPr>
            <w:r>
              <w:rPr>
                <w:rFonts w:ascii="仿宋_GB2312" w:hAnsi="仿宋_GB2312" w:cs="仿宋_GB2312" w:eastAsia="仿宋_GB2312"/>
              </w:rPr>
              <w:t>供应商认为需要提供的其他资料.docx,技术服务应答表.docx,商务应答表.docx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需要供应商进行响应的实质性要求。</w:t>
            </w:r>
          </w:p>
        </w:tc>
        <w:tc>
          <w:tcPr>
            <w:tcW w:type="dxa" w:w="3322"/>
          </w:tcPr>
          <w:p>
            <w:pPr>
              <w:pStyle w:val="null3"/>
              <w:jc w:val="left"/>
            </w:pPr>
            <w:r>
              <w:rPr>
                <w:rFonts w:ascii="仿宋_GB2312" w:hAnsi="仿宋_GB2312" w:cs="仿宋_GB2312" w:eastAsia="仿宋_GB2312"/>
              </w:rPr>
              <w:t>采购文件第三章未明确要求供应商在投标（响应）文件中提供证明材料的实质性要求。供应商在投标（响应）文件技术(服务)应答表或商务应答表明确表示不响应或负偏离的，视为未响应采购文件的实质性要求</w:t>
            </w:r>
          </w:p>
        </w:tc>
        <w:tc>
          <w:tcPr>
            <w:tcW w:type="dxa" w:w="1910"/>
          </w:tcPr>
          <w:p>
            <w:pPr>
              <w:pStyle w:val="null3"/>
              <w:jc w:val="left"/>
            </w:pPr>
            <w:r>
              <w:rPr>
                <w:rFonts w:ascii="仿宋_GB2312" w:hAnsi="仿宋_GB2312" w:cs="仿宋_GB2312" w:eastAsia="仿宋_GB2312"/>
              </w:rPr>
              <w:t>技术服务应答表.docx,商务应答表.docx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不需要供应商进行响应的实质性要求。</w:t>
            </w:r>
          </w:p>
        </w:tc>
        <w:tc>
          <w:tcPr>
            <w:tcW w:type="dxa" w:w="3322"/>
          </w:tcPr>
          <w:p>
            <w:pPr>
              <w:pStyle w:val="null3"/>
              <w:jc w:val="left"/>
            </w:pPr>
            <w:r>
              <w:rPr>
                <w:rFonts w:ascii="仿宋_GB2312" w:hAnsi="仿宋_GB2312" w:cs="仿宋_GB2312" w:eastAsia="仿宋_GB2312"/>
              </w:rPr>
              <w:t>采购文件除第三章外的其他实质性要求。供应商在投标（响应）文件除方案部分外的其他部分，明确违反实质性要求的,视为未响应采购文件的实质性要求。</w:t>
            </w:r>
          </w:p>
        </w:tc>
        <w:tc>
          <w:tcPr>
            <w:tcW w:type="dxa" w:w="1910"/>
          </w:tcPr>
          <w:p>
            <w:pPr>
              <w:pStyle w:val="null3"/>
              <w:jc w:val="left"/>
            </w:pPr>
            <w:r>
              <w:rPr>
                <w:rFonts w:ascii="仿宋_GB2312" w:hAnsi="仿宋_GB2312" w:cs="仿宋_GB2312" w:eastAsia="仿宋_GB2312"/>
              </w:rPr>
              <w:t>供应商认为需要提供的其他资料.docx,报价表,投标（响应）函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1.在磋商过程中，磋商小组认为供应商报价低于最高限价 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响应报价（实质性要求）。</w:t>
            </w:r>
          </w:p>
        </w:tc>
        <w:tc>
          <w:tcPr>
            <w:tcW w:type="dxa" w:w="3322"/>
          </w:tcPr>
          <w:p>
            <w:pPr>
              <w:pStyle w:val="null3"/>
              <w:jc w:val="left"/>
            </w:pPr>
            <w:r>
              <w:rPr>
                <w:rFonts w:ascii="仿宋_GB2312" w:hAnsi="仿宋_GB2312" w:cs="仿宋_GB2312" w:eastAsia="仿宋_GB2312"/>
              </w:rPr>
              <w:t>1.响应报价唯一（说明：响应文件报价出现前后不一致的，按照采购文件第5章磋商办法规定予以修正，修正后的报价经供应商通过项目电子化交易系统进行确认，并加盖供应商（法定名称）电子印章，供应商未在规定时间内确认的，其响应无效。磋商小组成员不得未经供应商确认，直接将供应商响应文件作无效处理。） 2.响应报价未超过采购文件规定的采购预算价、最高限价；3.供应商的报价是供应商响应采购项目要求的全部工作内容的价格体现，包括供应商完成本项目所需的一切费用；4.供应商每种货物及服务内容只允许有一个报价，并且在合同履行过程中是固定不变的，任何有选择或可调整的报价将不予接受，并按无效响应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详见5.4.2.评审细则及标准</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根据供应商针对本项目提供的服务方案包含但不限于以下方面： 1）服务需求分析和人员安排； 2）确保采伐对象清除率和处理合格率100%的措施； 3）确保疫情监测准确率达90%以上的技术措施； 4）确保松墨天牛药剂防治覆盖率和质量合格率均达100%的措施； 5）目标松树打孔注药合格率达100%、目标松树注干剂药瓶拔除率达100%； 6）进度控制措施； 7）质量控制措施； 8）信息管理措施； 9）档案管理措施； 10）宣传协调措施； 11）安全和环保管理措施。 供应商根据本项目要求和具体实际情况进行分析及编写方案，方案齐全且满足项目需求得55分，以上内容每缺一项扣5分，以上每项内容每有一处缺陷或不足扣2.5分（每项内容最多扣5分），扣完为止。 注：以上所有内容中： 1）符合项目实际需求及项目情况（符合项目要求和具体实际情况）是指：方案针对每一评分项有合乎（符）项目具体实际的方案描述，包含但不限于上述内容的文字、图片、表格等一种或多种形式详细呈现方案内容，方案内容符合行业政策要求、满足本项目要求； 2）内容缺陷是指：内容与实际需求不匹配、不符合项目特点；不满足本项目业务板块的功能需求（不满足本项目实施的实际需求）；不符合技术规范及政策要求；引用的规范和标准错误；套用其他项目的数据、名称、内容；专业术语表述错误；服务内容及要求、实施地点与本项目要求不一致；方案内容交叉混乱等情形； 3）不足是指：与项目不匹配（不适用）或与本项目需求无关、描述简单（如仅有框架或标题或一两句话概括）、前后矛盾等。</w:t>
            </w:r>
          </w:p>
        </w:tc>
        <w:tc>
          <w:tcPr>
            <w:tcW w:type="dxa" w:w="831"/>
          </w:tcPr>
          <w:p>
            <w:pPr>
              <w:pStyle w:val="null3"/>
              <w:jc w:val="center"/>
            </w:pPr>
            <w:r>
              <w:rPr>
                <w:rFonts w:ascii="仿宋_GB2312" w:hAnsi="仿宋_GB2312" w:cs="仿宋_GB2312" w:eastAsia="仿宋_GB2312"/>
              </w:rPr>
              <w:t>55.0000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1）供应商为本项目配置人员具备林业、林业工程、森林保护或植物保护专业（农、林业病虫害防治）中级及以上职称人员得4分，每增加一人得3分，本项最高得10分。 2）供应商为本项目配置人员具备林业有害生物防治员证书，每提供1人得3分，本项最高得9分。 3）供应商为本项目配置人员具备全国松材线虫病监测鉴定技术培训班结业证书，提供1人得2分，在此基础上每增加一人得1分，本项最高得5分。 注：1）-3）项同一人员不重复计分，提供以上人员相关证书复印件，并加盖供应商公章，不提供或不满足不得分；</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jc w:val="left"/>
            </w:pPr>
            <w:r>
              <w:rPr>
                <w:rFonts w:ascii="仿宋_GB2312" w:hAnsi="仿宋_GB2312" w:cs="仿宋_GB2312" w:eastAsia="仿宋_GB2312"/>
              </w:rPr>
              <w:t>拟为本项目配备的设备</w:t>
            </w:r>
          </w:p>
        </w:tc>
        <w:tc>
          <w:tcPr>
            <w:tcW w:type="dxa" w:w="2575"/>
          </w:tcPr>
          <w:p>
            <w:pPr>
              <w:pStyle w:val="null3"/>
              <w:jc w:val="left"/>
            </w:pPr>
            <w:r>
              <w:rPr>
                <w:rFonts w:ascii="仿宋_GB2312" w:hAnsi="仿宋_GB2312" w:cs="仿宋_GB2312" w:eastAsia="仿宋_GB2312"/>
              </w:rPr>
              <w:t>供应商拟为本项目配备专业设备： 1）具备枯死树清理所需油锯(电锯）每具有1把的得0.2分，本项最高得2分。（自有或租赁，自有的提供购买发票，租赁的提供租赁合同及出租人的购买发票复印件并加盖供应商公章） 2）具备疫情监测普查所需无人机或卫星遥感监测设备每具有1台的得1分，本项最高得1分。（自有或租赁，自有的提供购买发票，租赁的提供租赁合同及出租人的购买发票复印件并加盖供应商公章） 3）具备人工喷药防治所需的喷烟/喷雾/喷粉机器每具有1台的得0.5分，本项最高得1分。（自有或租赁，自有的提供购买发票，租赁的提供租赁合同及出租人的购买发票复印件并加盖供应商公章） 4）具备打孔注药保护所需的电钻/手钻每具有1台的得0.2分，本项最高得1分。（自有或租赁，自有的提供购买发票，租赁的提供租赁合同及出租人的购买发票复印件并加盖供应商公章）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供应商自2023年1月1日（含）至磋商响应时间止（磋商响应文件提交截止日止，）具有类似业绩的，每提供一个业绩得2分，本项最高得分6分。 注：需提供成交/中标通知书或合同复印件（复印件加盖供应商公章）。提供合同的以合同签订时间为准，提供成交/中标通知书的以落款时间为准。类似业绩是指病虫防治项目类业绩，时间以中标（成交）通知书或合同签订时间为准，提供项目中标（成交）通知书或合同复印件，响应文件递交截止日供应商成立时间不足一年的且未提供类似业绩的得2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以满足磋商文件要求且最后报价最低的供应商价格为磋商基准价，其价格分为满分。其他供应商的价格分按照下列公式计算：磋商报价得分=(磋商基准价／最后磋商报价)×10%×100。（结果保留小数点后2位）</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详见附件：非联合体承诺函.docx</w:t>
      </w:r>
    </w:p>
    <w:p>
      <w:pPr>
        <w:pStyle w:val="null3"/>
        <w:ind w:firstLine="960"/>
        <w:jc w:val="left"/>
      </w:pPr>
      <w:r>
        <w:rPr>
          <w:rFonts w:ascii="仿宋_GB2312" w:hAnsi="仿宋_GB2312" w:cs="仿宋_GB2312" w:eastAsia="仿宋_GB2312"/>
        </w:rPr>
        <w:t>详见附件：供应商认为需要提供的其他资料.docx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详见附件：技术服务应答表.docx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