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441900011-2025-00057</w:t>
      </w:r>
    </w:p>
    <w:p>
      <w:pPr>
        <w:pStyle w:val="null3"/>
        <w:jc w:val="center"/>
        <w:outlineLvl w:val="3"/>
      </w:pPr>
      <w:r>
        <w:rPr>
          <w:sz w:val="24"/>
          <w:b/>
        </w:rPr>
        <w:t>采购项目编号：</w:t>
      </w:r>
      <w:r>
        <w:rPr>
          <w:sz w:val="24"/>
          <w:b/>
        </w:rPr>
        <w:t>441900011-2025-00057</w:t>
      </w:r>
    </w:p>
    <w:p>
      <w:pPr>
        <w:pStyle w:val="null3"/>
        <w:jc w:val="center"/>
        <w:outlineLvl w:val="3"/>
      </w:pPr>
      <w:r>
        <w:rPr>
          <w:sz w:val="24"/>
          <w:b/>
        </w:rPr>
        <w:t>项目名称：</w:t>
      </w:r>
      <w:r>
        <w:rPr>
          <w:sz w:val="24"/>
          <w:b/>
        </w:rPr>
        <w:t>滨海湾新区灵犀岛项目规划设计研究</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和盛咨询（广东）有限公司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和盛咨询（广东）有限公司</w:t>
      </w:r>
      <w:r>
        <w:rPr/>
        <w:t>受</w:t>
      </w:r>
      <w:r>
        <w:rPr/>
        <w:t>东莞滨海湾新区管理委员会</w:t>
      </w:r>
      <w:r>
        <w:rPr/>
        <w:t>的委托，采用</w:t>
      </w:r>
      <w:r>
        <w:rPr/>
        <w:t>公开招标</w:t>
      </w:r>
      <w:r>
        <w:rPr/>
        <w:t>方式组织采购</w:t>
      </w:r>
      <w:r>
        <w:rPr/>
        <w:t>滨海湾新区灵犀岛项目规划设计研究</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滨海湾新区灵犀岛项目规划设计研究</w:t>
      </w:r>
    </w:p>
    <w:p>
      <w:pPr>
        <w:pStyle w:val="null3"/>
        <w:ind w:firstLine="480"/>
      </w:pPr>
      <w:r>
        <w:rPr/>
        <w:t>采购计划编号：</w:t>
      </w:r>
      <w:r>
        <w:rPr/>
        <w:t>441900011-2025-00057</w:t>
      </w:r>
    </w:p>
    <w:p>
      <w:pPr>
        <w:pStyle w:val="null3"/>
        <w:ind w:firstLine="480"/>
      </w:pPr>
      <w:r>
        <w:rPr/>
        <w:t>采购项目编号：</w:t>
      </w:r>
      <w:r>
        <w:rPr/>
        <w:t>441900011-2025-00057</w:t>
      </w:r>
    </w:p>
    <w:p>
      <w:pPr>
        <w:pStyle w:val="null3"/>
        <w:ind w:firstLine="480"/>
      </w:pPr>
      <w:r>
        <w:rPr/>
        <w:t>采购方式：</w:t>
      </w:r>
      <w:r>
        <w:rPr/>
        <w:t>公开招标</w:t>
      </w:r>
    </w:p>
    <w:p>
      <w:pPr>
        <w:pStyle w:val="null3"/>
        <w:ind w:firstLine="480"/>
      </w:pPr>
      <w:r>
        <w:rPr/>
        <w:t>预算金额：</w:t>
      </w:r>
      <w:r>
        <w:rPr/>
        <w:t>2,830,000.00</w:t>
      </w:r>
      <w:r>
        <w:rPr/>
        <w:t>元</w:t>
      </w:r>
    </w:p>
    <w:p>
      <w:pPr>
        <w:pStyle w:val="null3"/>
        <w:outlineLvl w:val="3"/>
      </w:pPr>
      <w:r>
        <w:rPr>
          <w:sz w:val="24"/>
          <w:b/>
        </w:rPr>
        <w:t>2.项目内容及需求情况（采购项目技术规格、参数及要求）</w:t>
      </w:r>
    </w:p>
    <w:p>
      <w:pPr>
        <w:pStyle w:val="null3"/>
      </w:pPr>
      <w:r>
        <w:rPr/>
        <w:t>采购包1(滨海湾新区灵犀岛项目规划设计研究):</w:t>
      </w:r>
    </w:p>
    <w:p>
      <w:pPr>
        <w:pStyle w:val="null3"/>
      </w:pPr>
      <w:r>
        <w:rPr/>
        <w:t>采购包预算金额：2,830,000.00元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其他咨询服务</w:t>
            </w:r>
          </w:p>
        </w:tc>
        <w:tc>
          <w:tcPr>
            <w:tcW w:type="dxa" w:w="2136"/>
          </w:tcPr>
          <w:p>
            <w:pPr>
              <w:pStyle w:val="null3"/>
            </w:pPr>
            <w:r>
              <w:rPr/>
              <w:t>滨海湾新区灵犀岛项目规划设计研究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合同履行期限：自合同签订之日起5个月内完成成果编制工作。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或提供《资格条件承诺函》（格式详见招标公告《附件1：资格条件承诺函》）。如依法免税或不需要缴纳社会保障资金的，提供相应证明材料。</w:t>
      </w:r>
    </w:p>
    <w:p>
      <w:pPr>
        <w:pStyle w:val="null3"/>
      </w:pPr>
      <w:r>
        <w:rPr/>
        <w:t>3）具有良好的商业信誉和健全的财务会计制度：提供2023年度财务状况报告或2024年度财务状况报告或基本开户行出具的资信证明或《资格条件承诺函》（格式详见招标公告《附件1：资格条件承诺函》）。</w:t>
      </w:r>
    </w:p>
    <w:p>
      <w:pPr>
        <w:pStyle w:val="null3"/>
      </w:pPr>
      <w:r>
        <w:rPr/>
        <w:t>4）履行合同所必需的设备和专业技术能力：按投标（响应）文件格式填报设备及专业技术能力情况或提供《资格条件承诺函》（格式详见招标公告《附件1：资格条件承诺函》）。</w:t>
      </w:r>
    </w:p>
    <w:p>
      <w:pPr>
        <w:pStyle w:val="null3"/>
      </w:pPr>
      <w:r>
        <w:rPr/>
        <w:t>5）参加采购活动前3年内，在经营活动中没有重大违法记录：投标（响应）文件中参照投标（报价）函相关格式承诺或提供《资格条件承诺函》（格式详见招标公告《附件1：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采购包1（滨海湾新区灵犀岛项目规划设计研究）：</w:t>
      </w:r>
      <w:r>
        <w:rPr/>
        <w:t>无。</w:t>
      </w:r>
    </w:p>
    <w:p>
      <w:pPr>
        <w:pStyle w:val="null3"/>
        <w:outlineLvl w:val="3"/>
      </w:pPr>
      <w:r>
        <w:rPr>
          <w:sz w:val="24"/>
          <w:b/>
        </w:rPr>
        <w:t>3.本项目特定的资格要求：</w:t>
      </w:r>
    </w:p>
    <w:p>
      <w:pPr>
        <w:pStyle w:val="null3"/>
      </w:pPr>
      <w:r>
        <w:rPr/>
        <w:t>采购包1（滨海湾新区灵犀岛项目规划设计研究）：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3)投标人或联合体任意一方须具备政府部门颁发的并在有效期内的《城乡规划编制资质证书》（证书等级：甲级）。</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广东省东莞市滨海湾新区湾区1号</w:t>
      </w:r>
    </w:p>
    <w:p>
      <w:pPr>
        <w:pStyle w:val="null3"/>
        <w:ind w:firstLine="480"/>
      </w:pPr>
      <w:r>
        <w:rPr/>
        <w:t xml:space="preserve"> 联系方式：</w:t>
      </w:r>
      <w:r>
        <w:rPr/>
        <w:t>0769-26889271</w:t>
      </w:r>
    </w:p>
    <w:p>
      <w:pPr>
        <w:pStyle w:val="null3"/>
        <w:outlineLvl w:val="3"/>
      </w:pPr>
      <w:r>
        <w:rPr>
          <w:sz w:val="24"/>
          <w:b/>
        </w:rPr>
        <w:t xml:space="preserve"> 2.采购代理机构信息</w:t>
      </w:r>
    </w:p>
    <w:p>
      <w:pPr>
        <w:pStyle w:val="null3"/>
        <w:ind w:firstLine="480"/>
      </w:pPr>
      <w:r>
        <w:rPr/>
        <w:t xml:space="preserve"> 名称：</w:t>
      </w:r>
      <w:r>
        <w:rPr/>
        <w:t>和盛咨询（广东）有限公司</w:t>
      </w:r>
    </w:p>
    <w:p>
      <w:pPr>
        <w:pStyle w:val="null3"/>
        <w:ind w:firstLine="480"/>
      </w:pPr>
      <w:r>
        <w:rPr/>
        <w:t xml:space="preserve"> 地址：</w:t>
      </w:r>
      <w:r>
        <w:rPr/>
        <w:t>广东省东莞市南城街道元美东路6号301室</w:t>
      </w:r>
    </w:p>
    <w:p>
      <w:pPr>
        <w:pStyle w:val="null3"/>
        <w:ind w:firstLine="480"/>
      </w:pPr>
      <w:r>
        <w:rPr/>
        <w:t xml:space="preserve"> 联系方式：</w:t>
      </w:r>
      <w:r>
        <w:rPr/>
        <w:t>0769-22016933</w:t>
      </w:r>
    </w:p>
    <w:p>
      <w:pPr>
        <w:pStyle w:val="null3"/>
        <w:outlineLvl w:val="3"/>
      </w:pPr>
      <w:r>
        <w:rPr>
          <w:sz w:val="24"/>
          <w:b/>
        </w:rPr>
        <w:t xml:space="preserve"> 3.项目联系方式</w:t>
      </w:r>
    </w:p>
    <w:p>
      <w:pPr>
        <w:pStyle w:val="null3"/>
        <w:ind w:firstLine="480"/>
      </w:pPr>
      <w:r>
        <w:rPr/>
        <w:t xml:space="preserve"> 项目联系人：</w:t>
      </w:r>
      <w:r>
        <w:rPr/>
        <w:t>邓小姐</w:t>
      </w:r>
    </w:p>
    <w:p>
      <w:pPr>
        <w:pStyle w:val="null3"/>
        <w:ind w:firstLine="480"/>
      </w:pPr>
      <w:r>
        <w:rPr/>
        <w:t xml:space="preserve"> 电话：</w:t>
      </w:r>
      <w:r>
        <w:rPr/>
        <w:t>0769-22016933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和盛咨询（广东）有限公司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rPr>
        <w:t>本项目以磨碟河湿地公园等周边城市空间在内约</w:t>
      </w:r>
      <w:r>
        <w:rPr>
          <w:sz w:val="22"/>
        </w:rPr>
        <w:t>3639亩的范围为研究范围，灵犀岛地块85.98公顷(1290亩)为规划范围，开展规划设计研究工作。</w:t>
      </w:r>
    </w:p>
    <w:p>
      <w:pPr>
        <w:pStyle w:val="null3"/>
        <w:ind w:firstLine="440"/>
        <w:jc w:val="left"/>
      </w:pPr>
      <w:r>
        <w:rPr>
          <w:sz w:val="22"/>
        </w:rPr>
        <w:t>为结合当前新区整体形势环境的有关最新工作要求，持续强化规划设计管理与开发建设实施的有效衔接，加强项目设计质量和技术把关，根据管委会工作部署由新区自然资源局启动滨海湾新区灵犀岛项目规划设计研究单位采购工作。</w:t>
      </w:r>
    </w:p>
    <w:p>
      <w:pPr>
        <w:pStyle w:val="null3"/>
        <w:ind w:firstLine="440"/>
        <w:jc w:val="left"/>
      </w:pPr>
      <w:r>
        <w:rPr>
          <w:sz w:val="22"/>
        </w:rPr>
        <w:t>具体要求详见</w:t>
      </w:r>
      <w:r>
        <w:rPr>
          <w:sz w:val="22"/>
        </w:rPr>
        <w:t>“技术标准与要求”。</w:t>
      </w:r>
    </w:p>
    <w:p>
      <w:pPr>
        <w:pStyle w:val="null3"/>
        <w:ind w:left="495"/>
        <w:jc w:val="left"/>
      </w:pPr>
      <w:r>
        <w:rPr/>
        <w:t>采购包1（滨海湾新区灵犀岛项目规划设计研究）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自合同签订之日起5个月内完成成果编制工作。</w:t>
            </w:r>
          </w:p>
        </w:tc>
      </w:tr>
      <w:tr>
        <w:tc>
          <w:tcPr>
            <w:tcW w:type="dxa" w:w="4153"/>
          </w:tcPr>
          <w:p>
            <w:pPr>
              <w:pStyle w:val="null3"/>
            </w:pPr>
            <w:r>
              <w:rPr/>
              <w:t>标的提供的地点</w:t>
            </w:r>
          </w:p>
        </w:tc>
        <w:tc>
          <w:tcPr>
            <w:tcW w:type="dxa" w:w="4153"/>
          </w:tcPr>
          <w:p>
            <w:pPr>
              <w:pStyle w:val="null3"/>
            </w:pPr>
            <w:r>
              <w:rPr/>
              <w:t>采购人指定的地点。</w:t>
            </w:r>
          </w:p>
        </w:tc>
      </w:tr>
      <w:tr/>
      <w:tr/>
      <w:tr>
        <w:tc>
          <w:tcPr>
            <w:tcW w:type="dxa" w:w="4153"/>
          </w:tcPr>
          <w:p>
            <w:pPr>
              <w:pStyle w:val="null3"/>
            </w:pPr>
            <w:r>
              <w:rPr/>
              <w:t>付款方式</w:t>
            </w:r>
          </w:p>
        </w:tc>
        <w:tc>
          <w:tcPr>
            <w:tcW w:type="dxa" w:w="4153"/>
          </w:tcPr>
          <w:p>
            <w:pPr>
              <w:pStyle w:val="null3"/>
            </w:pPr>
            <w:r>
              <w:rPr/>
              <w:t>第1期为(预付款)：支付比例20%，签订合同之日起，中标供应商按采购人要求提交完整有效的请款资料后15个工作日内，采购人向中标供应商支付合同款的20%。</w:t>
            </w:r>
          </w:p>
          <w:p>
            <w:pPr>
              <w:pStyle w:val="null3"/>
            </w:pPr>
            <w:r>
              <w:rPr/>
              <w:t>第2期为(进度款)：支付比例30%，提交中期成果并经管委会主要领导审议通过，中标供应商按采购人要求提交完整有效的请款资料后15个工作日内，采购人向中标供应商支付合同款的30%。</w:t>
            </w:r>
          </w:p>
          <w:p>
            <w:pPr>
              <w:pStyle w:val="null3"/>
            </w:pPr>
            <w:r>
              <w:rPr/>
              <w:t>第3期为(进度款)：支付比例20%，完善中期成果并经专家评审会审议通过，中标供应商按采购人要求提交完整有效的请款资料后15个工作日内，采购人向中标供应商支付合同款的20%。</w:t>
            </w:r>
          </w:p>
          <w:p>
            <w:pPr>
              <w:pStyle w:val="null3"/>
            </w:pPr>
            <w:r>
              <w:rPr/>
              <w:t>第4期为(尾款)：支付比例30%，提交终期成果并经管委会城建领导小组会议审议通过，中标供应商按采购人要求提交完整有效的请款资料后15个工作日内，采购人向中标供应商支付合同款的30%。注：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依据招标文件及合同的有关规定进行验收，中标供应商提供的服务应符合国家、省相关要求。2、中标供应商需积极配合验收工作的进行，提供人员、资料等便于验收进行的条件支持。3、对验收不合格的部分，中标供应商应在采购人规定的时间内及时整改完善直至合格，中标供应商采取整改措施导致逾期提交成果文件的，中标供应商应向采购人承担逾期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报价应包含一切与本技术服务工作实施内容相关的费用，包括且不限于在工作中所发生的其他各种因素的直接费、间接费、利润、税金及其他税费、人员保险费、全额含税发票、合同实施过程中的应预见和不可预见费用等。</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1.投标人具有相关业绩。2.投标人所承接的项目获得相关规划设计奖。</w:t>
            </w:r>
          </w:p>
        </w:tc>
      </w:tr>
      <w:tr>
        <w:tc>
          <w:tcPr>
            <w:tcW w:type="dxa" w:w="2076"/>
          </w:tcPr>
          <w:p/>
        </w:tc>
        <w:tc>
          <w:tcPr>
            <w:tcW w:type="dxa" w:w="2076"/>
          </w:tcPr>
          <w:p>
            <w:pPr>
              <w:pStyle w:val="null3"/>
              <w:jc w:val="center"/>
            </w:pPr>
            <w:r>
              <w:rPr/>
              <w:t>3</w:t>
            </w:r>
          </w:p>
        </w:tc>
        <w:tc>
          <w:tcPr>
            <w:tcW w:type="dxa" w:w="2076"/>
          </w:tcPr>
          <w:p>
            <w:pPr>
              <w:pStyle w:val="null3"/>
              <w:jc w:val="left"/>
            </w:pPr>
            <w:r>
              <w:rPr/>
              <w:t>质保期</w:t>
            </w:r>
          </w:p>
        </w:tc>
        <w:tc>
          <w:tcPr>
            <w:tcW w:type="dxa" w:w="2076"/>
          </w:tcPr>
          <w:p>
            <w:pPr>
              <w:pStyle w:val="null3"/>
              <w:jc w:val="left"/>
            </w:pPr>
            <w:r>
              <w:rPr/>
              <w:t>3年，自规划的最终成果经采购人验收合格并交付采购人之日起开始计算，中标供应商确保项目成果完全符合国家和省的相关标准和质量要求。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其他咨询服务</w:t>
            </w:r>
          </w:p>
        </w:tc>
        <w:tc>
          <w:tcPr>
            <w:tcW w:type="dxa" w:w="933"/>
          </w:tcPr>
          <w:p>
            <w:pPr>
              <w:pStyle w:val="null3"/>
              <w:jc w:val="left"/>
            </w:pPr>
            <w:r>
              <w:rPr/>
              <w:t>滨海湾新区灵犀岛项目规划设计研究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2,830,000.00</w:t>
            </w:r>
          </w:p>
        </w:tc>
        <w:tc>
          <w:tcPr>
            <w:tcW w:type="dxa" w:w="933"/>
          </w:tcPr>
          <w:p>
            <w:pPr>
              <w:pStyle w:val="null3"/>
              <w:jc w:val="right"/>
            </w:pPr>
            <w:r>
              <w:rPr/>
              <w:t>2,830,000.00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滨海湾新区灵犀岛项目规划设计研究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42"/>
            </w:pPr>
            <w:r>
              <w:rPr>
                <w:sz w:val="22"/>
                <w:b/>
              </w:rPr>
              <w:t>一、项目背景</w:t>
            </w:r>
          </w:p>
          <w:p>
            <w:pPr>
              <w:pStyle w:val="null3"/>
              <w:ind w:firstLine="440"/>
            </w:pPr>
            <w:r>
              <w:rPr>
                <w:sz w:val="22"/>
              </w:rPr>
              <w:t>市、新区层面高位推动人工智能新区建设，以灵犀岛作为核心区先行启动。</w:t>
            </w:r>
            <w:r>
              <w:rPr>
                <w:sz w:val="22"/>
              </w:rPr>
              <w:t>2024年7月，市委市政府决定在滨海湾建设东莞市人工智能产业园，提出在滨海湾依托大湾区大学、人工智能龙头企业先行建设高水平开放的人工智能小镇。</w:t>
            </w:r>
          </w:p>
          <w:p>
            <w:pPr>
              <w:pStyle w:val="null3"/>
              <w:ind w:firstLine="440"/>
            </w:pPr>
            <w:r>
              <w:rPr>
                <w:sz w:val="22"/>
              </w:rPr>
              <w:t>今年</w:t>
            </w:r>
            <w:r>
              <w:rPr>
                <w:sz w:val="22"/>
              </w:rPr>
              <w:t>2月，省委、省政府召开全省高质量发展大会，发布《广东省建设现代化产业体系2025年行动计划》，明确“支持东莞建设滨海湾人工智能新区”；近期省工信厅即将出台的《关于支持东莞滨海湾人工智能新区高水平建设的若干措施》以及市政府已发布的2025年一号文、《东莞滨海湾新区人工智能发展规划（2025-2030年）》，均对滨海湾人工智能新区建设提出具体要求，明确提出“高标准开发建设灵犀岛核心区，支持滨海湾打造人工智能新区”。</w:t>
            </w:r>
          </w:p>
          <w:p>
            <w:pPr>
              <w:pStyle w:val="null3"/>
              <w:ind w:firstLine="442"/>
            </w:pPr>
            <w:r>
              <w:rPr>
                <w:sz w:val="22"/>
                <w:b/>
              </w:rPr>
              <w:t>二、项目目的</w:t>
            </w:r>
          </w:p>
          <w:p>
            <w:pPr>
              <w:pStyle w:val="null3"/>
              <w:ind w:firstLine="440"/>
            </w:pPr>
            <w:r>
              <w:rPr>
                <w:sz w:val="22"/>
              </w:rPr>
              <w:t>锚定空间框架及指引，为法定规划及地块开发提供依据。交椅湾板块目前已启动控规重大调整工作，为灵犀岛空间设计框架预留法定化窗口。灵犀岛建设工作蓄势待发，首开区已明确建设主体，部分地块已有意向企业接洽，为保证整体秩序统一，也给不同主体提供设计自由度，需要前置设计研究指引，保障分区分期设计不走样。</w:t>
            </w:r>
          </w:p>
          <w:p>
            <w:pPr>
              <w:pStyle w:val="null3"/>
              <w:ind w:firstLine="440"/>
            </w:pPr>
            <w:r>
              <w:rPr>
                <w:sz w:val="22"/>
              </w:rPr>
              <w:t>细化专项研究，保障空间愿景蓝图可落地可实施。根据概念城市设计，进一步推进灵犀岛设计深化与配合片区控规调整工作，开展空间布局、产业功能、交通系统、竖向系统、水系布局等专项研究，细化建筑与场地设计管控要求，明确后续地块开发设计要求，保证灵犀岛整体效果的实施落地。</w:t>
            </w:r>
          </w:p>
          <w:p>
            <w:pPr>
              <w:pStyle w:val="null3"/>
              <w:ind w:firstLine="442"/>
            </w:pPr>
            <w:r>
              <w:rPr>
                <w:sz w:val="22"/>
                <w:b/>
              </w:rPr>
              <w:t>三、服务内容</w:t>
            </w:r>
          </w:p>
          <w:p>
            <w:pPr>
              <w:pStyle w:val="null3"/>
              <w:ind w:firstLine="440"/>
            </w:pPr>
            <w:r>
              <w:rPr>
                <w:sz w:val="22"/>
              </w:rPr>
              <w:t>借鉴周边地区在规划建设中的先进经验，并结合本项目的实际情况，以灵犀岛概念方案为基础，开展规划设计研究工作。其中，磨碟河湿地公园等周边城市空间在内约</w:t>
            </w:r>
            <w:r>
              <w:rPr>
                <w:sz w:val="22"/>
              </w:rPr>
              <w:t>3639亩的范围为研究范围，灵犀岛地块85.98公顷</w:t>
            </w:r>
            <w:r>
              <w:rPr>
                <w:sz w:val="22"/>
              </w:rPr>
              <w:t>（</w:t>
            </w:r>
            <w:r>
              <w:rPr>
                <w:sz w:val="22"/>
              </w:rPr>
              <w:t>1290亩</w:t>
            </w:r>
            <w:r>
              <w:rPr>
                <w:sz w:val="22"/>
              </w:rPr>
              <w:t>）</w:t>
            </w:r>
            <w:r>
              <w:rPr>
                <w:sz w:val="22"/>
              </w:rPr>
              <w:t>为规划范围，设计深度需达到详细城市设计深度要求。主要工作内容包括：</w:t>
            </w:r>
          </w:p>
          <w:p>
            <w:pPr>
              <w:pStyle w:val="null3"/>
              <w:jc w:val="center"/>
            </w:pPr>
            <w:r>
              <w:drawing>
                <wp:inline distT="0" distR="0" distB="0" distL="0">
                  <wp:extent cx="3554730" cy="248302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483027"/>
                          </a:xfrm>
                          <a:prstGeom prst="rect">
                            <a:avLst/>
                          </a:prstGeom>
                        </pic:spPr>
                      </pic:pic>
                    </a:graphicData>
                  </a:graphic>
                </wp:inline>
              </w:drawing>
            </w:r>
          </w:p>
          <w:p>
            <w:pPr>
              <w:pStyle w:val="null3"/>
              <w:jc w:val="center"/>
            </w:pPr>
            <w:r>
              <w:rPr>
                <w:sz w:val="22"/>
              </w:rPr>
              <w:t>规划设计研究工作范围</w:t>
            </w:r>
          </w:p>
          <w:p>
            <w:pPr>
              <w:pStyle w:val="null3"/>
              <w:ind w:firstLine="440"/>
            </w:pPr>
            <w:r>
              <w:rPr>
                <w:sz w:val="22"/>
              </w:rPr>
              <w:t>（一）研究范围的工作内容</w:t>
            </w:r>
          </w:p>
          <w:p>
            <w:pPr>
              <w:pStyle w:val="null3"/>
              <w:ind w:firstLine="440"/>
            </w:pPr>
            <w:r>
              <w:rPr>
                <w:sz w:val="22"/>
              </w:rPr>
              <w:t>1.现状分析。开展现状要素情况摸查，包括但不限于自然生态系统、交通条件、现状建设情况等资源进行踏勘与调研。</w:t>
            </w:r>
          </w:p>
          <w:p>
            <w:pPr>
              <w:pStyle w:val="null3"/>
              <w:ind w:firstLine="440"/>
            </w:pPr>
            <w:r>
              <w:rPr>
                <w:sz w:val="22"/>
              </w:rPr>
              <w:t>2.梳理解读上位规划和相关规划内容。落实上位规划要求，衔接防洪排涝、道路交通、市政设施等相关规划内容，支撑项目方案设计。</w:t>
            </w:r>
          </w:p>
          <w:p>
            <w:pPr>
              <w:pStyle w:val="null3"/>
              <w:ind w:firstLine="440"/>
            </w:pPr>
            <w:r>
              <w:rPr>
                <w:sz w:val="22"/>
              </w:rPr>
              <w:t>3.定位愿景，根据上位规划的相关定位，紧密结合粤港澳大湾区、东莞滨海湾片区和东莞市未来的发展方向，突出人工智能和新中式小镇特质，提出规划愿景及发展目标。</w:t>
            </w:r>
          </w:p>
          <w:p>
            <w:pPr>
              <w:pStyle w:val="null3"/>
              <w:ind w:firstLine="440"/>
            </w:pPr>
            <w:r>
              <w:rPr>
                <w:sz w:val="22"/>
              </w:rPr>
              <w:t>4.产业研究，分析梳理滨海湾新区现有产业生态，重点研究OPPO、VIVO、小天才等智能终端企业的技术优势与产业链资源，以及东莞“世界工厂”的制造业基础对AI技术落地的支撑能力，界定灵犀岛主导产业方向，提出产业生态协同策略，为空间设计提供前置输入条件，形成适配滨海湾新区人工智能新区产业发展的空间载体。</w:t>
            </w:r>
          </w:p>
          <w:p>
            <w:pPr>
              <w:pStyle w:val="null3"/>
              <w:ind w:firstLine="440"/>
            </w:pPr>
            <w:r>
              <w:rPr>
                <w:sz w:val="22"/>
              </w:rPr>
              <w:t>（二）规划范围的工作内容</w:t>
            </w:r>
          </w:p>
          <w:p>
            <w:pPr>
              <w:pStyle w:val="null3"/>
              <w:ind w:firstLine="440"/>
            </w:pPr>
            <w:r>
              <w:rPr>
                <w:sz w:val="22"/>
              </w:rPr>
              <w:t>1. 整体空间设计。结合人工智能产业空间的发展要求，以及相关上位规划，明确整体空间布局，统筹考虑片区的公共空间设计，提出相应管控要求，制定总体城市设计图则。</w:t>
            </w:r>
          </w:p>
          <w:p>
            <w:pPr>
              <w:pStyle w:val="null3"/>
              <w:ind w:firstLine="440"/>
            </w:pPr>
            <w:r>
              <w:rPr>
                <w:sz w:val="22"/>
              </w:rPr>
              <w:t>（</w:t>
            </w:r>
            <w:r>
              <w:rPr>
                <w:sz w:val="22"/>
              </w:rPr>
              <w:t>1）整体空间结构研究。明确项目与周边地区的空间布局和功能结构关系，并对周围地区发展予以建议。</w:t>
            </w:r>
          </w:p>
          <w:p>
            <w:pPr>
              <w:pStyle w:val="null3"/>
              <w:ind w:firstLine="440"/>
            </w:pPr>
            <w:r>
              <w:rPr>
                <w:sz w:val="22"/>
              </w:rPr>
              <w:t>（</w:t>
            </w:r>
            <w:r>
              <w:rPr>
                <w:sz w:val="22"/>
              </w:rPr>
              <w:t>2）功能及用地布局研究。结合东莞和滨海湾新区建设人工智能新区的特别需求，充分研究、分析人工智能产业园区的发展趋势，提出用地规划方案，明确各地块合理规模、功能分区、配套比例等内容。一是以科技创新为主导，融入最新产业园区建设运营理念，结合产业空间需求，适应中小企业、创新产业在用地、用房等方面的差异需求，协调各类产业空间和产业配套空间关系，对不同的产业空间提出形态和空间组织要求。二是明确公共服务设施类型、配置和布局；考虑职住平衡的配套宿舍和人才公寓容量要求，协调配套居住空间和产业空间的布局关系；研究商业、职业教育、企业服务等生产和生活类服务设施配置和规模。</w:t>
            </w:r>
          </w:p>
          <w:p>
            <w:pPr>
              <w:pStyle w:val="null3"/>
              <w:ind w:firstLine="440"/>
            </w:pPr>
            <w:r>
              <w:rPr>
                <w:sz w:val="22"/>
              </w:rPr>
              <w:t>（</w:t>
            </w:r>
            <w:r>
              <w:rPr>
                <w:sz w:val="22"/>
              </w:rPr>
              <w:t>3）构建公共空间格局。一是融合滨海景观、磨碟河湿地公园、孖斗涌和塞古涌等外部景观要素，充分运用中国园林设计手法，梳理场地内公共空间格局，形成具有地区特色的园林式产业小镇。二是梳理公共空间序列，考虑场地与周边景观特征，塑造主要空间廊道、城市天际线，提出关键地标建筑的布局。三是充分考虑场地周边景观资源黄金海岸、磨碟河湿地公园、海洋馆等的慢行连接，兼顾企业组团内部私密性和园区开敞空间的公共性，对规划范围内慢行系统提出整体布局和设计标准的指引。</w:t>
            </w:r>
          </w:p>
          <w:p>
            <w:pPr>
              <w:pStyle w:val="null3"/>
              <w:ind w:firstLine="440"/>
            </w:pPr>
            <w:r>
              <w:rPr>
                <w:sz w:val="22"/>
              </w:rPr>
              <w:t>（</w:t>
            </w:r>
            <w:r>
              <w:rPr>
                <w:sz w:val="22"/>
              </w:rPr>
              <w:t>4）开发强度指引。综合交通容量与空间形态等因素，提出合理的容积率和建筑高度指引。</w:t>
            </w:r>
          </w:p>
          <w:p>
            <w:pPr>
              <w:pStyle w:val="null3"/>
              <w:ind w:firstLine="440"/>
            </w:pPr>
            <w:r>
              <w:rPr>
                <w:sz w:val="22"/>
              </w:rPr>
              <w:t>2.交通规划研究。统筹考虑道路交通要求，结合人工智能产业特征和区内车行交通、货运交通、人行交通、参观游览的需求，进一步研究该项目的综合交通体系规划，以及各地块的交通组织管控要求，明确地块货运、车行、人行出入口，确定各类交通流线、停车场库的建设要求等。</w:t>
            </w:r>
          </w:p>
          <w:p>
            <w:pPr>
              <w:pStyle w:val="null3"/>
              <w:ind w:firstLine="440"/>
            </w:pPr>
            <w:r>
              <w:rPr>
                <w:sz w:val="22"/>
              </w:rPr>
              <w:t>（</w:t>
            </w:r>
            <w:r>
              <w:rPr>
                <w:sz w:val="22"/>
              </w:rPr>
              <w:t>1）交通容量测算，综合评估场地开发容量和交通承载力，论证场地内发展规模和功能布局分区，提出交通优化方案。</w:t>
            </w:r>
          </w:p>
          <w:p>
            <w:pPr>
              <w:pStyle w:val="null3"/>
              <w:ind w:firstLine="440"/>
            </w:pPr>
            <w:r>
              <w:rPr>
                <w:sz w:val="22"/>
              </w:rPr>
              <w:t>（</w:t>
            </w:r>
            <w:r>
              <w:rPr>
                <w:sz w:val="22"/>
              </w:rPr>
              <w:t>2）交通组织分析，研究道路交通布局、等级和功能，区分客车、货车、人行路径；对重要交通节点提出可行的交通组织方案，特别是福海路及东湾大道主干道的交通节点详细设计。合理组织货运交通和客运交通；车行出入口、地下空间出入口、人行出入口布局。</w:t>
            </w:r>
          </w:p>
          <w:p>
            <w:pPr>
              <w:pStyle w:val="null3"/>
              <w:ind w:firstLine="440"/>
            </w:pPr>
            <w:r>
              <w:rPr>
                <w:sz w:val="22"/>
              </w:rPr>
              <w:t>3.竖向及地下空间研究。确保地下规划与地面建筑、景观协调，实现立体化城市空间。</w:t>
            </w:r>
          </w:p>
          <w:p>
            <w:pPr>
              <w:pStyle w:val="null3"/>
              <w:ind w:firstLine="440"/>
            </w:pPr>
            <w:r>
              <w:rPr>
                <w:sz w:val="22"/>
              </w:rPr>
              <w:t>（</w:t>
            </w:r>
            <w:r>
              <w:rPr>
                <w:sz w:val="22"/>
              </w:rPr>
              <w:t>1）场地竖向设计，综合考虑安全、土方平衡和景观需求，结合海堤和周边道路竖向高度，协调项目内道路、水系、场地等提出竖向设计要求。</w:t>
            </w:r>
          </w:p>
          <w:p>
            <w:pPr>
              <w:pStyle w:val="null3"/>
              <w:ind w:firstLine="440"/>
            </w:pPr>
            <w:r>
              <w:rPr>
                <w:sz w:val="22"/>
              </w:rPr>
              <w:t>（</w:t>
            </w:r>
            <w:r>
              <w:rPr>
                <w:sz w:val="22"/>
              </w:rPr>
              <w:t>2）地下空间功能布局和空间分层，根据城市功能需求，对地下空间进行竖向分层，提出地下空间与地上空间的功能联系和空间组织关系。</w:t>
            </w:r>
          </w:p>
          <w:p>
            <w:pPr>
              <w:pStyle w:val="null3"/>
              <w:ind w:firstLine="440"/>
            </w:pPr>
            <w:r>
              <w:rPr>
                <w:sz w:val="22"/>
              </w:rPr>
              <w:t>4. 水系规划研究。进一步深化研究当前概念方案中水系设计，结合周边水系功能布局，研究落地实施的可行性，提出相应的实施方案、路径和管控要求，确保概念方案的设计理念和效果能贯彻到后期开发中。</w:t>
            </w:r>
          </w:p>
          <w:p>
            <w:pPr>
              <w:pStyle w:val="null3"/>
              <w:ind w:firstLine="440"/>
            </w:pPr>
            <w:r>
              <w:rPr>
                <w:sz w:val="22"/>
              </w:rPr>
              <w:t>（</w:t>
            </w:r>
            <w:r>
              <w:rPr>
                <w:sz w:val="22"/>
              </w:rPr>
              <w:t>1）规划水系总体布局，确定水系控制线，提出水系联通方式和防洪排涝设施布局方案。</w:t>
            </w:r>
          </w:p>
          <w:p>
            <w:pPr>
              <w:pStyle w:val="null3"/>
              <w:ind w:firstLine="440"/>
            </w:pPr>
            <w:r>
              <w:rPr>
                <w:sz w:val="22"/>
              </w:rPr>
              <w:t>（</w:t>
            </w:r>
            <w:r>
              <w:rPr>
                <w:sz w:val="22"/>
              </w:rPr>
              <w:t>2）提出防洪排涝工程优化方案，按照防洪（潮）排涝工程建设标准，在已有防洪（潮）规划的基础上，结合生态化手段提出海堤、市政设施景观化的措施，如海堤横断面、设计标高等要求。</w:t>
            </w:r>
          </w:p>
          <w:p>
            <w:pPr>
              <w:pStyle w:val="null3"/>
              <w:ind w:firstLine="440"/>
            </w:pPr>
            <w:r>
              <w:rPr>
                <w:sz w:val="22"/>
              </w:rPr>
              <w:t>（</w:t>
            </w:r>
            <w:r>
              <w:rPr>
                <w:sz w:val="22"/>
              </w:rPr>
              <w:t>3）制定海绵城市建设的总体布局方案，基于海绵城市规划建设的要求，合理规划海绵设施的类型、规模和分布位置，形成完整的海绵城市系统。</w:t>
            </w:r>
          </w:p>
          <w:p>
            <w:pPr>
              <w:pStyle w:val="null3"/>
              <w:ind w:firstLine="440"/>
            </w:pPr>
            <w:r>
              <w:rPr>
                <w:sz w:val="22"/>
              </w:rPr>
              <w:t>5.实施指引。综合考虑片区土地收储计划、分片供给、成本可控、形象打造等因素，面向实施层面提出城市设计导则、分期计划以及实施建议。</w:t>
            </w:r>
          </w:p>
          <w:p>
            <w:pPr>
              <w:pStyle w:val="null3"/>
              <w:ind w:firstLine="440"/>
            </w:pPr>
            <w:r>
              <w:rPr>
                <w:sz w:val="22"/>
              </w:rPr>
              <w:t>城市设计导则。依据《东莞市城市设计编制与审批工作暂行指引》以导则形式提出整体空间形态控制、分区风貌控制、开敞空间控制、地块内建筑和场地控制等四个层次的指引。</w:t>
            </w:r>
          </w:p>
          <w:p>
            <w:pPr>
              <w:pStyle w:val="null3"/>
              <w:ind w:firstLine="440"/>
            </w:pPr>
            <w:r>
              <w:rPr>
                <w:sz w:val="22"/>
              </w:rPr>
              <w:t>（</w:t>
            </w:r>
            <w:r>
              <w:rPr>
                <w:sz w:val="22"/>
              </w:rPr>
              <w:t>2）分期实施计划。由于灵犀岛涉及多主体，并将进行分期动态开发，方案中需对项目的综合效益与经济效益进行评估，结合市场运营、规划设计以及财务平衡等多方面因素，提出合理的开发策略，并对用地收储、基础设施、场地建设、分区开发等作出系统性的时序安排，形成近期建设重点与中远期建设库和时间表。</w:t>
            </w:r>
          </w:p>
          <w:p>
            <w:pPr>
              <w:pStyle w:val="null3"/>
              <w:ind w:firstLine="440"/>
            </w:pPr>
            <w:r>
              <w:rPr>
                <w:sz w:val="22"/>
              </w:rPr>
              <w:t>（</w:t>
            </w:r>
            <w:r>
              <w:rPr>
                <w:sz w:val="22"/>
              </w:rPr>
              <w:t>3）实施建议。从城市运营模式、政策支持、资金保障等方面提出切实实施建议。</w:t>
            </w:r>
          </w:p>
          <w:p>
            <w:pPr>
              <w:pStyle w:val="null3"/>
              <w:ind w:firstLine="442"/>
            </w:pPr>
            <w:r>
              <w:rPr>
                <w:sz w:val="22"/>
                <w:b/>
              </w:rPr>
              <w:t>四、成果要求及数量</w:t>
            </w:r>
          </w:p>
          <w:p>
            <w:pPr>
              <w:pStyle w:val="null3"/>
              <w:ind w:firstLine="440"/>
            </w:pPr>
            <w:r>
              <w:rPr>
                <w:sz w:val="22"/>
              </w:rPr>
              <w:t>设计成果文件规格为</w:t>
            </w:r>
            <w:r>
              <w:rPr>
                <w:sz w:val="22"/>
              </w:rPr>
              <w:t>A3，纸质文件6套；文件电子档案文字为word及pdf格式，图纸为dwg及jpg格式，矢量模型为skp及3ds格式，电子光盘2套；汇报演示文件，格式为ppt演示文件。成果分为城市设计文本、图件、城市设计导则三部分。</w:t>
            </w:r>
          </w:p>
          <w:p>
            <w:pPr>
              <w:pStyle w:val="null3"/>
              <w:ind w:firstLine="442"/>
            </w:pPr>
            <w:r>
              <w:rPr>
                <w:sz w:val="22"/>
                <w:b/>
              </w:rPr>
              <w:t>五、时间要求</w:t>
            </w:r>
          </w:p>
          <w:p>
            <w:pPr>
              <w:pStyle w:val="null3"/>
              <w:ind w:firstLine="440"/>
              <w:jc w:val="both"/>
            </w:pPr>
            <w:r>
              <w:rPr>
                <w:sz w:val="22"/>
              </w:rPr>
              <w:t>滨海湾新区灵犀岛项目规划设计研究”工作进度安排如下</w:t>
            </w:r>
            <w:r>
              <w:rPr>
                <w:sz w:val="22"/>
              </w:rPr>
              <w:t>：</w:t>
            </w:r>
          </w:p>
          <w:p>
            <w:pPr>
              <w:pStyle w:val="null3"/>
              <w:ind w:firstLine="442"/>
              <w:jc w:val="center"/>
            </w:pPr>
            <w:r>
              <w:rPr>
                <w:sz w:val="22"/>
                <w:b/>
              </w:rPr>
              <w:t>项目进度计划表</w:t>
            </w:r>
          </w:p>
          <w:tbl>
            <w:tblPr>
              <w:tblBorders>
                <w:top w:val="none" w:color="000000" w:sz="4"/>
                <w:left w:val="none" w:color="000000" w:sz="4"/>
                <w:bottom w:val="none" w:color="000000" w:sz="4"/>
                <w:right w:val="none" w:color="000000" w:sz="4"/>
                <w:insideH w:val="none"/>
                <w:insideV w:val="none"/>
              </w:tblBorders>
            </w:tblPr>
            <w:tblGrid>
              <w:gridCol w:w="1188"/>
              <w:gridCol w:w="3416"/>
              <w:gridCol w:w="992"/>
            </w:tblGrid>
            <w:tr>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工作阶段</w:t>
                  </w:r>
                </w:p>
              </w:tc>
              <w:tc>
                <w:tcPr>
                  <w:tcW w:type="dxa" w:w="3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工作内容</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时间</w:t>
                  </w:r>
                </w:p>
                <w:p>
                  <w:pPr>
                    <w:pStyle w:val="null3"/>
                    <w:jc w:val="center"/>
                  </w:pPr>
                  <w:r>
                    <w:rPr>
                      <w:sz w:val="22"/>
                      <w:b/>
                    </w:rPr>
                    <w:t>安排</w:t>
                  </w: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初步</w:t>
                  </w:r>
                  <w:r>
                    <w:rPr>
                      <w:sz w:val="22"/>
                    </w:rPr>
                    <w:t>成果阶段</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对概念方案进行整合深化，形成初期成果。</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约</w:t>
                  </w:r>
                  <w:r>
                    <w:rPr>
                      <w:sz w:val="22"/>
                    </w:rPr>
                    <w:t>0.5</w:t>
                  </w:r>
                  <w:r>
                    <w:rPr>
                      <w:sz w:val="22"/>
                    </w:rPr>
                    <w:t>个月</w:t>
                  </w:r>
                </w:p>
              </w:tc>
            </w:tr>
            <w:tr>
              <w:tc>
                <w:tcPr>
                  <w:tcW w:type="dxa" w:w="118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中期成果阶段</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优化修改成果内容，完成中期成果。</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约</w:t>
                  </w:r>
                  <w:r>
                    <w:rPr>
                      <w:sz w:val="22"/>
                    </w:rPr>
                    <w:t>1</w:t>
                  </w:r>
                  <w:r>
                    <w:rPr>
                      <w:sz w:val="22"/>
                    </w:rPr>
                    <w:t>个月</w:t>
                  </w:r>
                </w:p>
              </w:tc>
            </w:tr>
            <w:tr>
              <w:tc>
                <w:tcPr>
                  <w:tcW w:type="dxa" w:w="1188"/>
                  <w:vMerge/>
                  <w:tcBorders>
                    <w:top w:val="none" w:color="000000" w:sz="4"/>
                    <w:left w:val="single" w:color="000000" w:sz="4"/>
                    <w:bottom w:val="none" w:color="000000" w:sz="4"/>
                    <w:right w:val="single" w:color="000000" w:sz="4"/>
                  </w:tcBorders>
                </w:tcP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结合相关意见修改完善，形成中期完善成果，并召开专家评审会审议成果。</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约</w:t>
                  </w:r>
                  <w:r>
                    <w:rPr>
                      <w:sz w:val="22"/>
                    </w:rPr>
                    <w:t>1个月</w:t>
                  </w:r>
                </w:p>
              </w:tc>
            </w:tr>
            <w:tr>
              <w:tc>
                <w:tcPr>
                  <w:tcW w:type="dxa" w:w="118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最终成果阶段</w:t>
                  </w:r>
                </w:p>
              </w:tc>
              <w:tc>
                <w:tcPr>
                  <w:tcW w:type="dxa" w:w="34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2"/>
                    </w:rPr>
                    <w:t>推进完成全套城市设计成果，完成导则初稿。</w:t>
                  </w:r>
                </w:p>
              </w:tc>
              <w:tc>
                <w:tcPr>
                  <w:tcW w:type="dxa" w:w="9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约</w:t>
                  </w:r>
                  <w:r>
                    <w:rPr>
                      <w:sz w:val="22"/>
                    </w:rPr>
                    <w:t>1</w:t>
                  </w:r>
                  <w:r>
                    <w:rPr>
                      <w:sz w:val="22"/>
                    </w:rPr>
                    <w:t>个月</w:t>
                  </w:r>
                </w:p>
              </w:tc>
            </w:tr>
            <w:tr>
              <w:tc>
                <w:tcPr>
                  <w:tcW w:type="dxa" w:w="1188"/>
                  <w:vMerge/>
                  <w:tcBorders>
                    <w:top w:val="none" w:color="000000" w:sz="4"/>
                    <w:left w:val="single" w:color="000000" w:sz="4"/>
                    <w:bottom w:val="none" w:color="000000" w:sz="4"/>
                    <w:right w:val="single" w:color="000000" w:sz="4"/>
                  </w:tcBorders>
                </w:tcP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逐步完善全套成果，由管委会审议结题</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约</w:t>
                  </w:r>
                  <w:r>
                    <w:rPr>
                      <w:sz w:val="22"/>
                    </w:rPr>
                    <w:t>1.5个月</w:t>
                  </w:r>
                </w:p>
              </w:tc>
            </w:tr>
          </w:tbl>
          <w:p>
            <w:pPr>
              <w:pStyle w:val="null3"/>
              <w:ind w:firstLine="442"/>
            </w:pPr>
            <w:r>
              <w:rPr>
                <w:sz w:val="22"/>
                <w:b/>
              </w:rPr>
              <w:t>六、编制单位及参与技术人才要求</w:t>
            </w:r>
          </w:p>
          <w:p>
            <w:pPr>
              <w:pStyle w:val="null3"/>
              <w:ind w:firstLine="440"/>
            </w:pPr>
            <w:r>
              <w:rPr>
                <w:sz w:val="22"/>
              </w:rPr>
              <w:t>鉴于本项目条件复杂、综合性较强，允许</w:t>
            </w:r>
            <w:r>
              <w:rPr>
                <w:sz w:val="22"/>
              </w:rPr>
              <w:t>以</w:t>
            </w:r>
            <w:r>
              <w:rPr>
                <w:sz w:val="22"/>
              </w:rPr>
              <w:t>联合体形式投标（成员单位不超过</w:t>
            </w:r>
            <w:r>
              <w:rPr>
                <w:sz w:val="22"/>
              </w:rPr>
              <w:t>2家），</w:t>
            </w:r>
            <w:r>
              <w:rPr>
                <w:sz w:val="22"/>
              </w:rPr>
              <w:t>如为</w:t>
            </w:r>
            <w:r>
              <w:rPr>
                <w:sz w:val="22"/>
              </w:rPr>
              <w:t>联合体形式投标</w:t>
            </w:r>
            <w:r>
              <w:rPr>
                <w:sz w:val="22"/>
              </w:rPr>
              <w:t>，</w:t>
            </w:r>
            <w:r>
              <w:rPr>
                <w:sz w:val="22"/>
              </w:rPr>
              <w:t>投标人须提交联合体各方共同签署并加盖公章的《联合体投标协议》；独立投标人或联合体任意一方须具备城乡规划编制甲级资质，且需充分熟悉东莞市地方建设实践，具有片区综合规划、产业园区策划或导则编制类项目经验；项目负责人须为投标人本单位在职员工并具备城乡规划正高级工程师</w:t>
            </w:r>
            <w:r>
              <w:rPr>
                <w:sz w:val="22"/>
              </w:rPr>
              <w:t>及以上</w:t>
            </w:r>
            <w:r>
              <w:rPr>
                <w:sz w:val="22"/>
              </w:rPr>
              <w:t>职称，技术团队须配备至少</w:t>
            </w:r>
            <w:r>
              <w:rPr>
                <w:sz w:val="22"/>
              </w:rPr>
              <w:t>三</w:t>
            </w:r>
            <w:r>
              <w:rPr>
                <w:sz w:val="22"/>
              </w:rPr>
              <w:t>名城市规划专业副高级及以上职称人员。</w:t>
            </w:r>
          </w:p>
          <w:p>
            <w:pPr>
              <w:pStyle w:val="null3"/>
              <w:ind w:firstLine="440"/>
            </w:pPr>
            <w:r>
              <w:rPr/>
              <w:t xml:space="preserve"> </w:t>
            </w:r>
          </w:p>
          <w:p>
            <w:pPr>
              <w:pStyle w:val="null3"/>
              <w:ind w:firstLine="440"/>
            </w:pPr>
            <w:r>
              <w:rPr/>
              <w:t xml:space="preserve"> </w:t>
            </w:r>
          </w:p>
          <w:p>
            <w:pPr>
              <w:pStyle w:val="null3"/>
              <w:ind w:firstLine="440"/>
            </w:pPr>
            <w:r>
              <w:rPr/>
              <w:t xml:space="preserve"> </w:t>
            </w:r>
          </w:p>
          <w:p>
            <w:pPr>
              <w:pStyle w:val="null3"/>
              <w:ind w:firstLine="440"/>
            </w:pPr>
            <w:r>
              <w:rPr/>
              <w:t xml:space="preserve"> </w:t>
            </w:r>
          </w:p>
          <w:p>
            <w:pPr>
              <w:pStyle w:val="null3"/>
              <w:ind w:firstLine="440"/>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1.采购代理机构：本项目是指和盛咨询（广东）有限公司，负责整个采购活动的组织，依法负责编制和发布招标文件，对招标文件拥有最终的解释权，不以任何身份出任评标委员会成员。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参照国家计委[计价格[2002]1980号]文和国家发改委[发改价格[2011]534号]文及相关规定收取，按差额定率累进法计算，以中标通知书中确定的中标（成交）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开标程序温馨提示，本项目采用远程电子开标，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jc w:val="left"/>
            </w:pPr>
            <w:r>
              <w:rPr/>
              <w:t>（2）投标文件提交注意事项，纸质投标文件正本、副本，可在电子开启前邮寄或现场提交至采购代理机构处（地址：广东省东莞市南城街道元美东路6号301室；联系人：邓小姐；电话：0769－22016933）。</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“提交投标文件截止时间和开标时间”后30分钟内完成投标文件解密。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和盛咨询（广东）有限公司</w:t>
      </w:r>
      <w:r>
        <w:rPr/>
        <w:t>代收。具体操作要求详见</w:t>
      </w:r>
      <w:r>
        <w:rPr/>
        <w:t>和盛咨询（广东）有限公司</w:t>
      </w:r>
      <w:r>
        <w:rPr/>
        <w:t>有关指引，递交事宜请自行咨询</w:t>
      </w:r>
      <w:r>
        <w:rPr/>
        <w:t>和盛咨询（广东）有限公司</w:t>
      </w:r>
      <w:r>
        <w:rPr/>
        <w:t>；请各投标人在投标文件递交截止时间前按须知前附表规定的金额递交至</w:t>
      </w:r>
      <w:r>
        <w:rPr/>
        <w:t>和盛咨询（广东）有限公司</w:t>
      </w:r>
      <w:r>
        <w:rPr/>
        <w:t>，到账情况以开标时</w:t>
      </w:r>
      <w:r>
        <w:rPr/>
        <w:t>和盛咨询（广东）有限公司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邓小姐</w:t>
      </w:r>
    </w:p>
    <w:p>
      <w:pPr>
        <w:pStyle w:val="null3"/>
        <w:ind w:firstLine="480"/>
      </w:pPr>
      <w:r>
        <w:rPr/>
        <w:t>电话：</w:t>
      </w:r>
      <w:r>
        <w:rPr/>
        <w:t>0769-22016933</w:t>
      </w:r>
    </w:p>
    <w:p>
      <w:pPr>
        <w:pStyle w:val="null3"/>
        <w:ind w:firstLine="480"/>
      </w:pPr>
      <w:r>
        <w:rPr/>
        <w:t>传真：</w:t>
      </w:r>
      <w:r>
        <w:rPr/>
        <w:t>/</w:t>
      </w:r>
    </w:p>
    <w:p>
      <w:pPr>
        <w:pStyle w:val="null3"/>
        <w:ind w:firstLine="480"/>
      </w:pPr>
      <w:r>
        <w:rPr/>
        <w:t>邮箱：</w:t>
      </w:r>
      <w:r>
        <w:rPr/>
        <w:t>252400618@qq.com</w:t>
      </w:r>
    </w:p>
    <w:p>
      <w:pPr>
        <w:pStyle w:val="null3"/>
        <w:ind w:firstLine="480"/>
      </w:pPr>
      <w:r>
        <w:rPr/>
        <w:t>地址：</w:t>
      </w:r>
      <w:r>
        <w:rPr/>
        <w:t>广东省东莞市南城街道元美东路6号301室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滨海湾新区灵犀岛项目规划设计研究)：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和盛咨询（广东）有限公司</w:t>
      </w:r>
      <w:r>
        <w:rPr/>
        <w:t>统一对外发布。</w:t>
      </w:r>
    </w:p>
    <w:p>
      <w:pPr>
        <w:pStyle w:val="null3"/>
        <w:ind w:firstLine="480"/>
      </w:pPr>
      <w:r>
        <w:rPr/>
        <w:t>（2）对</w:t>
      </w:r>
      <w:r>
        <w:rPr/>
        <w:t>和盛咨询（广东）有限公司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采购包1（滨海湾新区灵犀岛项目规划设计研究）：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采购包1（滨海湾新区灵犀岛项目规划设计研究）：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资格条件承诺函》（格式详见招标公告《附件1：资格条件承诺函》）。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提供2023年度财务状况报告或2024年度财务状况报告或基本开户行出具的资信证明或《资格条件承诺函》（格式详见招标公告《附件1：资格条件承诺函》）。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按投标（响应）文件格式填报设备及专业技术能力情况或提供《资格条件承诺函》（格式详见招标公告《附件1：资格条件承诺函》）。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参照投标（报价）函相关格式承诺或提供《资格条件承诺函》（格式详见招标公告《附件1：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投标人或联合体任意一方须具备政府部门颁发的并在有效期内的《城乡规划编制资质证书》（证书等级：甲级）。</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采购包1（滨海湾新区灵犀岛项目规划设计研究）：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投标报价未超出采购预算，评审结果为通过。</w:t>
            </w:r>
          </w:p>
        </w:tc>
      </w:tr>
      <w:tr>
        <w:tc>
          <w:tcPr>
            <w:tcW w:type="dxa" w:w="890"/>
          </w:tcPr>
          <w:p>
            <w:pPr>
              <w:pStyle w:val="null3"/>
            </w:pPr>
            <w:r>
              <w:rPr/>
              <w:t>2</w:t>
            </w:r>
          </w:p>
        </w:tc>
        <w:tc>
          <w:tcPr>
            <w:tcW w:type="dxa" w:w="3178"/>
          </w:tcPr>
          <w:p>
            <w:pPr>
              <w:pStyle w:val="null3"/>
            </w:pPr>
            <w:r>
              <w:rPr/>
              <w:t>“★”号要求</w:t>
            </w:r>
          </w:p>
        </w:tc>
        <w:tc>
          <w:tcPr>
            <w:tcW w:type="dxa" w:w="4238"/>
          </w:tcPr>
          <w:p>
            <w:pPr>
              <w:pStyle w:val="null3"/>
            </w:pPr>
            <w:r>
              <w:rPr/>
              <w:t>投标文件符合招标文件中带“★”号要求的内容，评审结果为通过。</w:t>
            </w:r>
          </w:p>
        </w:tc>
      </w:tr>
      <w:tr>
        <w:tc>
          <w:tcPr>
            <w:tcW w:type="dxa" w:w="890"/>
          </w:tcPr>
          <w:p>
            <w:pPr>
              <w:pStyle w:val="null3"/>
            </w:pPr>
            <w:r>
              <w:rPr/>
              <w:t>3</w:t>
            </w:r>
          </w:p>
        </w:tc>
        <w:tc>
          <w:tcPr>
            <w:tcW w:type="dxa" w:w="3178"/>
          </w:tcPr>
          <w:p>
            <w:pPr>
              <w:pStyle w:val="null3"/>
            </w:pPr>
            <w:r>
              <w:rPr/>
              <w:t>投标文件的签署盖章</w:t>
            </w:r>
          </w:p>
        </w:tc>
        <w:tc>
          <w:tcPr>
            <w:tcW w:type="dxa" w:w="4238"/>
          </w:tcPr>
          <w:p>
            <w:pPr>
              <w:pStyle w:val="null3"/>
            </w:pPr>
            <w:r>
              <w:rPr/>
              <w:t>投标文件按招标文件要求制作签署盖章的，评审结果为通过。</w:t>
            </w:r>
          </w:p>
        </w:tc>
      </w:tr>
      <w:tr>
        <w:tc>
          <w:tcPr>
            <w:tcW w:type="dxa" w:w="890"/>
          </w:tcPr>
          <w:p>
            <w:pPr>
              <w:pStyle w:val="null3"/>
            </w:pPr>
            <w:r>
              <w:rPr/>
              <w:t>4</w:t>
            </w:r>
          </w:p>
        </w:tc>
        <w:tc>
          <w:tcPr>
            <w:tcW w:type="dxa" w:w="3178"/>
          </w:tcPr>
          <w:p>
            <w:pPr>
              <w:pStyle w:val="null3"/>
            </w:pPr>
            <w:r>
              <w:rPr/>
              <w:t>投标有效期、项目标的提供的时间及地点</w:t>
            </w:r>
          </w:p>
        </w:tc>
        <w:tc>
          <w:tcPr>
            <w:tcW w:type="dxa" w:w="4238"/>
          </w:tcPr>
          <w:p>
            <w:pPr>
              <w:pStyle w:val="null3"/>
            </w:pPr>
            <w:r>
              <w:rPr/>
              <w:t>投标有效期、项目标的提供时间及地点符合招标文件的要求，评审结果为通过。</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投标文件未出现选择性报价且投标方案是唯一方案，评审结果为通过。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投标文件不存在法律、法规和招标文件中规定的其他投标无效情形，评审结果为通过。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采购包1(滨海湾新区灵犀岛项目规划设计研究):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(10.0分)</w:t>
            </w:r>
          </w:p>
        </w:tc>
        <w:tc>
          <w:tcPr>
            <w:tcW w:type="dxa" w:w="5076"/>
          </w:tcPr>
          <w:p>
            <w:pPr>
              <w:pStyle w:val="null3"/>
              <w:jc w:val="left"/>
            </w:pPr>
            <w:r>
              <w:rPr/>
              <w:t>根据投标人对灵犀岛总体规划基本情况及本项目背景的熟悉程度，评判其能否准确把握项目定位，以及对国家、省、市相关政策和规划进行全面解读与理解：（1）投标人对项目背景和现状分析解读全面透彻，完全满足并优于采购需求的，得10分；（2）投标人对项目背景和现状分析解读比较全面透彻，基本满足采购需求的，得7分；（3）投标人对项目背景和现状分析解读不够全面透彻，部分满足采购需求的，得4分；（4）投标人对项目背景和现状分析解读不全面，不满足采购需求，得1分。（5）未提供对应方案不得分。</w:t>
            </w:r>
          </w:p>
        </w:tc>
      </w:tr>
      <w:tr>
        <w:tc>
          <w:tcPr>
            <w:tcW w:type="dxa" w:w="922"/>
            <w:gridSpan w:val="2"/>
            <w:vMerge/>
          </w:tcPr>
          <w:p/>
        </w:tc>
        <w:tc>
          <w:tcPr>
            <w:tcW w:type="dxa" w:w="2307"/>
          </w:tcPr>
          <w:p>
            <w:pPr>
              <w:pStyle w:val="null3"/>
              <w:jc w:val="left"/>
            </w:pPr>
            <w:r>
              <w:rPr/>
              <w:t>工作方案初步思路 (15.0分)</w:t>
            </w:r>
          </w:p>
        </w:tc>
        <w:tc>
          <w:tcPr>
            <w:tcW w:type="dxa" w:w="5076"/>
          </w:tcPr>
          <w:p>
            <w:pPr>
              <w:pStyle w:val="null3"/>
              <w:jc w:val="left"/>
            </w:pPr>
            <w:r>
              <w:rPr/>
              <w:t>投标人是否针对项目特点，提出清晰的工作目标；规划编制过程中运用的工作方法是否具备可操作性与针对性；工作技术路线是否清晰合理、切实可行；是否对本项目发展趋势进行准确研判，并在此基础上提出逻辑清晰的工作思路、空间方案与功能策划：（1）工作思路和方法科学合理、工作技术路线可操作性强、方案分析全面，完全满足并优于采购需求的，得15分；（2）工作思路和方法比较科学合理、工作技术路线可操作性较强、方案分析较全面，基本满足采购需求的，得11分；（3）工作措施和方法不够科学合理、工作技术路线可操作性一般、方案分析一般，部分满足采购需求的，得7分；（4）工作思路和方法不科学合理、工作技术路线不具有可操作性，不满足采购需求，得3分。（5）未提供对应方案不得分。</w:t>
            </w:r>
          </w:p>
        </w:tc>
      </w:tr>
      <w:tr>
        <w:tc>
          <w:tcPr>
            <w:tcW w:type="dxa" w:w="922"/>
            <w:gridSpan w:val="2"/>
            <w:vMerge/>
          </w:tcPr>
          <w:p/>
        </w:tc>
        <w:tc>
          <w:tcPr>
            <w:tcW w:type="dxa" w:w="2307"/>
          </w:tcPr>
          <w:p>
            <w:pPr>
              <w:pStyle w:val="null3"/>
              <w:jc w:val="left"/>
            </w:pPr>
            <w:r>
              <w:rPr/>
              <w:t>项目重点难点分析、应对措施及相关的合理化建议 (20.0分)</w:t>
            </w:r>
          </w:p>
        </w:tc>
        <w:tc>
          <w:tcPr>
            <w:tcW w:type="dxa" w:w="5076"/>
          </w:tcPr>
          <w:p>
            <w:pPr>
              <w:pStyle w:val="null3"/>
              <w:jc w:val="left"/>
            </w:pPr>
            <w:r>
              <w:rPr/>
              <w:t>根据投标人对项目现阶段的理解，评审其能否准确预判项目重难点，并针对这些重难点提出切实可行的应对措施与方案：（1）重难点分析全面深刻、对应的应对措施、方案、解决措施可行性高，完全满足并优于采购需求的，得20分；（2）难点分析比较全面深刻、对应的应对措施、方案、解决措施可行性较高，基本满足采购需求的，得15分；（3）重难点分析不够全面深刻、对应的应对措施、方案、解决措施可行性一般，部分满足采购需求的，得10分；（4）重难点分析不全面、对应的应对措施、方案、解决措施可行性差，不满足采购需求，得5分；（5）未提供对应方案不得分。</w:t>
            </w:r>
          </w:p>
        </w:tc>
      </w:tr>
      <w:tr>
        <w:tc>
          <w:tcPr>
            <w:tcW w:type="dxa" w:w="922"/>
            <w:gridSpan w:val="2"/>
            <w:vMerge/>
          </w:tcPr>
          <w:p/>
        </w:tc>
        <w:tc>
          <w:tcPr>
            <w:tcW w:type="dxa" w:w="2307"/>
          </w:tcPr>
          <w:p>
            <w:pPr>
              <w:pStyle w:val="null3"/>
              <w:jc w:val="left"/>
            </w:pPr>
            <w:r>
              <w:rPr/>
              <w:t>质量（完成时间、安全、环保等）保障措施及方案 (3.0分)</w:t>
            </w:r>
          </w:p>
        </w:tc>
        <w:tc>
          <w:tcPr>
            <w:tcW w:type="dxa" w:w="5076"/>
          </w:tcPr>
          <w:p>
            <w:pPr>
              <w:pStyle w:val="null3"/>
              <w:jc w:val="left"/>
            </w:pPr>
            <w:r>
              <w:rPr/>
              <w:t>根据投标人针对本项目提供的进度安排、各阶段工作内容、项目进度保障措施和项目质量保障措施进行综合评审：（1）进度安排、各阶段工作内容及保障措施详实且合理，完全满足并优于采购需求的，得3分；（2）进度安排、各阶段工作内容及保障措施较详实、合理，基本满足采购需求的，得2分；（3）进度安排、各阶段工作内容及保障措施不够详实、合理，部分满足采购需求的，得1分；（4）未提供对应方案不得分。</w:t>
            </w:r>
          </w:p>
        </w:tc>
      </w:tr>
      <w:tr>
        <w:tc>
          <w:tcPr>
            <w:tcW w:type="dxa" w:w="922"/>
            <w:gridSpan w:val="2"/>
            <w:vMerge/>
          </w:tcPr>
          <w:p/>
        </w:tc>
        <w:tc>
          <w:tcPr>
            <w:tcW w:type="dxa" w:w="2307"/>
          </w:tcPr>
          <w:p>
            <w:pPr>
              <w:pStyle w:val="null3"/>
              <w:jc w:val="left"/>
            </w:pPr>
            <w:r>
              <w:rPr/>
              <w:t>项目完成（服务期满）后的服务承诺 (2.0分)</w:t>
            </w:r>
          </w:p>
        </w:tc>
        <w:tc>
          <w:tcPr>
            <w:tcW w:type="dxa" w:w="5076"/>
          </w:tcPr>
          <w:p>
            <w:pPr>
              <w:pStyle w:val="null3"/>
              <w:jc w:val="left"/>
            </w:pPr>
            <w:r>
              <w:rPr/>
              <w:t>根据投标人提供的后续服务承诺（包括但不限于在项目完成后，继续提供相应的咨询服务等）进行综合评审：（1）承诺在项目完成后，提供相应的咨询服务，服务方案完善、响应迅速、可操作性强，得2分；（2）承诺在项目完成后，提供相应的咨询服务，但服务方案不够完善、响应不够迅速、可操作性不强，得1分；（3）未提供相应承诺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同类项目业绩经验 (5.0分)</w:t>
            </w:r>
          </w:p>
        </w:tc>
        <w:tc>
          <w:tcPr>
            <w:tcW w:type="dxa" w:w="5076"/>
          </w:tcPr>
          <w:p>
            <w:pPr>
              <w:pStyle w:val="null3"/>
              <w:jc w:val="left"/>
            </w:pPr>
            <w:r>
              <w:rPr/>
              <w:t>评分依据：（1）2020年1月1日至本项目投标截止时间（以合同签订时间为准），投标人具有片区科技城/产业园相关规划等相关经验的，每有一项有效业绩得0.5分，最高得3分。 （2）2020年1月1日至本项目投标截止时间（以合同签订时间为准），投标人具有产业园建筑设计的相关经验，每有一项有效业绩得0.5分，最高得2分。证明文件：提供合同或合同关键页（包括但不限于内容页、合同日期页、签章页）清晰复印件作为证明文件；对应项目合同签订时间为2020年1月1日之后；未提供或不清晰不得分。同一项目续签仅计算一次分数，不可重复得分。</w:t>
            </w:r>
          </w:p>
        </w:tc>
      </w:tr>
      <w:tr>
        <w:tc>
          <w:tcPr>
            <w:tcW w:type="dxa" w:w="922"/>
            <w:gridSpan w:val="2"/>
            <w:vMerge/>
          </w:tcPr>
          <w:p/>
        </w:tc>
        <w:tc>
          <w:tcPr>
            <w:tcW w:type="dxa" w:w="2307"/>
          </w:tcPr>
          <w:p>
            <w:pPr>
              <w:pStyle w:val="null3"/>
              <w:jc w:val="left"/>
            </w:pPr>
            <w:r>
              <w:rPr/>
              <w:t>投标人实力 (13.0分)</w:t>
            </w:r>
          </w:p>
        </w:tc>
        <w:tc>
          <w:tcPr>
            <w:tcW w:type="dxa" w:w="5076"/>
          </w:tcPr>
          <w:p>
            <w:pPr>
              <w:pStyle w:val="null3"/>
              <w:jc w:val="left"/>
            </w:pPr>
            <w:r>
              <w:rPr/>
              <w:t>评分依据：投标人2020年1月1日至投标截止前（以获奖证书颁发时间为准）至今参与的项目获得国家级城乡规划相关奖项的，每提供一个得1分，省级城乡规划相关奖项的，每提供一个得0.5分，累计最高13分，提供获奖项目不得超过13个。国家级奖项指奖项颁发单位为国家政府行政主管部门或全国性行业协会、学会。证明文件：须提供项目获奖证书的扫描件，获奖时间以证书颁发日期为准。</w:t>
            </w:r>
          </w:p>
        </w:tc>
      </w:tr>
      <w:tr>
        <w:tc>
          <w:tcPr>
            <w:tcW w:type="dxa" w:w="922"/>
            <w:gridSpan w:val="2"/>
            <w:vMerge/>
          </w:tcPr>
          <w:p/>
        </w:tc>
        <w:tc>
          <w:tcPr>
            <w:tcW w:type="dxa" w:w="2307"/>
          </w:tcPr>
          <w:p>
            <w:pPr>
              <w:pStyle w:val="null3"/>
              <w:jc w:val="left"/>
            </w:pPr>
            <w:r>
              <w:rPr/>
              <w:t>项目负责人（仅1人） (7.0分)</w:t>
            </w:r>
          </w:p>
        </w:tc>
        <w:tc>
          <w:tcPr>
            <w:tcW w:type="dxa" w:w="5076"/>
          </w:tcPr>
          <w:p>
            <w:pPr>
              <w:pStyle w:val="null3"/>
              <w:jc w:val="left"/>
            </w:pPr>
            <w:r>
              <w:rPr/>
              <w:t>评分依据：1.项目负责人必须是投标人自有员工，具备城乡规划正高级（原教授级）工程师职称的，得2分，城乡规划副高级工程师职称，得1分，其他不得分；最高得2分。2. 至今参与的项目获得国家级城乡规划相关奖项的，每提供一个得1分，累计最高5分。注：国家级奖项指奖项颁发单位为国务院（或其直接所属的行政机关）或全国性协会（学会）；省级奖项指奖项颁发单位为省（自治区、直辖市）人民政府（或其直接所属的行政机关），或省级（自治区、直辖市）协会（学会）。证明文件：1.要求提供通过投标人购买的项目负责人近3个月中任意1个月的社保证明（如企业成立不足1个月的，提供相关材料说明亦视为满足），如为退休返聘人员提供退休证明和聘用合同亦视为符合、相关职称证书、获奖证书（体现人员名称，如奖项证书无法体现人员名称，还需同时提供项目合同或合同关键页,包括但不限于合同封面、合作内容、双方盖章页等，体现人员名称）作为得分依据。由行业协会颁发的获奖证书，还需提供该行业协会在全国社会组织信用信息公示平台（试运行）（http://chinanpo.mca.gov.cn）已合法登记且状态正常的截图，否则不予认可，视为无效证书；2.以上资料均要求提供扫描件；3.社保证明资料应当至少包含医疗保险，证明资料可为社保收缴部门盖章证明资料、社保窗口打印资料或社保官网截图。</w:t>
            </w:r>
          </w:p>
        </w:tc>
      </w:tr>
      <w:tr>
        <w:tc>
          <w:tcPr>
            <w:tcW w:type="dxa" w:w="922"/>
            <w:gridSpan w:val="2"/>
            <w:vMerge/>
          </w:tcPr>
          <w:p/>
        </w:tc>
        <w:tc>
          <w:tcPr>
            <w:tcW w:type="dxa" w:w="2307"/>
          </w:tcPr>
          <w:p>
            <w:pPr>
              <w:pStyle w:val="null3"/>
              <w:jc w:val="left"/>
            </w:pPr>
            <w:r>
              <w:rPr/>
              <w:t>项目技术团队构成（不含项目负责人） (5.0分)</w:t>
            </w:r>
          </w:p>
        </w:tc>
        <w:tc>
          <w:tcPr>
            <w:tcW w:type="dxa" w:w="5076"/>
          </w:tcPr>
          <w:p>
            <w:pPr>
              <w:pStyle w:val="null3"/>
              <w:jc w:val="left"/>
            </w:pPr>
            <w:r>
              <w:rPr/>
              <w:t>评分依据：1.拟投入本项目的团队人员（不含项目负责人）具有城市（乡）规划、建筑、景观、交通、市政相关类型专业高级（含副高级）或以上职称的，其中每类专业至少1人，每提供1人得0.5分，本项最高可得2.5分；2.拟投入本项目的团队人员（不含项目负责人）具有注册规划师或一级注册建筑师相关执业资格的，每提供1人得0.5分，本项最高得2.5分；证明文件：1.要求提供通过投标人购买的项目主要团队成员（主要技术人员）近3个月中任意1个月的社保证明（如企业成立不足1个月的，提供相关材料说明亦视为满足），如为退休返聘人员提供退休证明和聘用合同亦视为符合、相关证书作为得分依据。2. 同一人员多个证书只可计1次分；3.以上资料均要求提供扫描件；4.社保证明资料应当至少包含医疗保险，证明资料可为社保收缴部门盖章证明资料、社保窗口打印资料或社保官网截图。</w:t>
            </w:r>
          </w:p>
        </w:tc>
      </w:tr>
      <w:tr>
        <w:tc>
          <w:tcPr>
            <w:tcW w:type="dxa" w:w="922"/>
            <w:gridSpan w:val="2"/>
          </w:tcPr>
          <w:p>
            <w:pPr>
              <w:pStyle w:val="null3"/>
              <w:jc w:val="center"/>
            </w:pPr>
            <w:r>
              <w:rPr/>
              <w:t>投标报价</w:t>
            </w:r>
          </w:p>
        </w:tc>
        <w:tc>
          <w:tcPr>
            <w:tcW w:type="dxa" w:w="2307"/>
          </w:tcPr>
          <w:p>
            <w:pPr>
              <w:pStyle w:val="null3"/>
              <w:jc w:val="left"/>
            </w:pPr>
            <w:r>
              <w:rPr/>
              <w:t>投标价格得分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ind w:firstLine="440"/>
        <w:jc w:val="both"/>
      </w:pPr>
      <w:r>
        <w:rPr>
          <w:sz w:val="22"/>
        </w:rPr>
        <w:t>受甲方委托，</w:t>
      </w:r>
      <w:r>
        <w:rPr>
          <w:sz w:val="22"/>
          <w:u w:val="single"/>
        </w:rPr>
        <w:t xml:space="preserve">           </w:t>
      </w:r>
      <w:r>
        <w:rPr>
          <w:sz w:val="22"/>
          <w:u w:val="single"/>
        </w:rPr>
        <w:t>(采购代理机构)</w:t>
      </w:r>
      <w:r>
        <w:rPr>
          <w:sz w:val="22"/>
        </w:rPr>
        <w:t>组织对</w:t>
      </w:r>
      <w:r>
        <w:rPr>
          <w:sz w:val="22"/>
          <w:u w:val="single"/>
        </w:rPr>
        <w:t xml:space="preserve">         </w:t>
      </w:r>
      <w:r>
        <w:rPr>
          <w:sz w:val="22"/>
          <w:u w:val="single"/>
        </w:rPr>
        <w:t>滨海湾新区灵犀岛项目规划设计研究</w:t>
      </w:r>
      <w:r>
        <w:rPr>
          <w:sz w:val="22"/>
        </w:rPr>
        <w:t>采购项目（项目编号为</w:t>
      </w:r>
      <w:r>
        <w:rPr>
          <w:u w:val="single"/>
        </w:rPr>
        <w:t xml:space="preserve">            </w:t>
      </w:r>
      <w:r>
        <w:rPr>
          <w:sz w:val="22"/>
        </w:rPr>
        <w:t>）进行采购，于</w:t>
      </w:r>
      <w:r>
        <w:rPr>
          <w:u w:val="single"/>
        </w:rPr>
        <w:t xml:space="preserve">     </w:t>
      </w:r>
      <w:r>
        <w:rPr>
          <w:sz w:val="22"/>
        </w:rPr>
        <w:t>年</w:t>
      </w:r>
      <w:r>
        <w:rPr>
          <w:u w:val="single"/>
        </w:rPr>
        <w:t xml:space="preserve">  </w:t>
      </w:r>
      <w:r>
        <w:rPr>
          <w:sz w:val="22"/>
        </w:rPr>
        <w:t>月</w:t>
      </w:r>
      <w:r>
        <w:rPr>
          <w:u w:val="single"/>
        </w:rPr>
        <w:t xml:space="preserve">  </w:t>
      </w:r>
      <w:r>
        <w:rPr>
          <w:sz w:val="22"/>
        </w:rPr>
        <w:t>日通过公开招标，经评标委员会评定乙方</w:t>
      </w:r>
      <w:r>
        <w:rPr>
          <w:u w:val="single"/>
        </w:rPr>
        <w:t xml:space="preserve">                       </w:t>
      </w:r>
      <w:r>
        <w:rPr>
          <w:sz w:val="22"/>
        </w:rPr>
        <w:t>为中标供应商。为了保护甲、乙双方合法权益，根据《中华人民共和国政府采购法》及其实施条例、《中华人民共和国民法典》，在平等自愿的基础上，按照下面的条款和条件，签署本合同。</w:t>
      </w:r>
    </w:p>
    <w:p>
      <w:pPr>
        <w:pStyle w:val="null3"/>
        <w:ind w:firstLine="442"/>
        <w:jc w:val="both"/>
      </w:pPr>
      <w:r>
        <w:rPr>
          <w:sz w:val="22"/>
          <w:b/>
        </w:rPr>
        <w:t>第一条合同项目</w:t>
      </w:r>
    </w:p>
    <w:p>
      <w:pPr>
        <w:pStyle w:val="null3"/>
        <w:ind w:firstLine="420"/>
        <w:jc w:val="both"/>
      </w:pPr>
      <w:r>
        <w:rPr>
          <w:sz w:val="22"/>
        </w:rPr>
        <w:t>（一）</w:t>
      </w:r>
      <w:r>
        <w:rPr>
          <w:sz w:val="22"/>
        </w:rPr>
        <w:t>项目名称：</w:t>
      </w:r>
      <w:r>
        <w:rPr>
          <w:u w:val="single"/>
        </w:rPr>
        <w:t xml:space="preserve">                              </w:t>
      </w:r>
      <w:r>
        <w:rPr>
          <w:sz w:val="22"/>
        </w:rPr>
        <w:t>；</w:t>
      </w:r>
    </w:p>
    <w:p>
      <w:pPr>
        <w:pStyle w:val="null3"/>
        <w:ind w:firstLine="420"/>
        <w:jc w:val="both"/>
      </w:pPr>
      <w:r>
        <w:rPr>
          <w:sz w:val="22"/>
        </w:rPr>
        <w:t>（二）</w:t>
      </w:r>
      <w:r>
        <w:rPr>
          <w:sz w:val="22"/>
        </w:rPr>
        <w:t>项目编号：</w:t>
      </w:r>
      <w:r>
        <w:rPr>
          <w:u w:val="single"/>
        </w:rPr>
        <w:t xml:space="preserve">                   </w:t>
      </w:r>
      <w:r>
        <w:rPr>
          <w:sz w:val="22"/>
        </w:rPr>
        <w:t>。</w:t>
      </w:r>
    </w:p>
    <w:p>
      <w:pPr>
        <w:pStyle w:val="null3"/>
        <w:ind w:firstLine="442"/>
        <w:jc w:val="both"/>
      </w:pPr>
      <w:r>
        <w:rPr>
          <w:sz w:val="22"/>
          <w:b/>
        </w:rPr>
        <w:t>第二条合同组成</w:t>
      </w:r>
    </w:p>
    <w:p>
      <w:pPr>
        <w:pStyle w:val="null3"/>
        <w:ind w:firstLine="440"/>
        <w:jc w:val="both"/>
      </w:pPr>
      <w:r>
        <w:rPr>
          <w:sz w:val="22"/>
        </w:rPr>
        <w:t>合同文件组成内容包括：本合同书</w:t>
      </w:r>
      <w:r>
        <w:rPr>
          <w:sz w:val="22"/>
        </w:rPr>
        <w:t>、中标通知书、投标文件（含澄清内容）、招标文件（含招标文件澄清通知）等。</w:t>
      </w:r>
    </w:p>
    <w:p>
      <w:pPr>
        <w:pStyle w:val="null3"/>
        <w:ind w:firstLine="442"/>
        <w:jc w:val="both"/>
      </w:pPr>
      <w:r>
        <w:rPr>
          <w:sz w:val="22"/>
          <w:b/>
        </w:rPr>
        <w:t>第三条服务内容、标准及要求</w:t>
      </w:r>
    </w:p>
    <w:p>
      <w:pPr>
        <w:pStyle w:val="null3"/>
        <w:ind w:firstLine="420"/>
        <w:jc w:val="both"/>
      </w:pPr>
      <w:r>
        <w:rPr>
          <w:sz w:val="22"/>
        </w:rPr>
        <w:t>（一）</w:t>
      </w:r>
      <w:r>
        <w:rPr>
          <w:sz w:val="22"/>
          <w:shd w:fill="FFFFFF" w:val="clear"/>
        </w:rPr>
        <w:t>服务内容：</w:t>
      </w:r>
      <w:r>
        <w:rPr>
          <w:sz w:val="22"/>
          <w:u w:val="single"/>
          <w:shd w:fill="FFFFFF" w:val="clear"/>
        </w:rPr>
        <w:t xml:space="preserve">                                                              </w:t>
      </w:r>
      <w:r>
        <w:rPr>
          <w:sz w:val="22"/>
          <w:u w:val="single"/>
          <w:shd w:fill="FFFFFF" w:val="clear"/>
        </w:rPr>
        <w:t>。</w:t>
      </w:r>
    </w:p>
    <w:p>
      <w:pPr>
        <w:pStyle w:val="null3"/>
        <w:ind w:firstLine="420"/>
        <w:jc w:val="both"/>
      </w:pPr>
      <w:r>
        <w:rPr>
          <w:sz w:val="22"/>
        </w:rPr>
        <w:t>（二）</w:t>
      </w:r>
      <w:r>
        <w:rPr>
          <w:sz w:val="22"/>
          <w:shd w:fill="FFFFFF" w:val="clear"/>
        </w:rPr>
        <w:t>服务标准：</w:t>
      </w:r>
      <w:r>
        <w:rPr>
          <w:sz w:val="22"/>
          <w:u w:val="single"/>
          <w:shd w:fill="FFFFFF" w:val="clear"/>
        </w:rPr>
        <w:t xml:space="preserve">                                                              </w:t>
      </w:r>
      <w:r>
        <w:rPr>
          <w:sz w:val="22"/>
          <w:u w:val="single"/>
          <w:shd w:fill="FFFFFF" w:val="clear"/>
        </w:rPr>
        <w:t>。</w:t>
      </w:r>
    </w:p>
    <w:p>
      <w:pPr>
        <w:pStyle w:val="null3"/>
        <w:ind w:firstLine="420"/>
        <w:jc w:val="both"/>
      </w:pPr>
      <w:r>
        <w:rPr>
          <w:sz w:val="22"/>
        </w:rPr>
        <w:t>（三）</w:t>
      </w:r>
      <w:r>
        <w:rPr>
          <w:sz w:val="22"/>
          <w:shd w:fill="FFFFFF" w:val="clear"/>
        </w:rPr>
        <w:t>服务要求：</w:t>
      </w:r>
      <w:r>
        <w:rPr>
          <w:sz w:val="22"/>
          <w:u w:val="single"/>
          <w:shd w:fill="FFFFFF" w:val="clear"/>
        </w:rPr>
        <w:t xml:space="preserve">                                                              </w:t>
      </w:r>
      <w:r>
        <w:rPr>
          <w:sz w:val="22"/>
          <w:u w:val="single"/>
          <w:shd w:fill="FFFFFF" w:val="clear"/>
        </w:rPr>
        <w:t>。</w:t>
      </w:r>
    </w:p>
    <w:p>
      <w:pPr>
        <w:pStyle w:val="null3"/>
        <w:ind w:firstLine="420"/>
        <w:jc w:val="both"/>
      </w:pPr>
      <w:r>
        <w:rPr>
          <w:sz w:val="22"/>
        </w:rPr>
        <w:t>（四）</w:t>
      </w:r>
      <w:r>
        <w:rPr>
          <w:sz w:val="22"/>
          <w:shd w:fill="FFFFFF" w:val="clear"/>
        </w:rPr>
        <w:t>具体服务内容服务标准及要求以招标文件用户需求书及乙方投标文件承诺条款及方案为准。</w:t>
      </w:r>
    </w:p>
    <w:p>
      <w:pPr>
        <w:pStyle w:val="null3"/>
        <w:ind w:firstLine="442"/>
        <w:jc w:val="both"/>
      </w:pPr>
      <w:r>
        <w:rPr>
          <w:sz w:val="22"/>
          <w:b/>
        </w:rPr>
        <w:t>第四条价格</w:t>
      </w:r>
    </w:p>
    <w:p>
      <w:pPr>
        <w:pStyle w:val="null3"/>
        <w:ind w:firstLine="420"/>
        <w:jc w:val="both"/>
      </w:pPr>
      <w:r>
        <w:rPr>
          <w:sz w:val="22"/>
        </w:rPr>
        <w:t>（一）</w:t>
      </w:r>
      <w:r>
        <w:rPr>
          <w:sz w:val="22"/>
        </w:rPr>
        <w:t>合同</w:t>
      </w:r>
      <w:r>
        <w:rPr>
          <w:sz w:val="22"/>
        </w:rPr>
        <w:t>含税</w:t>
      </w:r>
      <w:r>
        <w:rPr>
          <w:sz w:val="22"/>
        </w:rPr>
        <w:t>总价：（人民币）大写</w:t>
      </w:r>
      <w:r>
        <w:rPr>
          <w:u w:val="single"/>
        </w:rPr>
        <w:t xml:space="preserve">         </w:t>
      </w:r>
      <w:r>
        <w:rPr>
          <w:sz w:val="22"/>
        </w:rPr>
        <w:t>（</w:t>
      </w:r>
      <w:r>
        <w:rPr>
          <w:sz w:val="22"/>
        </w:rPr>
        <w:t>¥</w:t>
      </w:r>
      <w:r>
        <w:rPr>
          <w:u w:val="single"/>
        </w:rPr>
        <w:t xml:space="preserve">               </w:t>
      </w:r>
      <w:r>
        <w:rPr>
          <w:sz w:val="22"/>
        </w:rPr>
        <w:t>）</w:t>
      </w:r>
    </w:p>
    <w:p>
      <w:pPr>
        <w:pStyle w:val="null3"/>
        <w:ind w:firstLine="420"/>
        <w:jc w:val="both"/>
      </w:pPr>
      <w:r>
        <w:rPr>
          <w:sz w:val="22"/>
        </w:rPr>
        <w:t>（二）</w:t>
      </w:r>
      <w:r>
        <w:rPr>
          <w:sz w:val="22"/>
          <w:shd w:fill="FFFFFF" w:val="clear"/>
        </w:rPr>
        <w:t>合同</w:t>
      </w:r>
      <w:r>
        <w:rPr>
          <w:sz w:val="22"/>
          <w:shd w:fill="FFFFFF" w:val="clear"/>
        </w:rPr>
        <w:t>含税</w:t>
      </w:r>
      <w:r>
        <w:rPr>
          <w:sz w:val="22"/>
          <w:shd w:fill="FFFFFF" w:val="clear"/>
        </w:rPr>
        <w:t>总价包含：</w:t>
      </w:r>
      <w:r>
        <w:rPr>
          <w:sz w:val="22"/>
          <w:u w:val="single"/>
        </w:rPr>
        <w:t xml:space="preserve"> </w:t>
      </w:r>
      <w:r>
        <w:rPr>
          <w:sz w:val="22"/>
          <w:u w:val="single"/>
        </w:rPr>
        <w:t>一切与本技术服务工作实施内容相关的费用，包括且不限于在工作中所发生的其他各种因素的直接费、间接费、利润、税金及其他税费、人员保险费、全额含税发票、合同实施过程中的应预见和不可预见费用等</w:t>
      </w:r>
      <w:r>
        <w:rPr>
          <w:sz w:val="22"/>
          <w:u w:val="single"/>
        </w:rPr>
        <w:t>，除甲、乙双方另有约定外，甲方无需向乙方支付其他费用</w:t>
      </w:r>
      <w:r>
        <w:rPr>
          <w:u w:val="single"/>
        </w:rPr>
        <w:t xml:space="preserve">  </w:t>
      </w:r>
      <w:r>
        <w:rPr>
          <w:sz w:val="22"/>
          <w:shd w:fill="FFFFFF" w:val="clear"/>
        </w:rPr>
        <w:t>。</w:t>
      </w:r>
    </w:p>
    <w:p>
      <w:pPr>
        <w:pStyle w:val="null3"/>
        <w:ind w:firstLine="442"/>
        <w:jc w:val="both"/>
      </w:pPr>
      <w:r>
        <w:rPr>
          <w:sz w:val="22"/>
          <w:b/>
        </w:rPr>
        <w:t>第五条服务期限及地点</w:t>
      </w:r>
    </w:p>
    <w:p>
      <w:pPr>
        <w:pStyle w:val="null3"/>
        <w:ind w:firstLine="420"/>
        <w:jc w:val="both"/>
      </w:pPr>
      <w:r>
        <w:rPr>
          <w:sz w:val="22"/>
        </w:rPr>
        <w:t>（一）</w:t>
      </w:r>
      <w:r>
        <w:rPr>
          <w:sz w:val="22"/>
        </w:rPr>
        <w:t>服务期：</w:t>
      </w:r>
      <w:r>
        <w:rPr>
          <w:sz w:val="22"/>
        </w:rPr>
        <w:t xml:space="preserve">  </w:t>
      </w:r>
      <w:r>
        <w:rPr>
          <w:sz w:val="22"/>
        </w:rPr>
        <w:t>年，合同生效之日自</w:t>
      </w:r>
      <w:r>
        <w:rPr>
          <w:sz w:val="22"/>
        </w:rPr>
        <w:t xml:space="preserve">       </w:t>
      </w:r>
      <w:r>
        <w:rPr>
          <w:sz w:val="22"/>
        </w:rPr>
        <w:t>年</w:t>
      </w:r>
      <w:r>
        <w:rPr>
          <w:sz w:val="22"/>
        </w:rPr>
        <w:t xml:space="preserve">  </w:t>
      </w:r>
      <w:r>
        <w:rPr>
          <w:sz w:val="22"/>
        </w:rPr>
        <w:t>月</w:t>
      </w:r>
      <w:r>
        <w:rPr>
          <w:sz w:val="22"/>
        </w:rPr>
        <w:t xml:space="preserve">  </w:t>
      </w:r>
      <w:r>
        <w:rPr>
          <w:sz w:val="22"/>
        </w:rPr>
        <w:t>日至</w:t>
      </w:r>
      <w:r>
        <w:rPr>
          <w:sz w:val="22"/>
        </w:rPr>
        <w:t xml:space="preserve">     </w:t>
      </w:r>
      <w:r>
        <w:rPr>
          <w:sz w:val="22"/>
        </w:rPr>
        <w:t>年</w:t>
      </w:r>
      <w:r>
        <w:rPr>
          <w:sz w:val="22"/>
        </w:rPr>
        <w:t xml:space="preserve">  </w:t>
      </w:r>
      <w:r>
        <w:rPr>
          <w:sz w:val="22"/>
        </w:rPr>
        <w:t>月</w:t>
      </w:r>
      <w:r>
        <w:rPr>
          <w:sz w:val="22"/>
        </w:rPr>
        <w:t xml:space="preserve">  </w:t>
      </w:r>
      <w:r>
        <w:rPr>
          <w:sz w:val="22"/>
        </w:rPr>
        <w:t>日止。</w:t>
      </w:r>
    </w:p>
    <w:p>
      <w:pPr>
        <w:pStyle w:val="null3"/>
        <w:ind w:firstLine="420"/>
        <w:jc w:val="both"/>
      </w:pPr>
      <w:r>
        <w:rPr>
          <w:sz w:val="22"/>
        </w:rPr>
        <w:t>（二）</w:t>
      </w:r>
      <w:r>
        <w:rPr>
          <w:sz w:val="22"/>
        </w:rPr>
        <w:t>服务地点：</w:t>
      </w:r>
      <w:r>
        <w:rPr>
          <w:sz w:val="22"/>
        </w:rPr>
        <w:t xml:space="preserve">              </w:t>
      </w:r>
      <w:r>
        <w:rPr>
          <w:sz w:val="22"/>
        </w:rPr>
        <w:t>或甲方指定地点。</w:t>
      </w:r>
    </w:p>
    <w:p>
      <w:pPr>
        <w:pStyle w:val="null3"/>
        <w:ind w:firstLine="442"/>
        <w:jc w:val="both"/>
      </w:pPr>
      <w:r>
        <w:rPr>
          <w:sz w:val="22"/>
          <w:b/>
        </w:rPr>
        <w:t>第六条付款方式</w:t>
      </w:r>
    </w:p>
    <w:p>
      <w:pPr>
        <w:pStyle w:val="null3"/>
        <w:ind w:firstLine="480"/>
        <w:jc w:val="both"/>
      </w:pPr>
      <w:r>
        <w:rPr>
          <w:sz w:val="22"/>
        </w:rPr>
        <w:t>（</w:t>
      </w:r>
      <w:r>
        <w:rPr>
          <w:sz w:val="22"/>
        </w:rPr>
        <w:t>一</w:t>
      </w:r>
      <w:r>
        <w:rPr>
          <w:sz w:val="22"/>
        </w:rPr>
        <w:t>）</w:t>
      </w:r>
      <w:r>
        <w:rPr>
          <w:sz w:val="22"/>
        </w:rPr>
        <w:t>本项目付款分为四期支付：</w:t>
      </w:r>
    </w:p>
    <w:p>
      <w:pPr>
        <w:pStyle w:val="null3"/>
        <w:ind w:firstLine="480"/>
        <w:jc w:val="both"/>
      </w:pPr>
      <w:r>
        <w:rPr>
          <w:sz w:val="22"/>
        </w:rPr>
        <w:t>1期：支付比例20%，签订合同之日起，</w:t>
      </w:r>
      <w:r>
        <w:rPr>
          <w:sz w:val="22"/>
        </w:rPr>
        <w:t>乙方按甲方要求提交完整有效的请款资料后</w:t>
      </w:r>
      <w:r>
        <w:rPr>
          <w:sz w:val="22"/>
        </w:rPr>
        <w:t>15个工作日内，甲方向乙方支付合同款的20%；</w:t>
      </w:r>
    </w:p>
    <w:p>
      <w:pPr>
        <w:pStyle w:val="null3"/>
        <w:ind w:firstLine="480"/>
        <w:jc w:val="both"/>
      </w:pPr>
      <w:r>
        <w:rPr>
          <w:sz w:val="22"/>
        </w:rPr>
        <w:t>2期：支付比例30%，提交中期成果并经管委会主要领导审议通过</w:t>
      </w:r>
      <w:r>
        <w:rPr>
          <w:sz w:val="22"/>
        </w:rPr>
        <w:t>，</w:t>
      </w:r>
      <w:r>
        <w:rPr>
          <w:sz w:val="22"/>
        </w:rPr>
        <w:t>乙方按甲方要求提交完整有效的请款资料后</w:t>
      </w:r>
      <w:r>
        <w:rPr>
          <w:sz w:val="22"/>
        </w:rPr>
        <w:t>15个工作日内，甲方向乙方支付合同款的30%；</w:t>
      </w:r>
    </w:p>
    <w:p>
      <w:pPr>
        <w:pStyle w:val="null3"/>
        <w:ind w:firstLine="480"/>
        <w:jc w:val="both"/>
      </w:pPr>
      <w:r>
        <w:rPr>
          <w:sz w:val="22"/>
        </w:rPr>
        <w:t>3期：支付比例20%，完善中期成果并经专家评审会审议通过</w:t>
      </w:r>
      <w:r>
        <w:rPr>
          <w:sz w:val="22"/>
        </w:rPr>
        <w:t>，</w:t>
      </w:r>
      <w:r>
        <w:rPr>
          <w:sz w:val="22"/>
        </w:rPr>
        <w:t>乙方按甲方要求提交完整有效的请款资料后</w:t>
      </w:r>
      <w:r>
        <w:rPr>
          <w:sz w:val="22"/>
        </w:rPr>
        <w:t>15个工作日内，甲方向乙方支付合同款的20%；</w:t>
      </w:r>
    </w:p>
    <w:p>
      <w:pPr>
        <w:pStyle w:val="null3"/>
        <w:ind w:firstLine="480"/>
        <w:jc w:val="both"/>
      </w:pPr>
      <w:r>
        <w:rPr>
          <w:sz w:val="22"/>
        </w:rPr>
        <w:t>4期：支付比例30%，提交终期成果并经管委会城建领导小组会议审议通过</w:t>
      </w:r>
      <w:r>
        <w:rPr>
          <w:sz w:val="22"/>
        </w:rPr>
        <w:t>，</w:t>
      </w:r>
      <w:r>
        <w:rPr>
          <w:sz w:val="22"/>
        </w:rPr>
        <w:t>乙方按甲方要求提交完整有效的请款资料后</w:t>
      </w:r>
      <w:r>
        <w:rPr>
          <w:sz w:val="22"/>
        </w:rPr>
        <w:t>15个工作日内，甲方向乙方支付合同款的30%。</w:t>
      </w:r>
    </w:p>
    <w:p>
      <w:pPr>
        <w:pStyle w:val="null3"/>
        <w:ind w:firstLine="480"/>
        <w:jc w:val="both"/>
      </w:pPr>
      <w:r>
        <w:rPr>
          <w:sz w:val="22"/>
        </w:rPr>
        <w:t>（</w:t>
      </w:r>
      <w:r>
        <w:rPr>
          <w:sz w:val="22"/>
        </w:rPr>
        <w:t>二</w:t>
      </w:r>
      <w:r>
        <w:rPr>
          <w:sz w:val="22"/>
        </w:rPr>
        <w:t>）乙方收款银行账户</w:t>
      </w:r>
    </w:p>
    <w:p>
      <w:pPr>
        <w:pStyle w:val="null3"/>
        <w:ind w:firstLine="480"/>
        <w:jc w:val="both"/>
      </w:pPr>
      <w:r>
        <w:rPr>
          <w:sz w:val="22"/>
        </w:rPr>
        <w:t>乙方：</w:t>
      </w:r>
    </w:p>
    <w:p>
      <w:pPr>
        <w:pStyle w:val="null3"/>
        <w:ind w:firstLine="480"/>
        <w:jc w:val="both"/>
      </w:pPr>
      <w:r>
        <w:rPr>
          <w:sz w:val="22"/>
        </w:rPr>
        <w:t>开户银行：</w:t>
      </w:r>
    </w:p>
    <w:p>
      <w:pPr>
        <w:pStyle w:val="null3"/>
        <w:ind w:firstLine="480"/>
        <w:jc w:val="both"/>
      </w:pPr>
      <w:r>
        <w:rPr>
          <w:sz w:val="22"/>
        </w:rPr>
        <w:t>开户地址：</w:t>
      </w:r>
    </w:p>
    <w:p>
      <w:pPr>
        <w:pStyle w:val="null3"/>
        <w:ind w:firstLine="480"/>
        <w:jc w:val="both"/>
      </w:pPr>
      <w:r>
        <w:rPr>
          <w:sz w:val="22"/>
        </w:rPr>
        <w:t>开户账号：</w:t>
      </w:r>
    </w:p>
    <w:p>
      <w:pPr>
        <w:pStyle w:val="null3"/>
        <w:ind w:firstLine="480"/>
        <w:jc w:val="both"/>
      </w:pPr>
      <w:r>
        <w:rPr>
          <w:sz w:val="22"/>
        </w:rPr>
        <w:t>甲方必须依据本合同乙方指定的收款银行账户付款，方为有效支付。付款前需乙方提供相应的请款文件。乙方指定的收款银行账户变更时，以乙方书面变更函为准。</w:t>
      </w:r>
    </w:p>
    <w:p>
      <w:pPr>
        <w:pStyle w:val="null3"/>
        <w:ind w:firstLine="480"/>
        <w:jc w:val="both"/>
      </w:pPr>
      <w:r>
        <w:rPr>
          <w:sz w:val="22"/>
        </w:rPr>
        <w:t>（三）其他</w:t>
      </w:r>
    </w:p>
    <w:p>
      <w:pPr>
        <w:pStyle w:val="null3"/>
        <w:ind w:firstLine="480"/>
        <w:jc w:val="both"/>
      </w:pPr>
      <w:r>
        <w:rPr>
          <w:sz w:val="22"/>
        </w:rPr>
        <w:t>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pStyle w:val="null3"/>
        <w:ind w:firstLine="442"/>
        <w:jc w:val="both"/>
      </w:pPr>
      <w:r>
        <w:rPr>
          <w:sz w:val="22"/>
          <w:b/>
        </w:rPr>
        <w:t>第七条验收方式</w:t>
      </w:r>
    </w:p>
    <w:p>
      <w:pPr>
        <w:pStyle w:val="null3"/>
        <w:ind w:firstLine="420"/>
        <w:jc w:val="both"/>
      </w:pPr>
      <w:r>
        <w:rPr>
          <w:sz w:val="22"/>
        </w:rPr>
        <w:t>（一）</w:t>
      </w:r>
      <w:r>
        <w:rPr>
          <w:sz w:val="22"/>
        </w:rPr>
        <w:t>甲方依据招标文件及合同的有关规定进行验收，乙方提供的服务应符合国家、省相关要求。</w:t>
      </w:r>
    </w:p>
    <w:p>
      <w:pPr>
        <w:pStyle w:val="null3"/>
        <w:ind w:firstLine="420"/>
        <w:jc w:val="both"/>
      </w:pPr>
      <w:r>
        <w:rPr>
          <w:sz w:val="22"/>
        </w:rPr>
        <w:t>（二）</w:t>
      </w:r>
      <w:r>
        <w:rPr>
          <w:sz w:val="22"/>
        </w:rPr>
        <w:t>乙方需积极配合验收工作的进行，提供人员、资料等便于验收进行的条件支持。</w:t>
      </w:r>
    </w:p>
    <w:p>
      <w:pPr>
        <w:pStyle w:val="null3"/>
        <w:ind w:firstLine="420"/>
        <w:jc w:val="both"/>
      </w:pPr>
      <w:r>
        <w:rPr>
          <w:sz w:val="22"/>
        </w:rPr>
        <w:t>（三）</w:t>
      </w:r>
      <w:r>
        <w:rPr>
          <w:sz w:val="22"/>
        </w:rPr>
        <w:t>对验收不合格的部分，乙方应在甲方规定的时间内及时整改完善直至合格，乙方采取整改措施导致逾期提交成果文件的，乙方应向甲方承担逾期责任</w:t>
      </w:r>
      <w:r>
        <w:rPr>
          <w:sz w:val="22"/>
        </w:rPr>
        <w:t>，</w:t>
      </w:r>
      <w:r>
        <w:rPr>
          <w:sz w:val="22"/>
        </w:rPr>
        <w:t>每逾期一天，应减收该研究阶段应收服务费的</w:t>
      </w:r>
      <w:r>
        <w:rPr>
          <w:sz w:val="22"/>
        </w:rPr>
        <w:t>1%，延误违约金总额不超过本合同服务费总额的10%</w:t>
      </w:r>
      <w:r>
        <w:rPr>
          <w:sz w:val="22"/>
        </w:rPr>
        <w:t>。</w:t>
      </w:r>
    </w:p>
    <w:p>
      <w:pPr>
        <w:pStyle w:val="null3"/>
        <w:ind w:left="420"/>
        <w:jc w:val="both"/>
      </w:pPr>
      <w:r>
        <w:rPr>
          <w:sz w:val="22"/>
          <w:b/>
        </w:rPr>
        <w:t>第八条</w:t>
      </w:r>
      <w:r>
        <w:rPr>
          <w:sz w:val="22"/>
          <w:b/>
        </w:rPr>
        <w:t>甲方乙方的权利和义务</w:t>
      </w:r>
    </w:p>
    <w:p>
      <w:pPr>
        <w:pStyle w:val="null3"/>
        <w:ind w:firstLine="440"/>
        <w:jc w:val="both"/>
      </w:pPr>
      <w:r>
        <w:rPr>
          <w:sz w:val="22"/>
        </w:rPr>
        <w:t>（一）</w:t>
      </w:r>
      <w:r>
        <w:rPr>
          <w:sz w:val="22"/>
        </w:rPr>
        <w:t>甲方的权利和义务</w:t>
      </w:r>
    </w:p>
    <w:p>
      <w:pPr>
        <w:pStyle w:val="null3"/>
        <w:ind w:firstLine="400"/>
        <w:jc w:val="both"/>
      </w:pPr>
      <w:r>
        <w:rPr>
          <w:sz w:val="22"/>
        </w:rPr>
        <w:t>1．</w:t>
      </w:r>
      <w:r>
        <w:rPr>
          <w:sz w:val="22"/>
        </w:rPr>
        <w:t>甲方应指定协作人员协助开展工作，积极配合乙方开展工作。</w:t>
      </w:r>
    </w:p>
    <w:p>
      <w:pPr>
        <w:pStyle w:val="null3"/>
        <w:ind w:firstLine="400"/>
        <w:jc w:val="both"/>
      </w:pPr>
      <w:r>
        <w:rPr>
          <w:sz w:val="22"/>
        </w:rPr>
        <w:t>2．</w:t>
      </w:r>
      <w:r>
        <w:rPr>
          <w:sz w:val="22"/>
        </w:rPr>
        <w:t>甲方应在合同生效后协调提供与完成本项目有关的甲方持有的必要资料。</w:t>
      </w:r>
    </w:p>
    <w:p>
      <w:pPr>
        <w:pStyle w:val="null3"/>
        <w:ind w:firstLine="400"/>
        <w:jc w:val="both"/>
      </w:pPr>
      <w:r>
        <w:rPr>
          <w:sz w:val="22"/>
        </w:rPr>
        <w:t>3．</w:t>
      </w:r>
      <w:r>
        <w:rPr>
          <w:sz w:val="22"/>
        </w:rPr>
        <w:t>甲方应按约定时间和方式支付服务费。</w:t>
      </w:r>
    </w:p>
    <w:p>
      <w:pPr>
        <w:pStyle w:val="null3"/>
        <w:ind w:firstLine="400"/>
        <w:jc w:val="both"/>
      </w:pPr>
      <w:r>
        <w:rPr>
          <w:sz w:val="22"/>
        </w:rPr>
        <w:t>4．</w:t>
      </w:r>
      <w:r>
        <w:rPr>
          <w:sz w:val="22"/>
        </w:rPr>
        <w:t>甲方有权监督、评价乙方的</w:t>
      </w:r>
      <w:r>
        <w:rPr>
          <w:sz w:val="22"/>
        </w:rPr>
        <w:t>项目进度</w:t>
      </w:r>
      <w:r>
        <w:rPr>
          <w:sz w:val="22"/>
        </w:rPr>
        <w:t>、</w:t>
      </w:r>
      <w:r>
        <w:rPr>
          <w:sz w:val="22"/>
        </w:rPr>
        <w:t>项目成果、</w:t>
      </w:r>
      <w:r>
        <w:rPr>
          <w:sz w:val="22"/>
        </w:rPr>
        <w:t>人员配备等情况，对出现的问题有权要求乙方做出说明并及时进行整改。</w:t>
      </w:r>
    </w:p>
    <w:p>
      <w:pPr>
        <w:pStyle w:val="null3"/>
        <w:ind w:firstLine="440"/>
        <w:jc w:val="both"/>
      </w:pPr>
      <w:r>
        <w:rPr>
          <w:sz w:val="22"/>
        </w:rPr>
        <w:t>（二）</w:t>
      </w:r>
      <w:r>
        <w:rPr>
          <w:sz w:val="22"/>
        </w:rPr>
        <w:t>乙方的权利和义务</w:t>
      </w:r>
    </w:p>
    <w:p>
      <w:pPr>
        <w:pStyle w:val="null3"/>
        <w:ind w:firstLine="400"/>
        <w:jc w:val="both"/>
      </w:pPr>
      <w:r>
        <w:rPr>
          <w:sz w:val="22"/>
        </w:rPr>
        <w:t>1．</w:t>
      </w:r>
      <w:r>
        <w:rPr>
          <w:sz w:val="22"/>
        </w:rPr>
        <w:t>乙方应以专业水平配合甲方实施本次项目，并按时按质完成全部工作。</w:t>
      </w:r>
    </w:p>
    <w:p>
      <w:pPr>
        <w:pStyle w:val="null3"/>
        <w:ind w:firstLine="400"/>
        <w:jc w:val="both"/>
      </w:pPr>
      <w:r>
        <w:rPr>
          <w:sz w:val="22"/>
        </w:rPr>
        <w:t>2．</w:t>
      </w:r>
      <w:r>
        <w:rPr>
          <w:sz w:val="22"/>
        </w:rPr>
        <w:t>乙方应按国家规定和合同约定的技术规范、标准进行设计，按合同第三条</w:t>
      </w:r>
      <w:r>
        <w:rPr>
          <w:sz w:val="22"/>
        </w:rPr>
        <w:t>中约定（包括但不限于</w:t>
      </w:r>
      <w:r>
        <w:rPr>
          <w:sz w:val="22"/>
        </w:rPr>
        <w:t>交付的</w:t>
      </w:r>
      <w:r>
        <w:rPr>
          <w:sz w:val="22"/>
        </w:rPr>
        <w:t>设计成果、份数、时间）</w:t>
      </w:r>
      <w:r>
        <w:rPr>
          <w:sz w:val="22"/>
        </w:rPr>
        <w:t>向甲方交付设计成果，并对提交的设计文件的质量负责。</w:t>
      </w:r>
    </w:p>
    <w:p>
      <w:pPr>
        <w:pStyle w:val="null3"/>
        <w:ind w:firstLine="400"/>
        <w:jc w:val="both"/>
      </w:pPr>
      <w:r>
        <w:rPr>
          <w:sz w:val="22"/>
        </w:rPr>
        <w:t>3．</w:t>
      </w:r>
      <w:r>
        <w:rPr>
          <w:sz w:val="22"/>
        </w:rPr>
        <w:t>乙方交付中间过程设计文件后，应按规定参加甲方组织的设计评审会议，汇报乙方方案。会后根据书面评审结论，负责对不超出本合同规定设计任务范围的调整或修改要求，做必要调整或修改。</w:t>
      </w:r>
    </w:p>
    <w:p>
      <w:pPr>
        <w:pStyle w:val="null3"/>
        <w:ind w:firstLine="400"/>
        <w:jc w:val="both"/>
      </w:pPr>
      <w:r>
        <w:rPr>
          <w:sz w:val="22"/>
        </w:rPr>
        <w:t>4．</w:t>
      </w:r>
      <w:r>
        <w:rPr>
          <w:sz w:val="22"/>
        </w:rPr>
        <w:t>乙方对设计文件出现的遗漏或错误，无条件的负责补充或修改，直至符合技术标准要求，乙方除负责采取补救措施并免收相应部分的服务费外，应根据损失的程度和责任的大小赔偿甲方经济损失，甲方有权从乙方服务费中直接扣除，扣除总额不超过本合同服务费总额的</w:t>
      </w:r>
      <w:r>
        <w:rPr>
          <w:sz w:val="22"/>
        </w:rPr>
        <w:t>30%。双方对各自责任或赔偿金额无法协商达成一致的，向当地行政主管部门申请调解。</w:t>
      </w:r>
    </w:p>
    <w:p>
      <w:pPr>
        <w:pStyle w:val="null3"/>
        <w:ind w:firstLine="400"/>
        <w:jc w:val="both"/>
      </w:pPr>
      <w:r>
        <w:rPr>
          <w:sz w:val="22"/>
        </w:rPr>
        <w:t>5．</w:t>
      </w:r>
      <w:r>
        <w:rPr>
          <w:sz w:val="22"/>
        </w:rPr>
        <w:t>乙方应保证有充足的专业资源与人力资源支持本项目运行。</w:t>
      </w:r>
    </w:p>
    <w:p>
      <w:pPr>
        <w:pStyle w:val="null3"/>
        <w:ind w:firstLine="442"/>
        <w:jc w:val="both"/>
      </w:pPr>
      <w:r>
        <w:rPr>
          <w:sz w:val="22"/>
          <w:b/>
        </w:rPr>
        <w:t>第九条</w:t>
      </w:r>
      <w:r>
        <w:rPr>
          <w:sz w:val="22"/>
          <w:b/>
        </w:rPr>
        <w:t>知识产权归属</w:t>
      </w:r>
    </w:p>
    <w:p>
      <w:pPr>
        <w:pStyle w:val="null3"/>
        <w:ind w:firstLine="480"/>
        <w:jc w:val="both"/>
      </w:pPr>
      <w:r>
        <w:rPr>
          <w:sz w:val="22"/>
        </w:rPr>
        <w:t>（一）本合同项下所有服务成果（包括乙方在合同履行过程中形成的阶段性服务成果及最终交付的服务成果）的知识产权和所有权全部归属甲方所有。乙方因申报设计研究奖项，需经甲方同意后方可使用知识产权。未经甲方书面同意，乙方不得擅自将前述服务成果以及与之相关的任何资料用于本合同之外的任何场合或者向任何第三方转让、泄露；否则，由乙方承担全部的赔偿责任。</w:t>
      </w:r>
    </w:p>
    <w:p>
      <w:pPr>
        <w:pStyle w:val="null3"/>
        <w:ind w:firstLine="480"/>
        <w:jc w:val="both"/>
      </w:pPr>
      <w:r>
        <w:rPr>
          <w:sz w:val="22"/>
        </w:rPr>
        <w:t>（二）乙方保证对其在讨论、签订、履行本合同过程中所获悉的属于甲方的且无法从公开渠道获得的文件资料及信息，甲方在讨论、签订、履行本合同过程中向乙方提供的文件资料及信息，以及乙方向甲方提交的各项服务成果等，予以严格保密并应采取相应的保密措施，保证其自身及工作人员不私自使用或向任何第三方泄露；否则，乙方承担由此给甲方造成的一切损失。无论本合同是否被撤销、变更、解除或终止，无论本合同是否生效，本合同之保密条款不受其限制而继续有效。本合同履行完毕后，就甲方提供的相关文件资料，乙方应按甲方要求全部返还甲方，不得向任何第三人泄露、移交且不得留存复印件。</w:t>
      </w:r>
    </w:p>
    <w:p>
      <w:pPr>
        <w:pStyle w:val="null3"/>
        <w:ind w:firstLine="442"/>
        <w:jc w:val="both"/>
      </w:pPr>
      <w:r>
        <w:rPr>
          <w:sz w:val="22"/>
          <w:b/>
        </w:rPr>
        <w:t>第</w:t>
      </w:r>
      <w:r>
        <w:rPr>
          <w:sz w:val="22"/>
          <w:b/>
        </w:rPr>
        <w:t>十</w:t>
      </w:r>
      <w:r>
        <w:rPr>
          <w:sz w:val="22"/>
          <w:b/>
        </w:rPr>
        <w:t>条税和关税</w:t>
      </w:r>
    </w:p>
    <w:p>
      <w:pPr>
        <w:pStyle w:val="null3"/>
        <w:ind w:firstLine="420"/>
        <w:jc w:val="both"/>
      </w:pPr>
      <w:r>
        <w:rPr>
          <w:sz w:val="22"/>
        </w:rPr>
        <w:t>（一）</w:t>
      </w:r>
      <w:r>
        <w:rPr>
          <w:sz w:val="22"/>
        </w:rPr>
        <w:t>中国政府根据现行税法对甲方征收的与本合同有关的一切税费均应由甲方承担。</w:t>
      </w:r>
    </w:p>
    <w:p>
      <w:pPr>
        <w:pStyle w:val="null3"/>
        <w:ind w:firstLine="420"/>
        <w:jc w:val="both"/>
      </w:pPr>
      <w:r>
        <w:rPr>
          <w:sz w:val="22"/>
        </w:rPr>
        <w:t>（二）</w:t>
      </w:r>
      <w:r>
        <w:rPr>
          <w:sz w:val="22"/>
        </w:rPr>
        <w:t>中国政府根据现行税法规定对乙方或其雇员征收的与本合同有关的一切税费应由乙方承担。</w:t>
      </w:r>
    </w:p>
    <w:p>
      <w:pPr>
        <w:pStyle w:val="null3"/>
        <w:ind w:firstLine="420"/>
        <w:jc w:val="both"/>
      </w:pPr>
      <w:r>
        <w:rPr>
          <w:sz w:val="22"/>
        </w:rPr>
        <w:t>（三）</w:t>
      </w:r>
      <w:r>
        <w:rPr>
          <w:sz w:val="22"/>
        </w:rPr>
        <w:t>在中国境外发生的与本合同执行有关的一切税费均应由乙方承担。</w:t>
      </w:r>
    </w:p>
    <w:p>
      <w:pPr>
        <w:pStyle w:val="null3"/>
        <w:ind w:firstLine="442"/>
        <w:jc w:val="both"/>
      </w:pPr>
      <w:r>
        <w:rPr>
          <w:sz w:val="22"/>
          <w:b/>
        </w:rPr>
        <w:t>第</w:t>
      </w:r>
      <w:r>
        <w:rPr>
          <w:sz w:val="22"/>
          <w:b/>
        </w:rPr>
        <w:t>十一</w:t>
      </w:r>
      <w:r>
        <w:rPr>
          <w:sz w:val="22"/>
          <w:b/>
        </w:rPr>
        <w:t>条其它约定</w:t>
      </w:r>
    </w:p>
    <w:p>
      <w:pPr>
        <w:pStyle w:val="null3"/>
        <w:ind w:firstLine="420"/>
        <w:jc w:val="both"/>
      </w:pPr>
      <w:r>
        <w:rPr>
          <w:sz w:val="22"/>
        </w:rPr>
        <w:t>（一）</w:t>
      </w:r>
      <w:r>
        <w:rPr>
          <w:sz w:val="22"/>
        </w:rPr>
        <w:t>严禁转包，未经甲方书面同意不得分包。</w:t>
      </w:r>
    </w:p>
    <w:p>
      <w:pPr>
        <w:pStyle w:val="null3"/>
        <w:ind w:firstLine="420"/>
        <w:jc w:val="both"/>
      </w:pPr>
      <w:r>
        <w:rPr>
          <w:sz w:val="22"/>
        </w:rPr>
        <w:t>（二）</w:t>
      </w:r>
      <w:r>
        <w:rPr>
          <w:sz w:val="22"/>
        </w:rPr>
        <w:t>乙方全部工作人员，须符合东莞市政府用工标准要求。</w:t>
      </w:r>
    </w:p>
    <w:p>
      <w:pPr>
        <w:pStyle w:val="null3"/>
        <w:ind w:firstLine="420"/>
        <w:jc w:val="both"/>
      </w:pPr>
      <w:r>
        <w:rPr>
          <w:sz w:val="22"/>
        </w:rPr>
        <w:t>（三）</w:t>
      </w:r>
      <w:r>
        <w:rPr>
          <w:sz w:val="22"/>
        </w:rPr>
        <w:t>乙方服务人员进行服务期间的过失或故意行为，造成甲方经济损失的，由乙方负责赔偿。</w:t>
      </w:r>
    </w:p>
    <w:p>
      <w:pPr>
        <w:pStyle w:val="null3"/>
        <w:ind w:firstLine="420"/>
        <w:jc w:val="both"/>
      </w:pPr>
      <w:r>
        <w:rPr>
          <w:sz w:val="22"/>
        </w:rPr>
        <w:t>（四）</w:t>
      </w:r>
      <w:r>
        <w:rPr>
          <w:sz w:val="22"/>
        </w:rPr>
        <w:t>服务人员的劳动关系隶属乙方，乙方负责服务人员的工资、节假日和超时加班补助费、社会保险、住宿、伙食等。</w:t>
      </w:r>
    </w:p>
    <w:p>
      <w:pPr>
        <w:pStyle w:val="null3"/>
        <w:ind w:firstLine="420"/>
        <w:jc w:val="both"/>
      </w:pPr>
      <w:r>
        <w:rPr>
          <w:sz w:val="22"/>
        </w:rPr>
        <w:t>（五）</w:t>
      </w:r>
      <w:r>
        <w:rPr>
          <w:sz w:val="22"/>
        </w:rPr>
        <w:t>乙方负责本项目服务人员购买因意外身故或伤残和因意外事故住院治疗保险，并负责办理一切保险赔偿手续。</w:t>
      </w:r>
    </w:p>
    <w:p>
      <w:pPr>
        <w:pStyle w:val="null3"/>
        <w:ind w:firstLine="442"/>
        <w:jc w:val="both"/>
      </w:pPr>
      <w:r>
        <w:rPr>
          <w:sz w:val="22"/>
          <w:b/>
        </w:rPr>
        <w:t>第十</w:t>
      </w:r>
      <w:r>
        <w:rPr>
          <w:sz w:val="22"/>
          <w:b/>
        </w:rPr>
        <w:t>二</w:t>
      </w:r>
      <w:r>
        <w:rPr>
          <w:sz w:val="22"/>
          <w:b/>
        </w:rPr>
        <w:t>条违约责任</w:t>
      </w:r>
    </w:p>
    <w:p>
      <w:pPr>
        <w:pStyle w:val="null3"/>
        <w:ind w:firstLine="440"/>
        <w:jc w:val="both"/>
      </w:pPr>
      <w:r>
        <w:rPr>
          <w:sz w:val="22"/>
        </w:rPr>
        <w:t>（</w:t>
      </w:r>
      <w:r>
        <w:rPr>
          <w:sz w:val="22"/>
        </w:rPr>
        <w:t>一</w:t>
      </w:r>
      <w:r>
        <w:rPr>
          <w:sz w:val="22"/>
        </w:rPr>
        <w:t>）</w:t>
      </w:r>
      <w:r>
        <w:rPr>
          <w:sz w:val="22"/>
        </w:rPr>
        <w:t>由于乙方的原因，导致双方签订的合同终止，乙方因此而遭受的损失，将由乙方独立承担，甲方对此不负任何责任，也不作任何赔偿。</w:t>
      </w:r>
      <w:r>
        <w:rPr>
          <w:sz w:val="22"/>
        </w:rPr>
        <w:t>若因乙方原因中止合同</w:t>
      </w:r>
      <w:r>
        <w:rPr>
          <w:sz w:val="22"/>
        </w:rPr>
        <w:t>，</w:t>
      </w:r>
      <w:r>
        <w:rPr>
          <w:sz w:val="22"/>
        </w:rPr>
        <w:t>乙方除承担违约金外还应退还甲方已支付费用，并承担给甲方造成的损失</w:t>
      </w:r>
      <w:r>
        <w:rPr>
          <w:sz w:val="22"/>
        </w:rPr>
        <w:t>。</w:t>
      </w:r>
    </w:p>
    <w:p>
      <w:pPr>
        <w:pStyle w:val="null3"/>
        <w:ind w:firstLine="440"/>
        <w:jc w:val="both"/>
      </w:pPr>
      <w:r>
        <w:rPr>
          <w:sz w:val="22"/>
        </w:rPr>
        <w:t>（二）由于乙方原因，延误了设计文件交付时间，每延误一天，应减收该研究阶段应收服务费的</w:t>
      </w:r>
      <w:r>
        <w:rPr>
          <w:sz w:val="22"/>
        </w:rPr>
        <w:t>1%，延误违约金总额不超过本合同服务费总额的10%。</w:t>
      </w:r>
    </w:p>
    <w:p>
      <w:pPr>
        <w:pStyle w:val="null3"/>
        <w:ind w:firstLine="440"/>
        <w:jc w:val="both"/>
      </w:pPr>
      <w:r>
        <w:rPr>
          <w:sz w:val="22"/>
        </w:rPr>
        <w:t>（三）在合同履行期间，如需乙方配合到场服务，甲方应提前</w:t>
      </w:r>
      <w:r>
        <w:rPr>
          <w:sz w:val="22"/>
        </w:rPr>
        <w:t>2天通知乙方，乙方需按甲方要求配合到场服务。如未经甲方同意，由于乙方原因未能到场，每延误一天，应减收该研究阶段应收服务费的1%，延误违约金总额不超过本合同服务费总额的10%。</w:t>
      </w:r>
    </w:p>
    <w:p>
      <w:pPr>
        <w:pStyle w:val="null3"/>
        <w:ind w:firstLine="440"/>
        <w:jc w:val="both"/>
      </w:pPr>
      <w:r>
        <w:rPr>
          <w:sz w:val="22"/>
        </w:rPr>
        <w:t>（四）在合同履行期间，甲方要求终止或解除合同，乙方已开始研究工作的，甲方应根据乙方已完成的实际工作量及对应服务费支付费用，同时，乙方应将已完成的阶段性成果移交给甲方。</w:t>
      </w:r>
    </w:p>
    <w:p>
      <w:pPr>
        <w:pStyle w:val="null3"/>
        <w:ind w:firstLine="440"/>
        <w:jc w:val="both"/>
      </w:pPr>
      <w:r>
        <w:rPr>
          <w:sz w:val="22"/>
        </w:rPr>
        <w:t>（五）本合同履行完毕前，乙方因自身原因而中止履行或终止</w:t>
      </w:r>
      <w:r>
        <w:rPr>
          <w:sz w:val="22"/>
        </w:rPr>
        <w:t>/解除本合同的，无论乙方是否发生相关工作量，本合同项下未付款项均不予支付且乙方应全额退还已收取款项（如有）；同时，甲方有权单方解除本合同，乙方应按服务费用总额的20%向甲方支付违约金。</w:t>
      </w:r>
    </w:p>
    <w:p>
      <w:pPr>
        <w:pStyle w:val="null3"/>
        <w:ind w:firstLine="440"/>
        <w:jc w:val="both"/>
      </w:pPr>
      <w:r>
        <w:rPr>
          <w:sz w:val="22"/>
        </w:rPr>
        <w:t>（六）一方未按合同履行的视为违约，违约方除按合同约定承担违约责任外，还应赔偿守约方损失，包括但不限于守约方为本合同履行而发生的支出、诉讼费</w:t>
      </w:r>
      <w:r>
        <w:rPr>
          <w:sz w:val="22"/>
        </w:rPr>
        <w:t>/仲裁费、财产保全费、财产保全担保费、公证费、评估费、鉴定费、拍卖费、查询费、律师费、差旅费、调查取证费、财务费用、向第三人支付的赔偿款/违约金/费用、向政府部门支付的罚款等。</w:t>
      </w:r>
    </w:p>
    <w:p>
      <w:pPr>
        <w:pStyle w:val="null3"/>
        <w:ind w:firstLine="442"/>
        <w:jc w:val="both"/>
      </w:pPr>
      <w:r>
        <w:rPr>
          <w:sz w:val="22"/>
          <w:b/>
        </w:rPr>
        <w:t>第十</w:t>
      </w:r>
      <w:r>
        <w:rPr>
          <w:sz w:val="22"/>
          <w:b/>
        </w:rPr>
        <w:t>三</w:t>
      </w:r>
      <w:r>
        <w:rPr>
          <w:sz w:val="22"/>
          <w:b/>
        </w:rPr>
        <w:t>条争议的解决</w:t>
      </w:r>
    </w:p>
    <w:p>
      <w:pPr>
        <w:pStyle w:val="null3"/>
        <w:ind w:firstLine="420"/>
        <w:jc w:val="both"/>
      </w:pPr>
      <w:r>
        <w:rPr>
          <w:sz w:val="22"/>
        </w:rPr>
        <w:t>（一）</w:t>
      </w:r>
      <w:r>
        <w:rPr>
          <w:sz w:val="22"/>
        </w:rPr>
        <w:t>凡与本合同有关而引起的一切争议，甲乙双方应首先通过友好协商解决，如经协商后仍不能达成协议时，任何一方可以向法院提出诉讼。</w:t>
      </w:r>
    </w:p>
    <w:p>
      <w:pPr>
        <w:pStyle w:val="null3"/>
        <w:ind w:firstLine="420"/>
        <w:jc w:val="both"/>
      </w:pPr>
      <w:r>
        <w:rPr>
          <w:sz w:val="22"/>
        </w:rPr>
        <w:t>（二）</w:t>
      </w:r>
      <w:r>
        <w:rPr>
          <w:sz w:val="22"/>
        </w:rPr>
        <w:t>本合同发生的诉讼管辖地为东莞市有管辖权的法院。</w:t>
      </w:r>
    </w:p>
    <w:p>
      <w:pPr>
        <w:pStyle w:val="null3"/>
        <w:ind w:firstLine="420"/>
        <w:jc w:val="both"/>
      </w:pPr>
      <w:r>
        <w:rPr>
          <w:sz w:val="22"/>
        </w:rPr>
        <w:t>（三）</w:t>
      </w:r>
      <w:r>
        <w:rPr>
          <w:sz w:val="22"/>
        </w:rPr>
        <w:t>在进行法院审理期间，除提交法院审理的事项外，合同其他部分仍继续履行。</w:t>
      </w:r>
    </w:p>
    <w:p>
      <w:pPr>
        <w:pStyle w:val="null3"/>
        <w:ind w:firstLine="420"/>
        <w:jc w:val="both"/>
      </w:pPr>
      <w:r>
        <w:rPr>
          <w:sz w:val="22"/>
        </w:rPr>
        <w:t>（四）</w:t>
      </w:r>
      <w:r>
        <w:rPr>
          <w:sz w:val="22"/>
        </w:rPr>
        <w:t>本合同按照中华人民共和国的法律进行解释</w:t>
      </w:r>
      <w:r>
        <w:rPr>
          <w:sz w:val="22"/>
          <w:shd w:fill="FFFFFF" w:val="clear"/>
        </w:rPr>
        <w:t>。</w:t>
      </w:r>
    </w:p>
    <w:p>
      <w:pPr>
        <w:pStyle w:val="null3"/>
        <w:ind w:firstLine="442"/>
        <w:jc w:val="both"/>
      </w:pPr>
      <w:r>
        <w:rPr>
          <w:sz w:val="22"/>
          <w:b/>
        </w:rPr>
        <w:t>第十</w:t>
      </w:r>
      <w:r>
        <w:rPr>
          <w:sz w:val="22"/>
          <w:b/>
        </w:rPr>
        <w:t>四</w:t>
      </w:r>
      <w:r>
        <w:rPr>
          <w:sz w:val="22"/>
          <w:b/>
        </w:rPr>
        <w:t>条合同生效</w:t>
      </w:r>
    </w:p>
    <w:p>
      <w:pPr>
        <w:pStyle w:val="null3"/>
        <w:ind w:firstLine="420"/>
        <w:jc w:val="both"/>
      </w:pPr>
      <w:r>
        <w:rPr>
          <w:sz w:val="22"/>
        </w:rPr>
        <w:t>（一）</w:t>
      </w:r>
      <w:r>
        <w:rPr>
          <w:sz w:val="22"/>
        </w:rPr>
        <w:t>本合同由双方法定代表人或委托代理人签字盖章后立即生效，具有同等法律效力，合同有效期随服务期结束而自然终止。</w:t>
      </w:r>
    </w:p>
    <w:p>
      <w:pPr>
        <w:pStyle w:val="null3"/>
        <w:ind w:firstLine="420"/>
        <w:jc w:val="both"/>
      </w:pPr>
      <w:r>
        <w:rPr>
          <w:sz w:val="22"/>
        </w:rPr>
        <w:t>（二）</w:t>
      </w:r>
      <w:r>
        <w:rPr>
          <w:sz w:val="22"/>
        </w:rPr>
        <w:t>本合同一式</w:t>
      </w:r>
      <w:r>
        <w:rPr>
          <w:u w:val="single"/>
        </w:rPr>
        <w:t xml:space="preserve">    </w:t>
      </w:r>
      <w:r>
        <w:rPr>
          <w:sz w:val="22"/>
        </w:rPr>
        <w:t>份，其中甲方</w:t>
      </w:r>
      <w:r>
        <w:rPr>
          <w:u w:val="single"/>
        </w:rPr>
        <w:t xml:space="preserve">    </w:t>
      </w:r>
      <w:r>
        <w:rPr>
          <w:sz w:val="22"/>
        </w:rPr>
        <w:t>份、乙方</w:t>
      </w:r>
      <w:r>
        <w:rPr>
          <w:u w:val="single"/>
        </w:rPr>
        <w:t xml:space="preserve">    </w:t>
      </w:r>
      <w:r>
        <w:rPr>
          <w:sz w:val="22"/>
        </w:rPr>
        <w:t>份，采购代理机构</w:t>
      </w:r>
      <w:r>
        <w:rPr>
          <w:sz w:val="22"/>
          <w:u w:val="single"/>
        </w:rPr>
        <w:t xml:space="preserve"> </w:t>
      </w:r>
      <w:r>
        <w:rPr>
          <w:sz w:val="22"/>
          <w:u w:val="single"/>
        </w:rPr>
        <w:t>壹</w:t>
      </w:r>
      <w:r>
        <w:rPr>
          <w:sz w:val="22"/>
        </w:rPr>
        <w:t>份（须在合同签订之日起</w:t>
      </w:r>
      <w:r>
        <w:rPr>
          <w:sz w:val="22"/>
        </w:rPr>
        <w:t>3个工作日内递交）。</w:t>
      </w:r>
    </w:p>
    <w:p>
      <w:pPr>
        <w:pStyle w:val="null3"/>
        <w:ind w:firstLine="442"/>
        <w:jc w:val="both"/>
      </w:pPr>
      <w:r>
        <w:rPr>
          <w:sz w:val="22"/>
          <w:b/>
        </w:rPr>
        <w:t>第十</w:t>
      </w:r>
      <w:r>
        <w:rPr>
          <w:sz w:val="22"/>
          <w:b/>
        </w:rPr>
        <w:t>五</w:t>
      </w:r>
      <w:r>
        <w:rPr>
          <w:sz w:val="22"/>
          <w:b/>
        </w:rPr>
        <w:t>条其它</w:t>
      </w:r>
    </w:p>
    <w:p>
      <w:pPr>
        <w:pStyle w:val="null3"/>
        <w:ind w:firstLine="420"/>
        <w:jc w:val="both"/>
      </w:pPr>
      <w:r>
        <w:rPr>
          <w:sz w:val="22"/>
        </w:rPr>
        <w:t>（一）</w:t>
      </w:r>
      <w:r>
        <w:rPr>
          <w:sz w:val="22"/>
        </w:rPr>
        <w:t>本合同未尽事宜，双方可签订补充合同，补充合同与所有附件均为合同的有效组成部分，与本合同具有同等法律效力。</w:t>
      </w:r>
    </w:p>
    <w:p>
      <w:pPr>
        <w:pStyle w:val="null3"/>
        <w:ind w:firstLine="420"/>
        <w:jc w:val="both"/>
      </w:pPr>
      <w:r>
        <w:rPr>
          <w:sz w:val="22"/>
        </w:rPr>
        <w:t>（二）</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2"/>
        </w:rPr>
        <w:t>（三）</w:t>
      </w:r>
      <w:r>
        <w:rPr>
          <w:sz w:val="22"/>
        </w:rPr>
        <w:t>本合同合计</w:t>
      </w:r>
      <w:r>
        <w:rPr>
          <w:u w:val="single"/>
        </w:rPr>
        <w:t xml:space="preserve">   </w:t>
      </w:r>
      <w:r>
        <w:rPr>
          <w:sz w:val="22"/>
        </w:rPr>
        <w:t>页</w:t>
      </w:r>
      <w:r>
        <w:rPr>
          <w:sz w:val="22"/>
        </w:rPr>
        <w:t>A4纸张，缺页之合同为无效合同。</w:t>
      </w:r>
    </w:p>
    <w:p>
      <w:pPr>
        <w:pStyle w:val="null3"/>
        <w:jc w:val="both"/>
      </w:pPr>
      <w:r>
        <w:rPr>
          <w:sz w:val="22"/>
        </w:rPr>
        <w:t>甲方（盖章）：</w:t>
      </w:r>
      <w:r>
        <w:rPr>
          <w:sz w:val="22"/>
        </w:rPr>
        <w:t xml:space="preserve">                      </w:t>
      </w:r>
      <w:r>
        <w:rPr>
          <w:sz w:val="22"/>
        </w:rPr>
        <w:t>乙方（盖章）：</w:t>
      </w:r>
    </w:p>
    <w:p>
      <w:pPr>
        <w:pStyle w:val="null3"/>
        <w:jc w:val="both"/>
      </w:pPr>
      <w:r>
        <w:rPr>
          <w:sz w:val="22"/>
        </w:rPr>
        <w:t>法定代表</w:t>
      </w:r>
      <w:r>
        <w:rPr>
          <w:sz w:val="22"/>
        </w:rPr>
        <w:t>(签字)：                   法定代表(签字)：</w:t>
      </w:r>
    </w:p>
    <w:p>
      <w:pPr>
        <w:pStyle w:val="null3"/>
        <w:jc w:val="both"/>
      </w:pPr>
      <w:r>
        <w:rPr>
          <w:sz w:val="22"/>
        </w:rPr>
        <w:t>地址：</w:t>
      </w:r>
      <w:r>
        <w:rPr>
          <w:sz w:val="22"/>
        </w:rPr>
        <w:t xml:space="preserve">                             </w:t>
      </w:r>
      <w:r>
        <w:rPr>
          <w:sz w:val="22"/>
        </w:rPr>
        <w:t>地址：</w:t>
      </w:r>
    </w:p>
    <w:p>
      <w:pPr>
        <w:pStyle w:val="null3"/>
        <w:jc w:val="both"/>
      </w:pPr>
      <w:r>
        <w:rPr>
          <w:sz w:val="22"/>
        </w:rPr>
        <w:t>电话：</w:t>
      </w:r>
      <w:r>
        <w:rPr>
          <w:sz w:val="22"/>
        </w:rPr>
        <w:t xml:space="preserve">                             </w:t>
      </w:r>
      <w:r>
        <w:rPr>
          <w:sz w:val="22"/>
        </w:rPr>
        <w:t>电话：</w:t>
      </w:r>
    </w:p>
    <w:p>
      <w:pPr>
        <w:pStyle w:val="null3"/>
        <w:jc w:val="both"/>
      </w:pPr>
      <w:r>
        <w:rPr>
          <w:sz w:val="22"/>
        </w:rPr>
        <w:t>传真：</w:t>
      </w:r>
      <w:r>
        <w:rPr>
          <w:sz w:val="22"/>
        </w:rPr>
        <w:t xml:space="preserve">      </w:t>
      </w:r>
      <w:r>
        <w:rPr>
          <w:sz w:val="22"/>
        </w:rPr>
        <w:t>传真：</w:t>
      </w:r>
    </w:p>
    <w:p>
      <w:pPr>
        <w:pStyle w:val="null3"/>
        <w:jc w:val="both"/>
      </w:pPr>
      <w:r>
        <w:rPr>
          <w:sz w:val="22"/>
        </w:rPr>
        <w:t>开户银行：</w:t>
      </w:r>
      <w:r>
        <w:rPr>
          <w:sz w:val="22"/>
        </w:rPr>
        <w:t xml:space="preserve">                        </w:t>
      </w:r>
      <w:r>
        <w:rPr>
          <w:sz w:val="22"/>
        </w:rPr>
        <w:t>开户银行：</w:t>
      </w:r>
    </w:p>
    <w:p>
      <w:pPr>
        <w:pStyle w:val="null3"/>
        <w:jc w:val="both"/>
      </w:pPr>
      <w:r>
        <w:rPr>
          <w:sz w:val="22"/>
        </w:rPr>
        <w:t>账号：</w:t>
      </w:r>
      <w:r>
        <w:rPr>
          <w:sz w:val="22"/>
        </w:rPr>
        <w:t xml:space="preserve">                              </w:t>
      </w:r>
      <w:r>
        <w:rPr>
          <w:sz w:val="22"/>
        </w:rPr>
        <w:t>账号：</w:t>
      </w:r>
    </w:p>
    <w:p>
      <w:pPr>
        <w:pStyle w:val="null3"/>
        <w:jc w:val="both"/>
      </w:pPr>
      <w:r>
        <w:rPr>
          <w:sz w:val="22"/>
        </w:rPr>
        <w:t>签约时间：</w:t>
      </w:r>
    </w:p>
    <w:p>
      <w:pPr>
        <w:pStyle w:val="null3"/>
        <w:jc w:val="left"/>
      </w:pPr>
      <w:r>
        <w:rPr>
          <w:sz w:val="22"/>
        </w:rPr>
        <w:t>签约地点：</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441900011-2025-00057</w:t>
      </w:r>
    </w:p>
    <w:p>
      <w:pPr>
        <w:pStyle w:val="null3"/>
        <w:jc w:val="center"/>
        <w:outlineLvl w:val="3"/>
      </w:pPr>
      <w:r>
        <w:rPr>
          <w:sz w:val="24"/>
          <w:b/>
        </w:rPr>
        <w:t>采购项目编号：</w:t>
      </w:r>
      <w:r>
        <w:rPr>
          <w:sz w:val="24"/>
          <w:b/>
        </w:rPr>
        <w:t>441900011-2025-00057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和盛咨询（广东）有限公司</w:t>
      </w:r>
    </w:p>
    <w:p>
      <w:pPr>
        <w:pStyle w:val="null3"/>
        <w:ind w:firstLine="480"/>
      </w:pPr>
      <w:r>
        <w:rPr/>
        <w:t xml:space="preserve"> 你方组织的</w:t>
      </w:r>
      <w:r>
        <w:rPr>
          <w:u w:val="single"/>
        </w:rPr>
        <w:t>“</w:t>
      </w:r>
      <w:r>
        <w:rPr>
          <w:u w:val="single"/>
        </w:rPr>
        <w:t>滨海湾新区灵犀岛项目规划设计研究</w:t>
      </w:r>
      <w:r>
        <w:rPr>
          <w:u w:val="single"/>
        </w:rPr>
        <w:t>”</w:t>
      </w:r>
      <w:r>
        <w:rPr/>
        <w:t>项目的招标[采购项目编号为：</w:t>
      </w:r>
      <w:r>
        <w:rPr>
          <w:u w:val="single"/>
        </w:rPr>
        <w:t>441900011-2025-00057</w:t>
      </w:r>
      <w:r>
        <w:rPr/>
        <w:t>]，我方愿参与投标。</w:t>
      </w:r>
    </w:p>
    <w:p>
      <w:pPr>
        <w:pStyle w:val="null3"/>
        <w:ind w:firstLine="480"/>
      </w:pPr>
      <w:r>
        <w:rPr/>
        <w:t>我方确认收到贵方提供的</w:t>
      </w:r>
      <w:r>
        <w:rPr>
          <w:u w:val="single"/>
        </w:rPr>
        <w:t>“</w:t>
      </w:r>
      <w:r>
        <w:rPr>
          <w:u w:val="single"/>
        </w:rPr>
        <w:t>滨海湾新区灵犀岛项目规划设计研究</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和盛咨询（广东）有限公司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滨海湾新区灵犀岛项目规划设计研究</w:t>
      </w:r>
      <w:r>
        <w:rPr/>
        <w:t>”项目采购[采购项目编号为</w:t>
      </w:r>
      <w:r>
        <w:rPr/>
        <w:t>441900011-2025-00057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和盛咨询（广东）有限公司</w:t>
      </w:r>
    </w:p>
    <w:p>
      <w:pPr>
        <w:pStyle w:val="null3"/>
        <w:ind w:firstLine="480"/>
      </w:pPr>
      <w:r>
        <w:rPr/>
        <w:t xml:space="preserve"> 如果我方在贵采购代理机构组织的</w:t>
      </w:r>
      <w:r>
        <w:rPr/>
        <w:t>滨海湾新区灵犀岛项目规划设计研究</w:t>
      </w:r>
      <w:r>
        <w:rPr/>
        <w:t>招标中获中标（采购项目编号：</w:t>
      </w:r>
      <w:r>
        <w:rPr/>
        <w:t>441900011-2025-00057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和盛咨询（广东）有限公司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和盛咨询（广东）有限公司</w:t>
      </w:r>
    </w:p>
    <w:p>
      <w:pPr>
        <w:pStyle w:val="null3"/>
        <w:ind w:firstLine="480"/>
      </w:pPr>
      <w:r>
        <w:rPr/>
        <w:t>我单位已登记并准备参与“</w:t>
      </w:r>
      <w:r>
        <w:rPr/>
        <w:t>滨海湾新区灵犀岛项目规划设计研究</w:t>
      </w:r>
      <w:r>
        <w:rPr/>
        <w:t>”项目（采购项目编号：</w:t>
      </w:r>
      <w:r>
        <w:rPr/>
        <w:t>441900011-2025-00057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