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版本号：N511421202500006620250422001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发热门诊及第二住院大楼建设项目工程材料检测服务(三次)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N5114212025000066</w:t>
      </w:r>
    </w:p>
    <w:p>
      <w:pPr>
        <w:pStyle w:val="null3"/>
        <w:jc w:val="left"/>
        <w:outlineLvl w:val="2"/>
      </w:pPr>
      <w:r>
        <w:rPr>
          <w:rFonts w:ascii="仿宋_GB2312" w:hAnsi="仿宋_GB2312" w:cs="仿宋_GB2312" w:eastAsia="仿宋_GB2312"/>
          <w:sz w:val="28"/>
          <w:b/>
        </w:rPr>
        <w:t>仁寿县人民医院</w:t>
      </w:r>
    </w:p>
    <w:p>
      <w:pPr>
        <w:pStyle w:val="null3"/>
        <w:jc w:val="center"/>
        <w:outlineLvl w:val="2"/>
      </w:pPr>
      <w:r>
        <w:rPr>
          <w:rFonts w:ascii="仿宋_GB2312" w:hAnsi="仿宋_GB2312" w:cs="仿宋_GB2312" w:eastAsia="仿宋_GB2312"/>
          <w:sz w:val="28"/>
          <w:b/>
        </w:rPr>
        <w:t>仁寿汇鑫招标采购代理有限公司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仁寿汇鑫招标采购代理有限公司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仁寿县人民医院</w:t>
      </w:r>
      <w:r>
        <w:rPr>
          <w:rFonts w:ascii="仿宋_GB2312" w:hAnsi="仿宋_GB2312" w:cs="仿宋_GB2312" w:eastAsia="仿宋_GB2312"/>
        </w:rPr>
        <w:t xml:space="preserve"> 委托，拟对 </w:t>
      </w:r>
      <w:r>
        <w:rPr>
          <w:rFonts w:ascii="仿宋_GB2312" w:hAnsi="仿宋_GB2312" w:cs="仿宋_GB2312" w:eastAsia="仿宋_GB2312"/>
        </w:rPr>
        <w:t>发热门诊及第二住院大楼建设项目工程材料检测服务(三次)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眉山市仁寿县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N5114212025000066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发热门诊及第二住院大楼建设项目工程材料检测服务(三次)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次拟建第二住院大楼为14F/-1F钢筋砼框-剪结构一类高层医技及住院用房（地下室为消防设备用房和生活供水设备房），发热门诊为5F钢筋砼框架结构多层特殊门诊用房，高压氧仓为1F/-1F钢筋砼框架结构医疗用房（局部地下室为设备基础层和储气罐间），医疗废物收集点（火灾危险性丙类）、汇流排（火灾危险性乙类）均为1F钢筋砼框架结构，新建埋地式污水处理站和本期配套室外停车场、非机动车停车库，建筑面积共计35995.56㎡（含地下1645.61㎡），最大建筑高度61.40m。绿色建筑设计标准二星级，建筑装配率50%。</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供应商以联合体形式参加本采购包的，联合体各方均应当为中小企业。组成联合体的中小企业与联合体内其他企业之间不得存在直接控股、管理关系。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描述：（1）供应商具有省级或以上建设行政主管部门颁发的有效的建设工程质量检测机构资质证书，资质证书检测类别应包含：见证取样检测、主体结构工程检测类、民用建筑室内环境污染控制检测类、建筑地基基础质量检测类、建筑节能与智能检测类、建筑幕墙工程检测类；或取得新版建设工程质量检测机构综合资质或专项资质，其专项资质包含建筑材料及构配件、主体结构及装饰装修、地基基础、建筑节能、建筑幕墙。 （2）供应商须具有《社会消防技术服务信息系统》和《四川省消防技术服务机构管理平台》上的备案登记证明。(提供相应网上截图并加盖公章)。（3）供应商应提供省级或以上质量技术监督部门颁发的有效的检验检测机构资质认定证书（CMA）复印件并加盖供应商公章 ）</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仁寿县人民医院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仁寿县怀仁街道龙滩大道一段177号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028-36218016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仁寿汇鑫招标采购代理有限公司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仁寿县迎宾大道479号仁寿城投大厦B栋4楼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028-35035139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代理服务费收费标准：7000元。</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仁寿县人民医院</w:t>
      </w:r>
      <w:r>
        <w:rPr>
          <w:rFonts w:ascii="仿宋_GB2312" w:hAnsi="仿宋_GB2312" w:cs="仿宋_GB2312" w:eastAsia="仿宋_GB2312"/>
        </w:rPr>
        <w:t xml:space="preserve"> 和 </w:t>
      </w:r>
      <w:r>
        <w:rPr>
          <w:rFonts w:ascii="仿宋_GB2312" w:hAnsi="仿宋_GB2312" w:cs="仿宋_GB2312" w:eastAsia="仿宋_GB2312"/>
        </w:rPr>
        <w:t>仁寿汇鑫招标采购代理有限公司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仁寿县人民医院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仁寿汇鑫招标采购代理有限公司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供应商提交验收申请后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以合同签订为准。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以合同签订为准。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采购人严格《财政部关于进一步加强政府采购需求和履约验收管理的指导意见》(财库〔2016〕205号)的要求、按国家相关规定及磋商文件的要求、成交供应商的响应文件及服务承诺与合同约定标准进行验收。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仁寿县人民医院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仁寿汇鑫招标采购代理有限公司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仁寿汇鑫招标采购代理有限公司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联系人：周老师</w:t>
      </w:r>
    </w:p>
    <w:p>
      <w:pPr>
        <w:pStyle w:val="null3"/>
        <w:jc w:val="left"/>
      </w:pPr>
      <w:r>
        <w:rPr>
          <w:rFonts w:ascii="仿宋_GB2312" w:hAnsi="仿宋_GB2312" w:cs="仿宋_GB2312" w:eastAsia="仿宋_GB2312"/>
        </w:rPr>
        <w:t>联系电话：028-36218016</w:t>
      </w:r>
    </w:p>
    <w:p>
      <w:pPr>
        <w:pStyle w:val="null3"/>
        <w:jc w:val="left"/>
      </w:pPr>
      <w:r>
        <w:rPr>
          <w:rFonts w:ascii="仿宋_GB2312" w:hAnsi="仿宋_GB2312" w:cs="仿宋_GB2312" w:eastAsia="仿宋_GB2312"/>
        </w:rPr>
        <w:t>地址：仁寿县怀仁街道龙滩大道一段177号</w:t>
      </w:r>
    </w:p>
    <w:p>
      <w:pPr>
        <w:pStyle w:val="null3"/>
        <w:jc w:val="left"/>
      </w:pPr>
      <w:r>
        <w:rPr>
          <w:rFonts w:ascii="仿宋_GB2312" w:hAnsi="仿宋_GB2312" w:cs="仿宋_GB2312" w:eastAsia="仿宋_GB2312"/>
        </w:rPr>
        <w:t>邮编：620500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C11990000 其他工程管理服务</w:t>
            </w:r>
          </w:p>
        </w:tc>
        <w:tc>
          <w:tcPr>
            <w:tcW w:type="dxa" w:w="821"/>
          </w:tcPr>
          <w:p>
            <w:pPr>
              <w:pStyle w:val="null3"/>
              <w:jc w:val="left"/>
            </w:pPr>
            <w:r>
              <w:rPr>
                <w:rFonts w:ascii="仿宋_GB2312" w:hAnsi="仿宋_GB2312" w:cs="仿宋_GB2312" w:eastAsia="仿宋_GB2312"/>
              </w:rPr>
              <w:t>发热门诊及第二住院大楼建设项目工程材料检测服务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发热门诊及第二住院大楼建设项目工程材料检测服务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标的名称：发热门诊及第二住院大楼建设项目工程材料检测服务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ind w:firstLine="472"/>
              <w:jc w:val="both"/>
            </w:pPr>
            <w:r>
              <w:rPr>
                <w:rFonts w:ascii="仿宋_GB2312" w:hAnsi="仿宋_GB2312" w:cs="仿宋_GB2312" w:eastAsia="仿宋_GB2312"/>
                <w:sz w:val="24"/>
              </w:rPr>
              <w:t>（一）</w:t>
            </w:r>
            <w:r>
              <w:rPr>
                <w:rFonts w:ascii="仿宋_GB2312" w:hAnsi="仿宋_GB2312" w:cs="仿宋_GB2312" w:eastAsia="仿宋_GB2312"/>
                <w:sz w:val="24"/>
              </w:rPr>
              <w:t>服务范围</w:t>
            </w:r>
          </w:p>
          <w:p>
            <w:pPr>
              <w:pStyle w:val="null3"/>
              <w:ind w:firstLine="472"/>
              <w:jc w:val="both"/>
            </w:pPr>
            <w:r>
              <w:rPr>
                <w:rFonts w:ascii="仿宋_GB2312" w:hAnsi="仿宋_GB2312" w:cs="仿宋_GB2312" w:eastAsia="仿宋_GB2312"/>
                <w:sz w:val="24"/>
              </w:rPr>
              <w:t>完成本项目建设所需，建设行政主管部门要求的必须检测的项目、监理及建设单位要求的所有检测内容，在合同价内包干使用。包括但不限于以下检测项目</w:t>
            </w:r>
            <w:r>
              <w:rPr>
                <w:rFonts w:ascii="仿宋_GB2312" w:hAnsi="仿宋_GB2312" w:cs="仿宋_GB2312" w:eastAsia="仿宋_GB2312"/>
                <w:sz w:val="24"/>
              </w:rPr>
              <w:t>,实际检测范围以施工图及变更相关资料为准：</w:t>
            </w:r>
          </w:p>
          <w:tbl>
            <w:tblPr>
              <w:tblInd w:type="dxa" w:w="225"/>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5600"/>
                  <w:gridSpan w:val="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主体主要参数检测类容</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检测项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单位（建筑面积）</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预估量</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砼</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1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35995.56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钢筋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砂浆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水泥</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防水卷材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砖</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动力触探</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承载力</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击实试验</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最大干密度、最大含水量</w:t>
                  </w:r>
                  <w:r>
                    <w:rPr>
                      <w:rFonts w:ascii="仿宋_GB2312" w:hAnsi="仿宋_GB2312" w:cs="仿宋_GB2312" w:eastAsia="仿宋_GB2312"/>
                      <w:sz w:val="22"/>
                    </w:rPr>
                    <w:t>....</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压实度</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压实系数</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拉拔试验</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保温拉拔</w:t>
                  </w:r>
                  <w:r>
                    <w:rPr>
                      <w:rFonts w:ascii="仿宋_GB2312" w:hAnsi="仿宋_GB2312" w:cs="仿宋_GB2312" w:eastAsia="仿宋_GB2312"/>
                      <w:sz w:val="22"/>
                    </w:rPr>
                    <w:t>/植筋拉拔</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实体检测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板厚检测、砼回弹、钢筋扫描</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保温检测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保温板、锚钉、网格布、抗裂砂浆、粘接砂浆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防水涂料</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泡沫砼</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屋面保温</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XPS挤塑板B1 燃烧 、常规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　</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防火门检测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乙级防火燃烧</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门窗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7性检测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空气检测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7项气体</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35995.56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防雷检测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防雷实体</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35995.56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消防检测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消防实体</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35995.56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真石漆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电线单芯</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常规电压试验、绝缘电阻、绝缘厚度、老化前拉力（抗张强度、断裂伸长率）</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常规电压试验、绝缘电阻、绝缘厚度、老化前拉力（抗张强度、断裂伸长率）</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腻子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瓷砖</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常规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石膏</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凝结时间、抗折强度（</w:t>
                  </w:r>
                  <w:r>
                    <w:rPr>
                      <w:rFonts w:ascii="仿宋_GB2312" w:hAnsi="仿宋_GB2312" w:cs="仿宋_GB2312" w:eastAsia="仿宋_GB2312"/>
                      <w:sz w:val="22"/>
                    </w:rPr>
                    <w:t>T型无）、抗压强度、拉伸粘结强度（T型无）</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天然大理石、花岗石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吸水率、压缩强度、体积密度</w:t>
                  </w:r>
                  <w:r>
                    <w:rPr>
                      <w:rFonts w:ascii="仿宋_GB2312" w:hAnsi="仿宋_GB2312" w:cs="仿宋_GB2312" w:eastAsia="仿宋_GB2312"/>
                      <w:sz w:val="22"/>
                    </w:rPr>
                    <w:t>.弯曲强度.放射性</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PPR给水管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平均外径、壁厚、纵向回缩率、简支梁冲击试验、静液压强度</w:t>
                  </w:r>
                  <w:r>
                    <w:rPr>
                      <w:rFonts w:ascii="仿宋_GB2312" w:hAnsi="仿宋_GB2312" w:cs="仿宋_GB2312" w:eastAsia="仿宋_GB2312"/>
                      <w:sz w:val="22"/>
                    </w:rPr>
                    <w:t>(20℃，1h)</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PPR给水管件</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壁厚、静液压强度</w:t>
                  </w:r>
                  <w:r>
                    <w:rPr>
                      <w:rFonts w:ascii="仿宋_GB2312" w:hAnsi="仿宋_GB2312" w:cs="仿宋_GB2312" w:eastAsia="仿宋_GB2312"/>
                      <w:sz w:val="22"/>
                    </w:rPr>
                    <w:t>(20℃，1h)、承口深度</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开关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额定值、分类、温升、绝缘电阻、电气强度、防触电保护、耐非正常热和耐燃</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插座</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额定值、分类、标志、尺寸的检查、绝缘电阻、电气强度、机械强度、分断容量、耐热、耐非正常热和耐燃。</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断路器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机械和电气寿命试验；耐异常发热和耐燃</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JDG电工钢导管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标志、尺寸、弯曲试验、结构（</w:t>
                  </w:r>
                  <w:r>
                    <w:rPr>
                      <w:rFonts w:ascii="仿宋_GB2312" w:hAnsi="仿宋_GB2312" w:cs="仿宋_GB2312" w:eastAsia="仿宋_GB2312"/>
                      <w:sz w:val="22"/>
                    </w:rPr>
                    <w:t>32以上不能做弯曲）</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硅酮结构胶</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下垂度、挤出性、标准条件拉伸粘结强度</w:t>
                  </w:r>
                  <w:r>
                    <w:rPr>
                      <w:rFonts w:ascii="仿宋_GB2312" w:hAnsi="仿宋_GB2312" w:cs="仿宋_GB2312" w:eastAsia="仿宋_GB2312"/>
                      <w:sz w:val="22"/>
                    </w:rPr>
                    <w:t>.邵氏硬度。相容性</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涂料</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挥发性有机化合物（</w:t>
                  </w:r>
                  <w:r>
                    <w:rPr>
                      <w:rFonts w:ascii="仿宋_GB2312" w:hAnsi="仿宋_GB2312" w:cs="仿宋_GB2312" w:eastAsia="仿宋_GB2312"/>
                      <w:sz w:val="22"/>
                    </w:rPr>
                    <w:t>VOC）、苯、甲苯+乙苯+二甲苯、游离甲醛</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轻钢龙骨（主、副龙骨）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表面防锈（双面镀锌层厚度），力学性能（静载试验）</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乳胶漆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干燥时间、容器中状态、施工性、耐碱性、耐水性</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抹灰石膏</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凝结时间、抗折强度（</w:t>
                  </w:r>
                  <w:r>
                    <w:rPr>
                      <w:rFonts w:ascii="仿宋_GB2312" w:hAnsi="仿宋_GB2312" w:cs="仿宋_GB2312" w:eastAsia="仿宋_GB2312"/>
                      <w:sz w:val="22"/>
                    </w:rPr>
                    <w:t>T型无）、抗压强度、拉伸粘结强度（T型无）</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600"/>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基础专项检测预估</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检测项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预估</w:t>
                  </w:r>
                  <w:r>
                    <w:rPr>
                      <w:rFonts w:ascii="仿宋_GB2312" w:hAnsi="仿宋_GB2312" w:cs="仿宋_GB2312" w:eastAsia="仿宋_GB2312"/>
                      <w:sz w:val="22"/>
                    </w:rPr>
                    <w:t>/根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低应变</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桩身完整性</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声波检测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桩身完整性</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钻心检测</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桩身完整性</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预估</w:t>
                  </w:r>
                  <w:r>
                    <w:rPr>
                      <w:rFonts w:ascii="仿宋_GB2312" w:hAnsi="仿宋_GB2312" w:cs="仿宋_GB2312" w:eastAsia="仿宋_GB2312"/>
                      <w:sz w:val="22"/>
                    </w:rPr>
                    <w:t>11米</w:t>
                  </w: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静载检测</w:t>
                  </w:r>
                </w:p>
              </w:tc>
              <w:tc>
                <w:tcPr>
                  <w:tcW w:type="dxa" w:w="1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单桩竖向抗压承载力</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3200KN</w:t>
                  </w:r>
                </w:p>
              </w:tc>
            </w:tr>
            <w:tr>
              <w:tc>
                <w:tcPr>
                  <w:tcW w:type="dxa" w:w="1120"/>
                  <w:vMerge/>
                  <w:tcBorders>
                    <w:top w:val="none" w:color="000000" w:sz="4"/>
                    <w:left w:val="singl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1500KN</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抗拔桩试验</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抗拔值</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（二）检测数量按《四川省建筑地基基础检测技术规程》（</w:t>
            </w:r>
            <w:r>
              <w:rPr>
                <w:rFonts w:ascii="仿宋_GB2312" w:hAnsi="仿宋_GB2312" w:cs="仿宋_GB2312" w:eastAsia="仿宋_GB2312"/>
                <w:sz w:val="24"/>
              </w:rPr>
              <w:t>DBJ51/ 014-2021）要求，受检部位经建设方、监理方、施工方共同确定，如现场检测数量产生变化由建设方、监理方、施工方共同确定后补充方案。</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3"/>
              <w:ind w:firstLine="420"/>
              <w:jc w:val="left"/>
            </w:pPr>
            <w:r>
              <w:rPr>
                <w:rFonts w:ascii="仿宋_GB2312" w:hAnsi="仿宋_GB2312" w:cs="仿宋_GB2312" w:eastAsia="仿宋_GB2312"/>
                <w:sz w:val="24"/>
              </w:rPr>
              <w:t>1、成交供应商为本项目提供的所有服务应符合现行的国家相关标准、行业标准、地方标准或者其他标准、规范。</w:t>
            </w:r>
          </w:p>
          <w:p>
            <w:pPr>
              <w:pStyle w:val="null3"/>
              <w:ind w:firstLine="472"/>
              <w:jc w:val="both"/>
            </w:pPr>
            <w:r>
              <w:rPr>
                <w:rFonts w:ascii="仿宋_GB2312" w:hAnsi="仿宋_GB2312" w:cs="仿宋_GB2312" w:eastAsia="仿宋_GB2312"/>
                <w:sz w:val="24"/>
              </w:rPr>
              <w:t>2、成交供应商应对本项目涉及到的商业和技术等内容保密，违者须对由此造成的后果承担法律责任。</w:t>
            </w:r>
          </w:p>
          <w:p>
            <w:pPr>
              <w:pStyle w:val="null3"/>
              <w:ind w:firstLine="472"/>
              <w:jc w:val="left"/>
            </w:pPr>
            <w:r>
              <w:rPr>
                <w:rFonts w:ascii="仿宋_GB2312" w:hAnsi="仿宋_GB2312" w:cs="仿宋_GB2312" w:eastAsia="仿宋_GB2312"/>
                <w:sz w:val="24"/>
              </w:rPr>
              <w:t>3、成果文件：成交供应商根据技术规范、规程、标准等要求对本项目进行工程材料检测，并按照检测内容编制检测报告，报告的内容应完整、详实，如实反映本次检测的有关情况。检测结果如存在异常情况，须以明确的书面结论性报告形式第一时间报告采购人，以便采购人采取紧急措施。成交供应商对检测报告提出的检测结果及结论负责。成交供应商按照采购人要求提供响应的检测报告份数。</w:t>
            </w:r>
          </w:p>
          <w:p>
            <w:pPr>
              <w:pStyle w:val="null3"/>
              <w:ind w:firstLine="472"/>
              <w:jc w:val="both"/>
            </w:pPr>
            <w:r>
              <w:rPr>
                <w:rFonts w:ascii="仿宋_GB2312" w:hAnsi="仿宋_GB2312" w:cs="仿宋_GB2312" w:eastAsia="仿宋_GB2312"/>
                <w:sz w:val="24"/>
              </w:rPr>
              <w:t>4、成交供应商须严格按照设计要求制定检测工作方案，经采购人与设计单位审查通过后方可进场检测。成交供应商在进行检测时须通知采购人及现场监理人员进行现场检测监督，保证数据的真实性、可靠性、合法性。成交供应商检测时，若采购人及监理单位未在现场见证，采购人有权认定检测无效，并要求成交供应商重新检测，检测费用不作增加。</w:t>
            </w:r>
          </w:p>
          <w:p>
            <w:pPr>
              <w:pStyle w:val="null3"/>
              <w:ind w:firstLine="472"/>
              <w:jc w:val="both"/>
            </w:pPr>
            <w:r>
              <w:rPr>
                <w:rFonts w:ascii="仿宋_GB2312" w:hAnsi="仿宋_GB2312" w:cs="仿宋_GB2312" w:eastAsia="仿宋_GB2312"/>
                <w:sz w:val="24"/>
              </w:rPr>
              <w:t>5、成交供应商须严格按照行业规范要求开展检测工作。设备、设施及检测实验室应符合项目及行业规范要求。在检测过程中发现检测数据异常或存在可能影响正常使用的质量或安全问题时，应及时报告采购人。</w:t>
            </w:r>
          </w:p>
          <w:p>
            <w:pPr>
              <w:pStyle w:val="null3"/>
              <w:ind w:firstLine="472"/>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后续服务要求：</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釆购人对成交供应商的检测报告享有所有权，成交供应商不得转作他用，否则由此产生的一切后果由其一方承担。</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釆购人有要求供应商提供原始数据及所有相关记录的权利，</w:t>
            </w:r>
            <w:r>
              <w:rPr>
                <w:rFonts w:ascii="仿宋_GB2312" w:hAnsi="仿宋_GB2312" w:cs="仿宋_GB2312" w:eastAsia="仿宋_GB2312"/>
                <w:sz w:val="24"/>
              </w:rPr>
              <w:t>并</w:t>
            </w:r>
            <w:r>
              <w:rPr>
                <w:rFonts w:ascii="仿宋_GB2312" w:hAnsi="仿宋_GB2312" w:cs="仿宋_GB2312" w:eastAsia="仿宋_GB2312"/>
                <w:sz w:val="24"/>
              </w:rPr>
              <w:t>按照釆购人要求提供相关资料。</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供应商在进行检测任务的过程中，做好与该工程相关的施工单位、监理单位、设计单位、项管单位、建设主管部门等相关单位的协调工作。</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供应商对采购人所提供的资料及本项目合同执行过程中接触或产生的资料负有保密义务，未经采购人书面许可，供应商不得向任何第三方披露。如果因供应商原因造成发生任何有损于其保密性的事情，供应商有责任釆取补救措施，且须向釆购人</w:t>
            </w:r>
            <w:r>
              <w:rPr>
                <w:rFonts w:ascii="仿宋_GB2312" w:hAnsi="仿宋_GB2312" w:cs="仿宋_GB2312" w:eastAsia="仿宋_GB2312"/>
                <w:sz w:val="24"/>
              </w:rPr>
              <w:t>赔偿损失。</w:t>
            </w:r>
            <w:r>
              <w:rPr>
                <w:rFonts w:ascii="仿宋_GB2312" w:hAnsi="仿宋_GB2312" w:cs="仿宋_GB2312" w:eastAsia="仿宋_GB2312"/>
                <w:sz w:val="24"/>
              </w:rPr>
              <w:t>服务过程中，成交供应商须维护采购人的合法权益。</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安全责任：在服务期限内，成交供应商应负责</w:t>
            </w:r>
            <w:r>
              <w:rPr>
                <w:rFonts w:ascii="仿宋_GB2312" w:hAnsi="仿宋_GB2312" w:cs="仿宋_GB2312" w:eastAsia="仿宋_GB2312"/>
                <w:sz w:val="24"/>
              </w:rPr>
              <w:t>检测</w:t>
            </w:r>
            <w:r>
              <w:rPr>
                <w:rFonts w:ascii="仿宋_GB2312" w:hAnsi="仿宋_GB2312" w:cs="仿宋_GB2312" w:eastAsia="仿宋_GB2312"/>
                <w:sz w:val="24"/>
              </w:rPr>
              <w:t>过程中的人身安全、财产安全、环境安全</w:t>
            </w:r>
            <w:r>
              <w:rPr>
                <w:rFonts w:ascii="仿宋_GB2312" w:hAnsi="仿宋_GB2312" w:cs="仿宋_GB2312" w:eastAsia="仿宋_GB2312"/>
                <w:sz w:val="24"/>
              </w:rPr>
              <w:t>，保证项目安全有序进行。如发生纠纷、事故等，均由成交供应商自行负责，情节严重的，追究相应责任，并按相关国家法律法规处理。</w:t>
            </w:r>
          </w:p>
          <w:p>
            <w:pPr>
              <w:pStyle w:val="null3"/>
              <w:ind w:firstLine="472"/>
              <w:jc w:val="left"/>
            </w:pPr>
            <w:r>
              <w:rPr>
                <w:rFonts w:ascii="仿宋_GB2312" w:hAnsi="仿宋_GB2312" w:cs="仿宋_GB2312" w:eastAsia="仿宋_GB2312"/>
                <w:sz w:val="24"/>
              </w:rPr>
              <w:t>7、供应商针对本项目提供检测服务方案，方案</w:t>
            </w:r>
            <w:r>
              <w:rPr>
                <w:rFonts w:ascii="仿宋_GB2312" w:hAnsi="仿宋_GB2312" w:cs="仿宋_GB2312" w:eastAsia="仿宋_GB2312"/>
                <w:sz w:val="24"/>
              </w:rPr>
              <w:t>包含：</w:t>
            </w:r>
            <w:r>
              <w:rPr>
                <w:rFonts w:ascii="仿宋_GB2312" w:hAnsi="仿宋_GB2312" w:cs="仿宋_GB2312" w:eastAsia="仿宋_GB2312"/>
                <w:sz w:val="24"/>
              </w:rPr>
              <w:t>①现场施工配合方案；②检测作业协助方案；③技术保证措施；④沟通协调与信息管理方案应急措施；⑤管理制度和人员安排；⑥后续服务响应时间和实施步骤。</w:t>
            </w:r>
          </w:p>
          <w:p>
            <w:pPr>
              <w:pStyle w:val="null3"/>
              <w:jc w:val="both"/>
            </w:pPr>
            <w:r>
              <w:rPr>
                <w:rFonts w:ascii="仿宋_GB2312" w:hAnsi="仿宋_GB2312" w:cs="仿宋_GB2312" w:eastAsia="仿宋_GB2312"/>
                <w:sz w:val="24"/>
              </w:rPr>
              <w:t>8、其他要求：供应商在投标时按照法律法规和建设行政主管部门要求，出具有效的检测报告并完成验收备案工作，如因供应商原因造成采购人验收备案滞后或未成功，则追究成交供应商的违约责任。</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服务期限和报价说明</w:t>
            </w:r>
          </w:p>
        </w:tc>
        <w:tc>
          <w:tcPr>
            <w:tcW w:type="dxa" w:w="5814"/>
          </w:tcPr>
          <w:p>
            <w:pPr>
              <w:pStyle w:val="null3"/>
              <w:jc w:val="both"/>
            </w:pPr>
            <w:r>
              <w:rPr>
                <w:rFonts w:ascii="仿宋_GB2312" w:hAnsi="仿宋_GB2312" w:cs="仿宋_GB2312" w:eastAsia="仿宋_GB2312"/>
              </w:rPr>
              <w:t>1、</w:t>
            </w:r>
            <w:r>
              <w:rPr>
                <w:rFonts w:ascii="仿宋_GB2312" w:hAnsi="仿宋_GB2312" w:cs="仿宋_GB2312" w:eastAsia="仿宋_GB2312"/>
                <w:sz w:val="24"/>
              </w:rPr>
              <w:t>服务期限：</w:t>
            </w:r>
            <w:r>
              <w:rPr>
                <w:rFonts w:ascii="仿宋_GB2312" w:hAnsi="仿宋_GB2312" w:cs="仿宋_GB2312" w:eastAsia="仿宋_GB2312"/>
                <w:sz w:val="24"/>
              </w:rPr>
              <w:t>自合同签订之日起直至项目竣工止</w:t>
            </w:r>
            <w:r>
              <w:rPr>
                <w:rFonts w:ascii="仿宋_GB2312" w:hAnsi="仿宋_GB2312" w:cs="仿宋_GB2312" w:eastAsia="仿宋_GB2312"/>
                <w:sz w:val="24"/>
              </w:rPr>
              <w:t>（</w:t>
            </w:r>
            <w:r>
              <w:rPr>
                <w:rFonts w:ascii="仿宋_GB2312" w:hAnsi="仿宋_GB2312" w:cs="仿宋_GB2312" w:eastAsia="仿宋_GB2312"/>
                <w:sz w:val="24"/>
              </w:rPr>
              <w:t>暂估</w:t>
            </w:r>
            <w:r>
              <w:rPr>
                <w:rFonts w:ascii="仿宋_GB2312" w:hAnsi="仿宋_GB2312" w:cs="仿宋_GB2312" w:eastAsia="仿宋_GB2312"/>
                <w:sz w:val="24"/>
              </w:rPr>
              <w:t>780日历天</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2、本项目控制价</w:t>
            </w:r>
            <w:r>
              <w:rPr>
                <w:rFonts w:ascii="仿宋_GB2312" w:hAnsi="仿宋_GB2312" w:cs="仿宋_GB2312" w:eastAsia="仿宋_GB2312"/>
                <w:sz w:val="24"/>
              </w:rPr>
              <w:t>60万元</w:t>
            </w:r>
            <w:r>
              <w:rPr>
                <w:rFonts w:ascii="仿宋_GB2312" w:hAnsi="仿宋_GB2312" w:cs="仿宋_GB2312" w:eastAsia="仿宋_GB2312"/>
                <w:sz w:val="24"/>
              </w:rPr>
              <w:t>，</w:t>
            </w:r>
            <w:r>
              <w:rPr>
                <w:rFonts w:ascii="仿宋_GB2312" w:hAnsi="仿宋_GB2312" w:cs="仿宋_GB2312" w:eastAsia="仿宋_GB2312"/>
                <w:sz w:val="24"/>
              </w:rPr>
              <w:t>采用固定总价报价，供应商报价应包含完成本项目所有服务内容的全部费用，包括但不限于：</w:t>
            </w:r>
            <w:r>
              <w:rPr>
                <w:rFonts w:ascii="仿宋_GB2312" w:hAnsi="仿宋_GB2312" w:cs="仿宋_GB2312" w:eastAsia="仿宋_GB2312"/>
                <w:sz w:val="24"/>
              </w:rPr>
              <w:t>机械费、</w:t>
            </w:r>
            <w:r>
              <w:rPr>
                <w:rFonts w:ascii="仿宋_GB2312" w:hAnsi="仿宋_GB2312" w:cs="仿宋_GB2312" w:eastAsia="仿宋_GB2312"/>
                <w:sz w:val="24"/>
              </w:rPr>
              <w:t>人工费、管理费、税费等一切相关费用。采购人在项目结算资金时不再向成交供应商支付其他任何费用。如出现在响应报价估算错误等引起的损失由供应商自行承担。</w:t>
            </w:r>
            <w:r>
              <w:rPr>
                <w:rFonts w:ascii="仿宋_GB2312" w:hAnsi="仿宋_GB2312" w:cs="仿宋_GB2312" w:eastAsia="仿宋_GB2312"/>
                <w:sz w:val="32"/>
              </w:rPr>
              <w:t xml:space="preserve"> </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自合同签订之日起780日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仁寿县人民医院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（1）验收标准：成交供应商与采购人应严格按照《财政部关于进一步加强政府采购需求和履约验收管理的指导意见》的通知（财库〔2016〕205号）的要求进行验收。 （2）验收方法：按国家相关规定及磋商文件的要求、成交供应商的响应文件及服务承诺与合同约定标准进行验收。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1、基础分部验收合格后，达到付款条件起10日内，支付合同总金额的40.00%</w:t>
            </w:r>
          </w:p>
          <w:p>
            <w:pPr>
              <w:pStyle w:val="null3"/>
              <w:jc w:val="left"/>
            </w:pPr>
            <w:r>
              <w:rPr>
                <w:rFonts w:ascii="仿宋_GB2312" w:hAnsi="仿宋_GB2312" w:cs="仿宋_GB2312" w:eastAsia="仿宋_GB2312"/>
              </w:rPr>
              <w:t>2、主体验收合格后，达到付款条件起10日内，支付合同总金额的30.00%</w:t>
            </w:r>
          </w:p>
          <w:p>
            <w:pPr>
              <w:pStyle w:val="null3"/>
              <w:jc w:val="left"/>
            </w:pPr>
            <w:r>
              <w:rPr>
                <w:rFonts w:ascii="仿宋_GB2312" w:hAnsi="仿宋_GB2312" w:cs="仿宋_GB2312" w:eastAsia="仿宋_GB2312"/>
              </w:rPr>
              <w:t>3、工程验收合格后，达到付款条件起10日内，支付合同总金额的30.00%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甲乙双方必须遵守本合同并执行合同中的各项规定，保证本合同的正常履行。（2）如因乙方工作人员在履行职务过程中的的疏忽、失职、过错等故意或者过失原因给采购人造成损失或侵害，包括但不限于采购人本身的财产损失、由此而导致的采购人对任何第三方的法律责任等，乙方对此均应承担全部的赔偿责任。 解决办法：（1）在执行本合同中发生的或与本合同有关的争端，双方应通过友好协商解决，经协商在30天内不能达成协议时，应由采购人所在地人民法院管辖。 （2）在协商、调解、法院诉讼期间，乙方不得停止服务，并应保证政府采购合同的继续履行执行。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服务期限以3.3.1服务内容要求为准。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15"/>
          <w:color w:val="000000"/>
        </w:rPr>
        <w:t>在磋商过程中，磋商小组在获得采购人代表确认的前提下，可以根据磋商情况实质性变动第三章</w:t>
      </w:r>
      <w:r>
        <w:rPr>
          <w:rFonts w:ascii="仿宋_GB2312" w:hAnsi="仿宋_GB2312" w:cs="仿宋_GB2312" w:eastAsia="仿宋_GB2312"/>
          <w:sz w:val="15"/>
          <w:color w:val="000000"/>
        </w:rPr>
        <w:t>“</w:t>
      </w:r>
      <w:r>
        <w:rPr>
          <w:rFonts w:ascii="仿宋_GB2312" w:hAnsi="仿宋_GB2312" w:cs="仿宋_GB2312" w:eastAsia="仿宋_GB2312"/>
          <w:sz w:val="15"/>
          <w:color w:val="000000"/>
        </w:rPr>
        <w:t>技术、服务及其他要求</w:t>
      </w:r>
      <w:r>
        <w:rPr>
          <w:rFonts w:ascii="仿宋_GB2312" w:hAnsi="仿宋_GB2312" w:cs="仿宋_GB2312" w:eastAsia="仿宋_GB2312"/>
          <w:sz w:val="15"/>
          <w:color w:val="000000"/>
        </w:rPr>
        <w:t>”</w:t>
      </w:r>
      <w:r>
        <w:rPr>
          <w:rFonts w:ascii="仿宋_GB2312" w:hAnsi="仿宋_GB2312" w:cs="仿宋_GB2312" w:eastAsia="仿宋_GB2312"/>
          <w:sz w:val="15"/>
          <w:color w:val="000000"/>
        </w:rPr>
        <w:t>中</w:t>
      </w:r>
      <w:r>
        <w:rPr>
          <w:rFonts w:ascii="仿宋_GB2312" w:hAnsi="仿宋_GB2312" w:cs="仿宋_GB2312" w:eastAsia="仿宋_GB2312"/>
          <w:sz w:val="15"/>
          <w:color w:val="000000"/>
        </w:rPr>
        <w:t>“3.2.</w:t>
      </w:r>
      <w:r>
        <w:rPr>
          <w:rFonts w:ascii="仿宋_GB2312" w:hAnsi="仿宋_GB2312" w:cs="仿宋_GB2312" w:eastAsia="仿宋_GB2312"/>
          <w:sz w:val="15"/>
          <w:color w:val="000000"/>
        </w:rPr>
        <w:t>技术要求</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“3.3.</w:t>
      </w:r>
      <w:r>
        <w:rPr>
          <w:rFonts w:ascii="仿宋_GB2312" w:hAnsi="仿宋_GB2312" w:cs="仿宋_GB2312" w:eastAsia="仿宋_GB2312"/>
          <w:sz w:val="15"/>
          <w:color w:val="000000"/>
        </w:rPr>
        <w:t>服务要</w:t>
      </w:r>
      <w:r>
        <w:rPr>
          <w:rFonts w:ascii="仿宋_GB2312" w:hAnsi="仿宋_GB2312" w:cs="仿宋_GB2312" w:eastAsia="仿宋_GB2312"/>
          <w:sz w:val="15"/>
          <w:color w:val="000000"/>
        </w:rPr>
        <w:t>求</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15"/>
          <w:color w:val="000000"/>
        </w:rPr>
        <w:t>在磋商过程中，磋商小组在获得采购人代表确认的前提下，可以根据磋商情况实质性变动合同草案条款。</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1）供应商具有省级或以上建设行政主管部门颁发的有效的建设工程质量检测机构资质证书，资质证书检测类别应包含：见证取样检测、主体结构工程检测类、民用建筑室内环境污染控制检测类、建筑地基基础质量检测类、建筑节能与智能检测类、建筑幕墙工程检测类；或取得新版建设工程质量检测机构综合资质或专项资质，其专项资质包含建筑材料及构配件、主体结构及装饰装修、地基基础、建筑节能、建筑幕墙。 （2）供应商须具有《社会消防技术服务信息系统》和《四川省消防技术服务机构管理平台》上的备案登记证明。(提供相应网上截图并加盖公章)。（3）供应商应提供省级或以上质量技术监督部门颁发的有效的检验检测机构资质认定证书（CMA）复印件并加盖供应商公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磋商文件的实质性要求</w:t>
            </w:r>
          </w:p>
        </w:tc>
        <w:tc>
          <w:tcPr>
            <w:tcW w:type="dxa" w:w="3322"/>
          </w:tcPr>
          <w:p>
            <w:pPr>
              <w:pStyle w:val="null3"/>
              <w:jc w:val="left"/>
            </w:pPr>
            <w:r>
              <w:rPr>
                <w:rFonts w:ascii="仿宋_GB2312" w:hAnsi="仿宋_GB2312" w:cs="仿宋_GB2312" w:eastAsia="仿宋_GB2312"/>
              </w:rPr>
              <w:t>供应商按磋商文件的要求上传相关资料</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无</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1、项目负责人：具备二级及以上注册结构工程师证书得3分，同时具有建筑工程相关专业中级及以上职称加2分，本项最多得5分。 2、技术负责人：具备建筑工程相关专业中级及以上职称得3分。本项最多得3分。 3、承诺中标后配备其他检测人员：为本项目配备5人及以上检测人员的得10分，每有一名人员具有建筑工程相关专业中级及以上职称的加2分，本项最多得20分。 注：以上人员一人一岗，不得重复计分，须是本单位人员，提供相应证书复印件和相关证明材料并加盖公章。</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供应商每提供一个自2022年1月1日（含）至今正在实施或已完成的房屋建筑工程类检测项目业绩得4分。本项最多得12分。 注：提供合同复印件或中标（成交）通知书加盖供应商公章。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检测服务方案</w:t>
            </w:r>
          </w:p>
        </w:tc>
        <w:tc>
          <w:tcPr>
            <w:tcW w:type="dxa" w:w="2575"/>
          </w:tcPr>
          <w:p>
            <w:pPr>
              <w:pStyle w:val="null3"/>
              <w:jc w:val="left"/>
            </w:pPr>
            <w:r>
              <w:rPr>
                <w:rFonts w:ascii="仿宋_GB2312" w:hAnsi="仿宋_GB2312" w:cs="仿宋_GB2312" w:eastAsia="仿宋_GB2312"/>
              </w:rPr>
              <w:t>根据供应商针对本项目提供的检测服务方案进行综合评审，方案包含： ①现场施工配合方案；②检测作业协助方案；③技术保证措施；④沟通协调与信息管理方案应急措施；⑤管理制度和人员安排；⑥后续服务响应时间和实施步骤。方案内容满足磋商文件要求的得30分。方案中每有一项内容要素存在缺失的扣5分，方案内容要素中每存在一处缺陷扣2.5分，单项内容要素扣减分值不超过5分。扣完为止。 注：缺陷是指存在项目名称错误、项目实施地点区域错误、内容与本项目需求无关、仅有框架或标题、引用的规范及标准存在错误、明显复制其他项目内容中任意一种情形。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满足磋商文件要求且报价最低的磋商报价为磋商基准价，其价格分为满分。其他供应商的价格分统一按照下列公式计算：磋商报价得分=(磋商基准价／最后磋商报价)*30%*100。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