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33423">
      <w:pPr>
        <w:rPr>
          <w:color w:val="auto"/>
        </w:rPr>
      </w:pPr>
    </w:p>
    <w:p w14:paraId="4394CFA9">
      <w:pPr>
        <w:pStyle w:val="60"/>
        <w:rPr>
          <w:color w:val="auto"/>
        </w:rPr>
      </w:pPr>
    </w:p>
    <w:p w14:paraId="00E7A4D9">
      <w:pPr>
        <w:ind w:firstLine="720"/>
        <w:jc w:val="center"/>
        <w:rPr>
          <w:color w:val="auto"/>
          <w:sz w:val="36"/>
          <w:szCs w:val="36"/>
        </w:rPr>
      </w:pPr>
    </w:p>
    <w:p w14:paraId="1CF762D9">
      <w:pPr>
        <w:ind w:left="0" w:leftChars="0" w:firstLine="0" w:firstLineChars="0"/>
        <w:jc w:val="center"/>
        <w:rPr>
          <w:b/>
          <w:color w:val="auto"/>
          <w:sz w:val="72"/>
          <w:szCs w:val="72"/>
        </w:rPr>
      </w:pPr>
      <w:r>
        <w:rPr>
          <w:rFonts w:hint="eastAsia"/>
          <w:b/>
          <w:color w:val="auto"/>
          <w:sz w:val="72"/>
          <w:szCs w:val="72"/>
        </w:rPr>
        <w:t>服务采购</w:t>
      </w:r>
    </w:p>
    <w:p w14:paraId="66BDFAFF">
      <w:pPr>
        <w:pStyle w:val="25"/>
        <w:ind w:left="0" w:leftChars="0" w:firstLine="0" w:firstLineChars="0"/>
        <w:jc w:val="center"/>
        <w:rPr>
          <w:b/>
          <w:color w:val="auto"/>
          <w:sz w:val="72"/>
          <w:szCs w:val="72"/>
        </w:rPr>
      </w:pPr>
      <w:r>
        <w:rPr>
          <w:rFonts w:hint="eastAsia"/>
          <w:b/>
          <w:color w:val="auto"/>
          <w:sz w:val="72"/>
          <w:szCs w:val="72"/>
        </w:rPr>
        <w:t>竞争性磋商文件</w:t>
      </w:r>
    </w:p>
    <w:p w14:paraId="38B5838A">
      <w:pPr>
        <w:pStyle w:val="25"/>
        <w:ind w:firstLine="720"/>
        <w:jc w:val="center"/>
        <w:rPr>
          <w:rFonts w:hint="eastAsia"/>
          <w:color w:val="auto"/>
          <w:sz w:val="36"/>
          <w:szCs w:val="36"/>
        </w:rPr>
      </w:pPr>
    </w:p>
    <w:p w14:paraId="76590DD7">
      <w:pPr>
        <w:pStyle w:val="25"/>
        <w:ind w:firstLine="720"/>
        <w:jc w:val="center"/>
        <w:rPr>
          <w:rFonts w:hint="eastAsia"/>
          <w:color w:val="auto"/>
          <w:sz w:val="36"/>
          <w:szCs w:val="36"/>
        </w:rPr>
      </w:pPr>
    </w:p>
    <w:p w14:paraId="0E0FD5CE">
      <w:pPr>
        <w:pStyle w:val="25"/>
        <w:ind w:firstLine="720"/>
        <w:jc w:val="center"/>
        <w:rPr>
          <w:rFonts w:hint="eastAsia"/>
          <w:color w:val="auto"/>
          <w:sz w:val="36"/>
          <w:szCs w:val="36"/>
        </w:rPr>
      </w:pPr>
    </w:p>
    <w:p w14:paraId="66523E09">
      <w:pPr>
        <w:pStyle w:val="25"/>
        <w:ind w:firstLine="720"/>
        <w:jc w:val="center"/>
        <w:rPr>
          <w:color w:val="auto"/>
          <w:sz w:val="36"/>
          <w:szCs w:val="36"/>
        </w:rPr>
      </w:pPr>
    </w:p>
    <w:p w14:paraId="797F6A2A">
      <w:pPr>
        <w:pStyle w:val="25"/>
        <w:ind w:left="2878" w:leftChars="304" w:hanging="2240" w:hangingChars="700"/>
        <w:rPr>
          <w:rFonts w:hint="eastAsia" w:eastAsia="宋体"/>
          <w:color w:val="auto"/>
          <w:sz w:val="32"/>
          <w:szCs w:val="32"/>
          <w:lang w:eastAsia="zh-CN"/>
        </w:rPr>
      </w:pPr>
      <w:r>
        <w:rPr>
          <w:rFonts w:hint="eastAsia"/>
          <w:color w:val="auto"/>
          <w:sz w:val="32"/>
          <w:szCs w:val="32"/>
        </w:rPr>
        <w:t>采购项目名称：</w:t>
      </w:r>
      <w:r>
        <w:rPr>
          <w:rFonts w:hint="eastAsia"/>
          <w:color w:val="auto"/>
          <w:sz w:val="32"/>
          <w:szCs w:val="32"/>
          <w:u w:val="single"/>
          <w:lang w:eastAsia="zh-CN"/>
        </w:rPr>
        <w:t>荷韵园、福港苑保安保洁及工程维护业务委托服务采购</w:t>
      </w:r>
    </w:p>
    <w:p w14:paraId="16733FD3">
      <w:pPr>
        <w:pStyle w:val="25"/>
        <w:ind w:firstLine="640"/>
        <w:rPr>
          <w:rFonts w:hint="eastAsia" w:eastAsia="宋体"/>
          <w:color w:val="auto"/>
          <w:sz w:val="32"/>
          <w:szCs w:val="32"/>
          <w:u w:val="single"/>
          <w:lang w:eastAsia="zh-CN"/>
        </w:rPr>
      </w:pPr>
      <w:r>
        <w:rPr>
          <w:rFonts w:hint="eastAsia"/>
          <w:color w:val="auto"/>
          <w:sz w:val="32"/>
          <w:szCs w:val="32"/>
        </w:rPr>
        <w:t xml:space="preserve">采  </w:t>
      </w:r>
      <w:r>
        <w:rPr>
          <w:rFonts w:hint="eastAsia"/>
          <w:color w:val="auto"/>
          <w:sz w:val="32"/>
          <w:szCs w:val="32"/>
          <w:lang w:val="en-US" w:eastAsia="zh-CN"/>
        </w:rPr>
        <w:t xml:space="preserve"> </w:t>
      </w:r>
      <w:r>
        <w:rPr>
          <w:rFonts w:hint="eastAsia"/>
          <w:color w:val="auto"/>
          <w:sz w:val="32"/>
          <w:szCs w:val="32"/>
        </w:rPr>
        <w:t xml:space="preserve">购  </w:t>
      </w:r>
      <w:r>
        <w:rPr>
          <w:rFonts w:hint="eastAsia"/>
          <w:color w:val="auto"/>
          <w:sz w:val="32"/>
          <w:szCs w:val="32"/>
          <w:lang w:val="en-US" w:eastAsia="zh-CN"/>
        </w:rPr>
        <w:t xml:space="preserve"> </w:t>
      </w:r>
      <w:r>
        <w:rPr>
          <w:rFonts w:hint="eastAsia"/>
          <w:color w:val="auto"/>
          <w:sz w:val="32"/>
          <w:szCs w:val="32"/>
        </w:rPr>
        <w:t>人：</w:t>
      </w:r>
      <w:r>
        <w:rPr>
          <w:rFonts w:hint="eastAsia"/>
          <w:color w:val="auto"/>
          <w:sz w:val="32"/>
          <w:szCs w:val="32"/>
          <w:u w:val="single"/>
          <w:lang w:eastAsia="zh-CN"/>
        </w:rPr>
        <w:t>长沙市北鑫物业管理有限公司</w:t>
      </w:r>
    </w:p>
    <w:p w14:paraId="2759D278">
      <w:pPr>
        <w:pStyle w:val="25"/>
        <w:ind w:firstLine="640"/>
        <w:rPr>
          <w:rFonts w:hint="eastAsia" w:eastAsia="宋体"/>
          <w:b/>
          <w:color w:val="auto"/>
          <w:sz w:val="32"/>
          <w:szCs w:val="32"/>
          <w:u w:val="single"/>
          <w:lang w:eastAsia="zh-CN"/>
        </w:rPr>
      </w:pPr>
      <w:r>
        <w:rPr>
          <w:rFonts w:hint="eastAsia"/>
          <w:color w:val="auto"/>
          <w:sz w:val="32"/>
          <w:szCs w:val="32"/>
        </w:rPr>
        <w:t>采</w:t>
      </w:r>
      <w:r>
        <w:rPr>
          <w:rFonts w:hint="eastAsia"/>
          <w:color w:val="auto"/>
          <w:sz w:val="32"/>
          <w:szCs w:val="32"/>
          <w:lang w:val="en-US" w:eastAsia="zh-CN"/>
        </w:rPr>
        <w:t xml:space="preserve"> </w:t>
      </w:r>
      <w:r>
        <w:rPr>
          <w:rFonts w:hint="eastAsia"/>
          <w:color w:val="auto"/>
          <w:sz w:val="32"/>
          <w:szCs w:val="32"/>
        </w:rPr>
        <w:t>购</w:t>
      </w:r>
      <w:r>
        <w:rPr>
          <w:rFonts w:hint="eastAsia"/>
          <w:color w:val="auto"/>
          <w:sz w:val="32"/>
          <w:szCs w:val="32"/>
          <w:lang w:val="en-US" w:eastAsia="zh-CN"/>
        </w:rPr>
        <w:t xml:space="preserve"> </w:t>
      </w:r>
      <w:r>
        <w:rPr>
          <w:rFonts w:hint="eastAsia"/>
          <w:color w:val="auto"/>
          <w:sz w:val="32"/>
          <w:szCs w:val="32"/>
        </w:rPr>
        <w:t>编</w:t>
      </w:r>
      <w:r>
        <w:rPr>
          <w:rFonts w:hint="eastAsia"/>
          <w:color w:val="auto"/>
          <w:sz w:val="32"/>
          <w:szCs w:val="32"/>
          <w:lang w:val="en-US" w:eastAsia="zh-CN"/>
        </w:rPr>
        <w:t xml:space="preserve"> </w:t>
      </w:r>
      <w:r>
        <w:rPr>
          <w:rFonts w:hint="eastAsia"/>
          <w:color w:val="auto"/>
          <w:sz w:val="32"/>
          <w:szCs w:val="32"/>
        </w:rPr>
        <w:t>号</w:t>
      </w:r>
      <w:r>
        <w:rPr>
          <w:rFonts w:hint="eastAsia"/>
          <w:color w:val="auto"/>
          <w:sz w:val="32"/>
          <w:szCs w:val="32"/>
          <w:lang w:val="en-US" w:eastAsia="zh-CN"/>
        </w:rPr>
        <w:t xml:space="preserve"> ：</w:t>
      </w:r>
      <w:r>
        <w:rPr>
          <w:rFonts w:hint="eastAsia"/>
          <w:color w:val="auto"/>
          <w:sz w:val="32"/>
          <w:szCs w:val="32"/>
          <w:u w:val="single"/>
          <w:lang w:eastAsia="zh-CN"/>
        </w:rPr>
        <w:t>KFCG-F202504300004</w:t>
      </w:r>
    </w:p>
    <w:p w14:paraId="676B63EF">
      <w:pPr>
        <w:pStyle w:val="25"/>
        <w:ind w:firstLine="640"/>
        <w:rPr>
          <w:rFonts w:hint="eastAsia" w:eastAsia="宋体"/>
          <w:color w:val="auto"/>
          <w:sz w:val="32"/>
          <w:szCs w:val="32"/>
          <w:u w:val="single"/>
          <w:lang w:eastAsia="zh-CN"/>
        </w:rPr>
      </w:pPr>
      <w:r>
        <w:rPr>
          <w:rFonts w:hint="eastAsia"/>
          <w:color w:val="auto"/>
          <w:sz w:val="32"/>
          <w:szCs w:val="32"/>
        </w:rPr>
        <w:t>委托代理编号</w:t>
      </w:r>
      <w:r>
        <w:rPr>
          <w:rFonts w:hint="eastAsia"/>
          <w:color w:val="auto"/>
          <w:sz w:val="32"/>
          <w:szCs w:val="32"/>
          <w:lang w:eastAsia="zh-CN"/>
        </w:rPr>
        <w:t>：</w:t>
      </w:r>
      <w:r>
        <w:rPr>
          <w:rFonts w:hint="eastAsia"/>
          <w:color w:val="auto"/>
          <w:sz w:val="32"/>
          <w:szCs w:val="32"/>
          <w:highlight w:val="none"/>
          <w:u w:val="single"/>
          <w:lang w:eastAsia="zh-CN"/>
        </w:rPr>
        <w:t>HNYY-N-2025047</w:t>
      </w:r>
    </w:p>
    <w:p w14:paraId="7DF0321C">
      <w:pPr>
        <w:pStyle w:val="25"/>
        <w:ind w:firstLine="640"/>
        <w:rPr>
          <w:rFonts w:hAnsi="宋体" w:cs="宋体"/>
          <w:color w:val="auto"/>
          <w:sz w:val="32"/>
          <w:szCs w:val="32"/>
        </w:rPr>
      </w:pPr>
      <w:r>
        <w:rPr>
          <w:rFonts w:hint="eastAsia" w:hAnsi="宋体" w:cs="宋体"/>
          <w:color w:val="auto"/>
          <w:sz w:val="32"/>
          <w:szCs w:val="32"/>
        </w:rPr>
        <w:t>采购代理机构</w:t>
      </w:r>
      <w:r>
        <w:rPr>
          <w:rFonts w:hint="eastAsia" w:hAnsi="宋体" w:cs="宋体"/>
          <w:color w:val="auto"/>
          <w:sz w:val="32"/>
          <w:szCs w:val="32"/>
          <w:lang w:eastAsia="zh-CN"/>
        </w:rPr>
        <w:t>：</w:t>
      </w:r>
      <w:r>
        <w:rPr>
          <w:color w:val="auto"/>
          <w:u w:val="single"/>
        </w:rPr>
        <w:fldChar w:fldCharType="begin"/>
      </w:r>
      <w:r>
        <w:rPr>
          <w:color w:val="auto"/>
          <w:u w:val="single"/>
        </w:rPr>
        <w:instrText xml:space="preserve"> HYPERLINK "http://jczy.ccgp.gov.cn/gs1/gs1agentreg/javascript:void(0);" </w:instrText>
      </w:r>
      <w:r>
        <w:rPr>
          <w:color w:val="auto"/>
          <w:u w:val="single"/>
        </w:rPr>
        <w:fldChar w:fldCharType="separate"/>
      </w:r>
      <w:r>
        <w:rPr>
          <w:rFonts w:hint="eastAsia" w:hAnsi="宋体" w:cs="宋体"/>
          <w:color w:val="auto"/>
          <w:sz w:val="32"/>
          <w:szCs w:val="32"/>
          <w:u w:val="single"/>
        </w:rPr>
        <w:t>湖南扬屹咨询管理有限公司</w:t>
      </w:r>
      <w:r>
        <w:rPr>
          <w:rFonts w:hint="eastAsia" w:hAnsi="宋体" w:cs="宋体"/>
          <w:color w:val="auto"/>
          <w:sz w:val="32"/>
          <w:szCs w:val="32"/>
          <w:u w:val="single"/>
        </w:rPr>
        <w:fldChar w:fldCharType="end"/>
      </w:r>
    </w:p>
    <w:p w14:paraId="42AA64B4">
      <w:pPr>
        <w:pStyle w:val="25"/>
        <w:rPr>
          <w:color w:val="auto"/>
        </w:rPr>
      </w:pPr>
    </w:p>
    <w:p w14:paraId="6BA9BB4E">
      <w:pPr>
        <w:pStyle w:val="25"/>
        <w:rPr>
          <w:color w:val="auto"/>
        </w:rPr>
      </w:pPr>
    </w:p>
    <w:p w14:paraId="3954B6D1">
      <w:pPr>
        <w:pStyle w:val="25"/>
        <w:rPr>
          <w:color w:val="auto"/>
        </w:rPr>
      </w:pPr>
    </w:p>
    <w:p w14:paraId="38471EF8">
      <w:pPr>
        <w:pStyle w:val="25"/>
        <w:rPr>
          <w:color w:val="auto"/>
        </w:rPr>
      </w:pPr>
    </w:p>
    <w:p w14:paraId="193F54F2">
      <w:pPr>
        <w:pStyle w:val="25"/>
        <w:rPr>
          <w:color w:val="auto"/>
        </w:rPr>
      </w:pPr>
    </w:p>
    <w:p w14:paraId="05D77EE2">
      <w:pPr>
        <w:pStyle w:val="25"/>
        <w:ind w:firstLine="640"/>
        <w:jc w:val="center"/>
        <w:rPr>
          <w:b/>
          <w:bCs/>
          <w:color w:val="auto"/>
          <w:sz w:val="32"/>
          <w:szCs w:val="32"/>
        </w:rPr>
      </w:pPr>
      <w:r>
        <w:rPr>
          <w:rFonts w:hint="eastAsia"/>
          <w:b/>
          <w:bCs/>
          <w:color w:val="auto"/>
          <w:sz w:val="32"/>
          <w:szCs w:val="32"/>
        </w:rPr>
        <w:t>二〇二</w:t>
      </w:r>
      <w:r>
        <w:rPr>
          <w:rFonts w:hint="eastAsia"/>
          <w:b/>
          <w:bCs/>
          <w:color w:val="auto"/>
          <w:sz w:val="32"/>
          <w:szCs w:val="32"/>
          <w:lang w:val="en-US" w:eastAsia="zh-CN"/>
        </w:rPr>
        <w:t>五</w:t>
      </w:r>
      <w:r>
        <w:rPr>
          <w:rFonts w:hint="eastAsia"/>
          <w:b/>
          <w:bCs/>
          <w:color w:val="auto"/>
          <w:sz w:val="32"/>
          <w:szCs w:val="32"/>
        </w:rPr>
        <w:t>年</w:t>
      </w:r>
      <w:r>
        <w:rPr>
          <w:rFonts w:hint="eastAsia"/>
          <w:b/>
          <w:bCs/>
          <w:color w:val="auto"/>
          <w:sz w:val="32"/>
          <w:szCs w:val="32"/>
          <w:lang w:val="en-US" w:eastAsia="zh-CN"/>
        </w:rPr>
        <w:t>五</w:t>
      </w:r>
      <w:r>
        <w:rPr>
          <w:rFonts w:hint="eastAsia"/>
          <w:b/>
          <w:bCs/>
          <w:color w:val="auto"/>
          <w:sz w:val="32"/>
          <w:szCs w:val="32"/>
        </w:rPr>
        <w:t>月</w:t>
      </w:r>
    </w:p>
    <w:p w14:paraId="1FB83EC4">
      <w:pPr>
        <w:pStyle w:val="25"/>
        <w:adjustRightInd w:val="0"/>
        <w:snapToGrid w:val="0"/>
        <w:spacing w:line="360" w:lineRule="auto"/>
        <w:ind w:firstLine="0" w:firstLineChars="0"/>
        <w:jc w:val="center"/>
        <w:rPr>
          <w:rFonts w:hint="eastAsia" w:hAnsi="宋体" w:cs="宋体"/>
          <w:color w:val="auto"/>
          <w:spacing w:val="16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531" w:bottom="1440" w:left="1531" w:header="851" w:footer="992" w:gutter="0"/>
          <w:pgNumType w:fmt="decimal" w:start="1"/>
          <w:cols w:space="720" w:num="1"/>
          <w:titlePg/>
          <w:docGrid w:type="lines" w:linePitch="312" w:charSpace="0"/>
        </w:sectPr>
      </w:pPr>
    </w:p>
    <w:p w14:paraId="3CCB687A">
      <w:pPr>
        <w:pStyle w:val="25"/>
        <w:adjustRightInd w:val="0"/>
        <w:snapToGrid w:val="0"/>
        <w:spacing w:line="360" w:lineRule="auto"/>
        <w:ind w:firstLine="0" w:firstLineChars="0"/>
        <w:jc w:val="center"/>
        <w:rPr>
          <w:rFonts w:hAnsi="宋体" w:cs="宋体"/>
          <w:b/>
          <w:bCs/>
          <w:color w:val="auto"/>
          <w:spacing w:val="160"/>
          <w:sz w:val="36"/>
          <w:szCs w:val="36"/>
        </w:rPr>
      </w:pPr>
      <w:r>
        <w:rPr>
          <w:rFonts w:hint="eastAsia" w:hAnsi="宋体" w:cs="宋体"/>
          <w:b/>
          <w:bCs/>
          <w:color w:val="auto"/>
          <w:spacing w:val="160"/>
          <w:sz w:val="36"/>
          <w:szCs w:val="36"/>
        </w:rPr>
        <w:t>目录</w:t>
      </w:r>
    </w:p>
    <w:p w14:paraId="0D0FF373">
      <w:pPr>
        <w:pStyle w:val="25"/>
        <w:rPr>
          <w:color w:val="auto"/>
        </w:rPr>
      </w:pPr>
    </w:p>
    <w:p w14:paraId="293D5EA3">
      <w:pPr>
        <w:pStyle w:val="25"/>
        <w:rPr>
          <w:color w:val="auto"/>
        </w:rPr>
      </w:pPr>
      <w:r>
        <w:rPr>
          <w:rFonts w:hint="eastAsia"/>
          <w:b/>
          <w:bCs/>
          <w:color w:val="auto"/>
        </w:rPr>
        <w:t>第一章  磋商邀请</w:t>
      </w:r>
    </w:p>
    <w:p w14:paraId="5D0DDA7A">
      <w:pPr>
        <w:pStyle w:val="25"/>
        <w:rPr>
          <w:b/>
          <w:bCs/>
          <w:color w:val="auto"/>
        </w:rPr>
      </w:pPr>
      <w:r>
        <w:rPr>
          <w:rFonts w:hint="eastAsia"/>
          <w:b/>
          <w:bCs/>
          <w:color w:val="auto"/>
        </w:rPr>
        <w:t>第二章  磋商须知</w:t>
      </w:r>
    </w:p>
    <w:p w14:paraId="3BBDF8D6">
      <w:pPr>
        <w:ind w:firstLine="630" w:firstLineChars="300"/>
        <w:rPr>
          <w:color w:val="auto"/>
        </w:rPr>
      </w:pPr>
      <w:r>
        <w:rPr>
          <w:rFonts w:hint="eastAsia"/>
          <w:color w:val="auto"/>
        </w:rPr>
        <w:t>磋商须知前附表</w:t>
      </w:r>
    </w:p>
    <w:p w14:paraId="6BAF5C2B">
      <w:pPr>
        <w:ind w:firstLine="630" w:firstLineChars="300"/>
        <w:rPr>
          <w:color w:val="auto"/>
        </w:rPr>
      </w:pPr>
      <w:r>
        <w:rPr>
          <w:rFonts w:hint="eastAsia"/>
          <w:color w:val="auto"/>
        </w:rPr>
        <w:t>磋商须知正文</w:t>
      </w:r>
    </w:p>
    <w:p w14:paraId="231CD1BC">
      <w:pPr>
        <w:ind w:firstLine="630" w:firstLineChars="300"/>
        <w:rPr>
          <w:color w:val="auto"/>
        </w:rPr>
      </w:pPr>
      <w:r>
        <w:rPr>
          <w:rFonts w:hint="eastAsia"/>
          <w:color w:val="auto"/>
        </w:rPr>
        <w:t>一、说明</w:t>
      </w:r>
    </w:p>
    <w:p w14:paraId="7BD32675">
      <w:pPr>
        <w:ind w:firstLine="630" w:firstLineChars="300"/>
        <w:rPr>
          <w:color w:val="auto"/>
        </w:rPr>
      </w:pPr>
      <w:r>
        <w:rPr>
          <w:rFonts w:hint="eastAsia"/>
          <w:color w:val="auto"/>
        </w:rPr>
        <w:t>二、</w:t>
      </w:r>
      <w:r>
        <w:rPr>
          <w:rFonts w:hint="eastAsia"/>
          <w:bCs/>
          <w:color w:val="auto"/>
        </w:rPr>
        <w:t>磋商</w:t>
      </w:r>
      <w:r>
        <w:rPr>
          <w:rFonts w:hint="eastAsia"/>
          <w:color w:val="auto"/>
        </w:rPr>
        <w:t>文件</w:t>
      </w:r>
    </w:p>
    <w:p w14:paraId="50966153">
      <w:pPr>
        <w:ind w:firstLine="630" w:firstLineChars="300"/>
        <w:rPr>
          <w:color w:val="auto"/>
        </w:rPr>
      </w:pPr>
      <w:r>
        <w:rPr>
          <w:rFonts w:hint="eastAsia"/>
          <w:color w:val="auto"/>
        </w:rPr>
        <w:t>三、响应文件</w:t>
      </w:r>
    </w:p>
    <w:p w14:paraId="297B6906">
      <w:pPr>
        <w:ind w:firstLine="630" w:firstLineChars="300"/>
        <w:rPr>
          <w:color w:val="auto"/>
        </w:rPr>
      </w:pPr>
      <w:r>
        <w:rPr>
          <w:rFonts w:hint="eastAsia"/>
          <w:color w:val="auto"/>
        </w:rPr>
        <w:t>四、响应文件的递交</w:t>
      </w:r>
    </w:p>
    <w:p w14:paraId="3985C05C">
      <w:pPr>
        <w:ind w:firstLine="630" w:firstLineChars="300"/>
        <w:rPr>
          <w:bCs/>
          <w:color w:val="auto"/>
        </w:rPr>
      </w:pPr>
      <w:r>
        <w:rPr>
          <w:rFonts w:hint="eastAsia"/>
          <w:bCs/>
          <w:color w:val="auto"/>
        </w:rPr>
        <w:t>五、</w:t>
      </w:r>
      <w:r>
        <w:rPr>
          <w:rFonts w:hint="eastAsia"/>
          <w:color w:val="auto"/>
        </w:rPr>
        <w:t>响应文件</w:t>
      </w:r>
      <w:r>
        <w:rPr>
          <w:rFonts w:hint="eastAsia"/>
          <w:bCs/>
          <w:color w:val="auto"/>
        </w:rPr>
        <w:t>的</w:t>
      </w:r>
      <w:r>
        <w:rPr>
          <w:rFonts w:hint="eastAsia"/>
          <w:color w:val="auto"/>
        </w:rPr>
        <w:t>磋商与评审</w:t>
      </w:r>
    </w:p>
    <w:p w14:paraId="77BBFBA1">
      <w:pPr>
        <w:ind w:firstLine="630" w:firstLineChars="300"/>
        <w:rPr>
          <w:color w:val="auto"/>
        </w:rPr>
      </w:pPr>
      <w:r>
        <w:rPr>
          <w:rFonts w:hint="eastAsia"/>
          <w:color w:val="auto"/>
        </w:rPr>
        <w:t>六、成交结果信息公布与授予合同</w:t>
      </w:r>
    </w:p>
    <w:p w14:paraId="09394D34">
      <w:pPr>
        <w:ind w:firstLine="630" w:firstLineChars="300"/>
        <w:rPr>
          <w:color w:val="auto"/>
        </w:rPr>
      </w:pPr>
      <w:r>
        <w:rPr>
          <w:rFonts w:hint="eastAsia"/>
          <w:color w:val="auto"/>
        </w:rPr>
        <w:t>七、其它规定</w:t>
      </w:r>
    </w:p>
    <w:p w14:paraId="28EDEB27">
      <w:pPr>
        <w:rPr>
          <w:b/>
          <w:bCs/>
          <w:color w:val="auto"/>
        </w:rPr>
      </w:pPr>
      <w:r>
        <w:rPr>
          <w:rFonts w:hint="eastAsia"/>
          <w:b/>
          <w:bCs/>
          <w:color w:val="auto"/>
        </w:rPr>
        <w:t>第三章  采购合同格式</w:t>
      </w:r>
    </w:p>
    <w:p w14:paraId="78D11285">
      <w:pPr>
        <w:rPr>
          <w:b/>
          <w:bCs/>
          <w:color w:val="auto"/>
        </w:rPr>
      </w:pPr>
      <w:r>
        <w:rPr>
          <w:rFonts w:hint="eastAsia"/>
          <w:b/>
          <w:bCs/>
          <w:color w:val="auto"/>
        </w:rPr>
        <w:t>第四章  采购需求</w:t>
      </w:r>
    </w:p>
    <w:p w14:paraId="316FDA67">
      <w:pPr>
        <w:pStyle w:val="25"/>
        <w:rPr>
          <w:b/>
          <w:bCs/>
          <w:color w:val="auto"/>
        </w:rPr>
      </w:pPr>
      <w:r>
        <w:rPr>
          <w:rFonts w:hint="eastAsia"/>
          <w:b/>
          <w:bCs/>
          <w:color w:val="auto"/>
        </w:rPr>
        <w:t>第五章  响应文件组成</w:t>
      </w:r>
    </w:p>
    <w:p w14:paraId="33252AA9">
      <w:pPr>
        <w:rPr>
          <w:color w:val="auto"/>
        </w:rPr>
      </w:pPr>
    </w:p>
    <w:p w14:paraId="618920C2">
      <w:pPr>
        <w:rPr>
          <w:color w:val="auto"/>
        </w:rPr>
      </w:pPr>
    </w:p>
    <w:p w14:paraId="6B547E32">
      <w:pPr>
        <w:rPr>
          <w:color w:val="auto"/>
        </w:rPr>
      </w:pPr>
    </w:p>
    <w:p w14:paraId="360DB6C7">
      <w:pPr>
        <w:rPr>
          <w:color w:val="auto"/>
        </w:rPr>
      </w:pPr>
    </w:p>
    <w:p w14:paraId="43F4C737">
      <w:pPr>
        <w:rPr>
          <w:color w:val="auto"/>
        </w:rPr>
      </w:pPr>
    </w:p>
    <w:p w14:paraId="1DB1DAE5">
      <w:pPr>
        <w:rPr>
          <w:color w:val="auto"/>
        </w:rPr>
      </w:pPr>
    </w:p>
    <w:p w14:paraId="33142BE0">
      <w:pPr>
        <w:rPr>
          <w:color w:val="auto"/>
        </w:rPr>
      </w:pPr>
    </w:p>
    <w:p w14:paraId="7CEC8BE7">
      <w:pPr>
        <w:rPr>
          <w:color w:val="auto"/>
        </w:rPr>
      </w:pPr>
    </w:p>
    <w:p w14:paraId="68F67551">
      <w:pPr>
        <w:rPr>
          <w:color w:val="auto"/>
        </w:rPr>
      </w:pPr>
    </w:p>
    <w:p w14:paraId="5C57B910">
      <w:pPr>
        <w:rPr>
          <w:color w:val="auto"/>
        </w:rPr>
      </w:pPr>
    </w:p>
    <w:p w14:paraId="4CB52172">
      <w:pPr>
        <w:rPr>
          <w:color w:val="auto"/>
        </w:rPr>
      </w:pPr>
    </w:p>
    <w:p w14:paraId="0F7A9C56">
      <w:pPr>
        <w:rPr>
          <w:color w:val="auto"/>
        </w:rPr>
      </w:pPr>
    </w:p>
    <w:p w14:paraId="3087C1D3">
      <w:pPr>
        <w:spacing w:line="240" w:lineRule="auto"/>
        <w:ind w:firstLine="0" w:firstLineChars="0"/>
        <w:jc w:val="center"/>
        <w:rPr>
          <w:rFonts w:hint="eastAsia" w:ascii="宋体" w:hAnsi="宋体" w:cs="宋体"/>
          <w:b/>
          <w:color w:val="auto"/>
          <w:sz w:val="32"/>
          <w:szCs w:val="32"/>
        </w:rPr>
        <w:sectPr>
          <w:footerReference r:id="rId12" w:type="first"/>
          <w:footerReference r:id="rId11" w:type="default"/>
          <w:pgSz w:w="11906" w:h="16838"/>
          <w:pgMar w:top="1440" w:right="1531" w:bottom="1440" w:left="1531" w:header="794" w:footer="680" w:gutter="0"/>
          <w:pgNumType w:fmt="decimal" w:start="1"/>
          <w:cols w:space="720" w:num="1"/>
          <w:titlePg/>
          <w:docGrid w:type="lines" w:linePitch="312" w:charSpace="0"/>
        </w:sectPr>
      </w:pPr>
    </w:p>
    <w:p w14:paraId="205E3089">
      <w:pPr>
        <w:spacing w:line="240" w:lineRule="auto"/>
        <w:ind w:firstLine="0" w:firstLineChars="0"/>
        <w:jc w:val="center"/>
        <w:rPr>
          <w:color w:val="auto"/>
          <w:kern w:val="0"/>
          <w:szCs w:val="21"/>
        </w:rPr>
      </w:pPr>
      <w:r>
        <w:rPr>
          <w:rFonts w:hint="eastAsia" w:ascii="宋体" w:hAnsi="宋体" w:cs="宋体"/>
          <w:b/>
          <w:color w:val="auto"/>
          <w:sz w:val="32"/>
          <w:szCs w:val="32"/>
        </w:rPr>
        <w:t>第一章  磋商邀请</w:t>
      </w:r>
    </w:p>
    <w:p w14:paraId="2E139DE1">
      <w:pPr>
        <w:rPr>
          <w:color w:val="auto"/>
        </w:rPr>
      </w:pPr>
      <w:r>
        <w:rPr>
          <w:color w:val="auto"/>
        </w:rPr>
        <w:fldChar w:fldCharType="begin"/>
      </w:r>
      <w:r>
        <w:rPr>
          <w:color w:val="auto"/>
        </w:rPr>
        <w:instrText xml:space="preserve"> HYPERLINK "http://jczy.ccgp.gov.cn/gs1/gs1agentreg/javascript:void(0);" </w:instrText>
      </w:r>
      <w:r>
        <w:rPr>
          <w:color w:val="auto"/>
        </w:rPr>
        <w:fldChar w:fldCharType="separate"/>
      </w:r>
      <w:r>
        <w:rPr>
          <w:rFonts w:hint="eastAsia"/>
          <w:color w:val="auto"/>
          <w:u w:val="single"/>
        </w:rPr>
        <w:t>湖南扬屹咨询管理有限公司</w:t>
      </w:r>
      <w:r>
        <w:rPr>
          <w:rFonts w:hint="eastAsia"/>
          <w:color w:val="auto"/>
          <w:u w:val="single"/>
        </w:rPr>
        <w:fldChar w:fldCharType="end"/>
      </w:r>
      <w:r>
        <w:rPr>
          <w:rFonts w:hint="eastAsia"/>
          <w:color w:val="auto"/>
        </w:rPr>
        <w:t>（采购代理机构）受</w:t>
      </w:r>
      <w:r>
        <w:rPr>
          <w:rFonts w:hint="eastAsia"/>
          <w:color w:val="auto"/>
          <w:u w:val="single"/>
          <w:lang w:eastAsia="zh-CN"/>
        </w:rPr>
        <w:t>长沙市北鑫物业管理有限公司</w:t>
      </w:r>
      <w:r>
        <w:rPr>
          <w:rFonts w:hint="eastAsia"/>
          <w:color w:val="auto"/>
        </w:rPr>
        <w:t>（采购人）的委托，对</w:t>
      </w:r>
      <w:r>
        <w:rPr>
          <w:rFonts w:hint="eastAsia"/>
          <w:color w:val="auto"/>
          <w:u w:val="single"/>
          <w:lang w:eastAsia="zh-CN"/>
        </w:rPr>
        <w:t>荷韵园、福港苑保安保洁及工程维护业务委托服务采购</w:t>
      </w:r>
      <w:r>
        <w:rPr>
          <w:rFonts w:hint="eastAsia"/>
          <w:color w:val="auto"/>
        </w:rPr>
        <w:t>进行采购，现采用竞争性磋商方式，邀请符合资格条件的供应商参与竞争性磋商采购活动。</w:t>
      </w:r>
    </w:p>
    <w:p w14:paraId="0DFC9459">
      <w:pPr>
        <w:rPr>
          <w:b/>
          <w:bCs/>
          <w:color w:val="auto"/>
        </w:rPr>
      </w:pPr>
      <w:r>
        <w:rPr>
          <w:rFonts w:hint="eastAsia"/>
          <w:b/>
          <w:bCs/>
          <w:color w:val="auto"/>
          <w:lang w:val="en-US" w:eastAsia="zh-CN"/>
        </w:rPr>
        <w:t>一、</w:t>
      </w:r>
      <w:r>
        <w:rPr>
          <w:rFonts w:hint="eastAsia"/>
          <w:b/>
          <w:bCs/>
          <w:color w:val="auto"/>
        </w:rPr>
        <w:t>采购项目基本概况</w:t>
      </w:r>
    </w:p>
    <w:p w14:paraId="373D1CB6">
      <w:pPr>
        <w:rPr>
          <w:rFonts w:hint="eastAsia" w:eastAsia="宋体"/>
          <w:color w:val="auto"/>
          <w:highlight w:val="yellow"/>
          <w:lang w:eastAsia="zh-CN"/>
        </w:rPr>
      </w:pPr>
      <w:r>
        <w:rPr>
          <w:rFonts w:hint="eastAsia"/>
          <w:color w:val="auto"/>
        </w:rPr>
        <w:t>1、采购项目名称：</w:t>
      </w:r>
      <w:r>
        <w:rPr>
          <w:rFonts w:hint="eastAsia"/>
          <w:color w:val="auto"/>
          <w:lang w:eastAsia="zh-CN"/>
        </w:rPr>
        <w:t>荷韵园、福港苑保安保洁及工程维护业务委托服务采购</w:t>
      </w:r>
    </w:p>
    <w:p w14:paraId="22ECFAE2">
      <w:pPr>
        <w:rPr>
          <w:rFonts w:hint="eastAsia" w:eastAsia="宋体"/>
          <w:color w:val="auto"/>
          <w:lang w:eastAsia="zh-CN"/>
        </w:rPr>
      </w:pPr>
      <w:r>
        <w:rPr>
          <w:rFonts w:hint="eastAsia"/>
          <w:color w:val="auto"/>
        </w:rPr>
        <w:t>2、采购计划编号：</w:t>
      </w:r>
      <w:r>
        <w:rPr>
          <w:rFonts w:hint="eastAsia"/>
          <w:color w:val="auto"/>
          <w:lang w:eastAsia="zh-CN"/>
        </w:rPr>
        <w:t>KFCG-F202504300004</w:t>
      </w:r>
    </w:p>
    <w:p w14:paraId="581B97BD">
      <w:pPr>
        <w:rPr>
          <w:rFonts w:hint="eastAsia" w:eastAsia="宋体"/>
          <w:color w:val="auto"/>
          <w:lang w:eastAsia="zh-CN"/>
        </w:rPr>
      </w:pPr>
      <w:r>
        <w:rPr>
          <w:rFonts w:hint="eastAsia"/>
          <w:color w:val="auto"/>
        </w:rPr>
        <w:t>3、委托代理编号：</w:t>
      </w:r>
      <w:r>
        <w:rPr>
          <w:rFonts w:hint="eastAsia"/>
          <w:color w:val="auto"/>
          <w:highlight w:val="none"/>
          <w:lang w:eastAsia="zh-CN"/>
        </w:rPr>
        <w:t>HNYY-N-2025047</w:t>
      </w:r>
    </w:p>
    <w:p w14:paraId="379A8DAD">
      <w:pPr>
        <w:rPr>
          <w:color w:val="auto"/>
        </w:rPr>
      </w:pPr>
      <w:r>
        <w:rPr>
          <w:rFonts w:hint="eastAsia"/>
          <w:color w:val="auto"/>
        </w:rPr>
        <w:t>4、采购项目标的、数量及简要规格描述或项目基本概况介绍：详见磋商文件“第四章 采购需求”。</w:t>
      </w:r>
    </w:p>
    <w:p w14:paraId="143030B5">
      <w:pPr>
        <w:rPr>
          <w:rFonts w:hint="eastAsia"/>
          <w:b/>
          <w:bCs/>
          <w:color w:val="auto"/>
          <w:highlight w:val="none"/>
          <w:lang w:eastAsia="zh-CN"/>
        </w:rPr>
      </w:pPr>
      <w:r>
        <w:rPr>
          <w:rFonts w:hint="eastAsia"/>
          <w:b/>
          <w:bCs/>
          <w:color w:val="auto"/>
        </w:rPr>
        <w:t>二、采购项目总</w:t>
      </w:r>
      <w:r>
        <w:rPr>
          <w:rFonts w:hint="eastAsia"/>
          <w:b/>
          <w:bCs/>
          <w:color w:val="auto"/>
          <w:highlight w:val="none"/>
        </w:rPr>
        <w:t>预算：</w:t>
      </w:r>
      <w:r>
        <w:rPr>
          <w:rFonts w:hint="eastAsia"/>
          <w:b/>
          <w:bCs/>
          <w:color w:val="auto"/>
          <w:highlight w:val="none"/>
          <w:lang w:eastAsia="zh-CN"/>
        </w:rPr>
        <w:t>1059180.00元</w:t>
      </w:r>
    </w:p>
    <w:p w14:paraId="24A23893">
      <w:pPr>
        <w:ind w:left="0" w:leftChars="0" w:firstLine="843" w:firstLineChars="400"/>
        <w:rPr>
          <w:rFonts w:hint="eastAsia" w:ascii="宋体" w:hAnsi="宋体" w:eastAsia="宋体" w:cs="宋体"/>
          <w:b/>
          <w:bCs/>
          <w:spacing w:val="-1"/>
          <w:sz w:val="21"/>
          <w:szCs w:val="21"/>
          <w:highlight w:val="none"/>
          <w:u w:val="none"/>
          <w:lang w:val="en-US" w:eastAsia="zh-CN"/>
        </w:rPr>
      </w:pPr>
      <w:r>
        <w:rPr>
          <w:rFonts w:hint="eastAsia" w:cs="宋体"/>
          <w:b/>
          <w:bCs/>
          <w:color w:val="auto"/>
          <w:lang w:val="en-US" w:eastAsia="zh-CN"/>
        </w:rPr>
        <w:t>其中</w:t>
      </w:r>
      <w:r>
        <w:rPr>
          <w:rFonts w:hint="eastAsia" w:cs="宋体"/>
          <w:b/>
          <w:bCs/>
          <w:color w:val="auto"/>
          <w:lang w:eastAsia="zh-CN"/>
        </w:rPr>
        <w:t>福港苑</w:t>
      </w:r>
      <w:r>
        <w:rPr>
          <w:rFonts w:hint="eastAsia" w:cs="宋体"/>
          <w:b/>
          <w:bCs/>
          <w:color w:val="auto"/>
          <w:lang w:val="en-US" w:eastAsia="zh-CN"/>
        </w:rPr>
        <w:t>小区</w:t>
      </w:r>
      <w:r>
        <w:rPr>
          <w:rFonts w:hint="eastAsia" w:ascii="宋体" w:hAnsi="宋体" w:eastAsia="宋体" w:cs="宋体"/>
          <w:b/>
          <w:bCs/>
          <w:spacing w:val="-1"/>
          <w:sz w:val="21"/>
          <w:szCs w:val="21"/>
          <w:highlight w:val="none"/>
          <w:u w:val="none"/>
          <w:lang w:eastAsia="zh-CN"/>
        </w:rPr>
        <w:t>保安保洁</w:t>
      </w:r>
      <w:r>
        <w:rPr>
          <w:rFonts w:hint="eastAsia" w:cs="宋体"/>
          <w:b/>
          <w:bCs/>
          <w:spacing w:val="-1"/>
          <w:sz w:val="21"/>
          <w:szCs w:val="21"/>
          <w:highlight w:val="none"/>
          <w:u w:val="none"/>
          <w:lang w:val="en-US" w:eastAsia="zh-CN"/>
        </w:rPr>
        <w:t>及工程维护服务</w:t>
      </w:r>
      <w:r>
        <w:rPr>
          <w:rFonts w:hint="eastAsia" w:ascii="宋体" w:hAnsi="宋体" w:eastAsia="宋体" w:cs="宋体"/>
          <w:b/>
          <w:bCs/>
          <w:spacing w:val="-1"/>
          <w:sz w:val="21"/>
          <w:szCs w:val="21"/>
          <w:highlight w:val="none"/>
          <w:u w:val="none"/>
          <w:lang w:val="en-US" w:eastAsia="zh-CN"/>
        </w:rPr>
        <w:t>：</w:t>
      </w:r>
      <w:r>
        <w:rPr>
          <w:rFonts w:hint="eastAsia" w:cs="宋体"/>
          <w:b/>
          <w:bCs/>
          <w:spacing w:val="-1"/>
          <w:sz w:val="21"/>
          <w:szCs w:val="21"/>
          <w:highlight w:val="none"/>
          <w:u w:val="none"/>
          <w:lang w:val="en-US" w:eastAsia="zh-CN"/>
        </w:rPr>
        <w:t>395652.00</w:t>
      </w:r>
      <w:r>
        <w:rPr>
          <w:rFonts w:hint="eastAsia" w:ascii="宋体" w:hAnsi="宋体" w:eastAsia="宋体" w:cs="宋体"/>
          <w:b/>
          <w:bCs/>
          <w:spacing w:val="-1"/>
          <w:sz w:val="21"/>
          <w:szCs w:val="21"/>
          <w:highlight w:val="none"/>
          <w:u w:val="none"/>
          <w:lang w:val="en-US" w:eastAsia="zh-CN"/>
        </w:rPr>
        <w:t>元</w:t>
      </w:r>
    </w:p>
    <w:p w14:paraId="6B535AC5">
      <w:pPr>
        <w:ind w:left="0" w:leftChars="0" w:firstLine="1265" w:firstLineChars="600"/>
        <w:rPr>
          <w:rFonts w:hint="eastAsia"/>
        </w:rPr>
      </w:pPr>
      <w:r>
        <w:rPr>
          <w:rFonts w:hint="eastAsia" w:cs="宋体"/>
          <w:b/>
          <w:bCs/>
          <w:color w:val="auto"/>
          <w:lang w:val="en-US" w:eastAsia="zh-CN"/>
        </w:rPr>
        <w:t>荷韵园小区</w:t>
      </w:r>
      <w:r>
        <w:rPr>
          <w:rFonts w:hint="eastAsia" w:ascii="宋体" w:hAnsi="宋体" w:eastAsia="宋体" w:cs="宋体"/>
          <w:b/>
          <w:bCs/>
          <w:spacing w:val="-1"/>
          <w:sz w:val="21"/>
          <w:szCs w:val="21"/>
          <w:highlight w:val="none"/>
          <w:u w:val="none"/>
          <w:lang w:eastAsia="zh-CN"/>
        </w:rPr>
        <w:t>保安保洁</w:t>
      </w:r>
      <w:r>
        <w:rPr>
          <w:rFonts w:hint="eastAsia" w:cs="宋体"/>
          <w:b/>
          <w:bCs/>
          <w:spacing w:val="-1"/>
          <w:sz w:val="21"/>
          <w:szCs w:val="21"/>
          <w:highlight w:val="none"/>
          <w:u w:val="none"/>
          <w:lang w:val="en-US" w:eastAsia="zh-CN"/>
        </w:rPr>
        <w:t>及工程维护服务</w:t>
      </w:r>
      <w:r>
        <w:rPr>
          <w:rFonts w:hint="eastAsia" w:ascii="Times New Roman" w:hAnsi="宋体" w:eastAsia="宋体" w:cs="宋体"/>
          <w:b/>
          <w:bCs/>
          <w:color w:val="auto"/>
          <w:lang w:val="en-US" w:eastAsia="zh-CN"/>
        </w:rPr>
        <w:t>：</w:t>
      </w:r>
      <w:r>
        <w:rPr>
          <w:rFonts w:hint="eastAsia" w:cs="宋体"/>
          <w:b/>
          <w:bCs/>
          <w:spacing w:val="-1"/>
          <w:sz w:val="21"/>
          <w:szCs w:val="21"/>
          <w:highlight w:val="none"/>
          <w:u w:val="none"/>
          <w:lang w:val="en-US" w:eastAsia="zh-CN"/>
        </w:rPr>
        <w:t>663528.00</w:t>
      </w:r>
      <w:r>
        <w:rPr>
          <w:rFonts w:hint="eastAsia" w:ascii="宋体" w:hAnsi="宋体" w:eastAsia="宋体" w:cs="宋体"/>
          <w:b/>
          <w:bCs/>
          <w:spacing w:val="-1"/>
          <w:sz w:val="21"/>
          <w:szCs w:val="21"/>
          <w:highlight w:val="none"/>
          <w:u w:val="none"/>
          <w:lang w:val="en-US" w:eastAsia="zh-CN"/>
        </w:rPr>
        <w:t>元</w:t>
      </w:r>
    </w:p>
    <w:p w14:paraId="5C622922">
      <w:pPr>
        <w:ind w:firstLine="632" w:firstLineChars="300"/>
        <w:rPr>
          <w:b/>
          <w:bCs/>
          <w:color w:val="auto"/>
          <w:highlight w:val="none"/>
        </w:rPr>
      </w:pPr>
      <w:r>
        <w:rPr>
          <w:rFonts w:hint="eastAsia"/>
          <w:b/>
          <w:bCs/>
          <w:color w:val="auto"/>
          <w:highlight w:val="none"/>
        </w:rPr>
        <w:t>三、供应商资格条件：</w:t>
      </w:r>
    </w:p>
    <w:p w14:paraId="16A39D6A">
      <w:pPr>
        <w:rPr>
          <w:color w:val="auto"/>
        </w:rPr>
      </w:pPr>
      <w:r>
        <w:rPr>
          <w:rFonts w:hint="eastAsia"/>
          <w:color w:val="auto"/>
        </w:rPr>
        <w:t>1、基本资格条件：供应商应符合《中华人民共和国政府采购法》第二十二条第一款规定的供应商条件，并提供以下资料：</w:t>
      </w:r>
    </w:p>
    <w:p w14:paraId="6651C2EC">
      <w:pPr>
        <w:rPr>
          <w:color w:val="auto"/>
        </w:rPr>
      </w:pPr>
      <w:r>
        <w:rPr>
          <w:rFonts w:hint="eastAsia"/>
          <w:color w:val="auto"/>
        </w:rPr>
        <w:t>（1）法人提交企业法人营业执照副本(或者法人登记证书)；</w:t>
      </w:r>
    </w:p>
    <w:p w14:paraId="05643BC6">
      <w:pPr>
        <w:rPr>
          <w:color w:val="auto"/>
        </w:rPr>
      </w:pPr>
      <w:r>
        <w:rPr>
          <w:rFonts w:hint="eastAsia"/>
          <w:color w:val="auto"/>
        </w:rPr>
        <w:t>（2）提交《供应商资格承诺函》；</w:t>
      </w:r>
    </w:p>
    <w:p w14:paraId="7B53D707">
      <w:pPr>
        <w:rPr>
          <w:color w:val="auto"/>
        </w:rPr>
      </w:pPr>
      <w:r>
        <w:rPr>
          <w:rFonts w:hint="eastAsia"/>
          <w:color w:val="auto"/>
        </w:rPr>
        <w:t>（3）法人提交法定代表人身份证明原件或者法定代表人授权委托书原</w:t>
      </w:r>
      <w:r>
        <w:rPr>
          <w:rFonts w:hint="eastAsia"/>
          <w:b w:val="0"/>
          <w:bCs w:val="0"/>
          <w:color w:val="auto"/>
        </w:rPr>
        <w:t>件及提供被授权人在投标单位近三个月</w:t>
      </w:r>
      <w:r>
        <w:rPr>
          <w:rFonts w:hint="eastAsia"/>
          <w:b w:val="0"/>
          <w:bCs w:val="0"/>
          <w:color w:val="auto"/>
          <w:lang w:eastAsia="zh-CN"/>
        </w:rPr>
        <w:t>内任意一个月</w:t>
      </w:r>
      <w:r>
        <w:rPr>
          <w:rFonts w:hint="eastAsia"/>
          <w:b w:val="0"/>
          <w:bCs w:val="0"/>
          <w:color w:val="auto"/>
        </w:rPr>
        <w:t>的社保证明并附法定代表人身份证明原件；自然人</w:t>
      </w:r>
      <w:r>
        <w:rPr>
          <w:rFonts w:hint="eastAsia"/>
          <w:color w:val="auto"/>
        </w:rPr>
        <w:t>提交身份证复印件；</w:t>
      </w:r>
    </w:p>
    <w:p w14:paraId="29BE8117">
      <w:pPr>
        <w:rPr>
          <w:color w:val="auto"/>
        </w:rPr>
      </w:pPr>
      <w:r>
        <w:rPr>
          <w:rFonts w:hint="eastAsia"/>
          <w:color w:val="auto"/>
        </w:rPr>
        <w:t>（4）其他说明。(非法人组织参与投标需提供的相关证明材料)。</w:t>
      </w:r>
    </w:p>
    <w:p w14:paraId="4A96D8DC">
      <w:pPr>
        <w:rPr>
          <w:color w:val="auto"/>
        </w:rPr>
      </w:pPr>
      <w:r>
        <w:rPr>
          <w:rFonts w:hint="eastAsia"/>
          <w:color w:val="auto"/>
        </w:rPr>
        <w:t>（5）</w:t>
      </w:r>
      <w:r>
        <w:rPr>
          <w:rFonts w:hint="eastAsia"/>
          <w:bCs/>
          <w:color w:val="auto"/>
        </w:rPr>
        <w:t>近</w:t>
      </w:r>
      <w:r>
        <w:rPr>
          <w:rFonts w:hint="eastAsia"/>
          <w:color w:val="auto"/>
        </w:rPr>
        <w:t>三个月是指</w:t>
      </w:r>
      <w:r>
        <w:rPr>
          <w:rFonts w:hint="eastAsia"/>
          <w:color w:val="auto"/>
          <w:lang w:eastAsia="zh-CN"/>
        </w:rPr>
        <w:t>202</w:t>
      </w:r>
      <w:r>
        <w:rPr>
          <w:rFonts w:hint="eastAsia"/>
          <w:color w:val="auto"/>
          <w:lang w:val="en-US" w:eastAsia="zh-CN"/>
        </w:rPr>
        <w:t>5</w:t>
      </w:r>
      <w:r>
        <w:rPr>
          <w:rFonts w:hint="eastAsia"/>
          <w:color w:val="auto"/>
          <w:lang w:eastAsia="zh-CN"/>
        </w:rPr>
        <w:t>年</w:t>
      </w:r>
      <w:r>
        <w:rPr>
          <w:rFonts w:hint="eastAsia"/>
          <w:color w:val="auto"/>
          <w:lang w:val="en-US" w:eastAsia="zh-CN"/>
        </w:rPr>
        <w:t>02</w:t>
      </w:r>
      <w:r>
        <w:rPr>
          <w:rFonts w:hint="eastAsia"/>
          <w:color w:val="auto"/>
          <w:lang w:eastAsia="zh-CN"/>
        </w:rPr>
        <w:t>月至202</w:t>
      </w:r>
      <w:r>
        <w:rPr>
          <w:rFonts w:hint="eastAsia"/>
          <w:color w:val="auto"/>
          <w:lang w:val="en-US" w:eastAsia="zh-CN"/>
        </w:rPr>
        <w:t>5</w:t>
      </w:r>
      <w:r>
        <w:rPr>
          <w:rFonts w:hint="eastAsia"/>
          <w:color w:val="auto"/>
          <w:lang w:eastAsia="zh-CN"/>
        </w:rPr>
        <w:t>年</w:t>
      </w:r>
      <w:r>
        <w:rPr>
          <w:rFonts w:hint="eastAsia"/>
          <w:color w:val="auto"/>
          <w:lang w:val="en-US" w:eastAsia="zh-CN"/>
        </w:rPr>
        <w:t>04</w:t>
      </w:r>
      <w:r>
        <w:rPr>
          <w:rFonts w:hint="eastAsia"/>
          <w:color w:val="auto"/>
          <w:lang w:eastAsia="zh-CN"/>
        </w:rPr>
        <w:t>月</w:t>
      </w:r>
      <w:r>
        <w:rPr>
          <w:rFonts w:hint="eastAsia"/>
          <w:color w:val="auto"/>
        </w:rPr>
        <w:t>。</w:t>
      </w:r>
      <w:bookmarkStart w:id="12" w:name="_GoBack"/>
      <w:bookmarkEnd w:id="12"/>
    </w:p>
    <w:p w14:paraId="4DD67AEB">
      <w:pPr>
        <w:rPr>
          <w:color w:val="auto"/>
        </w:rPr>
      </w:pPr>
      <w:r>
        <w:rPr>
          <w:rFonts w:hint="eastAsia"/>
          <w:color w:val="auto"/>
        </w:rPr>
        <w:t>2、供应商特定资格条件：</w:t>
      </w:r>
      <w:r>
        <w:rPr>
          <w:rFonts w:hint="eastAsia"/>
          <w:color w:val="auto"/>
          <w:lang w:val="en-US" w:eastAsia="zh-CN"/>
        </w:rPr>
        <w:t>无</w:t>
      </w:r>
      <w:r>
        <w:rPr>
          <w:rFonts w:hint="eastAsia"/>
          <w:color w:val="auto"/>
        </w:rPr>
        <w:t>。</w:t>
      </w:r>
    </w:p>
    <w:p w14:paraId="608330E4">
      <w:pPr>
        <w:rPr>
          <w:color w:val="auto"/>
          <w:highlight w:val="none"/>
        </w:rPr>
      </w:pPr>
      <w:r>
        <w:rPr>
          <w:rFonts w:hint="eastAsia"/>
          <w:color w:val="auto"/>
        </w:rPr>
        <w:t>3、本项目不接受联合体</w:t>
      </w:r>
      <w:r>
        <w:rPr>
          <w:rFonts w:hint="eastAsia"/>
          <w:color w:val="auto"/>
          <w:highlight w:val="none"/>
        </w:rPr>
        <w:t>投标。</w:t>
      </w:r>
    </w:p>
    <w:p w14:paraId="76EAA507">
      <w:pPr>
        <w:rPr>
          <w:b/>
          <w:bCs w:val="0"/>
          <w:color w:val="auto"/>
          <w:highlight w:val="none"/>
        </w:rPr>
      </w:pPr>
      <w:r>
        <w:rPr>
          <w:rFonts w:hint="eastAsia"/>
          <w:b/>
          <w:bCs w:val="0"/>
          <w:color w:val="auto"/>
          <w:highlight w:val="none"/>
        </w:rPr>
        <w:t xml:space="preserve">四、获取磋商文件的时间、地点、方式及磋商文件售价 </w:t>
      </w:r>
    </w:p>
    <w:p w14:paraId="17D329EA">
      <w:pPr>
        <w:adjustRightInd w:val="0"/>
        <w:snapToGrid w:val="0"/>
        <w:spacing w:line="360" w:lineRule="auto"/>
        <w:ind w:firstLine="210" w:firstLineChars="100"/>
        <w:jc w:val="left"/>
        <w:outlineLvl w:val="0"/>
        <w:rPr>
          <w:rFonts w:hint="eastAsia"/>
          <w:color w:val="auto"/>
          <w:highlight w:val="none"/>
        </w:rPr>
      </w:pPr>
      <w:r>
        <w:rPr>
          <w:rFonts w:hint="eastAsia"/>
          <w:color w:val="auto"/>
          <w:highlight w:val="none"/>
        </w:rPr>
        <w:t>1、凡有意参加磋商采购活动的，请于</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u w:val="single"/>
          <w:lang w:val="en-US" w:eastAsia="zh-CN"/>
        </w:rPr>
        <w:t xml:space="preserve"> 05 </w:t>
      </w:r>
      <w:r>
        <w:rPr>
          <w:rFonts w:hint="eastAsia"/>
          <w:color w:val="auto"/>
          <w:highlight w:val="none"/>
        </w:rPr>
        <w:t>月</w:t>
      </w:r>
      <w:r>
        <w:rPr>
          <w:rFonts w:hint="eastAsia"/>
          <w:color w:val="auto"/>
          <w:highlight w:val="none"/>
          <w:u w:val="single"/>
          <w:lang w:val="en-US" w:eastAsia="zh-CN"/>
        </w:rPr>
        <w:t xml:space="preserve"> 09 </w:t>
      </w:r>
      <w:r>
        <w:rPr>
          <w:rFonts w:hint="eastAsia"/>
          <w:color w:val="auto"/>
          <w:highlight w:val="none"/>
          <w:lang w:val="en-US" w:eastAsia="zh-CN"/>
        </w:rPr>
        <w:t xml:space="preserve"> </w:t>
      </w:r>
      <w:r>
        <w:rPr>
          <w:rFonts w:hint="eastAsia"/>
          <w:color w:val="auto"/>
          <w:highlight w:val="none"/>
        </w:rPr>
        <w:t>日起至</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u w:val="single"/>
          <w:lang w:val="en-US" w:eastAsia="zh-CN"/>
        </w:rPr>
        <w:t xml:space="preserve"> 05 </w:t>
      </w:r>
      <w:r>
        <w:rPr>
          <w:rFonts w:hint="eastAsia"/>
          <w:color w:val="auto"/>
          <w:highlight w:val="none"/>
        </w:rPr>
        <w:t>月</w:t>
      </w:r>
      <w:r>
        <w:rPr>
          <w:rFonts w:hint="eastAsia"/>
          <w:color w:val="auto"/>
          <w:highlight w:val="none"/>
          <w:u w:val="single"/>
          <w:lang w:val="en-US" w:eastAsia="zh-CN"/>
        </w:rPr>
        <w:t xml:space="preserve"> 16 </w:t>
      </w:r>
      <w:r>
        <w:rPr>
          <w:rFonts w:hint="eastAsia"/>
          <w:color w:val="auto"/>
          <w:highlight w:val="none"/>
        </w:rPr>
        <w:t>日(节假日除外)，每日上午</w:t>
      </w:r>
      <w:r>
        <w:rPr>
          <w:rFonts w:hint="eastAsia"/>
          <w:color w:val="auto"/>
          <w:highlight w:val="none"/>
          <w:u w:val="single"/>
        </w:rPr>
        <w:t xml:space="preserve"> 9:00 </w:t>
      </w:r>
      <w:r>
        <w:rPr>
          <w:rFonts w:hint="eastAsia"/>
          <w:color w:val="auto"/>
          <w:highlight w:val="none"/>
        </w:rPr>
        <w:t>～</w:t>
      </w:r>
      <w:r>
        <w:rPr>
          <w:rFonts w:hint="eastAsia"/>
          <w:color w:val="auto"/>
          <w:highlight w:val="none"/>
          <w:u w:val="single"/>
        </w:rPr>
        <w:t xml:space="preserve"> 12:00 </w:t>
      </w:r>
      <w:r>
        <w:rPr>
          <w:rFonts w:hint="eastAsia"/>
          <w:color w:val="auto"/>
          <w:highlight w:val="none"/>
        </w:rPr>
        <w:t>，下午</w:t>
      </w:r>
      <w:r>
        <w:rPr>
          <w:rFonts w:hint="eastAsia"/>
          <w:color w:val="auto"/>
          <w:highlight w:val="none"/>
          <w:u w:val="single"/>
        </w:rPr>
        <w:t xml:space="preserve"> 14:30 </w:t>
      </w:r>
      <w:r>
        <w:rPr>
          <w:rFonts w:hint="eastAsia"/>
          <w:color w:val="auto"/>
          <w:highlight w:val="none"/>
        </w:rPr>
        <w:t>～</w:t>
      </w:r>
      <w:r>
        <w:rPr>
          <w:rFonts w:hint="eastAsia"/>
          <w:color w:val="auto"/>
          <w:highlight w:val="none"/>
          <w:u w:val="single"/>
        </w:rPr>
        <w:t xml:space="preserve"> 17:00 </w:t>
      </w:r>
      <w:r>
        <w:rPr>
          <w:rFonts w:hint="eastAsia"/>
          <w:color w:val="auto"/>
          <w:highlight w:val="none"/>
        </w:rPr>
        <w:t>(北京时间)，</w:t>
      </w:r>
      <w:r>
        <w:rPr>
          <w:rFonts w:hint="eastAsia"/>
          <w:b/>
          <w:bCs/>
          <w:color w:val="auto"/>
          <w:highlight w:val="none"/>
        </w:rPr>
        <w:t>持以下盖章资料</w:t>
      </w:r>
      <w:r>
        <w:rPr>
          <w:rFonts w:hint="eastAsia"/>
          <w:color w:val="auto"/>
          <w:highlight w:val="none"/>
        </w:rPr>
        <w:t>：</w:t>
      </w:r>
      <w:r>
        <w:rPr>
          <w:rFonts w:hint="eastAsia"/>
          <w:b/>
          <w:bCs/>
          <w:color w:val="auto"/>
          <w:highlight w:val="none"/>
        </w:rPr>
        <w:t>①单位介绍信、②法定代表人身份证明（附营业执照）或者授权委托书(并附法定代表人身份证明、附营业执照)、③个人身份证</w:t>
      </w:r>
      <w:r>
        <w:rPr>
          <w:rFonts w:hint="eastAsia"/>
          <w:color w:val="auto"/>
          <w:highlight w:val="none"/>
        </w:rPr>
        <w:t>到</w:t>
      </w:r>
      <w:r>
        <w:rPr>
          <w:color w:val="auto"/>
          <w:highlight w:val="none"/>
        </w:rPr>
        <w:fldChar w:fldCharType="begin"/>
      </w:r>
      <w:r>
        <w:rPr>
          <w:color w:val="auto"/>
          <w:highlight w:val="none"/>
        </w:rPr>
        <w:instrText xml:space="preserve"> HYPERLINK "http://jczy.ccgp.gov.cn/gs1/gs1agentreg/javascript:void(0);" </w:instrText>
      </w:r>
      <w:r>
        <w:rPr>
          <w:color w:val="auto"/>
          <w:highlight w:val="none"/>
        </w:rPr>
        <w:fldChar w:fldCharType="separate"/>
      </w:r>
      <w:r>
        <w:rPr>
          <w:rFonts w:hint="eastAsia"/>
          <w:color w:val="auto"/>
          <w:highlight w:val="none"/>
        </w:rPr>
        <w:t>湖南扬屹咨询管理有限公司</w:t>
      </w:r>
      <w:r>
        <w:rPr>
          <w:rFonts w:hint="eastAsia"/>
          <w:color w:val="auto"/>
          <w:highlight w:val="none"/>
        </w:rPr>
        <w:fldChar w:fldCharType="end"/>
      </w:r>
      <w:r>
        <w:rPr>
          <w:rFonts w:hint="eastAsia"/>
          <w:color w:val="auto"/>
          <w:highlight w:val="none"/>
        </w:rPr>
        <w:t>（</w:t>
      </w:r>
      <w:r>
        <w:rPr>
          <w:rFonts w:hint="eastAsia"/>
          <w:color w:val="auto"/>
          <w:highlight w:val="none"/>
          <w:lang w:eastAsia="zh-CN"/>
        </w:rPr>
        <w:t>长沙市开福区青竹湖街道彩霞社区金霞跨境产贸城5栋12层1203房</w:t>
      </w:r>
      <w:r>
        <w:rPr>
          <w:rFonts w:hint="eastAsia"/>
          <w:color w:val="auto"/>
          <w:highlight w:val="none"/>
        </w:rPr>
        <w:t>）领取磋商文件。</w:t>
      </w:r>
    </w:p>
    <w:p w14:paraId="33217CF4">
      <w:pPr>
        <w:adjustRightInd w:val="0"/>
        <w:snapToGrid w:val="0"/>
        <w:spacing w:line="360" w:lineRule="auto"/>
        <w:ind w:firstLine="0" w:firstLineChars="0"/>
        <w:jc w:val="left"/>
        <w:outlineLvl w:val="0"/>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rPr>
        <w:t>2、磋商文件每份人民币</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元，售后不退。</w:t>
      </w:r>
    </w:p>
    <w:p w14:paraId="49D6EAB3">
      <w:pPr>
        <w:ind w:left="0" w:leftChars="0" w:firstLine="211" w:firstLineChars="100"/>
        <w:rPr>
          <w:b/>
          <w:bCs/>
          <w:color w:val="auto"/>
          <w:highlight w:val="none"/>
        </w:rPr>
      </w:pPr>
      <w:r>
        <w:rPr>
          <w:rFonts w:hint="eastAsia"/>
          <w:b/>
          <w:bCs/>
          <w:color w:val="auto"/>
          <w:highlight w:val="none"/>
        </w:rPr>
        <w:t>五、响应文件提交的截止时间、开启时间及地点</w:t>
      </w:r>
    </w:p>
    <w:p w14:paraId="6554DC23">
      <w:pPr>
        <w:rPr>
          <w:color w:val="auto"/>
          <w:highlight w:val="none"/>
        </w:rPr>
      </w:pPr>
      <w:r>
        <w:rPr>
          <w:rFonts w:hint="eastAsia"/>
          <w:color w:val="auto"/>
          <w:highlight w:val="none"/>
        </w:rPr>
        <w:t>1、提交首次响应文件的截止时间为</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u w:val="single"/>
          <w:lang w:val="en-US" w:eastAsia="zh-CN"/>
        </w:rPr>
        <w:t xml:space="preserve"> 05 </w:t>
      </w:r>
      <w:r>
        <w:rPr>
          <w:rFonts w:hint="eastAsia"/>
          <w:color w:val="auto"/>
          <w:highlight w:val="none"/>
        </w:rPr>
        <w:t>月</w:t>
      </w:r>
      <w:r>
        <w:rPr>
          <w:rFonts w:hint="eastAsia"/>
          <w:color w:val="auto"/>
          <w:highlight w:val="none"/>
          <w:u w:val="single"/>
          <w:lang w:val="en-US" w:eastAsia="zh-CN"/>
        </w:rPr>
        <w:t xml:space="preserve"> 22  </w:t>
      </w:r>
      <w:r>
        <w:rPr>
          <w:rFonts w:hint="eastAsia"/>
          <w:color w:val="auto"/>
          <w:highlight w:val="none"/>
        </w:rPr>
        <w:t>日</w:t>
      </w:r>
      <w:r>
        <w:rPr>
          <w:rFonts w:hint="eastAsia"/>
          <w:color w:val="auto"/>
          <w:highlight w:val="none"/>
          <w:u w:val="single"/>
        </w:rPr>
        <w:t xml:space="preserve"> 14 </w:t>
      </w:r>
      <w:r>
        <w:rPr>
          <w:rFonts w:hint="eastAsia"/>
          <w:color w:val="auto"/>
          <w:highlight w:val="none"/>
        </w:rPr>
        <w:t>时</w:t>
      </w:r>
      <w:r>
        <w:rPr>
          <w:rFonts w:hint="eastAsia"/>
          <w:color w:val="auto"/>
          <w:highlight w:val="none"/>
          <w:u w:val="single"/>
          <w:lang w:val="en-US" w:eastAsia="zh-CN"/>
        </w:rPr>
        <w:t>0</w:t>
      </w:r>
      <w:r>
        <w:rPr>
          <w:color w:val="auto"/>
          <w:highlight w:val="none"/>
          <w:u w:val="single"/>
        </w:rPr>
        <w:t>0</w:t>
      </w:r>
      <w:r>
        <w:rPr>
          <w:rFonts w:hint="eastAsia"/>
          <w:color w:val="auto"/>
          <w:highlight w:val="none"/>
        </w:rPr>
        <w:t>分（北京时间），地点为</w:t>
      </w:r>
      <w:r>
        <w:rPr>
          <w:color w:val="auto"/>
          <w:highlight w:val="none"/>
        </w:rPr>
        <w:fldChar w:fldCharType="begin"/>
      </w:r>
      <w:r>
        <w:rPr>
          <w:color w:val="auto"/>
          <w:highlight w:val="none"/>
        </w:rPr>
        <w:instrText xml:space="preserve"> HYPERLINK "http://jczy.ccgp.gov.cn/gs1/gs1agentreg/javascript:void(0);" </w:instrText>
      </w:r>
      <w:r>
        <w:rPr>
          <w:color w:val="auto"/>
          <w:highlight w:val="none"/>
        </w:rPr>
        <w:fldChar w:fldCharType="separate"/>
      </w:r>
      <w:r>
        <w:rPr>
          <w:rFonts w:hint="eastAsia"/>
          <w:color w:val="auto"/>
          <w:highlight w:val="none"/>
          <w:u w:val="single"/>
        </w:rPr>
        <w:t>湖南扬屹咨询管理有限公司</w:t>
      </w:r>
      <w:r>
        <w:rPr>
          <w:rFonts w:hint="eastAsia"/>
          <w:color w:val="auto"/>
          <w:highlight w:val="none"/>
          <w:u w:val="single"/>
        </w:rPr>
        <w:fldChar w:fldCharType="end"/>
      </w:r>
      <w:r>
        <w:rPr>
          <w:rFonts w:hint="eastAsia"/>
          <w:color w:val="auto"/>
          <w:highlight w:val="none"/>
          <w:u w:val="single"/>
        </w:rPr>
        <w:t>开标室（</w:t>
      </w:r>
      <w:r>
        <w:rPr>
          <w:rFonts w:hint="eastAsia"/>
          <w:color w:val="auto"/>
          <w:highlight w:val="none"/>
          <w:u w:val="single"/>
          <w:lang w:eastAsia="zh-CN"/>
        </w:rPr>
        <w:t>长沙市开福区青竹湖街道彩霞社区金霞跨境产贸城5栋12层1203房</w:t>
      </w:r>
      <w:r>
        <w:rPr>
          <w:rFonts w:hint="eastAsia"/>
          <w:color w:val="auto"/>
          <w:highlight w:val="none"/>
          <w:u w:val="single"/>
        </w:rPr>
        <w:t>）</w:t>
      </w:r>
      <w:r>
        <w:rPr>
          <w:rFonts w:hint="eastAsia"/>
          <w:color w:val="auto"/>
          <w:highlight w:val="none"/>
        </w:rPr>
        <w:t>(指定地点)。在截止时间后送达的响应文件为无效文件，采购人、采购代理机构或者磋商小组应当拒收。</w:t>
      </w:r>
    </w:p>
    <w:p w14:paraId="11D41E4C">
      <w:pPr>
        <w:rPr>
          <w:color w:val="auto"/>
          <w:highlight w:val="none"/>
        </w:rPr>
      </w:pPr>
      <w:r>
        <w:rPr>
          <w:rFonts w:hint="eastAsia"/>
          <w:color w:val="auto"/>
          <w:highlight w:val="none"/>
        </w:rPr>
        <w:t>2、首次响应文件的开启时间及地点与提交首次响应文件的截止时间及地点为同一时间及地点。</w:t>
      </w:r>
    </w:p>
    <w:p w14:paraId="06DC7CD9">
      <w:pPr>
        <w:ind w:left="0" w:leftChars="0" w:firstLine="211" w:firstLineChars="100"/>
        <w:rPr>
          <w:b/>
          <w:bCs/>
          <w:color w:val="auto"/>
          <w:highlight w:val="none"/>
        </w:rPr>
      </w:pPr>
      <w:r>
        <w:rPr>
          <w:rFonts w:hint="eastAsia"/>
          <w:b/>
          <w:bCs/>
          <w:color w:val="auto"/>
          <w:highlight w:val="none"/>
        </w:rPr>
        <w:t>六、公告期限：</w:t>
      </w:r>
    </w:p>
    <w:p w14:paraId="0B791999">
      <w:pPr>
        <w:pStyle w:val="60"/>
        <w:keepNext w:val="0"/>
        <w:keepLines w:val="0"/>
        <w:pageBreakBefore w:val="0"/>
        <w:widowControl w:val="0"/>
        <w:kinsoku/>
        <w:wordWrap/>
        <w:overflowPunct/>
        <w:topLinePunct w:val="0"/>
        <w:autoSpaceDE/>
        <w:autoSpaceDN/>
        <w:bidi w:val="0"/>
        <w:spacing w:line="440" w:lineRule="exact"/>
        <w:textAlignment w:val="auto"/>
        <w:rPr>
          <w:color w:val="auto"/>
          <w:highlight w:val="non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05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09  </w:t>
      </w:r>
      <w:r>
        <w:rPr>
          <w:rFonts w:hint="eastAsia" w:ascii="宋体" w:hAnsi="宋体" w:cs="宋体"/>
          <w:color w:val="auto"/>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时起至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05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14 </w:t>
      </w:r>
      <w:r>
        <w:rPr>
          <w:rFonts w:hint="eastAsia" w:ascii="宋体" w:hAnsi="宋体" w:cs="宋体"/>
          <w:color w:val="auto"/>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 xml:space="preserve"> </w:t>
      </w:r>
      <w:r>
        <w:rPr>
          <w:color w:val="auto"/>
          <w:szCs w:val="21"/>
          <w:highlight w:val="none"/>
        </w:rPr>
        <w:t>时（3个工作日）。</w:t>
      </w:r>
    </w:p>
    <w:p w14:paraId="30046D4B">
      <w:pPr>
        <w:keepNext w:val="0"/>
        <w:keepLines w:val="0"/>
        <w:pageBreakBefore w:val="0"/>
        <w:widowControl w:val="0"/>
        <w:kinsoku/>
        <w:wordWrap/>
        <w:overflowPunct/>
        <w:topLinePunct w:val="0"/>
        <w:autoSpaceDE/>
        <w:autoSpaceDN/>
        <w:bidi w:val="0"/>
        <w:spacing w:line="440" w:lineRule="exact"/>
        <w:textAlignment w:val="auto"/>
        <w:rPr>
          <w:color w:val="auto"/>
          <w:highlight w:val="none"/>
        </w:rPr>
      </w:pPr>
      <w:r>
        <w:rPr>
          <w:rFonts w:hint="eastAsia"/>
          <w:color w:val="auto"/>
          <w:highlight w:val="none"/>
        </w:rPr>
        <w:t>采购项目联系人姓名和电话</w:t>
      </w:r>
    </w:p>
    <w:p w14:paraId="035942AA">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 购 人：</w:t>
      </w:r>
      <w:r>
        <w:rPr>
          <w:rFonts w:hint="eastAsia" w:ascii="宋体" w:hAnsi="宋体" w:eastAsia="宋体" w:cs="宋体"/>
          <w:color w:val="auto"/>
          <w:szCs w:val="21"/>
          <w:highlight w:val="none"/>
          <w:lang w:eastAsia="zh-CN"/>
        </w:rPr>
        <w:t>长沙市北鑫物业管理有限公司</w:t>
      </w:r>
    </w:p>
    <w:p w14:paraId="56853887">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址：长沙市开福区凤舞路30号</w:t>
      </w:r>
    </w:p>
    <w:p w14:paraId="6AED5FC9">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0731-84390929</w:t>
      </w:r>
    </w:p>
    <w:p w14:paraId="1CF5D0CF">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王</w:t>
      </w:r>
      <w:r>
        <w:rPr>
          <w:rFonts w:hint="eastAsia" w:ascii="宋体" w:hAnsi="宋体" w:eastAsia="宋体" w:cs="宋体"/>
          <w:color w:val="auto"/>
          <w:szCs w:val="21"/>
          <w:highlight w:val="none"/>
        </w:rPr>
        <w:t>女士</w:t>
      </w:r>
    </w:p>
    <w:p w14:paraId="5EEEEE81">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p>
    <w:p w14:paraId="0C6BB350">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"http://jczy.ccgp.gov.cn/gs1/gs1agentreg/javascript:void(0);"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湖南扬屹咨询管理有限公司</w:t>
      </w:r>
      <w:r>
        <w:rPr>
          <w:rFonts w:hint="eastAsia" w:ascii="宋体" w:hAnsi="宋体" w:eastAsia="宋体" w:cs="宋体"/>
          <w:color w:val="auto"/>
          <w:szCs w:val="21"/>
          <w:highlight w:val="none"/>
        </w:rPr>
        <w:fldChar w:fldCharType="end"/>
      </w:r>
    </w:p>
    <w:p w14:paraId="09DBF29C">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cs="宋体"/>
          <w:color w:val="auto"/>
          <w:szCs w:val="21"/>
          <w:highlight w:val="none"/>
          <w:lang w:eastAsia="zh-CN"/>
        </w:rPr>
        <w:t>长沙市开福区青竹湖街道彩霞社区金霞跨境产贸城5栋12层1203房</w:t>
      </w:r>
    </w:p>
    <w:p w14:paraId="3C733383">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    话：0731-85581303、18874701060 </w:t>
      </w:r>
    </w:p>
    <w:p w14:paraId="09D51AE3">
      <w:pPr>
        <w:keepNext w:val="0"/>
        <w:keepLines w:val="0"/>
        <w:pageBreakBefore w:val="0"/>
        <w:widowControl w:val="0"/>
        <w:tabs>
          <w:tab w:val="left" w:pos="360"/>
        </w:tabs>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人：唐聪、肖杨</w:t>
      </w:r>
    </w:p>
    <w:p w14:paraId="30D20D54">
      <w:pPr>
        <w:pStyle w:val="25"/>
        <w:rPr>
          <w:color w:val="auto"/>
        </w:rPr>
      </w:pPr>
    </w:p>
    <w:p w14:paraId="2452E72A">
      <w:pPr>
        <w:pStyle w:val="25"/>
        <w:jc w:val="center"/>
        <w:rPr>
          <w:color w:val="auto"/>
        </w:rPr>
      </w:pPr>
      <w:r>
        <w:rPr>
          <w:rFonts w:hint="eastAsia"/>
          <w:color w:val="auto"/>
        </w:rPr>
        <w:br w:type="page"/>
      </w:r>
      <w:r>
        <w:rPr>
          <w:rFonts w:hint="eastAsia" w:hAnsi="宋体" w:cs="宋体"/>
          <w:b/>
          <w:color w:val="auto"/>
          <w:sz w:val="32"/>
          <w:szCs w:val="32"/>
        </w:rPr>
        <w:t>第二章 磋商须知</w:t>
      </w:r>
    </w:p>
    <w:p w14:paraId="1FD142B2">
      <w:pPr>
        <w:pStyle w:val="25"/>
        <w:ind w:left="0" w:leftChars="0" w:firstLine="0" w:firstLineChars="0"/>
        <w:rPr>
          <w:b/>
          <w:bCs/>
          <w:color w:val="auto"/>
          <w:sz w:val="24"/>
          <w:szCs w:val="24"/>
        </w:rPr>
      </w:pPr>
      <w:r>
        <w:rPr>
          <w:rFonts w:hint="eastAsia"/>
          <w:b/>
          <w:bCs/>
          <w:color w:val="auto"/>
          <w:sz w:val="24"/>
          <w:szCs w:val="24"/>
        </w:rPr>
        <w:t>磋商须知前附表</w:t>
      </w:r>
    </w:p>
    <w:p w14:paraId="3A03A1C9">
      <w:pPr>
        <w:pStyle w:val="25"/>
        <w:ind w:left="0" w:leftChars="0" w:firstLine="0" w:firstLineChars="0"/>
        <w:rPr>
          <w:color w:val="auto"/>
        </w:rPr>
      </w:pPr>
      <w:r>
        <w:rPr>
          <w:rFonts w:hint="eastAsia"/>
          <w:color w:val="auto"/>
        </w:rPr>
        <w:t>注： 请在方框□内划√选择，在“条款号”内限选一项。（本项目采用的条款用“■”标示）</w:t>
      </w:r>
    </w:p>
    <w:tbl>
      <w:tblPr>
        <w:tblStyle w:val="43"/>
        <w:tblW w:w="88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7"/>
        <w:gridCol w:w="1710"/>
        <w:gridCol w:w="5268"/>
      </w:tblGrid>
      <w:tr w14:paraId="09344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1867" w:type="dxa"/>
            <w:vAlign w:val="center"/>
          </w:tcPr>
          <w:p w14:paraId="474C75D8">
            <w:pPr>
              <w:rPr>
                <w:b/>
                <w:bCs/>
                <w:color w:val="auto"/>
              </w:rPr>
            </w:pPr>
            <w:r>
              <w:rPr>
                <w:rFonts w:hint="eastAsia"/>
                <w:b/>
                <w:bCs/>
                <w:color w:val="auto"/>
              </w:rPr>
              <w:t>条款号</w:t>
            </w:r>
          </w:p>
        </w:tc>
        <w:tc>
          <w:tcPr>
            <w:tcW w:w="1710" w:type="dxa"/>
            <w:vAlign w:val="center"/>
          </w:tcPr>
          <w:p w14:paraId="6E17B546">
            <w:pPr>
              <w:rPr>
                <w:b/>
                <w:bCs/>
                <w:color w:val="auto"/>
              </w:rPr>
            </w:pPr>
            <w:r>
              <w:rPr>
                <w:rFonts w:hint="eastAsia"/>
                <w:b/>
                <w:bCs/>
                <w:color w:val="auto"/>
              </w:rPr>
              <w:t>条款名称</w:t>
            </w:r>
          </w:p>
        </w:tc>
        <w:tc>
          <w:tcPr>
            <w:tcW w:w="5268" w:type="dxa"/>
            <w:vAlign w:val="center"/>
          </w:tcPr>
          <w:p w14:paraId="1431D2DB">
            <w:pPr>
              <w:ind w:firstLine="1476" w:firstLineChars="700"/>
              <w:rPr>
                <w:b/>
                <w:bCs/>
                <w:color w:val="auto"/>
              </w:rPr>
            </w:pPr>
            <w:r>
              <w:rPr>
                <w:rFonts w:hint="eastAsia"/>
                <w:b/>
                <w:bCs/>
                <w:color w:val="auto"/>
              </w:rPr>
              <w:t>编列内容规定</w:t>
            </w:r>
          </w:p>
        </w:tc>
      </w:tr>
      <w:tr w14:paraId="3DA0B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845" w:type="dxa"/>
            <w:gridSpan w:val="3"/>
            <w:vAlign w:val="center"/>
          </w:tcPr>
          <w:p w14:paraId="15DE9A35">
            <w:pPr>
              <w:ind w:left="0" w:leftChars="0" w:firstLine="0" w:firstLineChars="0"/>
              <w:rPr>
                <w:color w:val="auto"/>
              </w:rPr>
            </w:pPr>
            <w:r>
              <w:rPr>
                <w:rFonts w:hint="eastAsia"/>
                <w:b/>
                <w:bCs/>
                <w:color w:val="auto"/>
              </w:rPr>
              <w:t>一、说明</w:t>
            </w:r>
          </w:p>
        </w:tc>
      </w:tr>
      <w:tr w14:paraId="33DE6D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867" w:type="dxa"/>
            <w:vAlign w:val="center"/>
          </w:tcPr>
          <w:p w14:paraId="0B814F51">
            <w:pPr>
              <w:ind w:left="0" w:leftChars="0" w:firstLine="0" w:firstLineChars="0"/>
              <w:rPr>
                <w:color w:val="auto"/>
              </w:rPr>
            </w:pPr>
            <w:r>
              <w:rPr>
                <w:rFonts w:hint="eastAsia"/>
                <w:color w:val="auto"/>
              </w:rPr>
              <w:t>第二章第1.1款</w:t>
            </w:r>
          </w:p>
        </w:tc>
        <w:tc>
          <w:tcPr>
            <w:tcW w:w="1710" w:type="dxa"/>
            <w:vAlign w:val="center"/>
          </w:tcPr>
          <w:p w14:paraId="4744183F">
            <w:pPr>
              <w:ind w:left="0" w:leftChars="0" w:firstLine="0" w:firstLineChars="0"/>
              <w:rPr>
                <w:color w:val="auto"/>
              </w:rPr>
            </w:pPr>
            <w:r>
              <w:rPr>
                <w:rFonts w:hint="eastAsia"/>
                <w:color w:val="auto"/>
              </w:rPr>
              <w:t>采购项目</w:t>
            </w:r>
          </w:p>
        </w:tc>
        <w:tc>
          <w:tcPr>
            <w:tcW w:w="5268" w:type="dxa"/>
            <w:vAlign w:val="center"/>
          </w:tcPr>
          <w:p w14:paraId="019AD33A">
            <w:pPr>
              <w:ind w:left="0" w:leftChars="0" w:firstLine="0" w:firstLineChars="0"/>
              <w:rPr>
                <w:rFonts w:hint="eastAsia" w:eastAsia="宋体"/>
                <w:color w:val="auto"/>
                <w:lang w:eastAsia="zh-CN"/>
              </w:rPr>
            </w:pPr>
            <w:r>
              <w:rPr>
                <w:rFonts w:hint="eastAsia"/>
                <w:color w:val="auto"/>
                <w:lang w:eastAsia="zh-CN"/>
              </w:rPr>
              <w:t>荷韵园、福港苑保安保洁及工程维护业务委托服务采购</w:t>
            </w:r>
          </w:p>
        </w:tc>
      </w:tr>
      <w:tr w14:paraId="662D2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1867" w:type="dxa"/>
            <w:vAlign w:val="center"/>
          </w:tcPr>
          <w:p w14:paraId="165E8FFB">
            <w:pPr>
              <w:ind w:left="0" w:leftChars="0" w:firstLine="0" w:firstLineChars="0"/>
              <w:rPr>
                <w:color w:val="auto"/>
              </w:rPr>
            </w:pPr>
            <w:r>
              <w:rPr>
                <w:rFonts w:hint="eastAsia"/>
                <w:color w:val="auto"/>
              </w:rPr>
              <w:t>第二章第2.1款</w:t>
            </w:r>
          </w:p>
        </w:tc>
        <w:tc>
          <w:tcPr>
            <w:tcW w:w="1710" w:type="dxa"/>
            <w:vAlign w:val="center"/>
          </w:tcPr>
          <w:p w14:paraId="1D78AE35">
            <w:pPr>
              <w:ind w:left="0" w:leftChars="0" w:firstLine="0" w:firstLineChars="0"/>
              <w:rPr>
                <w:color w:val="auto"/>
              </w:rPr>
            </w:pPr>
            <w:r>
              <w:rPr>
                <w:rFonts w:hint="eastAsia"/>
                <w:color w:val="auto"/>
              </w:rPr>
              <w:t>采购人</w:t>
            </w:r>
          </w:p>
        </w:tc>
        <w:tc>
          <w:tcPr>
            <w:tcW w:w="5268" w:type="dxa"/>
            <w:vAlign w:val="center"/>
          </w:tcPr>
          <w:p w14:paraId="23EA4562">
            <w:pPr>
              <w:pStyle w:val="25"/>
              <w:ind w:left="0" w:leftChars="0" w:firstLine="0" w:firstLineChars="0"/>
              <w:rPr>
                <w:rFonts w:hint="eastAsia" w:eastAsia="宋体"/>
                <w:color w:val="auto"/>
                <w:lang w:eastAsia="zh-CN"/>
              </w:rPr>
            </w:pPr>
            <w:r>
              <w:rPr>
                <w:rFonts w:hint="eastAsia"/>
                <w:color w:val="auto"/>
              </w:rPr>
              <w:t>采购人：</w:t>
            </w:r>
            <w:r>
              <w:rPr>
                <w:rFonts w:hint="eastAsia"/>
                <w:color w:val="auto"/>
                <w:lang w:eastAsia="zh-CN"/>
              </w:rPr>
              <w:t>长沙市北鑫物业管理有限公司</w:t>
            </w:r>
          </w:p>
          <w:p w14:paraId="610B64B4">
            <w:pPr>
              <w:pStyle w:val="25"/>
              <w:ind w:left="0" w:leftChars="0" w:firstLine="0" w:firstLineChars="0"/>
              <w:rPr>
                <w:rFonts w:hint="eastAsia" w:eastAsia="宋体"/>
                <w:color w:val="auto"/>
                <w:lang w:eastAsia="zh-CN"/>
              </w:rPr>
            </w:pPr>
            <w:r>
              <w:rPr>
                <w:rFonts w:hint="eastAsia"/>
                <w:color w:val="auto"/>
              </w:rPr>
              <w:t>联系人：</w:t>
            </w:r>
            <w:r>
              <w:rPr>
                <w:rFonts w:hint="eastAsia"/>
                <w:color w:val="auto"/>
                <w:lang w:eastAsia="zh-CN"/>
              </w:rPr>
              <w:t>王女士</w:t>
            </w:r>
          </w:p>
          <w:p w14:paraId="5050208C">
            <w:pPr>
              <w:pStyle w:val="25"/>
              <w:ind w:left="0" w:leftChars="0" w:firstLine="0" w:firstLineChars="0"/>
              <w:rPr>
                <w:rFonts w:hint="eastAsia" w:eastAsia="宋体"/>
                <w:color w:val="auto"/>
                <w:lang w:eastAsia="zh-CN"/>
              </w:rPr>
            </w:pPr>
            <w:r>
              <w:rPr>
                <w:rFonts w:hint="eastAsia"/>
                <w:color w:val="auto"/>
              </w:rPr>
              <w:t>电  话：</w:t>
            </w:r>
            <w:r>
              <w:rPr>
                <w:rFonts w:hint="eastAsia"/>
                <w:color w:val="auto"/>
                <w:lang w:eastAsia="zh-CN"/>
              </w:rPr>
              <w:t>0731-84390929</w:t>
            </w:r>
          </w:p>
          <w:p w14:paraId="53F2AFDA">
            <w:pPr>
              <w:pStyle w:val="25"/>
              <w:ind w:left="0" w:leftChars="0" w:firstLine="0" w:firstLineChars="0"/>
              <w:rPr>
                <w:color w:val="auto"/>
              </w:rPr>
            </w:pPr>
            <w:r>
              <w:rPr>
                <w:rFonts w:hint="eastAsia"/>
                <w:color w:val="auto"/>
              </w:rPr>
              <w:t>地  址：长沙市开福区凤舞路30号</w:t>
            </w:r>
          </w:p>
        </w:tc>
      </w:tr>
      <w:tr w14:paraId="5CCB6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547D1C6B">
            <w:pPr>
              <w:ind w:left="0" w:leftChars="0" w:firstLine="0" w:firstLineChars="0"/>
              <w:rPr>
                <w:color w:val="auto"/>
              </w:rPr>
            </w:pPr>
            <w:r>
              <w:rPr>
                <w:rFonts w:hint="eastAsia"/>
                <w:color w:val="auto"/>
              </w:rPr>
              <w:t>第二章第2.2款</w:t>
            </w:r>
          </w:p>
        </w:tc>
        <w:tc>
          <w:tcPr>
            <w:tcW w:w="1710" w:type="dxa"/>
            <w:vAlign w:val="center"/>
          </w:tcPr>
          <w:p w14:paraId="5905CA56">
            <w:pPr>
              <w:ind w:left="0" w:leftChars="0" w:firstLine="0" w:firstLineChars="0"/>
              <w:rPr>
                <w:color w:val="auto"/>
              </w:rPr>
            </w:pPr>
            <w:r>
              <w:rPr>
                <w:rFonts w:hint="eastAsia"/>
                <w:color w:val="auto"/>
              </w:rPr>
              <w:t>采购代理机构</w:t>
            </w:r>
          </w:p>
        </w:tc>
        <w:tc>
          <w:tcPr>
            <w:tcW w:w="5268" w:type="dxa"/>
            <w:vAlign w:val="center"/>
          </w:tcPr>
          <w:p w14:paraId="17B75779">
            <w:pPr>
              <w:ind w:left="0" w:leftChars="0" w:firstLine="0" w:firstLineChars="0"/>
              <w:rPr>
                <w:color w:val="auto"/>
              </w:rPr>
            </w:pPr>
            <w:r>
              <w:rPr>
                <w:rFonts w:hint="eastAsia"/>
                <w:color w:val="auto"/>
              </w:rPr>
              <w:t>代理机构：</w:t>
            </w:r>
            <w:r>
              <w:rPr>
                <w:color w:val="auto"/>
              </w:rPr>
              <w:fldChar w:fldCharType="begin"/>
            </w:r>
            <w:r>
              <w:rPr>
                <w:color w:val="auto"/>
              </w:rPr>
              <w:instrText xml:space="preserve"> HYPERLINK "http://jczy.ccgp.gov.cn/gs1/gs1agentreg/javascript:void(0);" </w:instrText>
            </w:r>
            <w:r>
              <w:rPr>
                <w:color w:val="auto"/>
              </w:rPr>
              <w:fldChar w:fldCharType="separate"/>
            </w:r>
            <w:r>
              <w:rPr>
                <w:rFonts w:hint="eastAsia"/>
                <w:color w:val="auto"/>
              </w:rPr>
              <w:t>湖南扬屹咨询管理有限公司</w:t>
            </w:r>
            <w:r>
              <w:rPr>
                <w:rFonts w:hint="eastAsia"/>
                <w:color w:val="auto"/>
              </w:rPr>
              <w:fldChar w:fldCharType="end"/>
            </w:r>
          </w:p>
          <w:p w14:paraId="25184AF7">
            <w:pPr>
              <w:ind w:left="0" w:leftChars="0" w:firstLine="0" w:firstLineChars="0"/>
              <w:rPr>
                <w:color w:val="auto"/>
              </w:rPr>
            </w:pPr>
            <w:r>
              <w:rPr>
                <w:rFonts w:hint="eastAsia"/>
                <w:color w:val="auto"/>
              </w:rPr>
              <w:t>联系人：唐聪、肖杨</w:t>
            </w:r>
          </w:p>
          <w:p w14:paraId="4F0AE9F7">
            <w:pPr>
              <w:ind w:left="0" w:leftChars="0" w:firstLine="0" w:firstLineChars="0"/>
              <w:rPr>
                <w:color w:val="auto"/>
              </w:rPr>
            </w:pPr>
            <w:r>
              <w:rPr>
                <w:rFonts w:hint="eastAsia"/>
                <w:color w:val="auto"/>
              </w:rPr>
              <w:t xml:space="preserve">电  话：0731-85581303、18874701060 </w:t>
            </w:r>
          </w:p>
          <w:p w14:paraId="3EF4ED41">
            <w:pPr>
              <w:ind w:left="0" w:leftChars="0" w:firstLine="0" w:firstLineChars="0"/>
              <w:rPr>
                <w:rFonts w:hint="eastAsia" w:eastAsia="宋体"/>
                <w:color w:val="auto"/>
                <w:szCs w:val="21"/>
                <w:lang w:eastAsia="zh-CN"/>
              </w:rPr>
            </w:pPr>
            <w:r>
              <w:rPr>
                <w:rFonts w:hint="eastAsia"/>
                <w:color w:val="auto"/>
              </w:rPr>
              <w:t>地  址：</w:t>
            </w:r>
            <w:r>
              <w:rPr>
                <w:rFonts w:hint="eastAsia"/>
                <w:color w:val="auto"/>
                <w:lang w:eastAsia="zh-CN"/>
              </w:rPr>
              <w:t>长沙市开福区青竹湖街道彩霞社区金霞跨境产贸城5栋12层1203房</w:t>
            </w:r>
          </w:p>
        </w:tc>
      </w:tr>
      <w:tr w14:paraId="4896E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67" w:type="dxa"/>
            <w:vAlign w:val="center"/>
          </w:tcPr>
          <w:p w14:paraId="301A08A6">
            <w:pPr>
              <w:ind w:left="0" w:leftChars="0" w:firstLine="0" w:firstLineChars="0"/>
              <w:rPr>
                <w:color w:val="auto"/>
              </w:rPr>
            </w:pPr>
            <w:r>
              <w:rPr>
                <w:rFonts w:hint="eastAsia"/>
                <w:color w:val="auto"/>
              </w:rPr>
              <w:t>第二章第2.3款</w:t>
            </w:r>
          </w:p>
        </w:tc>
        <w:tc>
          <w:tcPr>
            <w:tcW w:w="1710" w:type="dxa"/>
            <w:vAlign w:val="center"/>
          </w:tcPr>
          <w:p w14:paraId="4AFBCE6D">
            <w:pPr>
              <w:ind w:left="0" w:leftChars="0" w:firstLine="0" w:firstLineChars="0"/>
              <w:rPr>
                <w:bCs/>
                <w:color w:val="auto"/>
              </w:rPr>
            </w:pPr>
            <w:r>
              <w:rPr>
                <w:rFonts w:hint="eastAsia"/>
                <w:color w:val="auto"/>
                <w:kern w:val="0"/>
              </w:rPr>
              <w:t>供应商的</w:t>
            </w:r>
            <w:r>
              <w:rPr>
                <w:rFonts w:hint="eastAsia"/>
                <w:color w:val="auto"/>
              </w:rPr>
              <w:t>邀请方式</w:t>
            </w:r>
          </w:p>
        </w:tc>
        <w:tc>
          <w:tcPr>
            <w:tcW w:w="5268" w:type="dxa"/>
            <w:vAlign w:val="center"/>
          </w:tcPr>
          <w:p w14:paraId="53BDCC65">
            <w:pPr>
              <w:ind w:left="0" w:leftChars="0" w:firstLine="0" w:firstLineChars="0"/>
              <w:rPr>
                <w:color w:val="auto"/>
              </w:rPr>
            </w:pPr>
            <w:r>
              <w:rPr>
                <w:rFonts w:hint="eastAsia"/>
                <w:color w:val="auto"/>
              </w:rPr>
              <w:t>■ 发布公告</w:t>
            </w:r>
          </w:p>
          <w:p w14:paraId="6CB694DD">
            <w:pPr>
              <w:ind w:left="0" w:leftChars="0" w:firstLine="0" w:firstLineChars="0"/>
              <w:rPr>
                <w:color w:val="auto"/>
              </w:rPr>
            </w:pPr>
            <w:r>
              <w:rPr>
                <w:rFonts w:hint="eastAsia"/>
                <w:color w:val="auto"/>
              </w:rPr>
              <w:t>□ 从省级以上财政部门建立的供应商库中随机抽取</w:t>
            </w:r>
          </w:p>
          <w:p w14:paraId="002B0BC4">
            <w:pPr>
              <w:ind w:left="0" w:leftChars="0" w:firstLine="0" w:firstLineChars="0"/>
              <w:rPr>
                <w:color w:val="auto"/>
              </w:rPr>
            </w:pPr>
            <w:r>
              <w:rPr>
                <w:rFonts w:hint="eastAsia"/>
                <w:color w:val="auto"/>
              </w:rPr>
              <w:t>□ 采购人和评审专家分别书面推荐的方式</w:t>
            </w:r>
          </w:p>
        </w:tc>
      </w:tr>
      <w:tr w14:paraId="3B7BC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867" w:type="dxa"/>
            <w:vAlign w:val="center"/>
          </w:tcPr>
          <w:p w14:paraId="5B7B59E1">
            <w:pPr>
              <w:ind w:left="0" w:leftChars="0" w:firstLine="0" w:firstLineChars="0"/>
              <w:rPr>
                <w:color w:val="auto"/>
              </w:rPr>
            </w:pPr>
            <w:r>
              <w:rPr>
                <w:rFonts w:hint="eastAsia"/>
                <w:color w:val="auto"/>
              </w:rPr>
              <w:t>第二章第3.1款</w:t>
            </w:r>
          </w:p>
          <w:p w14:paraId="343FFDC5">
            <w:pPr>
              <w:rPr>
                <w:color w:val="auto"/>
              </w:rPr>
            </w:pPr>
          </w:p>
        </w:tc>
        <w:tc>
          <w:tcPr>
            <w:tcW w:w="1710" w:type="dxa"/>
            <w:vAlign w:val="center"/>
          </w:tcPr>
          <w:p w14:paraId="1C9ABD3E">
            <w:pPr>
              <w:ind w:left="0" w:leftChars="0" w:firstLine="0" w:firstLineChars="0"/>
              <w:rPr>
                <w:color w:val="auto"/>
              </w:rPr>
            </w:pPr>
            <w:r>
              <w:rPr>
                <w:rFonts w:hint="eastAsia"/>
                <w:bCs/>
                <w:color w:val="auto"/>
              </w:rPr>
              <w:t>供应商</w:t>
            </w:r>
            <w:r>
              <w:rPr>
                <w:rFonts w:hint="eastAsia"/>
                <w:color w:val="auto"/>
              </w:rPr>
              <w:t>资格条件</w:t>
            </w:r>
          </w:p>
          <w:p w14:paraId="1F709EF3">
            <w:pPr>
              <w:rPr>
                <w:color w:val="auto"/>
                <w:kern w:val="0"/>
              </w:rPr>
            </w:pPr>
          </w:p>
        </w:tc>
        <w:tc>
          <w:tcPr>
            <w:tcW w:w="5268" w:type="dxa"/>
            <w:vAlign w:val="center"/>
          </w:tcPr>
          <w:p w14:paraId="08AD510B">
            <w:pPr>
              <w:ind w:left="0" w:leftChars="0" w:firstLine="0" w:firstLineChars="0"/>
              <w:rPr>
                <w:color w:val="auto"/>
              </w:rPr>
            </w:pPr>
            <w:r>
              <w:rPr>
                <w:rFonts w:hint="eastAsia"/>
                <w:color w:val="auto"/>
              </w:rPr>
              <w:t>1、基本资格条件：供应商应符合《中华人民共和国政府采购法》第二十二条第一款规定的供应商条件，并提供以下资料：</w:t>
            </w:r>
          </w:p>
          <w:p w14:paraId="0F3E8F1D">
            <w:pPr>
              <w:ind w:left="0" w:leftChars="0" w:firstLine="0" w:firstLineChars="0"/>
              <w:rPr>
                <w:color w:val="auto"/>
              </w:rPr>
            </w:pPr>
            <w:r>
              <w:rPr>
                <w:rFonts w:hint="eastAsia"/>
                <w:color w:val="auto"/>
              </w:rPr>
              <w:t>（1）法人提交企业法人营业执照副本(或者法人登记证书)；</w:t>
            </w:r>
          </w:p>
          <w:p w14:paraId="3A375916">
            <w:pPr>
              <w:ind w:left="0" w:leftChars="0" w:firstLine="0" w:firstLineChars="0"/>
              <w:rPr>
                <w:color w:val="auto"/>
              </w:rPr>
            </w:pPr>
            <w:r>
              <w:rPr>
                <w:rFonts w:hint="eastAsia"/>
                <w:color w:val="auto"/>
              </w:rPr>
              <w:t>（2）提交《供应商资格承诺函》；</w:t>
            </w:r>
          </w:p>
          <w:p w14:paraId="6A76FA5F">
            <w:pPr>
              <w:ind w:left="0" w:leftChars="0" w:firstLine="0" w:firstLineChars="0"/>
              <w:rPr>
                <w:color w:val="auto"/>
              </w:rPr>
            </w:pPr>
            <w:r>
              <w:rPr>
                <w:rFonts w:hint="eastAsia"/>
                <w:color w:val="auto"/>
              </w:rPr>
              <w:t>（3）法人提交法定代表人身份证明原件或者法定代表人授权委托书原件及</w:t>
            </w:r>
            <w:r>
              <w:rPr>
                <w:rFonts w:hint="eastAsia"/>
                <w:b w:val="0"/>
                <w:bCs w:val="0"/>
                <w:color w:val="auto"/>
              </w:rPr>
              <w:t>提供被授权人在投标单位近三个月</w:t>
            </w:r>
            <w:r>
              <w:rPr>
                <w:rFonts w:hint="eastAsia"/>
                <w:b w:val="0"/>
                <w:bCs w:val="0"/>
                <w:color w:val="auto"/>
                <w:lang w:eastAsia="zh-CN"/>
              </w:rPr>
              <w:t>内任意一个月</w:t>
            </w:r>
            <w:r>
              <w:rPr>
                <w:rFonts w:hint="eastAsia"/>
                <w:b w:val="0"/>
                <w:bCs w:val="0"/>
                <w:color w:val="auto"/>
              </w:rPr>
              <w:t>的社保证明并附法定代表人身份证明原件；</w:t>
            </w:r>
            <w:r>
              <w:rPr>
                <w:rFonts w:hint="eastAsia"/>
                <w:color w:val="auto"/>
              </w:rPr>
              <w:t>自然人提交身份证复印件；</w:t>
            </w:r>
          </w:p>
          <w:p w14:paraId="2EECADAA">
            <w:pPr>
              <w:ind w:left="0" w:leftChars="0" w:firstLine="0" w:firstLineChars="0"/>
              <w:rPr>
                <w:color w:val="auto"/>
              </w:rPr>
            </w:pPr>
            <w:r>
              <w:rPr>
                <w:rFonts w:hint="eastAsia"/>
                <w:color w:val="auto"/>
              </w:rPr>
              <w:t>（4）其他说明。(非法人组织参与投标需提供的相关证明材料)。</w:t>
            </w:r>
          </w:p>
          <w:p w14:paraId="0CB3F9A5">
            <w:pPr>
              <w:ind w:left="0" w:leftChars="0" w:firstLine="0" w:firstLineChars="0"/>
              <w:rPr>
                <w:rFonts w:ascii="Times New Roman" w:hAnsi="Times New Roman"/>
                <w:color w:val="auto"/>
              </w:rPr>
            </w:pPr>
            <w:r>
              <w:rPr>
                <w:rFonts w:hint="eastAsia"/>
                <w:color w:val="auto"/>
              </w:rPr>
              <w:t>（5）</w:t>
            </w:r>
            <w:r>
              <w:rPr>
                <w:rFonts w:hint="eastAsia"/>
                <w:bCs/>
                <w:color w:val="auto"/>
              </w:rPr>
              <w:t>近</w:t>
            </w:r>
            <w:r>
              <w:rPr>
                <w:rFonts w:hint="eastAsia"/>
                <w:color w:val="auto"/>
              </w:rPr>
              <w:t>三个月是指</w:t>
            </w:r>
            <w:r>
              <w:rPr>
                <w:rFonts w:hint="eastAsia"/>
                <w:color w:val="auto"/>
                <w:lang w:val="en-US" w:eastAsia="zh-CN"/>
              </w:rPr>
              <w:t>2025</w:t>
            </w:r>
            <w:r>
              <w:rPr>
                <w:rFonts w:hint="eastAsia"/>
                <w:color w:val="auto"/>
                <w:lang w:eastAsia="zh-CN"/>
              </w:rPr>
              <w:t>年</w:t>
            </w:r>
            <w:r>
              <w:rPr>
                <w:rFonts w:hint="eastAsia"/>
                <w:color w:val="auto"/>
                <w:lang w:val="en-US" w:eastAsia="zh-CN"/>
              </w:rPr>
              <w:t>02</w:t>
            </w:r>
            <w:r>
              <w:rPr>
                <w:rFonts w:hint="eastAsia"/>
                <w:color w:val="auto"/>
                <w:lang w:eastAsia="zh-CN"/>
              </w:rPr>
              <w:t>月至2025年</w:t>
            </w:r>
            <w:r>
              <w:rPr>
                <w:rFonts w:hint="eastAsia"/>
                <w:color w:val="auto"/>
                <w:lang w:val="en-US" w:eastAsia="zh-CN"/>
              </w:rPr>
              <w:t>04</w:t>
            </w:r>
            <w:r>
              <w:rPr>
                <w:rFonts w:hint="eastAsia"/>
                <w:color w:val="auto"/>
                <w:lang w:eastAsia="zh-CN"/>
              </w:rPr>
              <w:t>月</w:t>
            </w:r>
            <w:r>
              <w:rPr>
                <w:rFonts w:hint="eastAsia"/>
                <w:color w:val="auto"/>
              </w:rPr>
              <w:t>。</w:t>
            </w:r>
          </w:p>
          <w:p w14:paraId="350DDA3F">
            <w:pPr>
              <w:ind w:left="0" w:leftChars="0" w:firstLine="0" w:firstLineChars="0"/>
              <w:rPr>
                <w:b/>
                <w:bCs/>
                <w:color w:val="auto"/>
              </w:rPr>
            </w:pPr>
            <w:r>
              <w:rPr>
                <w:rFonts w:hint="eastAsia"/>
                <w:color w:val="auto"/>
              </w:rPr>
              <w:t>2、供应商特定资格条件：</w:t>
            </w:r>
            <w:r>
              <w:rPr>
                <w:rFonts w:hint="eastAsia"/>
                <w:color w:val="auto"/>
                <w:lang w:val="en-US" w:eastAsia="zh-CN"/>
              </w:rPr>
              <w:t>无</w:t>
            </w:r>
            <w:r>
              <w:rPr>
                <w:rFonts w:hint="eastAsia"/>
                <w:color w:val="auto"/>
              </w:rPr>
              <w:t>。</w:t>
            </w:r>
          </w:p>
          <w:p w14:paraId="6FF16CFE">
            <w:pPr>
              <w:ind w:left="0" w:leftChars="0" w:firstLine="0" w:firstLineChars="0"/>
              <w:rPr>
                <w:color w:val="auto"/>
              </w:rPr>
            </w:pPr>
            <w:r>
              <w:rPr>
                <w:rFonts w:hint="eastAsia"/>
                <w:color w:val="auto"/>
              </w:rPr>
              <w:t>3、本项目不接受联合体投标。</w:t>
            </w:r>
          </w:p>
        </w:tc>
      </w:tr>
      <w:tr w14:paraId="732A0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67" w:type="dxa"/>
            <w:vAlign w:val="center"/>
          </w:tcPr>
          <w:p w14:paraId="3C5FD6BA">
            <w:pPr>
              <w:ind w:left="0" w:leftChars="0" w:firstLine="0" w:firstLineChars="0"/>
              <w:rPr>
                <w:color w:val="auto"/>
              </w:rPr>
            </w:pPr>
            <w:r>
              <w:rPr>
                <w:rFonts w:hint="eastAsia"/>
                <w:color w:val="auto"/>
              </w:rPr>
              <w:t>第二章第6.1款</w:t>
            </w:r>
          </w:p>
        </w:tc>
        <w:tc>
          <w:tcPr>
            <w:tcW w:w="1710" w:type="dxa"/>
            <w:vAlign w:val="center"/>
          </w:tcPr>
          <w:p w14:paraId="7CB0FAF8">
            <w:pPr>
              <w:ind w:left="0" w:leftChars="0" w:firstLine="0" w:firstLineChars="0"/>
              <w:rPr>
                <w:color w:val="auto"/>
              </w:rPr>
            </w:pPr>
            <w:r>
              <w:rPr>
                <w:rFonts w:hint="eastAsia"/>
                <w:color w:val="auto"/>
              </w:rPr>
              <w:t>联合体形式</w:t>
            </w:r>
          </w:p>
        </w:tc>
        <w:tc>
          <w:tcPr>
            <w:tcW w:w="5268" w:type="dxa"/>
            <w:vAlign w:val="center"/>
          </w:tcPr>
          <w:p w14:paraId="465E097B">
            <w:pPr>
              <w:ind w:left="0" w:leftChars="0" w:firstLine="0" w:firstLineChars="0"/>
              <w:rPr>
                <w:color w:val="auto"/>
              </w:rPr>
            </w:pPr>
            <w:r>
              <w:rPr>
                <w:rFonts w:hint="eastAsia"/>
                <w:color w:val="auto"/>
              </w:rPr>
              <w:t>■ 不接受</w:t>
            </w:r>
          </w:p>
          <w:p w14:paraId="14A73CAB">
            <w:pPr>
              <w:ind w:left="0" w:leftChars="0" w:firstLine="0" w:firstLineChars="0"/>
              <w:rPr>
                <w:color w:val="auto"/>
              </w:rPr>
            </w:pPr>
            <w:r>
              <w:rPr>
                <w:rFonts w:hint="eastAsia"/>
                <w:color w:val="auto"/>
              </w:rPr>
              <w:t>□ 接受</w:t>
            </w:r>
          </w:p>
        </w:tc>
      </w:tr>
      <w:tr w14:paraId="1E3B68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867" w:type="dxa"/>
            <w:vAlign w:val="center"/>
          </w:tcPr>
          <w:p w14:paraId="50B485AA">
            <w:pPr>
              <w:ind w:left="0" w:leftChars="0" w:firstLine="0" w:firstLineChars="0"/>
              <w:rPr>
                <w:color w:val="auto"/>
              </w:rPr>
            </w:pPr>
            <w:r>
              <w:rPr>
                <w:rFonts w:hint="eastAsia"/>
                <w:color w:val="auto"/>
              </w:rPr>
              <w:t>第二章第6.2款</w:t>
            </w:r>
          </w:p>
        </w:tc>
        <w:tc>
          <w:tcPr>
            <w:tcW w:w="1710" w:type="dxa"/>
            <w:vAlign w:val="center"/>
          </w:tcPr>
          <w:p w14:paraId="7FB4EE95">
            <w:pPr>
              <w:ind w:left="0" w:leftChars="0" w:firstLine="0" w:firstLineChars="0"/>
              <w:rPr>
                <w:color w:val="auto"/>
              </w:rPr>
            </w:pPr>
            <w:r>
              <w:rPr>
                <w:rFonts w:hint="eastAsia"/>
                <w:color w:val="auto"/>
              </w:rPr>
              <w:t>对联合体各方的要求</w:t>
            </w:r>
          </w:p>
        </w:tc>
        <w:tc>
          <w:tcPr>
            <w:tcW w:w="5268" w:type="dxa"/>
            <w:vAlign w:val="center"/>
          </w:tcPr>
          <w:p w14:paraId="5332B949">
            <w:pPr>
              <w:rPr>
                <w:color w:val="auto"/>
              </w:rPr>
            </w:pPr>
            <w:r>
              <w:rPr>
                <w:rFonts w:hint="eastAsia"/>
                <w:color w:val="auto"/>
              </w:rPr>
              <w:t>／</w:t>
            </w:r>
          </w:p>
        </w:tc>
      </w:tr>
      <w:tr w14:paraId="7E947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67" w:type="dxa"/>
            <w:vAlign w:val="center"/>
          </w:tcPr>
          <w:p w14:paraId="09487E4E">
            <w:pPr>
              <w:ind w:left="0" w:leftChars="0" w:firstLine="0" w:firstLineChars="0"/>
              <w:rPr>
                <w:color w:val="auto"/>
              </w:rPr>
            </w:pPr>
            <w:r>
              <w:rPr>
                <w:rFonts w:hint="eastAsia"/>
                <w:color w:val="auto"/>
              </w:rPr>
              <w:t>第二章第7.1款</w:t>
            </w:r>
          </w:p>
        </w:tc>
        <w:tc>
          <w:tcPr>
            <w:tcW w:w="1710" w:type="dxa"/>
            <w:vAlign w:val="center"/>
          </w:tcPr>
          <w:p w14:paraId="20CF0858">
            <w:pPr>
              <w:ind w:left="0" w:leftChars="0" w:firstLine="0" w:firstLineChars="0"/>
              <w:rPr>
                <w:color w:val="auto"/>
              </w:rPr>
            </w:pPr>
            <w:r>
              <w:rPr>
                <w:rFonts w:hint="eastAsia"/>
                <w:color w:val="auto"/>
              </w:rPr>
              <w:t>现场勘察</w:t>
            </w:r>
          </w:p>
        </w:tc>
        <w:tc>
          <w:tcPr>
            <w:tcW w:w="5268" w:type="dxa"/>
            <w:vAlign w:val="center"/>
          </w:tcPr>
          <w:p w14:paraId="27565CB3">
            <w:pPr>
              <w:ind w:left="0" w:leftChars="0" w:firstLine="0" w:firstLineChars="0"/>
              <w:rPr>
                <w:color w:val="auto"/>
              </w:rPr>
            </w:pPr>
            <w:r>
              <w:rPr>
                <w:rFonts w:hint="eastAsia"/>
                <w:color w:val="auto"/>
              </w:rPr>
              <w:t>■采购人不组织</w:t>
            </w:r>
          </w:p>
          <w:p w14:paraId="035F20D9">
            <w:pPr>
              <w:ind w:left="0" w:leftChars="0" w:firstLine="0" w:firstLineChars="0"/>
              <w:rPr>
                <w:color w:val="auto"/>
                <w:u w:val="single"/>
              </w:rPr>
            </w:pPr>
            <w:r>
              <w:rPr>
                <w:rFonts w:hint="eastAsia"/>
                <w:color w:val="auto"/>
              </w:rPr>
              <w:t>□采购人组织，时间：</w:t>
            </w:r>
            <w:r>
              <w:rPr>
                <w:rFonts w:hint="eastAsia"/>
                <w:color w:val="auto"/>
                <w:u w:val="single"/>
              </w:rPr>
              <w:t xml:space="preserve"> /  </w:t>
            </w:r>
            <w:r>
              <w:rPr>
                <w:rFonts w:hint="eastAsia"/>
                <w:color w:val="auto"/>
              </w:rPr>
              <w:t>地点：</w:t>
            </w:r>
            <w:r>
              <w:rPr>
                <w:rFonts w:hint="eastAsia"/>
                <w:color w:val="auto"/>
                <w:u w:val="single"/>
              </w:rPr>
              <w:t xml:space="preserve">/  </w:t>
            </w:r>
            <w:r>
              <w:rPr>
                <w:rFonts w:hint="eastAsia"/>
                <w:color w:val="auto"/>
              </w:rPr>
              <w:t>联系人：</w:t>
            </w:r>
            <w:r>
              <w:rPr>
                <w:rFonts w:hint="eastAsia"/>
                <w:color w:val="auto"/>
                <w:u w:val="single"/>
              </w:rPr>
              <w:t xml:space="preserve">  / </w:t>
            </w:r>
          </w:p>
          <w:p w14:paraId="0CD8F4A6">
            <w:pPr>
              <w:rPr>
                <w:color w:val="auto"/>
              </w:rPr>
            </w:pPr>
            <w:r>
              <w:rPr>
                <w:rFonts w:hint="eastAsia"/>
                <w:color w:val="auto"/>
              </w:rPr>
              <w:t>提供现场勘察回执单。</w:t>
            </w:r>
          </w:p>
        </w:tc>
      </w:tr>
      <w:tr w14:paraId="0F47CD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67" w:type="dxa"/>
            <w:vAlign w:val="center"/>
          </w:tcPr>
          <w:p w14:paraId="2663588F">
            <w:pPr>
              <w:ind w:left="0" w:leftChars="0" w:firstLine="0" w:firstLineChars="0"/>
              <w:rPr>
                <w:color w:val="auto"/>
              </w:rPr>
            </w:pPr>
            <w:r>
              <w:rPr>
                <w:rFonts w:hint="eastAsia"/>
                <w:color w:val="auto"/>
              </w:rPr>
              <w:t>第二章第8.1款</w:t>
            </w:r>
          </w:p>
        </w:tc>
        <w:tc>
          <w:tcPr>
            <w:tcW w:w="1710" w:type="dxa"/>
            <w:vAlign w:val="center"/>
          </w:tcPr>
          <w:p w14:paraId="0A18CFA5">
            <w:pPr>
              <w:ind w:left="0" w:leftChars="0" w:firstLine="0" w:firstLineChars="0"/>
              <w:rPr>
                <w:color w:val="auto"/>
              </w:rPr>
            </w:pPr>
            <w:r>
              <w:rPr>
                <w:rFonts w:hint="eastAsia"/>
                <w:color w:val="auto"/>
              </w:rPr>
              <w:t>采购进口产品</w:t>
            </w:r>
          </w:p>
        </w:tc>
        <w:tc>
          <w:tcPr>
            <w:tcW w:w="5268" w:type="dxa"/>
            <w:vAlign w:val="center"/>
          </w:tcPr>
          <w:p w14:paraId="6DD1F863">
            <w:pPr>
              <w:ind w:left="0" w:leftChars="0" w:firstLine="0" w:firstLineChars="0"/>
              <w:rPr>
                <w:color w:val="auto"/>
              </w:rPr>
            </w:pPr>
            <w:r>
              <w:rPr>
                <w:rFonts w:hint="eastAsia"/>
                <w:color w:val="auto"/>
              </w:rPr>
              <w:t>本招标项目不适用</w:t>
            </w:r>
          </w:p>
        </w:tc>
      </w:tr>
      <w:tr w14:paraId="03E6F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1867" w:type="dxa"/>
            <w:vAlign w:val="center"/>
          </w:tcPr>
          <w:p w14:paraId="66E0DD40">
            <w:pPr>
              <w:ind w:left="0" w:leftChars="0" w:firstLine="0" w:firstLineChars="0"/>
              <w:rPr>
                <w:color w:val="auto"/>
              </w:rPr>
            </w:pPr>
            <w:r>
              <w:rPr>
                <w:rFonts w:hint="eastAsia"/>
                <w:color w:val="auto"/>
              </w:rPr>
              <w:t>第二章第9.1款</w:t>
            </w:r>
          </w:p>
        </w:tc>
        <w:tc>
          <w:tcPr>
            <w:tcW w:w="1710" w:type="dxa"/>
            <w:vAlign w:val="center"/>
          </w:tcPr>
          <w:p w14:paraId="0CA6EC59">
            <w:pPr>
              <w:ind w:left="0" w:leftChars="0" w:firstLine="0" w:firstLineChars="0"/>
              <w:rPr>
                <w:color w:val="auto"/>
              </w:rPr>
            </w:pPr>
            <w:r>
              <w:rPr>
                <w:rFonts w:hint="eastAsia"/>
                <w:color w:val="auto"/>
              </w:rPr>
              <w:t>政府采购强制采购：</w:t>
            </w:r>
          </w:p>
          <w:p w14:paraId="76B16CBD">
            <w:pPr>
              <w:ind w:left="0" w:leftChars="0" w:firstLine="0" w:firstLineChars="0"/>
              <w:rPr>
                <w:color w:val="auto"/>
              </w:rPr>
            </w:pPr>
            <w:r>
              <w:rPr>
                <w:rFonts w:hint="eastAsia"/>
                <w:color w:val="auto"/>
              </w:rPr>
              <w:t>1、强制采购的节能产品；</w:t>
            </w:r>
          </w:p>
          <w:p w14:paraId="7751ACF1">
            <w:pPr>
              <w:ind w:left="0" w:leftChars="0" w:firstLine="0" w:firstLineChars="0"/>
              <w:rPr>
                <w:color w:val="auto"/>
              </w:rPr>
            </w:pPr>
            <w:r>
              <w:rPr>
                <w:rFonts w:hint="eastAsia"/>
                <w:color w:val="auto"/>
              </w:rPr>
              <w:t>2、其它。</w:t>
            </w:r>
          </w:p>
        </w:tc>
        <w:tc>
          <w:tcPr>
            <w:tcW w:w="5268" w:type="dxa"/>
            <w:vAlign w:val="center"/>
          </w:tcPr>
          <w:p w14:paraId="2499E803">
            <w:pPr>
              <w:spacing w:line="240" w:lineRule="auto"/>
              <w:ind w:firstLine="0" w:firstLineChars="0"/>
              <w:rPr>
                <w:rFonts w:hint="eastAsia" w:ascii="宋体" w:hAnsi="宋体" w:eastAsia="宋体" w:cs="宋体"/>
                <w:color w:val="auto"/>
                <w:szCs w:val="21"/>
                <w:highlight w:val="none"/>
              </w:rPr>
            </w:pPr>
            <w:r>
              <w:rPr>
                <w:rFonts w:hint="eastAsia"/>
                <w:color w:val="auto"/>
              </w:rPr>
              <w:t>■</w:t>
            </w:r>
            <w:r>
              <w:rPr>
                <w:rFonts w:hint="eastAsia"/>
                <w:color w:val="auto"/>
                <w:lang w:val="en-US" w:eastAsia="zh-CN"/>
              </w:rPr>
              <w:t xml:space="preserve"> </w:t>
            </w:r>
            <w:r>
              <w:rPr>
                <w:rFonts w:hint="eastAsia" w:ascii="宋体" w:hAnsi="宋体" w:eastAsia="宋体" w:cs="宋体"/>
                <w:color w:val="auto"/>
                <w:szCs w:val="21"/>
                <w:highlight w:val="none"/>
              </w:rPr>
              <w:t>否</w:t>
            </w:r>
          </w:p>
          <w:p w14:paraId="70BB5B82">
            <w:pPr>
              <w:ind w:left="0" w:leftChars="0" w:firstLine="0" w:firstLineChars="0"/>
              <w:rPr>
                <w:color w:val="auto"/>
              </w:rPr>
            </w:pPr>
            <w:r>
              <w:rPr>
                <w:rFonts w:hint="eastAsia" w:ascii="宋体" w:hAnsi="宋体" w:eastAsia="宋体" w:cs="宋体"/>
                <w:color w:val="auto"/>
                <w:szCs w:val="21"/>
                <w:highlight w:val="none"/>
              </w:rPr>
              <w:t>□ 是，采购《节能产品政府采购品目清单》内标记★符号的节能产品。</w:t>
            </w:r>
          </w:p>
        </w:tc>
      </w:tr>
      <w:tr w14:paraId="27CEA0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867" w:type="dxa"/>
            <w:vAlign w:val="center"/>
          </w:tcPr>
          <w:p w14:paraId="0E47F3EC">
            <w:pPr>
              <w:ind w:left="0" w:leftChars="0" w:firstLine="0" w:firstLineChars="0"/>
              <w:rPr>
                <w:color w:val="auto"/>
              </w:rPr>
            </w:pPr>
            <w:r>
              <w:rPr>
                <w:rFonts w:hint="eastAsia"/>
                <w:color w:val="auto"/>
              </w:rPr>
              <w:t>第二章第9.2款</w:t>
            </w:r>
          </w:p>
        </w:tc>
        <w:tc>
          <w:tcPr>
            <w:tcW w:w="1710" w:type="dxa"/>
            <w:vAlign w:val="center"/>
          </w:tcPr>
          <w:p w14:paraId="70A5D8EF">
            <w:pPr>
              <w:ind w:left="0" w:leftChars="0" w:firstLine="0" w:firstLineChars="0"/>
              <w:rPr>
                <w:color w:val="auto"/>
              </w:rPr>
            </w:pPr>
            <w:r>
              <w:rPr>
                <w:rFonts w:hint="eastAsia"/>
                <w:color w:val="auto"/>
              </w:rPr>
              <w:t>政府采购优先采购：</w:t>
            </w:r>
          </w:p>
          <w:p w14:paraId="2AAC6796">
            <w:pPr>
              <w:ind w:left="0" w:leftChars="0" w:firstLine="0" w:firstLineChars="0"/>
              <w:rPr>
                <w:color w:val="auto"/>
              </w:rPr>
            </w:pPr>
            <w:r>
              <w:rPr>
                <w:rFonts w:hint="eastAsia"/>
                <w:color w:val="auto"/>
              </w:rPr>
              <w:t>1、非强制采购的节能产品；</w:t>
            </w:r>
          </w:p>
          <w:p w14:paraId="4A14BDD0">
            <w:pPr>
              <w:ind w:left="0" w:leftChars="0" w:firstLine="0" w:firstLineChars="0"/>
              <w:rPr>
                <w:color w:val="auto"/>
              </w:rPr>
            </w:pPr>
            <w:r>
              <w:rPr>
                <w:rFonts w:hint="eastAsia"/>
                <w:color w:val="auto"/>
              </w:rPr>
              <w:t>2、环境标志产品；</w:t>
            </w:r>
          </w:p>
          <w:p w14:paraId="57CA33CB">
            <w:pPr>
              <w:ind w:left="0" w:leftChars="0" w:firstLine="0" w:firstLineChars="0"/>
              <w:rPr>
                <w:color w:val="auto"/>
              </w:rPr>
            </w:pPr>
            <w:r>
              <w:rPr>
                <w:rFonts w:hint="eastAsia"/>
                <w:color w:val="auto"/>
              </w:rPr>
              <w:t>3、两型产品；</w:t>
            </w:r>
          </w:p>
          <w:p w14:paraId="1B815F85">
            <w:pPr>
              <w:ind w:left="0" w:leftChars="0" w:firstLine="0" w:firstLineChars="0"/>
              <w:rPr>
                <w:color w:val="auto"/>
                <w:szCs w:val="21"/>
              </w:rPr>
            </w:pPr>
            <w:r>
              <w:rPr>
                <w:rFonts w:hint="eastAsia"/>
                <w:color w:val="auto"/>
                <w:szCs w:val="21"/>
              </w:rPr>
              <w:t>4、</w:t>
            </w:r>
            <w:r>
              <w:rPr>
                <w:rFonts w:hint="eastAsia"/>
                <w:bCs/>
                <w:color w:val="auto"/>
                <w:kern w:val="0"/>
                <w:szCs w:val="21"/>
              </w:rPr>
              <w:t>支持</w:t>
            </w:r>
            <w:r>
              <w:rPr>
                <w:rFonts w:hint="eastAsia"/>
                <w:color w:val="auto"/>
                <w:szCs w:val="21"/>
              </w:rPr>
              <w:t>中小企业发展（</w:t>
            </w:r>
            <w:r>
              <w:rPr>
                <w:rFonts w:hint="eastAsia"/>
                <w:color w:val="auto"/>
              </w:rPr>
              <w:t>监狱企业、残疾人福利性单位视同小型、微型企业</w:t>
            </w:r>
            <w:r>
              <w:rPr>
                <w:rFonts w:hint="eastAsia"/>
                <w:color w:val="auto"/>
                <w:szCs w:val="21"/>
              </w:rPr>
              <w:t>）；</w:t>
            </w:r>
          </w:p>
          <w:p w14:paraId="7185CE38">
            <w:pPr>
              <w:ind w:left="0" w:leftChars="0" w:firstLine="0" w:firstLineChars="0"/>
              <w:rPr>
                <w:color w:val="auto"/>
              </w:rPr>
            </w:pPr>
            <w:r>
              <w:rPr>
                <w:rFonts w:hint="eastAsia"/>
                <w:color w:val="auto"/>
              </w:rPr>
              <w:t>5、其它。</w:t>
            </w:r>
          </w:p>
        </w:tc>
        <w:tc>
          <w:tcPr>
            <w:tcW w:w="5268" w:type="dxa"/>
            <w:vAlign w:val="center"/>
          </w:tcPr>
          <w:p w14:paraId="08FE98FE">
            <w:pPr>
              <w:rPr>
                <w:color w:val="auto"/>
              </w:rPr>
            </w:pPr>
            <w:r>
              <w:rPr>
                <w:rFonts w:hint="eastAsia"/>
                <w:color w:val="auto"/>
              </w:rPr>
              <w:t>1、采购产品为《节能产品政府采购品目清单》内非标记★符号的，分别给予技术和价格项标准总分值4%-8%的加分。本项目具体加分比例分别为 ：技术</w:t>
            </w:r>
            <w:r>
              <w:rPr>
                <w:rFonts w:hint="eastAsia"/>
                <w:color w:val="auto"/>
                <w:u w:val="single"/>
              </w:rPr>
              <w:t xml:space="preserve"> / </w:t>
            </w:r>
            <w:r>
              <w:rPr>
                <w:rFonts w:hint="eastAsia"/>
                <w:color w:val="auto"/>
              </w:rPr>
              <w:t>%、价格</w:t>
            </w:r>
            <w:r>
              <w:rPr>
                <w:rFonts w:hint="eastAsia"/>
                <w:color w:val="auto"/>
                <w:u w:val="single"/>
              </w:rPr>
              <w:t xml:space="preserve">     / </w:t>
            </w:r>
            <w:r>
              <w:rPr>
                <w:rFonts w:hint="eastAsia"/>
                <w:color w:val="auto"/>
              </w:rPr>
              <w:t>%。</w:t>
            </w:r>
          </w:p>
          <w:p w14:paraId="0B211EF1">
            <w:pPr>
              <w:rPr>
                <w:color w:val="auto"/>
              </w:rPr>
            </w:pPr>
            <w:r>
              <w:rPr>
                <w:rFonts w:hint="eastAsia"/>
                <w:color w:val="auto"/>
              </w:rPr>
              <w:t>2、采购产品为《环境标志产品政府采购品目清单》内的，分别给予技术和价格项标准总分值4%-8%的加分。本项目具体加分比例分别为 ：技术</w:t>
            </w:r>
            <w:r>
              <w:rPr>
                <w:rFonts w:hint="eastAsia"/>
                <w:color w:val="auto"/>
                <w:u w:val="single"/>
              </w:rPr>
              <w:t xml:space="preserve"> / </w:t>
            </w:r>
            <w:r>
              <w:rPr>
                <w:rFonts w:hint="eastAsia"/>
                <w:color w:val="auto"/>
              </w:rPr>
              <w:t>%、价格</w:t>
            </w:r>
            <w:r>
              <w:rPr>
                <w:rFonts w:hint="eastAsia"/>
                <w:color w:val="auto"/>
                <w:u w:val="single"/>
              </w:rPr>
              <w:t xml:space="preserve"> / </w:t>
            </w:r>
            <w:r>
              <w:rPr>
                <w:rFonts w:hint="eastAsia"/>
                <w:color w:val="auto"/>
              </w:rPr>
              <w:t>%。</w:t>
            </w:r>
          </w:p>
          <w:p w14:paraId="13826B83">
            <w:pPr>
              <w:rPr>
                <w:color w:val="auto"/>
              </w:rPr>
            </w:pPr>
            <w:r>
              <w:rPr>
                <w:rFonts w:hint="eastAsia"/>
                <w:color w:val="auto"/>
              </w:rPr>
              <w:t>3、采购产品为《湖南省政府采购两型产品目录》或《长沙市两型产品目录》内的：</w:t>
            </w:r>
          </w:p>
          <w:p w14:paraId="227806BE">
            <w:pPr>
              <w:rPr>
                <w:color w:val="auto"/>
              </w:rPr>
            </w:pPr>
            <w:r>
              <w:rPr>
                <w:rFonts w:hint="eastAsia"/>
                <w:color w:val="auto"/>
              </w:rPr>
              <w:t>（1）分别给予技术和价格项标准总分值4%-8%的加</w:t>
            </w:r>
          </w:p>
          <w:p w14:paraId="564C5723">
            <w:pPr>
              <w:rPr>
                <w:color w:val="auto"/>
              </w:rPr>
            </w:pPr>
            <w:r>
              <w:rPr>
                <w:rFonts w:hint="eastAsia"/>
                <w:color w:val="auto"/>
              </w:rPr>
              <w:t>分，本项目具体加分比例分别为：技术</w:t>
            </w:r>
            <w:r>
              <w:rPr>
                <w:rFonts w:hint="eastAsia"/>
                <w:color w:val="auto"/>
                <w:u w:val="single"/>
              </w:rPr>
              <w:t xml:space="preserve"> / </w:t>
            </w:r>
            <w:r>
              <w:rPr>
                <w:rFonts w:hint="eastAsia"/>
                <w:color w:val="auto"/>
              </w:rPr>
              <w:t>%、价格</w:t>
            </w:r>
            <w:r>
              <w:rPr>
                <w:rFonts w:hint="eastAsia"/>
                <w:color w:val="auto"/>
                <w:u w:val="single"/>
              </w:rPr>
              <w:t xml:space="preserve"> / </w:t>
            </w:r>
            <w:r>
              <w:rPr>
                <w:rFonts w:hint="eastAsia"/>
                <w:color w:val="auto"/>
              </w:rPr>
              <w:t>%。</w:t>
            </w:r>
          </w:p>
          <w:p w14:paraId="51111D1D">
            <w:pPr>
              <w:rPr>
                <w:color w:val="auto"/>
              </w:rPr>
            </w:pPr>
            <w:r>
              <w:rPr>
                <w:rFonts w:hint="eastAsia"/>
                <w:color w:val="auto"/>
              </w:rPr>
              <w:t>（2）对在本地设有生产基地和备品备件库、有售后服务机构和网点的两型产品，给予商务评标总分值4%-8%的加分，本项目具体加分比例为</w:t>
            </w:r>
            <w:r>
              <w:rPr>
                <w:rFonts w:hint="eastAsia"/>
                <w:color w:val="auto"/>
                <w:u w:val="single"/>
              </w:rPr>
              <w:t xml:space="preserve"> / </w:t>
            </w:r>
            <w:r>
              <w:rPr>
                <w:rFonts w:hint="eastAsia"/>
                <w:color w:val="auto"/>
              </w:rPr>
              <w:t>%。</w:t>
            </w:r>
          </w:p>
          <w:p w14:paraId="2FC69C16">
            <w:pPr>
              <w:rPr>
                <w:color w:val="auto"/>
              </w:rPr>
            </w:pPr>
            <w:r>
              <w:rPr>
                <w:rFonts w:hint="eastAsia"/>
                <w:color w:val="auto"/>
              </w:rPr>
              <w:t>4、非专门面向中小企业采购，且符合政府采购促进中小企业发展相关规定的：</w:t>
            </w:r>
            <w:r>
              <w:rPr>
                <w:rFonts w:hint="eastAsia" w:ascii="Times New Roman" w:hAnsi="Times New Roman"/>
                <w:color w:val="auto"/>
              </w:rPr>
              <w:t>非专门面向中小微企业采购</w:t>
            </w:r>
          </w:p>
          <w:p w14:paraId="26FDF288">
            <w:pPr>
              <w:rPr>
                <w:color w:val="auto"/>
              </w:rPr>
            </w:pPr>
            <w:r>
              <w:rPr>
                <w:rFonts w:hint="eastAsia"/>
                <w:color w:val="auto"/>
              </w:rPr>
              <w:t>（1）给予小型和微型企业、福利和监狱企业产品的价格给予10%-20%的扣除，用扣除后的价格参与评审，本项目具体扣除比例为</w:t>
            </w:r>
            <w:r>
              <w:rPr>
                <w:rFonts w:hint="eastAsia"/>
                <w:color w:val="auto"/>
                <w:u w:val="single"/>
              </w:rPr>
              <w:t xml:space="preserve"> / </w:t>
            </w:r>
            <w:r>
              <w:rPr>
                <w:rFonts w:hint="eastAsia"/>
                <w:color w:val="auto"/>
              </w:rPr>
              <w:t>％，不重复享受政策。</w:t>
            </w:r>
          </w:p>
          <w:p w14:paraId="4C04659B">
            <w:pPr>
              <w:spacing w:line="360" w:lineRule="auto"/>
              <w:ind w:firstLine="0" w:firstLineChars="0"/>
              <w:rPr>
                <w:rFonts w:hint="eastAsia"/>
                <w:color w:val="auto"/>
              </w:rPr>
            </w:pPr>
            <w:r>
              <w:rPr>
                <w:rFonts w:hint="eastAsia"/>
                <w:color w:val="auto"/>
              </w:rPr>
              <w:t>（2）给予联合体4%-6%的价格扣除，用扣除后的价格参与评审，本项目具体扣除比例为</w:t>
            </w:r>
            <w:r>
              <w:rPr>
                <w:rFonts w:hint="eastAsia"/>
                <w:color w:val="auto"/>
                <w:u w:val="single"/>
              </w:rPr>
              <w:t xml:space="preserve"> /</w:t>
            </w:r>
            <w:r>
              <w:rPr>
                <w:rFonts w:hint="eastAsia"/>
                <w:color w:val="auto"/>
              </w:rPr>
              <w:t>％。</w:t>
            </w:r>
          </w:p>
          <w:p w14:paraId="480D8248">
            <w:pPr>
              <w:spacing w:line="360" w:lineRule="auto"/>
              <w:ind w:firstLine="0" w:firstLineChars="0"/>
              <w:rPr>
                <w:rFonts w:hint="eastAsia" w:ascii="宋体" w:hAnsi="宋体" w:eastAsia="宋体" w:cs="宋体"/>
                <w:color w:val="auto"/>
              </w:rPr>
            </w:pPr>
            <w:r>
              <w:rPr>
                <w:rFonts w:hint="eastAsia" w:ascii="宋体" w:hAnsi="宋体" w:eastAsia="宋体" w:cs="宋体"/>
                <w:color w:val="auto"/>
              </w:rPr>
              <w:t>（3）支持监狱企业：</w:t>
            </w:r>
          </w:p>
          <w:p w14:paraId="7EE4295B">
            <w:pPr>
              <w:spacing w:line="360" w:lineRule="auto"/>
              <w:ind w:firstLine="0" w:firstLineChars="0"/>
              <w:rPr>
                <w:rFonts w:hint="eastAsia" w:ascii="宋体" w:hAnsi="宋体" w:eastAsia="宋体" w:cs="宋体"/>
                <w:color w:val="auto"/>
              </w:rPr>
            </w:pPr>
            <w:r>
              <w:rPr>
                <w:rFonts w:hint="eastAsia" w:ascii="宋体" w:hAnsi="宋体" w:eastAsia="宋体" w:cs="宋体"/>
                <w:color w:val="auto"/>
              </w:rPr>
              <w:t>①、监狱企业视同小型、微型企业；</w:t>
            </w:r>
          </w:p>
          <w:p w14:paraId="712254EB">
            <w:pPr>
              <w:spacing w:line="360" w:lineRule="auto"/>
              <w:ind w:firstLine="0" w:firstLineChars="0"/>
              <w:rPr>
                <w:rFonts w:hint="eastAsia" w:ascii="宋体" w:hAnsi="宋体" w:eastAsia="宋体" w:cs="宋体"/>
                <w:color w:val="auto"/>
              </w:rPr>
            </w:pPr>
            <w:r>
              <w:rPr>
                <w:rFonts w:hint="eastAsia" w:ascii="宋体" w:hAnsi="宋体" w:eastAsia="宋体" w:cs="宋体"/>
                <w:color w:val="auto"/>
              </w:rPr>
              <w:t>②、监狱企业参加政府采购活动时，应当提供由省级以上监狱管理局、戒毒管理局(含新疆生产建设兵团)出具的属于监狱企业的证明文件。</w:t>
            </w:r>
          </w:p>
          <w:p w14:paraId="525BDDD1">
            <w:pPr>
              <w:rPr>
                <w:color w:val="auto"/>
              </w:rPr>
            </w:pPr>
            <w:r>
              <w:rPr>
                <w:rFonts w:hint="eastAsia" w:ascii="宋体" w:hAnsi="宋体" w:eastAsia="宋体" w:cs="宋体"/>
                <w:color w:val="auto"/>
                <w:lang w:val="en-US" w:eastAsia="zh-CN"/>
              </w:rPr>
              <w:t>5、根据《政府采购促进中小企业发展管理办法》（财库﹝2020﹞46 号）文件规定，本项目</w:t>
            </w:r>
            <w:r>
              <w:rPr>
                <w:rFonts w:hint="eastAsia" w:ascii="宋体" w:hAnsi="宋体" w:eastAsia="宋体" w:cs="宋体"/>
                <w:color w:val="auto"/>
                <w:u w:val="single"/>
                <w:lang w:val="en-US" w:eastAsia="zh-CN"/>
              </w:rPr>
              <w:t xml:space="preserve">  /  </w:t>
            </w:r>
            <w:r>
              <w:rPr>
                <w:rFonts w:hint="eastAsia" w:ascii="宋体" w:hAnsi="宋体" w:eastAsia="宋体" w:cs="宋体"/>
                <w:color w:val="auto"/>
                <w:lang w:val="en-US" w:eastAsia="zh-CN"/>
              </w:rPr>
              <w:t>专门面向中小企业采购，所属行业为</w:t>
            </w:r>
            <w:r>
              <w:rPr>
                <w:rFonts w:hint="eastAsia" w:ascii="宋体" w:hAnsi="宋体" w:eastAsia="宋体" w:cs="宋体"/>
                <w:color w:val="auto"/>
                <w:u w:val="single"/>
                <w:lang w:val="en-US" w:eastAsia="zh-CN"/>
              </w:rPr>
              <w:t xml:space="preserve">   /  </w:t>
            </w:r>
            <w:r>
              <w:rPr>
                <w:rFonts w:hint="eastAsia" w:ascii="宋体" w:hAnsi="宋体" w:eastAsia="宋体" w:cs="宋体"/>
                <w:color w:val="auto"/>
                <w:lang w:val="en-US" w:eastAsia="zh-CN"/>
              </w:rPr>
              <w:t>。</w:t>
            </w:r>
          </w:p>
        </w:tc>
      </w:tr>
      <w:tr w14:paraId="685B2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867" w:type="dxa"/>
            <w:vMerge w:val="restart"/>
            <w:tcBorders>
              <w:top w:val="single" w:color="auto" w:sz="4" w:space="0"/>
            </w:tcBorders>
            <w:vAlign w:val="center"/>
          </w:tcPr>
          <w:p w14:paraId="38BC849A">
            <w:pPr>
              <w:ind w:left="0" w:leftChars="0" w:firstLine="0" w:firstLineChars="0"/>
              <w:rPr>
                <w:color w:val="auto"/>
              </w:rPr>
            </w:pPr>
            <w:r>
              <w:rPr>
                <w:rFonts w:hint="eastAsia"/>
                <w:color w:val="auto"/>
              </w:rPr>
              <w:t>第二章第9.6款</w:t>
            </w:r>
          </w:p>
        </w:tc>
        <w:tc>
          <w:tcPr>
            <w:tcW w:w="1710" w:type="dxa"/>
            <w:tcBorders>
              <w:top w:val="single" w:color="auto" w:sz="4" w:space="0"/>
              <w:bottom w:val="single" w:color="auto" w:sz="4" w:space="0"/>
            </w:tcBorders>
            <w:vAlign w:val="center"/>
          </w:tcPr>
          <w:p w14:paraId="23376219">
            <w:pPr>
              <w:ind w:left="0" w:leftChars="0" w:firstLine="0" w:firstLineChars="0"/>
              <w:rPr>
                <w:color w:val="auto"/>
              </w:rPr>
            </w:pPr>
            <w:r>
              <w:rPr>
                <w:rFonts w:hint="eastAsia"/>
                <w:color w:val="auto"/>
                <w:kern w:val="0"/>
              </w:rPr>
              <w:t>政府采购支持中小企业融资</w:t>
            </w:r>
          </w:p>
        </w:tc>
        <w:tc>
          <w:tcPr>
            <w:tcW w:w="5268" w:type="dxa"/>
            <w:tcBorders>
              <w:top w:val="single" w:color="auto" w:sz="4" w:space="0"/>
              <w:bottom w:val="single" w:color="auto" w:sz="4" w:space="0"/>
            </w:tcBorders>
          </w:tcPr>
          <w:p w14:paraId="7B4AEFFD">
            <w:pPr>
              <w:ind w:left="0" w:leftChars="0" w:firstLine="0" w:firstLineChars="0"/>
              <w:rPr>
                <w:color w:val="auto"/>
              </w:rPr>
            </w:pPr>
            <w:r>
              <w:rPr>
                <w:rFonts w:hint="eastAsia"/>
                <w:color w:val="auto"/>
              </w:rPr>
              <w:t>有融资需求的，可向本附表附页1所列银行咨询或登陆中国湖南政府采购网查询。</w:t>
            </w:r>
          </w:p>
        </w:tc>
      </w:tr>
      <w:tr w14:paraId="237B06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67" w:type="dxa"/>
            <w:vMerge w:val="continue"/>
            <w:vAlign w:val="center"/>
          </w:tcPr>
          <w:p w14:paraId="75FDAAAE">
            <w:pPr>
              <w:rPr>
                <w:color w:val="auto"/>
              </w:rPr>
            </w:pPr>
          </w:p>
        </w:tc>
        <w:tc>
          <w:tcPr>
            <w:tcW w:w="1710" w:type="dxa"/>
            <w:vAlign w:val="center"/>
          </w:tcPr>
          <w:p w14:paraId="2BEC7FB2">
            <w:pPr>
              <w:ind w:left="0" w:leftChars="0" w:firstLine="0" w:firstLineChars="0"/>
              <w:rPr>
                <w:color w:val="auto"/>
              </w:rPr>
            </w:pPr>
            <w:r>
              <w:rPr>
                <w:rFonts w:hint="eastAsia"/>
                <w:color w:val="auto"/>
                <w:kern w:val="0"/>
              </w:rPr>
              <w:t>政府采购信用担保</w:t>
            </w:r>
          </w:p>
        </w:tc>
        <w:tc>
          <w:tcPr>
            <w:tcW w:w="5268" w:type="dxa"/>
            <w:vAlign w:val="center"/>
          </w:tcPr>
          <w:p w14:paraId="08FCAC87">
            <w:pPr>
              <w:ind w:left="0" w:leftChars="0" w:firstLine="0" w:firstLineChars="0"/>
              <w:rPr>
                <w:color w:val="auto"/>
              </w:rPr>
            </w:pPr>
            <w:r>
              <w:rPr>
                <w:rFonts w:hint="eastAsia"/>
                <w:color w:val="auto"/>
              </w:rPr>
              <w:t>有履约担保或融资担保需求的，可向本附表附页2所列担保机构咨询或登陆中国湖南政府采购网查询，格式见附页3。</w:t>
            </w:r>
          </w:p>
        </w:tc>
      </w:tr>
      <w:tr w14:paraId="2432D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845" w:type="dxa"/>
            <w:gridSpan w:val="3"/>
            <w:vAlign w:val="center"/>
          </w:tcPr>
          <w:p w14:paraId="158AB660">
            <w:pPr>
              <w:ind w:left="0" w:leftChars="0" w:firstLine="0" w:firstLineChars="0"/>
              <w:rPr>
                <w:color w:val="auto"/>
              </w:rPr>
            </w:pPr>
            <w:r>
              <w:rPr>
                <w:rFonts w:hint="eastAsia"/>
                <w:b/>
                <w:bCs/>
                <w:color w:val="auto"/>
              </w:rPr>
              <w:t>二、磋商文件</w:t>
            </w:r>
          </w:p>
        </w:tc>
      </w:tr>
      <w:tr w14:paraId="6C36C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67" w:type="dxa"/>
            <w:vAlign w:val="center"/>
          </w:tcPr>
          <w:p w14:paraId="5E13CD7B">
            <w:pPr>
              <w:ind w:left="0" w:leftChars="0" w:firstLine="0" w:firstLineChars="0"/>
              <w:rPr>
                <w:color w:val="auto"/>
              </w:rPr>
            </w:pPr>
            <w:r>
              <w:rPr>
                <w:rFonts w:hint="eastAsia"/>
                <w:color w:val="auto"/>
              </w:rPr>
              <w:t>第二章第10.2款</w:t>
            </w:r>
          </w:p>
        </w:tc>
        <w:tc>
          <w:tcPr>
            <w:tcW w:w="1710" w:type="dxa"/>
            <w:vAlign w:val="center"/>
          </w:tcPr>
          <w:p w14:paraId="6CDC5A37">
            <w:pPr>
              <w:ind w:left="0" w:leftChars="0" w:firstLine="0" w:firstLineChars="0"/>
              <w:rPr>
                <w:color w:val="auto"/>
              </w:rPr>
            </w:pPr>
            <w:r>
              <w:rPr>
                <w:rFonts w:hint="eastAsia"/>
                <w:color w:val="auto"/>
              </w:rPr>
              <w:t>磋商文件的可能实质性变动内容</w:t>
            </w:r>
          </w:p>
        </w:tc>
        <w:tc>
          <w:tcPr>
            <w:tcW w:w="5268" w:type="dxa"/>
            <w:vAlign w:val="center"/>
          </w:tcPr>
          <w:p w14:paraId="37DEDB22">
            <w:pPr>
              <w:rPr>
                <w:color w:val="auto"/>
              </w:rPr>
            </w:pPr>
            <w:r>
              <w:rPr>
                <w:rFonts w:hint="eastAsia"/>
                <w:color w:val="auto"/>
              </w:rPr>
              <w:t>在磋商过程中，磋商文件的技术、商务要求以及合同草案条款可能发生实质性变动，由磋商小组根据磋商情况确定。如有变动，磋商小组将书面告知供应商。供应商书面回复和进行响应承诺。</w:t>
            </w:r>
          </w:p>
        </w:tc>
      </w:tr>
      <w:tr w14:paraId="42CE46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67" w:type="dxa"/>
            <w:vAlign w:val="center"/>
          </w:tcPr>
          <w:p w14:paraId="3A5A076D">
            <w:pPr>
              <w:ind w:left="0" w:leftChars="0" w:firstLine="0" w:firstLineChars="0"/>
              <w:rPr>
                <w:color w:val="auto"/>
              </w:rPr>
            </w:pPr>
            <w:r>
              <w:rPr>
                <w:rFonts w:hint="eastAsia"/>
                <w:color w:val="auto"/>
              </w:rPr>
              <w:t>第二章第11.1款</w:t>
            </w:r>
          </w:p>
        </w:tc>
        <w:tc>
          <w:tcPr>
            <w:tcW w:w="1710" w:type="dxa"/>
            <w:vAlign w:val="center"/>
          </w:tcPr>
          <w:p w14:paraId="6C34C847">
            <w:pPr>
              <w:ind w:left="0" w:leftChars="0" w:firstLine="0" w:firstLineChars="0"/>
              <w:rPr>
                <w:color w:val="auto"/>
              </w:rPr>
            </w:pPr>
            <w:r>
              <w:rPr>
                <w:rFonts w:hint="eastAsia"/>
                <w:color w:val="auto"/>
              </w:rPr>
              <w:t>提供磋商文件期限</w:t>
            </w:r>
          </w:p>
        </w:tc>
        <w:tc>
          <w:tcPr>
            <w:tcW w:w="5268" w:type="dxa"/>
            <w:vAlign w:val="center"/>
          </w:tcPr>
          <w:p w14:paraId="1248963E">
            <w:pPr>
              <w:ind w:left="0" w:leftChars="0" w:firstLine="0" w:firstLineChars="0"/>
              <w:rPr>
                <w:color w:val="auto"/>
              </w:rPr>
            </w:pPr>
            <w:r>
              <w:rPr>
                <w:rFonts w:hint="eastAsia"/>
                <w:color w:val="auto"/>
              </w:rPr>
              <w:t>详见磋商公告</w:t>
            </w:r>
          </w:p>
        </w:tc>
      </w:tr>
      <w:tr w14:paraId="0EC43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67" w:type="dxa"/>
            <w:vAlign w:val="center"/>
          </w:tcPr>
          <w:p w14:paraId="35910C98">
            <w:pPr>
              <w:ind w:left="0" w:leftChars="0" w:firstLine="0" w:firstLineChars="0"/>
              <w:rPr>
                <w:color w:val="auto"/>
              </w:rPr>
            </w:pPr>
            <w:r>
              <w:rPr>
                <w:rFonts w:hint="eastAsia"/>
                <w:color w:val="auto"/>
              </w:rPr>
              <w:t>第二章第11.2款</w:t>
            </w:r>
          </w:p>
        </w:tc>
        <w:tc>
          <w:tcPr>
            <w:tcW w:w="1710" w:type="dxa"/>
            <w:vAlign w:val="center"/>
          </w:tcPr>
          <w:p w14:paraId="2A690DD6">
            <w:pPr>
              <w:ind w:left="0" w:leftChars="0" w:firstLine="0" w:firstLineChars="0"/>
              <w:rPr>
                <w:color w:val="auto"/>
              </w:rPr>
            </w:pPr>
            <w:r>
              <w:rPr>
                <w:rFonts w:hint="eastAsia"/>
                <w:color w:val="auto"/>
              </w:rPr>
              <w:t>领取或购买磋商文件时应提供的资料</w:t>
            </w:r>
          </w:p>
        </w:tc>
        <w:tc>
          <w:tcPr>
            <w:tcW w:w="5268" w:type="dxa"/>
            <w:vAlign w:val="center"/>
          </w:tcPr>
          <w:p w14:paraId="5ED5A23D">
            <w:pPr>
              <w:ind w:left="0" w:leftChars="0" w:firstLine="0" w:firstLineChars="0"/>
              <w:rPr>
                <w:color w:val="auto"/>
                <w:u w:val="single"/>
              </w:rPr>
            </w:pPr>
            <w:r>
              <w:rPr>
                <w:rFonts w:hint="eastAsia"/>
                <w:color w:val="auto"/>
              </w:rPr>
              <w:t xml:space="preserve">①单位介绍信、②法定代表人身份证明（附营业执照）或者授权委托书(并附法定代表人身份证明、附营业执照)、③个人身份证 </w:t>
            </w:r>
          </w:p>
        </w:tc>
      </w:tr>
      <w:tr w14:paraId="65F8B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67" w:type="dxa"/>
            <w:vAlign w:val="center"/>
          </w:tcPr>
          <w:p w14:paraId="4BF40579">
            <w:pPr>
              <w:ind w:left="0" w:leftChars="0" w:firstLine="0" w:firstLineChars="0"/>
              <w:rPr>
                <w:color w:val="auto"/>
              </w:rPr>
            </w:pPr>
            <w:r>
              <w:rPr>
                <w:rFonts w:hint="eastAsia"/>
                <w:color w:val="auto"/>
              </w:rPr>
              <w:t>第二章第12.1款</w:t>
            </w:r>
          </w:p>
        </w:tc>
        <w:tc>
          <w:tcPr>
            <w:tcW w:w="1710" w:type="dxa"/>
            <w:vAlign w:val="center"/>
          </w:tcPr>
          <w:p w14:paraId="79D555FC">
            <w:pPr>
              <w:ind w:left="0" w:leftChars="0" w:firstLine="0" w:firstLineChars="0"/>
              <w:rPr>
                <w:color w:val="auto"/>
              </w:rPr>
            </w:pPr>
            <w:r>
              <w:rPr>
                <w:rFonts w:hint="eastAsia"/>
                <w:color w:val="auto"/>
              </w:rPr>
              <w:t>提交首次响应文件的截止时间</w:t>
            </w:r>
          </w:p>
        </w:tc>
        <w:tc>
          <w:tcPr>
            <w:tcW w:w="5268" w:type="dxa"/>
            <w:vAlign w:val="center"/>
          </w:tcPr>
          <w:p w14:paraId="4E5D565D">
            <w:pPr>
              <w:ind w:left="0" w:leftChars="0" w:firstLine="0" w:firstLineChars="0"/>
              <w:rPr>
                <w:color w:val="auto"/>
              </w:rPr>
            </w:pPr>
            <w:r>
              <w:rPr>
                <w:rFonts w:hint="eastAsia"/>
                <w:color w:val="auto"/>
              </w:rPr>
              <w:t>详见磋商公告</w:t>
            </w:r>
          </w:p>
        </w:tc>
      </w:tr>
      <w:tr w14:paraId="78734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8845" w:type="dxa"/>
            <w:gridSpan w:val="3"/>
            <w:vAlign w:val="center"/>
          </w:tcPr>
          <w:p w14:paraId="0A65E077">
            <w:pPr>
              <w:ind w:left="0" w:leftChars="0" w:firstLine="0" w:firstLineChars="0"/>
              <w:rPr>
                <w:color w:val="auto"/>
              </w:rPr>
            </w:pPr>
            <w:r>
              <w:rPr>
                <w:rFonts w:hint="eastAsia"/>
                <w:b/>
                <w:bCs/>
                <w:color w:val="auto"/>
              </w:rPr>
              <w:t>三、响应文件的编写</w:t>
            </w:r>
          </w:p>
        </w:tc>
      </w:tr>
      <w:tr w14:paraId="44ECB9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67" w:type="dxa"/>
            <w:vAlign w:val="center"/>
          </w:tcPr>
          <w:p w14:paraId="2539D8BE">
            <w:pPr>
              <w:ind w:left="0" w:leftChars="0" w:firstLine="0" w:firstLineChars="0"/>
              <w:rPr>
                <w:color w:val="auto"/>
              </w:rPr>
            </w:pPr>
            <w:r>
              <w:rPr>
                <w:rFonts w:hint="eastAsia"/>
                <w:color w:val="auto"/>
              </w:rPr>
              <w:t>第二章第16.1款</w:t>
            </w:r>
          </w:p>
        </w:tc>
        <w:tc>
          <w:tcPr>
            <w:tcW w:w="1710" w:type="dxa"/>
            <w:vAlign w:val="center"/>
          </w:tcPr>
          <w:p w14:paraId="3F235632">
            <w:pPr>
              <w:ind w:left="0" w:leftChars="0" w:firstLine="0" w:firstLineChars="0"/>
              <w:rPr>
                <w:color w:val="auto"/>
              </w:rPr>
            </w:pPr>
            <w:r>
              <w:rPr>
                <w:rFonts w:hint="eastAsia"/>
                <w:color w:val="auto"/>
              </w:rPr>
              <w:t>采购项目预算</w:t>
            </w:r>
          </w:p>
        </w:tc>
        <w:tc>
          <w:tcPr>
            <w:tcW w:w="5268" w:type="dxa"/>
            <w:vAlign w:val="center"/>
          </w:tcPr>
          <w:p w14:paraId="450D68F4">
            <w:pPr>
              <w:ind w:left="0" w:leftChars="0" w:firstLine="0" w:firstLineChars="0"/>
              <w:rPr>
                <w:rFonts w:hint="eastAsia"/>
                <w:color w:val="auto"/>
                <w:highlight w:val="none"/>
              </w:rPr>
            </w:pPr>
            <w:r>
              <w:rPr>
                <w:rFonts w:hint="eastAsia"/>
                <w:color w:val="auto"/>
              </w:rPr>
              <w:t>采购项</w:t>
            </w:r>
            <w:r>
              <w:rPr>
                <w:rFonts w:hint="eastAsia"/>
                <w:color w:val="auto"/>
                <w:highlight w:val="none"/>
              </w:rPr>
              <w:t>目预算</w:t>
            </w:r>
            <w:r>
              <w:rPr>
                <w:rFonts w:hint="eastAsia"/>
                <w:color w:val="auto"/>
                <w:highlight w:val="none"/>
                <w:lang w:eastAsia="zh-CN"/>
              </w:rPr>
              <w:t>：</w:t>
            </w:r>
            <w:r>
              <w:rPr>
                <w:rFonts w:hint="eastAsia"/>
                <w:b/>
                <w:bCs/>
                <w:color w:val="auto"/>
                <w:highlight w:val="none"/>
                <w:lang w:eastAsia="zh-CN"/>
              </w:rPr>
              <w:t>1059180.00元</w:t>
            </w:r>
          </w:p>
          <w:p w14:paraId="3D341989">
            <w:pPr>
              <w:pStyle w:val="25"/>
              <w:spacing w:line="240" w:lineRule="auto"/>
              <w:ind w:left="0" w:leftChars="0" w:firstLine="0" w:firstLineChars="0"/>
              <w:jc w:val="left"/>
              <w:rPr>
                <w:rFonts w:hint="eastAsia" w:hAnsi="宋体" w:cs="宋体"/>
                <w:b/>
                <w:bCs/>
                <w:color w:val="auto"/>
                <w:highlight w:val="none"/>
                <w:lang w:eastAsia="zh-CN"/>
              </w:rPr>
            </w:pPr>
            <w:r>
              <w:rPr>
                <w:rFonts w:hint="eastAsia" w:ascii="宋体" w:hAnsi="宋体" w:eastAsia="宋体" w:cs="宋体"/>
                <w:color w:val="auto"/>
                <w:kern w:val="2"/>
                <w:sz w:val="21"/>
                <w:szCs w:val="21"/>
                <w:highlight w:val="none"/>
                <w:lang w:val="en-US" w:eastAsia="zh-CN" w:bidi="ar-SA"/>
              </w:rPr>
              <w:t>最高投标限价：</w:t>
            </w:r>
            <w:r>
              <w:rPr>
                <w:rFonts w:hint="eastAsia" w:hAnsi="宋体" w:cs="宋体"/>
                <w:b/>
                <w:bCs/>
                <w:color w:val="auto"/>
                <w:highlight w:val="none"/>
                <w:lang w:eastAsia="zh-CN"/>
              </w:rPr>
              <w:t>1059180.00元</w:t>
            </w:r>
          </w:p>
          <w:p w14:paraId="4657575D">
            <w:pPr>
              <w:ind w:left="0" w:leftChars="0"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其中：</w:t>
            </w:r>
          </w:p>
          <w:p w14:paraId="4A903D9D">
            <w:pPr>
              <w:ind w:left="0" w:leftChars="0" w:firstLine="0" w:firstLineChars="0"/>
              <w:rPr>
                <w:rFonts w:hint="eastAsia" w:ascii="宋体" w:hAnsi="宋体" w:eastAsia="宋体" w:cs="宋体"/>
                <w:b/>
                <w:bCs/>
                <w:spacing w:val="-1"/>
                <w:sz w:val="21"/>
                <w:szCs w:val="21"/>
                <w:highlight w:val="none"/>
                <w:u w:val="none"/>
                <w:lang w:val="en-US" w:eastAsia="zh-CN"/>
              </w:rPr>
            </w:pPr>
            <w:r>
              <w:rPr>
                <w:rFonts w:hint="eastAsia" w:cs="宋体"/>
                <w:b/>
                <w:bCs/>
                <w:color w:val="auto"/>
                <w:lang w:eastAsia="zh-CN"/>
              </w:rPr>
              <w:t>福港苑</w:t>
            </w:r>
            <w:r>
              <w:rPr>
                <w:rFonts w:hint="eastAsia" w:cs="宋体"/>
                <w:b/>
                <w:bCs/>
                <w:color w:val="auto"/>
                <w:lang w:val="en-US" w:eastAsia="zh-CN"/>
              </w:rPr>
              <w:t>小区</w:t>
            </w:r>
            <w:r>
              <w:rPr>
                <w:rFonts w:hint="eastAsia" w:ascii="宋体" w:hAnsi="宋体" w:eastAsia="宋体" w:cs="宋体"/>
                <w:b/>
                <w:bCs/>
                <w:spacing w:val="-1"/>
                <w:sz w:val="21"/>
                <w:szCs w:val="21"/>
                <w:highlight w:val="none"/>
                <w:u w:val="none"/>
                <w:lang w:eastAsia="zh-CN"/>
              </w:rPr>
              <w:t>保安保洁</w:t>
            </w:r>
            <w:r>
              <w:rPr>
                <w:rFonts w:hint="eastAsia" w:cs="宋体"/>
                <w:b/>
                <w:bCs/>
                <w:spacing w:val="-1"/>
                <w:sz w:val="21"/>
                <w:szCs w:val="21"/>
                <w:highlight w:val="none"/>
                <w:u w:val="none"/>
                <w:lang w:val="en-US" w:eastAsia="zh-CN"/>
              </w:rPr>
              <w:t>及工程维护服务</w:t>
            </w:r>
            <w:r>
              <w:rPr>
                <w:rFonts w:hint="eastAsia" w:ascii="宋体" w:hAnsi="宋体" w:eastAsia="宋体" w:cs="宋体"/>
                <w:b/>
                <w:bCs/>
                <w:spacing w:val="-1"/>
                <w:sz w:val="21"/>
                <w:szCs w:val="21"/>
                <w:highlight w:val="none"/>
                <w:u w:val="none"/>
                <w:lang w:val="en-US" w:eastAsia="zh-CN"/>
              </w:rPr>
              <w:t>：</w:t>
            </w:r>
            <w:r>
              <w:rPr>
                <w:rFonts w:hint="eastAsia" w:cs="宋体"/>
                <w:b/>
                <w:bCs/>
                <w:spacing w:val="-1"/>
                <w:sz w:val="21"/>
                <w:szCs w:val="21"/>
                <w:highlight w:val="none"/>
                <w:u w:val="none"/>
                <w:lang w:val="en-US" w:eastAsia="zh-CN"/>
              </w:rPr>
              <w:t>395652.00</w:t>
            </w:r>
            <w:r>
              <w:rPr>
                <w:rFonts w:hint="eastAsia" w:ascii="宋体" w:hAnsi="宋体" w:eastAsia="宋体" w:cs="宋体"/>
                <w:b/>
                <w:bCs/>
                <w:spacing w:val="-1"/>
                <w:sz w:val="21"/>
                <w:szCs w:val="21"/>
                <w:highlight w:val="none"/>
                <w:u w:val="none"/>
                <w:lang w:val="en-US" w:eastAsia="zh-CN"/>
              </w:rPr>
              <w:t>元</w:t>
            </w:r>
          </w:p>
          <w:p w14:paraId="10316EE2">
            <w:pPr>
              <w:ind w:left="0" w:leftChars="0" w:firstLine="0" w:firstLineChars="0"/>
              <w:rPr>
                <w:rFonts w:hint="eastAsia"/>
              </w:rPr>
            </w:pPr>
            <w:r>
              <w:rPr>
                <w:rFonts w:hint="eastAsia" w:cs="宋体"/>
                <w:b/>
                <w:bCs/>
                <w:color w:val="auto"/>
                <w:lang w:val="en-US" w:eastAsia="zh-CN"/>
              </w:rPr>
              <w:t>荷韵园小区</w:t>
            </w:r>
            <w:r>
              <w:rPr>
                <w:rFonts w:hint="eastAsia" w:ascii="宋体" w:hAnsi="宋体" w:eastAsia="宋体" w:cs="宋体"/>
                <w:b/>
                <w:bCs/>
                <w:spacing w:val="-1"/>
                <w:sz w:val="21"/>
                <w:szCs w:val="21"/>
                <w:highlight w:val="none"/>
                <w:u w:val="none"/>
                <w:lang w:eastAsia="zh-CN"/>
              </w:rPr>
              <w:t>保安保洁</w:t>
            </w:r>
            <w:r>
              <w:rPr>
                <w:rFonts w:hint="eastAsia" w:cs="宋体"/>
                <w:b/>
                <w:bCs/>
                <w:spacing w:val="-1"/>
                <w:sz w:val="21"/>
                <w:szCs w:val="21"/>
                <w:highlight w:val="none"/>
                <w:u w:val="none"/>
                <w:lang w:val="en-US" w:eastAsia="zh-CN"/>
              </w:rPr>
              <w:t>及工程维护服务</w:t>
            </w:r>
            <w:r>
              <w:rPr>
                <w:rFonts w:hint="eastAsia" w:ascii="Times New Roman" w:hAnsi="宋体" w:eastAsia="宋体" w:cs="宋体"/>
                <w:b/>
                <w:bCs/>
                <w:color w:val="auto"/>
                <w:lang w:val="en-US" w:eastAsia="zh-CN"/>
              </w:rPr>
              <w:t>：</w:t>
            </w:r>
            <w:r>
              <w:rPr>
                <w:rFonts w:hint="eastAsia" w:cs="宋体"/>
                <w:b/>
                <w:bCs/>
                <w:spacing w:val="-1"/>
                <w:sz w:val="21"/>
                <w:szCs w:val="21"/>
                <w:highlight w:val="none"/>
                <w:u w:val="none"/>
                <w:lang w:val="en-US" w:eastAsia="zh-CN"/>
              </w:rPr>
              <w:t>663528.00</w:t>
            </w:r>
            <w:r>
              <w:rPr>
                <w:rFonts w:hint="eastAsia" w:ascii="宋体" w:hAnsi="宋体" w:eastAsia="宋体" w:cs="宋体"/>
                <w:b/>
                <w:bCs/>
                <w:spacing w:val="-1"/>
                <w:sz w:val="21"/>
                <w:szCs w:val="21"/>
                <w:highlight w:val="none"/>
                <w:u w:val="none"/>
                <w:lang w:val="en-US" w:eastAsia="zh-CN"/>
              </w:rPr>
              <w:t>元</w:t>
            </w:r>
          </w:p>
          <w:p w14:paraId="4EA259B2">
            <w:pPr>
              <w:pStyle w:val="25"/>
              <w:spacing w:line="240" w:lineRule="auto"/>
              <w:ind w:left="0" w:leftChars="0" w:firstLine="0" w:firstLineChars="0"/>
              <w:jc w:val="left"/>
              <w:rPr>
                <w:color w:val="auto"/>
              </w:rPr>
            </w:pPr>
            <w:r>
              <w:rPr>
                <w:rFonts w:hint="default" w:ascii="宋体" w:hAnsi="宋体" w:cs="宋体"/>
                <w:b/>
                <w:bCs/>
                <w:color w:val="auto"/>
                <w:szCs w:val="21"/>
                <w:highlight w:val="none"/>
              </w:rPr>
              <w:t>注：</w:t>
            </w:r>
            <w:r>
              <w:rPr>
                <w:rFonts w:hint="eastAsia" w:ascii="宋体" w:hAnsi="宋体" w:eastAsia="宋体" w:cs="宋体"/>
                <w:b/>
                <w:bCs/>
                <w:color w:val="auto"/>
                <w:kern w:val="2"/>
                <w:sz w:val="21"/>
                <w:szCs w:val="21"/>
                <w:highlight w:val="none"/>
                <w:lang w:val="en-US" w:eastAsia="zh-CN" w:bidi="ar-SA"/>
              </w:rPr>
              <w:t>投标人投标总报价</w:t>
            </w:r>
            <w:r>
              <w:rPr>
                <w:rFonts w:hint="eastAsia" w:hAnsi="宋体" w:cs="宋体"/>
                <w:b/>
                <w:bCs/>
                <w:color w:val="auto"/>
                <w:kern w:val="2"/>
                <w:sz w:val="21"/>
                <w:szCs w:val="21"/>
                <w:highlight w:val="none"/>
                <w:lang w:val="en-US" w:eastAsia="zh-CN" w:bidi="ar-SA"/>
              </w:rPr>
              <w:t>及分项均不得超过采购项目预算限价</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szCs w:val="21"/>
                <w:highlight w:val="none"/>
              </w:rPr>
              <w:t>否则按无效投标处理。</w:t>
            </w:r>
          </w:p>
        </w:tc>
      </w:tr>
      <w:tr w14:paraId="2DEC3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67" w:type="dxa"/>
            <w:vAlign w:val="center"/>
          </w:tcPr>
          <w:p w14:paraId="17A60206">
            <w:pPr>
              <w:ind w:left="0" w:leftChars="0" w:firstLine="0" w:firstLineChars="0"/>
              <w:rPr>
                <w:color w:val="auto"/>
              </w:rPr>
            </w:pPr>
            <w:r>
              <w:rPr>
                <w:rFonts w:hint="eastAsia"/>
                <w:color w:val="auto"/>
              </w:rPr>
              <w:t>第二章第19.1款</w:t>
            </w:r>
          </w:p>
        </w:tc>
        <w:tc>
          <w:tcPr>
            <w:tcW w:w="1710" w:type="dxa"/>
            <w:vAlign w:val="center"/>
          </w:tcPr>
          <w:p w14:paraId="7B9D4D6D">
            <w:pPr>
              <w:ind w:left="0" w:leftChars="0" w:firstLine="0" w:firstLineChars="0"/>
              <w:rPr>
                <w:color w:val="auto"/>
              </w:rPr>
            </w:pPr>
            <w:r>
              <w:rPr>
                <w:rFonts w:hint="eastAsia"/>
                <w:color w:val="auto"/>
              </w:rPr>
              <w:t>磋商保证金</w:t>
            </w:r>
          </w:p>
        </w:tc>
        <w:tc>
          <w:tcPr>
            <w:tcW w:w="5268" w:type="dxa"/>
            <w:vAlign w:val="center"/>
          </w:tcPr>
          <w:p w14:paraId="5FADD05F">
            <w:pPr>
              <w:ind w:left="0" w:leftChars="0" w:firstLine="0" w:firstLineChars="0"/>
              <w:rPr>
                <w:color w:val="auto"/>
              </w:rPr>
            </w:pPr>
            <w:r>
              <w:rPr>
                <w:rFonts w:hint="eastAsia"/>
                <w:color w:val="auto"/>
              </w:rPr>
              <w:t>■不要求提供</w:t>
            </w:r>
          </w:p>
          <w:p w14:paraId="28D90A07">
            <w:pPr>
              <w:pStyle w:val="25"/>
              <w:ind w:left="0" w:leftChars="0" w:firstLine="0" w:firstLineChars="0"/>
              <w:rPr>
                <w:color w:val="auto"/>
              </w:rPr>
            </w:pPr>
            <w:r>
              <w:rPr>
                <w:rFonts w:hint="eastAsia"/>
                <w:color w:val="auto"/>
              </w:rPr>
              <w:fldChar w:fldCharType="begin"/>
            </w:r>
            <w:r>
              <w:rPr>
                <w:rFonts w:hint="eastAsia"/>
                <w:color w:val="auto"/>
              </w:rPr>
              <w:instrText xml:space="preserve"> eq \o\ac(</w:instrText>
            </w:r>
            <w:r>
              <w:rPr>
                <w:rFonts w:hint="eastAsia"/>
                <w:color w:val="auto"/>
                <w:position w:val="-2"/>
              </w:rPr>
              <w:instrText xml:space="preserve">□</w:instrText>
            </w:r>
            <w:r>
              <w:rPr>
                <w:rFonts w:hint="eastAsia"/>
                <w:color w:val="auto"/>
              </w:rPr>
              <w:instrText xml:space="preserve">)</w:instrText>
            </w:r>
            <w:r>
              <w:rPr>
                <w:rFonts w:hint="eastAsia"/>
                <w:color w:val="auto"/>
              </w:rPr>
              <w:fldChar w:fldCharType="end"/>
            </w:r>
            <w:r>
              <w:rPr>
                <w:rFonts w:hint="eastAsia"/>
                <w:color w:val="auto"/>
              </w:rPr>
              <w:t xml:space="preserve"> 要求提供：</w:t>
            </w:r>
          </w:p>
        </w:tc>
      </w:tr>
      <w:tr w14:paraId="105176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72A95B03">
            <w:pPr>
              <w:ind w:left="0" w:leftChars="0" w:firstLine="0" w:firstLineChars="0"/>
              <w:rPr>
                <w:color w:val="auto"/>
              </w:rPr>
            </w:pPr>
            <w:r>
              <w:rPr>
                <w:rFonts w:hint="eastAsia"/>
                <w:color w:val="auto"/>
              </w:rPr>
              <w:t>第二章第20.1款</w:t>
            </w:r>
          </w:p>
        </w:tc>
        <w:tc>
          <w:tcPr>
            <w:tcW w:w="1710" w:type="dxa"/>
            <w:vAlign w:val="center"/>
          </w:tcPr>
          <w:p w14:paraId="11EE1AB8">
            <w:pPr>
              <w:ind w:left="0" w:leftChars="0" w:firstLine="0" w:firstLineChars="0"/>
              <w:rPr>
                <w:color w:val="auto"/>
              </w:rPr>
            </w:pPr>
            <w:r>
              <w:rPr>
                <w:rFonts w:hint="eastAsia"/>
                <w:color w:val="auto"/>
              </w:rPr>
              <w:t>响应文件有效期</w:t>
            </w:r>
          </w:p>
        </w:tc>
        <w:tc>
          <w:tcPr>
            <w:tcW w:w="5268" w:type="dxa"/>
            <w:vAlign w:val="center"/>
          </w:tcPr>
          <w:p w14:paraId="009BDE71">
            <w:pPr>
              <w:ind w:left="0" w:leftChars="0" w:firstLine="0" w:firstLineChars="0"/>
              <w:rPr>
                <w:bCs/>
                <w:color w:val="auto"/>
              </w:rPr>
            </w:pPr>
            <w:r>
              <w:rPr>
                <w:color w:val="auto"/>
                <w:u w:val="single"/>
              </w:rPr>
              <w:t>9</w:t>
            </w:r>
            <w:r>
              <w:rPr>
                <w:rFonts w:hint="eastAsia"/>
                <w:color w:val="auto"/>
                <w:u w:val="single"/>
              </w:rPr>
              <w:t xml:space="preserve">0 </w:t>
            </w:r>
            <w:r>
              <w:rPr>
                <w:rFonts w:hint="eastAsia"/>
                <w:color w:val="auto"/>
              </w:rPr>
              <w:t>日（日历日）</w:t>
            </w:r>
          </w:p>
        </w:tc>
      </w:tr>
      <w:tr w14:paraId="6226C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5E7A4286">
            <w:pPr>
              <w:ind w:left="0" w:leftChars="0" w:firstLine="0" w:firstLineChars="0"/>
              <w:rPr>
                <w:color w:val="auto"/>
              </w:rPr>
            </w:pPr>
            <w:r>
              <w:rPr>
                <w:rFonts w:hint="eastAsia"/>
                <w:color w:val="auto"/>
              </w:rPr>
              <w:t>第二章第21.1款</w:t>
            </w:r>
          </w:p>
        </w:tc>
        <w:tc>
          <w:tcPr>
            <w:tcW w:w="1710" w:type="dxa"/>
            <w:vAlign w:val="center"/>
          </w:tcPr>
          <w:p w14:paraId="4F261DFF">
            <w:pPr>
              <w:ind w:left="0" w:leftChars="0" w:firstLine="0" w:firstLineChars="0"/>
              <w:rPr>
                <w:color w:val="auto"/>
              </w:rPr>
            </w:pPr>
            <w:r>
              <w:rPr>
                <w:rFonts w:hint="eastAsia"/>
                <w:bCs/>
                <w:color w:val="auto"/>
              </w:rPr>
              <w:t>响应</w:t>
            </w:r>
            <w:r>
              <w:rPr>
                <w:rFonts w:hint="eastAsia"/>
                <w:color w:val="auto"/>
              </w:rPr>
              <w:t>文件副本份数</w:t>
            </w:r>
          </w:p>
        </w:tc>
        <w:tc>
          <w:tcPr>
            <w:tcW w:w="5268" w:type="dxa"/>
            <w:vAlign w:val="center"/>
          </w:tcPr>
          <w:p w14:paraId="1D5D5876">
            <w:pPr>
              <w:ind w:left="0" w:leftChars="0" w:firstLine="0" w:firstLineChars="0"/>
              <w:rPr>
                <w:color w:val="auto"/>
              </w:rPr>
            </w:pPr>
            <w:r>
              <w:rPr>
                <w:rFonts w:hint="eastAsia"/>
                <w:color w:val="auto"/>
              </w:rPr>
              <w:t>正本一份，副本二份，电子标书一份（U盘）</w:t>
            </w:r>
          </w:p>
          <w:p w14:paraId="57285878">
            <w:pPr>
              <w:ind w:left="0" w:leftChars="0" w:firstLine="0" w:firstLineChars="0"/>
              <w:rPr>
                <w:color w:val="auto"/>
                <w:szCs w:val="21"/>
                <w:u w:val="single"/>
              </w:rPr>
            </w:pPr>
            <w:r>
              <w:rPr>
                <w:rFonts w:hint="eastAsia"/>
                <w:b/>
                <w:bCs/>
                <w:color w:val="auto"/>
              </w:rPr>
              <w:t>（电子文件应当为其响应文件正本签章后的彩色扫描件，格式为PDF，并标注供应商名称）</w:t>
            </w:r>
          </w:p>
        </w:tc>
      </w:tr>
      <w:tr w14:paraId="718324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8845" w:type="dxa"/>
            <w:gridSpan w:val="3"/>
            <w:vAlign w:val="center"/>
          </w:tcPr>
          <w:p w14:paraId="6A57336F">
            <w:pPr>
              <w:ind w:left="0" w:leftChars="0" w:firstLine="0" w:firstLineChars="0"/>
              <w:rPr>
                <w:bCs/>
                <w:color w:val="auto"/>
              </w:rPr>
            </w:pPr>
            <w:r>
              <w:rPr>
                <w:rFonts w:hint="eastAsia"/>
                <w:b/>
                <w:bCs/>
                <w:color w:val="auto"/>
              </w:rPr>
              <w:t>四、响应文件的递交</w:t>
            </w:r>
          </w:p>
        </w:tc>
      </w:tr>
      <w:tr w14:paraId="2CC73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67" w:type="dxa"/>
            <w:vAlign w:val="center"/>
          </w:tcPr>
          <w:p w14:paraId="34948B6D">
            <w:pPr>
              <w:ind w:left="0" w:leftChars="0" w:firstLine="0" w:firstLineChars="0"/>
              <w:rPr>
                <w:color w:val="auto"/>
              </w:rPr>
            </w:pPr>
            <w:r>
              <w:rPr>
                <w:rFonts w:hint="eastAsia"/>
                <w:color w:val="auto"/>
              </w:rPr>
              <w:t>第二章第22.2款</w:t>
            </w:r>
          </w:p>
        </w:tc>
        <w:tc>
          <w:tcPr>
            <w:tcW w:w="1710" w:type="dxa"/>
            <w:vAlign w:val="center"/>
          </w:tcPr>
          <w:p w14:paraId="2F01D83B">
            <w:pPr>
              <w:ind w:left="0" w:leftChars="0" w:firstLine="0" w:firstLineChars="0"/>
              <w:rPr>
                <w:color w:val="auto"/>
              </w:rPr>
            </w:pPr>
            <w:r>
              <w:rPr>
                <w:rFonts w:hint="eastAsia"/>
                <w:color w:val="auto"/>
              </w:rPr>
              <w:t>封套上应载明的信息</w:t>
            </w:r>
          </w:p>
        </w:tc>
        <w:tc>
          <w:tcPr>
            <w:tcW w:w="5268" w:type="dxa"/>
            <w:vAlign w:val="center"/>
          </w:tcPr>
          <w:p w14:paraId="3A9C0EB8">
            <w:pPr>
              <w:ind w:left="0" w:leftChars="0" w:firstLine="0" w:firstLineChars="0"/>
              <w:rPr>
                <w:color w:val="auto"/>
              </w:rPr>
            </w:pPr>
            <w:r>
              <w:rPr>
                <w:rFonts w:hint="eastAsia"/>
                <w:color w:val="auto"/>
                <w:u w:val="single"/>
                <w:lang w:eastAsia="zh-CN"/>
              </w:rPr>
              <w:t>荷韵园、福港苑保安保洁及工程维护业务委托服务采购</w:t>
            </w:r>
            <w:r>
              <w:rPr>
                <w:rFonts w:hint="eastAsia"/>
                <w:color w:val="auto"/>
              </w:rPr>
              <w:t>响应文件</w:t>
            </w:r>
          </w:p>
          <w:p w14:paraId="7ED3C6E5">
            <w:pPr>
              <w:ind w:left="0" w:leftChars="0" w:firstLine="0" w:firstLineChars="0"/>
              <w:rPr>
                <w:color w:val="auto"/>
              </w:rPr>
            </w:pPr>
            <w:r>
              <w:rPr>
                <w:rFonts w:hint="eastAsia"/>
                <w:color w:val="auto"/>
              </w:rPr>
              <w:t>采购编号：</w:t>
            </w:r>
          </w:p>
          <w:p w14:paraId="49E07683">
            <w:pPr>
              <w:ind w:left="0" w:leftChars="0" w:firstLine="0" w:firstLineChars="0"/>
              <w:rPr>
                <w:color w:val="auto"/>
                <w:u w:val="single"/>
              </w:rPr>
            </w:pPr>
            <w:r>
              <w:rPr>
                <w:rFonts w:hint="eastAsia"/>
                <w:color w:val="auto"/>
              </w:rPr>
              <w:t>委托代理编号：</w:t>
            </w:r>
          </w:p>
          <w:p w14:paraId="100A0C0A">
            <w:pPr>
              <w:ind w:left="0" w:leftChars="0" w:firstLine="0" w:firstLineChars="0"/>
              <w:rPr>
                <w:color w:val="auto"/>
              </w:rPr>
            </w:pPr>
            <w:r>
              <w:rPr>
                <w:rFonts w:hint="eastAsia"/>
                <w:color w:val="auto"/>
              </w:rPr>
              <w:t>供应商名称：</w:t>
            </w:r>
          </w:p>
          <w:p w14:paraId="7168DCAC">
            <w:pPr>
              <w:ind w:left="0" w:leftChars="0" w:firstLine="0" w:firstLineChars="0"/>
              <w:rPr>
                <w:color w:val="auto"/>
              </w:rPr>
            </w:pPr>
            <w:r>
              <w:rPr>
                <w:rFonts w:hint="eastAsia"/>
                <w:color w:val="auto"/>
              </w:rPr>
              <w:t>在</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日（星期</w:t>
            </w:r>
            <w:r>
              <w:rPr>
                <w:rFonts w:hint="eastAsia"/>
                <w:color w:val="auto"/>
                <w:lang w:val="en-US" w:eastAsia="zh-CN"/>
              </w:rPr>
              <w:t xml:space="preserve">  </w:t>
            </w:r>
            <w:r>
              <w:rPr>
                <w:rFonts w:hint="eastAsia"/>
                <w:color w:val="auto"/>
              </w:rPr>
              <w:t xml:space="preserve">）时分之前不得启封 </w:t>
            </w:r>
          </w:p>
        </w:tc>
      </w:tr>
      <w:tr w14:paraId="08CA0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026ADBB8">
            <w:pPr>
              <w:ind w:left="0" w:leftChars="0" w:firstLine="0" w:firstLineChars="0"/>
              <w:rPr>
                <w:color w:val="auto"/>
              </w:rPr>
            </w:pPr>
            <w:r>
              <w:rPr>
                <w:rFonts w:hint="eastAsia"/>
                <w:color w:val="auto"/>
              </w:rPr>
              <w:t>第二章第24.1款</w:t>
            </w:r>
          </w:p>
        </w:tc>
        <w:tc>
          <w:tcPr>
            <w:tcW w:w="1710" w:type="dxa"/>
            <w:vAlign w:val="center"/>
          </w:tcPr>
          <w:p w14:paraId="5B5F422F">
            <w:pPr>
              <w:ind w:left="0" w:leftChars="0" w:firstLine="0" w:firstLineChars="0"/>
              <w:rPr>
                <w:color w:val="auto"/>
                <w:highlight w:val="yellow"/>
              </w:rPr>
            </w:pPr>
            <w:r>
              <w:rPr>
                <w:rFonts w:hint="eastAsia"/>
                <w:color w:val="auto"/>
              </w:rPr>
              <w:t>响应文件的递交地点</w:t>
            </w:r>
          </w:p>
        </w:tc>
        <w:tc>
          <w:tcPr>
            <w:tcW w:w="5268" w:type="dxa"/>
            <w:vAlign w:val="center"/>
          </w:tcPr>
          <w:p w14:paraId="595DEE26">
            <w:pPr>
              <w:ind w:left="0" w:leftChars="0" w:firstLine="0" w:firstLineChars="0"/>
              <w:rPr>
                <w:bCs/>
                <w:color w:val="auto"/>
                <w:szCs w:val="21"/>
                <w:highlight w:val="yellow"/>
              </w:rPr>
            </w:pPr>
            <w:r>
              <w:rPr>
                <w:color w:val="auto"/>
              </w:rPr>
              <w:fldChar w:fldCharType="begin"/>
            </w:r>
            <w:r>
              <w:rPr>
                <w:color w:val="auto"/>
              </w:rPr>
              <w:instrText xml:space="preserve"> HYPERLINK "http://jczy.ccgp.gov.cn/gs1/gs1agentreg/javascript:void(0);" </w:instrText>
            </w:r>
            <w:r>
              <w:rPr>
                <w:color w:val="auto"/>
              </w:rPr>
              <w:fldChar w:fldCharType="separate"/>
            </w:r>
            <w:r>
              <w:rPr>
                <w:rFonts w:hint="eastAsia"/>
                <w:color w:val="auto"/>
                <w:szCs w:val="21"/>
              </w:rPr>
              <w:t>湖南扬屹咨询管理有限公司</w:t>
            </w:r>
            <w:r>
              <w:rPr>
                <w:rFonts w:hint="eastAsia"/>
                <w:color w:val="auto"/>
                <w:szCs w:val="21"/>
              </w:rPr>
              <w:fldChar w:fldCharType="end"/>
            </w:r>
            <w:r>
              <w:rPr>
                <w:rFonts w:hint="eastAsia"/>
                <w:color w:val="auto"/>
                <w:szCs w:val="21"/>
              </w:rPr>
              <w:t>（</w:t>
            </w:r>
            <w:r>
              <w:rPr>
                <w:rFonts w:hint="eastAsia"/>
                <w:color w:val="auto"/>
                <w:szCs w:val="21"/>
                <w:lang w:eastAsia="zh-CN"/>
              </w:rPr>
              <w:t>长沙市开福区青竹湖街道彩霞社区金霞跨境产贸城5栋12层1203房</w:t>
            </w:r>
            <w:r>
              <w:rPr>
                <w:rFonts w:hint="eastAsia"/>
                <w:color w:val="auto"/>
                <w:szCs w:val="21"/>
              </w:rPr>
              <w:t>）</w:t>
            </w:r>
          </w:p>
        </w:tc>
      </w:tr>
      <w:tr w14:paraId="708B8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845" w:type="dxa"/>
            <w:gridSpan w:val="3"/>
            <w:vAlign w:val="center"/>
          </w:tcPr>
          <w:p w14:paraId="0941CC31">
            <w:pPr>
              <w:ind w:left="0" w:leftChars="0" w:firstLine="0" w:firstLineChars="0"/>
              <w:rPr>
                <w:color w:val="auto"/>
              </w:rPr>
            </w:pPr>
            <w:r>
              <w:rPr>
                <w:rFonts w:hint="eastAsia"/>
                <w:b/>
                <w:bCs/>
                <w:color w:val="auto"/>
              </w:rPr>
              <w:t>五、响应文件的磋商与评审</w:t>
            </w:r>
          </w:p>
        </w:tc>
      </w:tr>
      <w:tr w14:paraId="462E6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2E2EFE14">
            <w:pPr>
              <w:ind w:left="0" w:leftChars="0" w:firstLine="0" w:firstLineChars="0"/>
              <w:rPr>
                <w:color w:val="auto"/>
              </w:rPr>
            </w:pPr>
            <w:r>
              <w:rPr>
                <w:rFonts w:hint="eastAsia"/>
                <w:color w:val="auto"/>
              </w:rPr>
              <w:t>第二章第31.2款</w:t>
            </w:r>
          </w:p>
        </w:tc>
        <w:tc>
          <w:tcPr>
            <w:tcW w:w="1710" w:type="dxa"/>
            <w:vAlign w:val="center"/>
          </w:tcPr>
          <w:p w14:paraId="14CCCB0D">
            <w:pPr>
              <w:ind w:left="0" w:leftChars="0" w:firstLine="0" w:firstLineChars="0"/>
              <w:rPr>
                <w:color w:val="auto"/>
              </w:rPr>
            </w:pPr>
            <w:r>
              <w:rPr>
                <w:rFonts w:hint="eastAsia"/>
                <w:color w:val="auto"/>
              </w:rPr>
              <w:t>评审因素和标准</w:t>
            </w:r>
          </w:p>
        </w:tc>
        <w:tc>
          <w:tcPr>
            <w:tcW w:w="5268" w:type="dxa"/>
            <w:vAlign w:val="center"/>
          </w:tcPr>
          <w:p w14:paraId="1B522A41">
            <w:pPr>
              <w:ind w:left="0" w:leftChars="0" w:firstLine="0" w:firstLineChars="0"/>
              <w:rPr>
                <w:color w:val="auto"/>
              </w:rPr>
            </w:pPr>
            <w:r>
              <w:rPr>
                <w:rFonts w:hint="eastAsia"/>
                <w:color w:val="auto"/>
              </w:rPr>
              <w:t>见附页4</w:t>
            </w:r>
          </w:p>
        </w:tc>
      </w:tr>
      <w:tr w14:paraId="5A861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576277CD">
            <w:pPr>
              <w:ind w:left="0" w:leftChars="0" w:firstLine="0" w:firstLineChars="0"/>
              <w:rPr>
                <w:color w:val="auto"/>
              </w:rPr>
            </w:pPr>
            <w:r>
              <w:rPr>
                <w:rFonts w:hint="eastAsia"/>
                <w:color w:val="auto"/>
              </w:rPr>
              <w:t>第二章第31.3款</w:t>
            </w:r>
          </w:p>
        </w:tc>
        <w:tc>
          <w:tcPr>
            <w:tcW w:w="1710" w:type="dxa"/>
            <w:vAlign w:val="center"/>
          </w:tcPr>
          <w:p w14:paraId="23465427">
            <w:pPr>
              <w:ind w:left="0" w:leftChars="0" w:firstLine="0" w:firstLineChars="0"/>
              <w:rPr>
                <w:color w:val="auto"/>
              </w:rPr>
            </w:pPr>
            <w:r>
              <w:rPr>
                <w:rFonts w:hint="eastAsia"/>
                <w:color w:val="auto"/>
                <w:kern w:val="0"/>
              </w:rPr>
              <w:t>最后报价</w:t>
            </w:r>
            <w:r>
              <w:rPr>
                <w:rFonts w:hint="eastAsia"/>
                <w:color w:val="auto"/>
              </w:rPr>
              <w:t>调整</w:t>
            </w:r>
          </w:p>
        </w:tc>
        <w:tc>
          <w:tcPr>
            <w:tcW w:w="5268" w:type="dxa"/>
            <w:vAlign w:val="center"/>
          </w:tcPr>
          <w:p w14:paraId="76DB7FD2">
            <w:pPr>
              <w:rPr>
                <w:color w:val="auto"/>
              </w:rPr>
            </w:pPr>
            <w:r>
              <w:rPr>
                <w:rFonts w:hint="eastAsia"/>
                <w:bCs/>
                <w:color w:val="auto"/>
                <w:kern w:val="0"/>
              </w:rPr>
              <w:t>采购支持中小微企业发展</w:t>
            </w:r>
            <w:r>
              <w:rPr>
                <w:rFonts w:hint="eastAsia"/>
                <w:color w:val="auto"/>
              </w:rPr>
              <w:t>（1.货物类供应商和产品制造商应同时满足中小微企业的条件；2.残疾人福利企业、监狱企业视同小型和微型企业）</w:t>
            </w:r>
            <w:r>
              <w:rPr>
                <w:rFonts w:hint="eastAsia"/>
                <w:bCs/>
                <w:color w:val="auto"/>
                <w:kern w:val="0"/>
              </w:rPr>
              <w:t>：</w:t>
            </w:r>
            <w:r>
              <w:rPr>
                <w:rFonts w:hint="eastAsia"/>
                <w:color w:val="auto"/>
              </w:rPr>
              <w:t>小型或微型企业，</w:t>
            </w:r>
            <w:r>
              <w:rPr>
                <w:rFonts w:hint="eastAsia"/>
                <w:color w:val="auto"/>
                <w:kern w:val="0"/>
              </w:rPr>
              <w:t>价格</w:t>
            </w:r>
            <w:r>
              <w:rPr>
                <w:rFonts w:hint="eastAsia"/>
                <w:color w:val="auto"/>
              </w:rPr>
              <w:t xml:space="preserve">扣除比例为 </w:t>
            </w:r>
            <w:r>
              <w:rPr>
                <w:rFonts w:hint="eastAsia"/>
                <w:color w:val="auto"/>
                <w:u w:val="single"/>
              </w:rPr>
              <w:t>/</w:t>
            </w:r>
            <w:r>
              <w:rPr>
                <w:rFonts w:hint="eastAsia"/>
                <w:color w:val="auto"/>
              </w:rPr>
              <w:t>％；中型企业，</w:t>
            </w:r>
            <w:r>
              <w:rPr>
                <w:rFonts w:hint="eastAsia"/>
                <w:color w:val="auto"/>
                <w:kern w:val="0"/>
              </w:rPr>
              <w:t>价格</w:t>
            </w:r>
            <w:r>
              <w:rPr>
                <w:rFonts w:hint="eastAsia"/>
                <w:color w:val="auto"/>
              </w:rPr>
              <w:t xml:space="preserve">扣除比例为 </w:t>
            </w:r>
            <w:r>
              <w:rPr>
                <w:rFonts w:hint="eastAsia"/>
                <w:color w:val="auto"/>
                <w:u w:val="single"/>
              </w:rPr>
              <w:t>/</w:t>
            </w:r>
            <w:r>
              <w:rPr>
                <w:rFonts w:hint="eastAsia"/>
                <w:color w:val="auto"/>
              </w:rPr>
              <w:t>％；联合体投标的，价格扣除比例为</w:t>
            </w:r>
            <w:r>
              <w:rPr>
                <w:rFonts w:hint="eastAsia"/>
                <w:color w:val="auto"/>
                <w:u w:val="single"/>
              </w:rPr>
              <w:t xml:space="preserve">  /  </w:t>
            </w:r>
            <w:r>
              <w:rPr>
                <w:rFonts w:hint="eastAsia"/>
                <w:color w:val="auto"/>
              </w:rPr>
              <w:t xml:space="preserve"> %。评审时，用扣除后的最后报价计算价格分。</w:t>
            </w:r>
          </w:p>
        </w:tc>
      </w:tr>
      <w:tr w14:paraId="35746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845" w:type="dxa"/>
            <w:gridSpan w:val="3"/>
            <w:vAlign w:val="center"/>
          </w:tcPr>
          <w:p w14:paraId="43285A10">
            <w:pPr>
              <w:ind w:left="0" w:leftChars="0" w:firstLine="0" w:firstLineChars="0"/>
              <w:rPr>
                <w:color w:val="auto"/>
              </w:rPr>
            </w:pPr>
            <w:r>
              <w:rPr>
                <w:rFonts w:hint="eastAsia"/>
                <w:b/>
                <w:bCs/>
                <w:color w:val="auto"/>
              </w:rPr>
              <w:t>六、成交结果信息公布与授予合同</w:t>
            </w:r>
          </w:p>
        </w:tc>
      </w:tr>
      <w:tr w14:paraId="5492B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1F6B8007">
            <w:pPr>
              <w:ind w:left="0" w:leftChars="0" w:firstLine="0" w:firstLineChars="0"/>
              <w:rPr>
                <w:color w:val="auto"/>
              </w:rPr>
            </w:pPr>
            <w:r>
              <w:rPr>
                <w:rFonts w:hint="eastAsia"/>
                <w:color w:val="auto"/>
              </w:rPr>
              <w:t>第二章第37.1款</w:t>
            </w:r>
          </w:p>
        </w:tc>
        <w:tc>
          <w:tcPr>
            <w:tcW w:w="1710" w:type="dxa"/>
            <w:vAlign w:val="center"/>
          </w:tcPr>
          <w:p w14:paraId="471E8D01">
            <w:pPr>
              <w:ind w:left="0" w:leftChars="0" w:firstLine="0" w:firstLineChars="0"/>
              <w:rPr>
                <w:color w:val="auto"/>
              </w:rPr>
            </w:pPr>
            <w:r>
              <w:rPr>
                <w:rFonts w:hint="eastAsia"/>
                <w:color w:val="auto"/>
              </w:rPr>
              <w:t>财政部门指定的媒体</w:t>
            </w:r>
          </w:p>
        </w:tc>
        <w:tc>
          <w:tcPr>
            <w:tcW w:w="5268" w:type="dxa"/>
            <w:vAlign w:val="center"/>
          </w:tcPr>
          <w:p w14:paraId="28397B93">
            <w:pPr>
              <w:ind w:left="0" w:leftChars="0" w:firstLine="0" w:firstLineChars="0"/>
              <w:rPr>
                <w:color w:val="auto"/>
              </w:rPr>
            </w:pPr>
            <w:r>
              <w:rPr>
                <w:color w:val="auto"/>
              </w:rPr>
              <w:t>长沙</w:t>
            </w:r>
            <w:r>
              <w:rPr>
                <w:rFonts w:hint="eastAsia"/>
                <w:color w:val="auto"/>
                <w:lang w:val="en-US" w:eastAsia="zh-CN"/>
              </w:rPr>
              <w:t>市</w:t>
            </w:r>
            <w:r>
              <w:rPr>
                <w:color w:val="auto"/>
              </w:rPr>
              <w:t>政府采购网</w:t>
            </w:r>
          </w:p>
          <w:p w14:paraId="3904B5C3">
            <w:pPr>
              <w:ind w:left="0" w:leftChars="0" w:firstLine="0" w:firstLineChars="0"/>
              <w:rPr>
                <w:color w:val="auto"/>
                <w:szCs w:val="21"/>
              </w:rPr>
            </w:pPr>
            <w:r>
              <w:rPr>
                <w:color w:val="auto"/>
              </w:rPr>
              <w:t>http://changs.ccgp-hunan.gov.cn</w:t>
            </w:r>
          </w:p>
        </w:tc>
      </w:tr>
      <w:tr w14:paraId="62FBF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144B8C96">
            <w:pPr>
              <w:ind w:left="0" w:leftChars="0" w:firstLine="0" w:firstLineChars="0"/>
              <w:rPr>
                <w:color w:val="auto"/>
              </w:rPr>
            </w:pPr>
            <w:r>
              <w:rPr>
                <w:rFonts w:hint="eastAsia"/>
                <w:color w:val="auto"/>
              </w:rPr>
              <w:t>第二章第39.3款</w:t>
            </w:r>
          </w:p>
        </w:tc>
        <w:tc>
          <w:tcPr>
            <w:tcW w:w="1710" w:type="dxa"/>
            <w:vAlign w:val="center"/>
          </w:tcPr>
          <w:p w14:paraId="747D1842">
            <w:pPr>
              <w:ind w:left="0" w:leftChars="0" w:firstLine="0" w:firstLineChars="0"/>
              <w:rPr>
                <w:color w:val="auto"/>
              </w:rPr>
            </w:pPr>
            <w:r>
              <w:rPr>
                <w:rFonts w:hint="eastAsia"/>
                <w:color w:val="auto"/>
              </w:rPr>
              <w:t>履约担保</w:t>
            </w:r>
          </w:p>
        </w:tc>
        <w:tc>
          <w:tcPr>
            <w:tcW w:w="5268" w:type="dxa"/>
            <w:vAlign w:val="center"/>
          </w:tcPr>
          <w:p w14:paraId="23DDFC36">
            <w:pPr>
              <w:adjustRightInd w:val="0"/>
              <w:snapToGrid w:val="0"/>
              <w:spacing w:before="156" w:beforeLines="50" w:line="276"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sym w:font="Wingdings 2" w:char="00A3"/>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不要求提供</w:t>
            </w:r>
          </w:p>
          <w:p w14:paraId="33FE2ACA">
            <w:pPr>
              <w:ind w:left="0" w:leftChars="0" w:firstLine="0" w:firstLineChars="0"/>
              <w:rPr>
                <w:color w:val="auto"/>
                <w:szCs w:val="21"/>
              </w:rPr>
            </w:pPr>
            <w:r>
              <w:rPr>
                <w:rFonts w:hint="eastAsia"/>
                <w:color w:val="auto"/>
              </w:rPr>
              <w:t>■</w:t>
            </w:r>
            <w:r>
              <w:rPr>
                <w:rFonts w:hint="eastAsia"/>
                <w:color w:val="auto"/>
                <w:lang w:val="en-US" w:eastAsia="zh-CN"/>
              </w:rPr>
              <w:t xml:space="preserve"> </w:t>
            </w:r>
            <w:r>
              <w:rPr>
                <w:rFonts w:hint="eastAsia" w:ascii="宋体" w:hAnsi="宋体" w:eastAsia="宋体" w:cs="宋体"/>
                <w:b/>
                <w:bCs/>
                <w:color w:val="auto"/>
                <w:szCs w:val="21"/>
                <w:highlight w:val="none"/>
              </w:rPr>
              <w:t>要求提供，履约担保的金额为：</w:t>
            </w:r>
            <w:r>
              <w:rPr>
                <w:rFonts w:hint="eastAsia" w:ascii="宋体" w:hAnsi="宋体" w:eastAsia="宋体" w:cs="宋体"/>
                <w:b/>
                <w:bCs/>
                <w:color w:val="auto"/>
                <w:szCs w:val="21"/>
                <w:highlight w:val="none"/>
                <w:u w:val="single"/>
                <w:lang w:eastAsia="zh-CN"/>
              </w:rPr>
              <w:t>依据成交供应商的成交金额，支付</w:t>
            </w:r>
            <w:r>
              <w:rPr>
                <w:rFonts w:hint="eastAsia" w:ascii="宋体" w:hAnsi="宋体" w:eastAsia="宋体" w:cs="宋体"/>
                <w:b/>
                <w:bCs/>
                <w:color w:val="auto"/>
                <w:szCs w:val="21"/>
                <w:highlight w:val="none"/>
                <w:u w:val="single"/>
                <w:lang w:val="en-US" w:eastAsia="zh-CN"/>
              </w:rPr>
              <w:t>1个月的服务费为履约担保</w:t>
            </w:r>
            <w:r>
              <w:rPr>
                <w:rFonts w:hint="eastAsia" w:ascii="宋体" w:hAnsi="宋体" w:eastAsia="宋体" w:cs="宋体"/>
                <w:b/>
                <w:bCs/>
                <w:color w:val="auto"/>
                <w:szCs w:val="21"/>
                <w:highlight w:val="none"/>
                <w:u w:val="single"/>
              </w:rPr>
              <w:t>。</w:t>
            </w:r>
          </w:p>
        </w:tc>
      </w:tr>
      <w:tr w14:paraId="10127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8845" w:type="dxa"/>
            <w:gridSpan w:val="3"/>
            <w:vAlign w:val="center"/>
          </w:tcPr>
          <w:p w14:paraId="4C4DDDC7">
            <w:pPr>
              <w:ind w:left="0" w:leftChars="0" w:firstLine="0" w:firstLineChars="0"/>
              <w:rPr>
                <w:color w:val="auto"/>
              </w:rPr>
            </w:pPr>
            <w:r>
              <w:rPr>
                <w:rFonts w:hint="eastAsia"/>
                <w:color w:val="auto"/>
              </w:rPr>
              <w:t>七、其它规定</w:t>
            </w:r>
          </w:p>
        </w:tc>
      </w:tr>
      <w:tr w14:paraId="75918B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867" w:type="dxa"/>
            <w:vAlign w:val="center"/>
          </w:tcPr>
          <w:p w14:paraId="4ADBA174">
            <w:pPr>
              <w:ind w:left="0" w:leftChars="0" w:firstLine="0" w:firstLineChars="0"/>
              <w:rPr>
                <w:color w:val="auto"/>
              </w:rPr>
            </w:pPr>
            <w:r>
              <w:rPr>
                <w:rFonts w:hint="eastAsia"/>
                <w:color w:val="auto"/>
              </w:rPr>
              <w:t>第二章第41.1款</w:t>
            </w:r>
          </w:p>
        </w:tc>
        <w:tc>
          <w:tcPr>
            <w:tcW w:w="1710" w:type="dxa"/>
            <w:vAlign w:val="center"/>
          </w:tcPr>
          <w:p w14:paraId="654C41F6">
            <w:pPr>
              <w:ind w:left="0" w:leftChars="0" w:firstLine="0" w:firstLineChars="0"/>
              <w:rPr>
                <w:color w:val="auto"/>
              </w:rPr>
            </w:pPr>
            <w:r>
              <w:rPr>
                <w:rFonts w:hint="eastAsia"/>
                <w:color w:val="auto"/>
              </w:rPr>
              <w:t>采购代理服务费</w:t>
            </w:r>
          </w:p>
        </w:tc>
        <w:tc>
          <w:tcPr>
            <w:tcW w:w="5268" w:type="dxa"/>
            <w:vAlign w:val="center"/>
          </w:tcPr>
          <w:p w14:paraId="0D2FF5C9">
            <w:pPr>
              <w:ind w:left="0" w:leftChars="0" w:firstLine="0" w:firstLineChars="0"/>
              <w:rPr>
                <w:color w:val="auto"/>
                <w:u w:val="single"/>
              </w:rPr>
            </w:pPr>
            <w:r>
              <w:rPr>
                <w:rFonts w:hint="eastAsia"/>
                <w:color w:val="auto"/>
              </w:rPr>
              <w:t>按委托代理协议约定内容由成交供应商进行支付。</w:t>
            </w:r>
          </w:p>
        </w:tc>
      </w:tr>
      <w:tr w14:paraId="58B6E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67" w:type="dxa"/>
            <w:vAlign w:val="center"/>
          </w:tcPr>
          <w:p w14:paraId="6FF6A706">
            <w:pPr>
              <w:ind w:left="0" w:leftChars="0" w:firstLine="0" w:firstLineChars="0"/>
              <w:rPr>
                <w:color w:val="auto"/>
              </w:rPr>
            </w:pPr>
            <w:r>
              <w:rPr>
                <w:rFonts w:hint="eastAsia"/>
                <w:color w:val="auto"/>
              </w:rPr>
              <w:t>第二章第42.1款</w:t>
            </w:r>
          </w:p>
        </w:tc>
        <w:tc>
          <w:tcPr>
            <w:tcW w:w="1710" w:type="dxa"/>
            <w:vAlign w:val="center"/>
          </w:tcPr>
          <w:p w14:paraId="30BECBBA">
            <w:pPr>
              <w:ind w:left="0" w:leftChars="0" w:firstLine="0" w:firstLineChars="0"/>
              <w:rPr>
                <w:color w:val="auto"/>
              </w:rPr>
            </w:pPr>
            <w:r>
              <w:rPr>
                <w:rFonts w:hint="eastAsia"/>
                <w:color w:val="auto"/>
              </w:rPr>
              <w:t>其它规定</w:t>
            </w:r>
          </w:p>
        </w:tc>
        <w:tc>
          <w:tcPr>
            <w:tcW w:w="5268" w:type="dxa"/>
            <w:vAlign w:val="center"/>
          </w:tcPr>
          <w:p w14:paraId="1781E10F">
            <w:pPr>
              <w:rPr>
                <w:color w:val="auto"/>
              </w:rPr>
            </w:pPr>
            <w:r>
              <w:rPr>
                <w:rFonts w:hint="eastAsia"/>
                <w:color w:val="auto"/>
              </w:rPr>
              <w:t>对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777178">
            <w:pPr>
              <w:rPr>
                <w:color w:val="auto"/>
              </w:rPr>
            </w:pPr>
            <w:r>
              <w:rPr>
                <w:rFonts w:hint="eastAsia"/>
                <w:color w:val="auto"/>
              </w:rPr>
              <w:t>1、信用信息查询的查询渠道：“信用中国”网站（www.creditchina.gov.cn）、中国政府采购网（www.ccgp.gov.cn）。</w:t>
            </w:r>
          </w:p>
          <w:p w14:paraId="1D37C054">
            <w:pPr>
              <w:rPr>
                <w:color w:val="auto"/>
              </w:rPr>
            </w:pPr>
            <w:r>
              <w:rPr>
                <w:rFonts w:hint="eastAsia"/>
                <w:color w:val="auto"/>
              </w:rPr>
              <w:t>2、信用信息查询的截止时点：至本项目投标截止时间止。</w:t>
            </w:r>
          </w:p>
          <w:p w14:paraId="6B2DB36C">
            <w:pPr>
              <w:rPr>
                <w:color w:val="auto"/>
              </w:rPr>
            </w:pPr>
            <w:r>
              <w:rPr>
                <w:rFonts w:hint="eastAsia"/>
                <w:color w:val="auto"/>
              </w:rPr>
              <w:t>3、信用信息查询记录的具体方式：采购人或采购代理机构在开标后在规定的查询渠道进行查询。</w:t>
            </w:r>
          </w:p>
          <w:p w14:paraId="2E60F8C5">
            <w:pPr>
              <w:rPr>
                <w:color w:val="auto"/>
              </w:rPr>
            </w:pPr>
            <w:r>
              <w:rPr>
                <w:rFonts w:hint="eastAsia"/>
                <w:color w:val="auto"/>
              </w:rPr>
              <w:t>4、信用信息查询记录证据留存的具体方式：查询记录的网上打印件。</w:t>
            </w:r>
          </w:p>
          <w:p w14:paraId="6FAFAF87">
            <w:pPr>
              <w:rPr>
                <w:color w:val="auto"/>
              </w:rPr>
            </w:pPr>
            <w:r>
              <w:rPr>
                <w:rFonts w:hint="eastAsia"/>
                <w:color w:val="auto"/>
              </w:rPr>
              <w:t>5、信用信息的使用规则：查询后交由评标委员会评定。</w:t>
            </w:r>
          </w:p>
        </w:tc>
      </w:tr>
    </w:tbl>
    <w:p w14:paraId="164FC63D">
      <w:pPr>
        <w:ind w:left="0" w:leftChars="0" w:firstLine="0" w:firstLineChars="0"/>
        <w:rPr>
          <w:color w:val="auto"/>
        </w:rPr>
      </w:pPr>
    </w:p>
    <w:p w14:paraId="2831C77D">
      <w:pPr>
        <w:adjustRightInd w:val="0"/>
        <w:snapToGrid w:val="0"/>
        <w:spacing w:line="360" w:lineRule="auto"/>
        <w:ind w:firstLine="0" w:firstLineChars="0"/>
        <w:rPr>
          <w:rFonts w:ascii="宋体" w:hAnsi="宋体" w:cs="宋体"/>
          <w:b/>
          <w:bCs/>
          <w:color w:val="auto"/>
          <w:szCs w:val="21"/>
        </w:rPr>
      </w:pPr>
      <w:r>
        <w:rPr>
          <w:rFonts w:hint="eastAsia" w:ascii="宋体" w:hAnsi="宋体" w:cs="宋体"/>
          <w:b/>
          <w:bCs/>
          <w:color w:val="auto"/>
          <w:szCs w:val="21"/>
        </w:rPr>
        <w:t>附页1</w:t>
      </w:r>
    </w:p>
    <w:p w14:paraId="597E60C1">
      <w:pPr>
        <w:adjustRightInd w:val="0"/>
        <w:snapToGrid w:val="0"/>
        <w:spacing w:line="240" w:lineRule="auto"/>
        <w:ind w:firstLine="0" w:firstLineChars="0"/>
        <w:jc w:val="center"/>
        <w:rPr>
          <w:rFonts w:ascii="宋体" w:hAnsi="宋体" w:cs="Times New Roman"/>
          <w:b/>
          <w:bCs/>
          <w:color w:val="auto"/>
          <w:sz w:val="28"/>
          <w:szCs w:val="28"/>
        </w:rPr>
      </w:pPr>
      <w:r>
        <w:rPr>
          <w:rFonts w:hint="eastAsia" w:ascii="宋体" w:hAnsi="宋体" w:cs="Times New Roman"/>
          <w:b/>
          <w:bCs/>
          <w:color w:val="auto"/>
          <w:kern w:val="0"/>
          <w:sz w:val="28"/>
          <w:szCs w:val="28"/>
        </w:rPr>
        <w:t>湖南省政府采购支持中小企业融资合作银行及联系人名单</w:t>
      </w:r>
    </w:p>
    <w:tbl>
      <w:tblPr>
        <w:tblStyle w:val="43"/>
        <w:tblW w:w="8678" w:type="dxa"/>
        <w:tblInd w:w="108"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553"/>
        <w:gridCol w:w="1020"/>
        <w:gridCol w:w="2893"/>
        <w:gridCol w:w="2212"/>
      </w:tblGrid>
      <w:tr w14:paraId="483EB1C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553" w:type="dxa"/>
            <w:tcBorders>
              <w:top w:val="double" w:color="auto" w:sz="2" w:space="0"/>
              <w:left w:val="double" w:color="auto" w:sz="2" w:space="0"/>
              <w:bottom w:val="single" w:color="auto" w:sz="6" w:space="0"/>
              <w:right w:val="single" w:color="auto" w:sz="6" w:space="0"/>
            </w:tcBorders>
            <w:vAlign w:val="center"/>
          </w:tcPr>
          <w:p w14:paraId="7595B819">
            <w:pPr>
              <w:adjustRightInd w:val="0"/>
              <w:snapToGrid w:val="0"/>
              <w:spacing w:beforeLines="50" w:line="360" w:lineRule="auto"/>
              <w:ind w:firstLine="0" w:firstLineChars="0"/>
              <w:jc w:val="center"/>
              <w:rPr>
                <w:rFonts w:ascii="宋体" w:hAnsi="宋体" w:cs="Times New Roman"/>
                <w:b/>
                <w:bCs/>
                <w:color w:val="auto"/>
                <w:szCs w:val="21"/>
              </w:rPr>
            </w:pPr>
            <w:r>
              <w:rPr>
                <w:rFonts w:hint="eastAsia" w:ascii="宋体" w:hAnsi="宋体" w:cs="Times New Roman"/>
                <w:b/>
                <w:bCs/>
                <w:color w:val="auto"/>
                <w:kern w:val="0"/>
              </w:rPr>
              <w:t>银行名称</w:t>
            </w:r>
          </w:p>
        </w:tc>
        <w:tc>
          <w:tcPr>
            <w:tcW w:w="1020" w:type="dxa"/>
            <w:tcBorders>
              <w:top w:val="double" w:color="auto" w:sz="2" w:space="0"/>
              <w:left w:val="single" w:color="auto" w:sz="6" w:space="0"/>
              <w:bottom w:val="single" w:color="auto" w:sz="6" w:space="0"/>
              <w:right w:val="single" w:color="auto" w:sz="6" w:space="0"/>
            </w:tcBorders>
            <w:vAlign w:val="center"/>
          </w:tcPr>
          <w:p w14:paraId="35A8FAC9">
            <w:pPr>
              <w:adjustRightInd w:val="0"/>
              <w:snapToGrid w:val="0"/>
              <w:spacing w:beforeLines="50" w:line="360" w:lineRule="auto"/>
              <w:ind w:firstLine="0" w:firstLineChars="0"/>
              <w:jc w:val="center"/>
              <w:rPr>
                <w:rFonts w:ascii="宋体" w:hAnsi="宋体" w:cs="Times New Roman"/>
                <w:b/>
                <w:bCs/>
                <w:color w:val="auto"/>
                <w:szCs w:val="21"/>
              </w:rPr>
            </w:pPr>
            <w:r>
              <w:rPr>
                <w:rFonts w:hint="eastAsia" w:ascii="宋体" w:hAnsi="宋体" w:cs="Times New Roman"/>
                <w:b/>
                <w:bCs/>
                <w:color w:val="auto"/>
                <w:kern w:val="0"/>
              </w:rPr>
              <w:t>联系人</w:t>
            </w:r>
          </w:p>
        </w:tc>
        <w:tc>
          <w:tcPr>
            <w:tcW w:w="2893" w:type="dxa"/>
            <w:tcBorders>
              <w:top w:val="double" w:color="auto" w:sz="2" w:space="0"/>
              <w:left w:val="single" w:color="auto" w:sz="6" w:space="0"/>
              <w:bottom w:val="single" w:color="auto" w:sz="6" w:space="0"/>
              <w:right w:val="single" w:color="auto" w:sz="6" w:space="0"/>
            </w:tcBorders>
            <w:vAlign w:val="center"/>
          </w:tcPr>
          <w:p w14:paraId="12D0D511">
            <w:pPr>
              <w:adjustRightInd w:val="0"/>
              <w:snapToGrid w:val="0"/>
              <w:spacing w:beforeLines="50" w:line="360" w:lineRule="auto"/>
              <w:ind w:firstLine="0" w:firstLineChars="0"/>
              <w:jc w:val="center"/>
              <w:rPr>
                <w:rFonts w:ascii="宋体" w:hAnsi="宋体" w:cs="Times New Roman"/>
                <w:b/>
                <w:bCs/>
                <w:color w:val="auto"/>
                <w:szCs w:val="21"/>
              </w:rPr>
            </w:pPr>
            <w:r>
              <w:rPr>
                <w:rFonts w:hint="eastAsia" w:ascii="宋体" w:hAnsi="宋体" w:cs="Times New Roman"/>
                <w:b/>
                <w:bCs/>
                <w:color w:val="auto"/>
                <w:kern w:val="0"/>
              </w:rPr>
              <w:t>职 务</w:t>
            </w:r>
          </w:p>
        </w:tc>
        <w:tc>
          <w:tcPr>
            <w:tcW w:w="2212" w:type="dxa"/>
            <w:tcBorders>
              <w:top w:val="double" w:color="auto" w:sz="2" w:space="0"/>
              <w:left w:val="single" w:color="auto" w:sz="6" w:space="0"/>
              <w:bottom w:val="single" w:color="auto" w:sz="6" w:space="0"/>
              <w:right w:val="double" w:color="auto" w:sz="2" w:space="0"/>
            </w:tcBorders>
            <w:vAlign w:val="center"/>
          </w:tcPr>
          <w:p w14:paraId="0DE63651">
            <w:pPr>
              <w:adjustRightInd w:val="0"/>
              <w:snapToGrid w:val="0"/>
              <w:spacing w:beforeLines="50" w:line="360" w:lineRule="auto"/>
              <w:ind w:firstLine="0" w:firstLineChars="0"/>
              <w:jc w:val="center"/>
              <w:rPr>
                <w:rFonts w:ascii="宋体" w:hAnsi="宋体" w:cs="Times New Roman"/>
                <w:b/>
                <w:bCs/>
                <w:color w:val="auto"/>
                <w:szCs w:val="21"/>
              </w:rPr>
            </w:pPr>
            <w:r>
              <w:rPr>
                <w:rFonts w:hint="eastAsia" w:ascii="宋体" w:hAnsi="宋体" w:cs="Times New Roman"/>
                <w:b/>
                <w:bCs/>
                <w:color w:val="auto"/>
                <w:kern w:val="0"/>
              </w:rPr>
              <w:t>联系电话</w:t>
            </w:r>
          </w:p>
        </w:tc>
      </w:tr>
      <w:tr w14:paraId="576516B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2531F92B">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交通银行湖南省分行</w:t>
            </w:r>
          </w:p>
        </w:tc>
        <w:tc>
          <w:tcPr>
            <w:tcW w:w="1020" w:type="dxa"/>
            <w:tcBorders>
              <w:top w:val="single" w:color="auto" w:sz="6" w:space="0"/>
              <w:left w:val="single" w:color="auto" w:sz="6" w:space="0"/>
              <w:bottom w:val="single" w:color="auto" w:sz="6" w:space="0"/>
              <w:right w:val="single" w:color="auto" w:sz="6" w:space="0"/>
            </w:tcBorders>
            <w:vAlign w:val="center"/>
          </w:tcPr>
          <w:p w14:paraId="7135CF8A">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刘  波</w:t>
            </w:r>
          </w:p>
        </w:tc>
        <w:tc>
          <w:tcPr>
            <w:tcW w:w="2893" w:type="dxa"/>
            <w:tcBorders>
              <w:top w:val="single" w:color="auto" w:sz="6" w:space="0"/>
              <w:left w:val="single" w:color="auto" w:sz="6" w:space="0"/>
              <w:bottom w:val="single" w:color="auto" w:sz="6" w:space="0"/>
              <w:right w:val="single" w:color="auto" w:sz="6" w:space="0"/>
            </w:tcBorders>
            <w:vAlign w:val="center"/>
          </w:tcPr>
          <w:p w14:paraId="1CE43762">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名城支行客户经理</w:t>
            </w:r>
          </w:p>
        </w:tc>
        <w:tc>
          <w:tcPr>
            <w:tcW w:w="2212" w:type="dxa"/>
            <w:tcBorders>
              <w:top w:val="single" w:color="auto" w:sz="6" w:space="0"/>
              <w:left w:val="single" w:color="auto" w:sz="6" w:space="0"/>
              <w:bottom w:val="single" w:color="auto" w:sz="6" w:space="0"/>
              <w:right w:val="double" w:color="auto" w:sz="2" w:space="0"/>
            </w:tcBorders>
            <w:vAlign w:val="center"/>
          </w:tcPr>
          <w:p w14:paraId="5F12F24C">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13874998873</w:t>
            </w:r>
          </w:p>
        </w:tc>
      </w:tr>
      <w:tr w14:paraId="418745B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42479D55">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交通银行湖南省分行</w:t>
            </w:r>
          </w:p>
        </w:tc>
        <w:tc>
          <w:tcPr>
            <w:tcW w:w="1020" w:type="dxa"/>
            <w:tcBorders>
              <w:top w:val="single" w:color="auto" w:sz="6" w:space="0"/>
              <w:left w:val="single" w:color="auto" w:sz="6" w:space="0"/>
              <w:bottom w:val="single" w:color="auto" w:sz="6" w:space="0"/>
              <w:right w:val="single" w:color="auto" w:sz="6" w:space="0"/>
            </w:tcBorders>
            <w:vAlign w:val="center"/>
          </w:tcPr>
          <w:p w14:paraId="43B5A846">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肖勇光</w:t>
            </w:r>
          </w:p>
        </w:tc>
        <w:tc>
          <w:tcPr>
            <w:tcW w:w="2893" w:type="dxa"/>
            <w:tcBorders>
              <w:top w:val="single" w:color="auto" w:sz="6" w:space="0"/>
              <w:left w:val="single" w:color="auto" w:sz="6" w:space="0"/>
              <w:bottom w:val="single" w:color="auto" w:sz="6" w:space="0"/>
              <w:right w:val="single" w:color="auto" w:sz="6" w:space="0"/>
            </w:tcBorders>
            <w:vAlign w:val="center"/>
          </w:tcPr>
          <w:p w14:paraId="2F491910">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分行高级经理</w:t>
            </w:r>
          </w:p>
        </w:tc>
        <w:tc>
          <w:tcPr>
            <w:tcW w:w="2212" w:type="dxa"/>
            <w:tcBorders>
              <w:top w:val="single" w:color="auto" w:sz="6" w:space="0"/>
              <w:left w:val="single" w:color="auto" w:sz="6" w:space="0"/>
              <w:bottom w:val="single" w:color="auto" w:sz="6" w:space="0"/>
              <w:right w:val="double" w:color="auto" w:sz="2" w:space="0"/>
            </w:tcBorders>
            <w:vAlign w:val="center"/>
          </w:tcPr>
          <w:p w14:paraId="214751F1">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13755192647</w:t>
            </w:r>
          </w:p>
        </w:tc>
      </w:tr>
      <w:tr w14:paraId="7376392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05226F79">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中国民生银行长沙分行</w:t>
            </w:r>
          </w:p>
        </w:tc>
        <w:tc>
          <w:tcPr>
            <w:tcW w:w="1020" w:type="dxa"/>
            <w:tcBorders>
              <w:top w:val="single" w:color="auto" w:sz="6" w:space="0"/>
              <w:left w:val="single" w:color="auto" w:sz="6" w:space="0"/>
              <w:bottom w:val="single" w:color="auto" w:sz="6" w:space="0"/>
              <w:right w:val="single" w:color="auto" w:sz="6" w:space="0"/>
            </w:tcBorders>
            <w:vAlign w:val="center"/>
          </w:tcPr>
          <w:p w14:paraId="03375C00">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黄飞燕</w:t>
            </w:r>
          </w:p>
        </w:tc>
        <w:tc>
          <w:tcPr>
            <w:tcW w:w="2893" w:type="dxa"/>
            <w:tcBorders>
              <w:top w:val="single" w:color="auto" w:sz="6" w:space="0"/>
              <w:left w:val="single" w:color="auto" w:sz="6" w:space="0"/>
              <w:bottom w:val="single" w:color="auto" w:sz="6" w:space="0"/>
              <w:right w:val="single" w:color="auto" w:sz="6" w:space="0"/>
            </w:tcBorders>
            <w:vAlign w:val="center"/>
          </w:tcPr>
          <w:p w14:paraId="21C6B036">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营业部总经理</w:t>
            </w:r>
          </w:p>
        </w:tc>
        <w:tc>
          <w:tcPr>
            <w:tcW w:w="2212" w:type="dxa"/>
            <w:tcBorders>
              <w:top w:val="single" w:color="auto" w:sz="6" w:space="0"/>
              <w:left w:val="single" w:color="auto" w:sz="6" w:space="0"/>
              <w:bottom w:val="single" w:color="auto" w:sz="6" w:space="0"/>
              <w:right w:val="double" w:color="auto" w:sz="2" w:space="0"/>
            </w:tcBorders>
            <w:vAlign w:val="center"/>
          </w:tcPr>
          <w:p w14:paraId="68E4A6FE">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13308463468</w:t>
            </w:r>
          </w:p>
        </w:tc>
      </w:tr>
      <w:tr w14:paraId="54A32BB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6512D79D">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中国民生银行长沙分行</w:t>
            </w:r>
          </w:p>
        </w:tc>
        <w:tc>
          <w:tcPr>
            <w:tcW w:w="1020" w:type="dxa"/>
            <w:tcBorders>
              <w:top w:val="single" w:color="auto" w:sz="6" w:space="0"/>
              <w:left w:val="single" w:color="auto" w:sz="6" w:space="0"/>
              <w:bottom w:val="single" w:color="auto" w:sz="6" w:space="0"/>
              <w:right w:val="single" w:color="auto" w:sz="6" w:space="0"/>
            </w:tcBorders>
            <w:vAlign w:val="center"/>
          </w:tcPr>
          <w:p w14:paraId="19F0C9CE">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蒋寒奇</w:t>
            </w:r>
          </w:p>
        </w:tc>
        <w:tc>
          <w:tcPr>
            <w:tcW w:w="2893" w:type="dxa"/>
            <w:tcBorders>
              <w:top w:val="single" w:color="auto" w:sz="6" w:space="0"/>
              <w:left w:val="single" w:color="auto" w:sz="6" w:space="0"/>
              <w:bottom w:val="single" w:color="auto" w:sz="6" w:space="0"/>
              <w:right w:val="single" w:color="auto" w:sz="6" w:space="0"/>
            </w:tcBorders>
            <w:vAlign w:val="center"/>
          </w:tcPr>
          <w:p w14:paraId="29746BAC">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营业部中小企业客户经理</w:t>
            </w:r>
          </w:p>
        </w:tc>
        <w:tc>
          <w:tcPr>
            <w:tcW w:w="2212" w:type="dxa"/>
            <w:tcBorders>
              <w:top w:val="single" w:color="auto" w:sz="6" w:space="0"/>
              <w:left w:val="single" w:color="auto" w:sz="6" w:space="0"/>
              <w:bottom w:val="single" w:color="auto" w:sz="6" w:space="0"/>
              <w:right w:val="double" w:color="auto" w:sz="2" w:space="0"/>
            </w:tcBorders>
            <w:vAlign w:val="center"/>
          </w:tcPr>
          <w:p w14:paraId="784BC614">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13548982975</w:t>
            </w:r>
          </w:p>
        </w:tc>
      </w:tr>
      <w:tr w14:paraId="755FB6E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0F3E2FEF">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兴业银行长沙分行</w:t>
            </w:r>
          </w:p>
        </w:tc>
        <w:tc>
          <w:tcPr>
            <w:tcW w:w="1020" w:type="dxa"/>
            <w:tcBorders>
              <w:top w:val="single" w:color="auto" w:sz="6" w:space="0"/>
              <w:left w:val="single" w:color="auto" w:sz="6" w:space="0"/>
              <w:bottom w:val="single" w:color="auto" w:sz="6" w:space="0"/>
              <w:right w:val="single" w:color="auto" w:sz="6" w:space="0"/>
            </w:tcBorders>
            <w:vAlign w:val="center"/>
          </w:tcPr>
          <w:p w14:paraId="65DEF127">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刘栅延</w:t>
            </w:r>
          </w:p>
        </w:tc>
        <w:tc>
          <w:tcPr>
            <w:tcW w:w="2893" w:type="dxa"/>
            <w:tcBorders>
              <w:top w:val="single" w:color="auto" w:sz="6" w:space="0"/>
              <w:left w:val="single" w:color="auto" w:sz="6" w:space="0"/>
              <w:bottom w:val="single" w:color="auto" w:sz="6" w:space="0"/>
              <w:right w:val="single" w:color="auto" w:sz="6" w:space="0"/>
            </w:tcBorders>
            <w:vAlign w:val="center"/>
          </w:tcPr>
          <w:p w14:paraId="3A01A638">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支行行长</w:t>
            </w:r>
          </w:p>
        </w:tc>
        <w:tc>
          <w:tcPr>
            <w:tcW w:w="2212" w:type="dxa"/>
            <w:tcBorders>
              <w:top w:val="single" w:color="auto" w:sz="6" w:space="0"/>
              <w:left w:val="single" w:color="auto" w:sz="6" w:space="0"/>
              <w:bottom w:val="single" w:color="auto" w:sz="6" w:space="0"/>
              <w:right w:val="double" w:color="auto" w:sz="2" w:space="0"/>
            </w:tcBorders>
            <w:vAlign w:val="center"/>
          </w:tcPr>
          <w:p w14:paraId="48EB8F45">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13337316405</w:t>
            </w:r>
          </w:p>
        </w:tc>
      </w:tr>
      <w:tr w14:paraId="56C2D93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6DBABA72">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兴业银行长沙分行</w:t>
            </w:r>
          </w:p>
        </w:tc>
        <w:tc>
          <w:tcPr>
            <w:tcW w:w="1020" w:type="dxa"/>
            <w:tcBorders>
              <w:top w:val="single" w:color="auto" w:sz="6" w:space="0"/>
              <w:left w:val="single" w:color="auto" w:sz="6" w:space="0"/>
              <w:bottom w:val="single" w:color="auto" w:sz="6" w:space="0"/>
              <w:right w:val="single" w:color="auto" w:sz="6" w:space="0"/>
            </w:tcBorders>
            <w:vAlign w:val="center"/>
          </w:tcPr>
          <w:p w14:paraId="2FBF948B">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蒋修远</w:t>
            </w:r>
          </w:p>
        </w:tc>
        <w:tc>
          <w:tcPr>
            <w:tcW w:w="2893" w:type="dxa"/>
            <w:tcBorders>
              <w:top w:val="single" w:color="auto" w:sz="6" w:space="0"/>
              <w:left w:val="single" w:color="auto" w:sz="6" w:space="0"/>
              <w:bottom w:val="single" w:color="auto" w:sz="6" w:space="0"/>
              <w:right w:val="single" w:color="auto" w:sz="6" w:space="0"/>
            </w:tcBorders>
            <w:vAlign w:val="center"/>
          </w:tcPr>
          <w:p w14:paraId="2F65A14B">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支行客户经理</w:t>
            </w:r>
          </w:p>
        </w:tc>
        <w:tc>
          <w:tcPr>
            <w:tcW w:w="2212" w:type="dxa"/>
            <w:tcBorders>
              <w:top w:val="single" w:color="auto" w:sz="6" w:space="0"/>
              <w:left w:val="single" w:color="auto" w:sz="6" w:space="0"/>
              <w:bottom w:val="single" w:color="auto" w:sz="6" w:space="0"/>
              <w:right w:val="double" w:color="auto" w:sz="2" w:space="0"/>
            </w:tcBorders>
            <w:vAlign w:val="center"/>
          </w:tcPr>
          <w:p w14:paraId="542AA65E">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18607310422</w:t>
            </w:r>
          </w:p>
        </w:tc>
      </w:tr>
      <w:tr w14:paraId="201CFC3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0B799BC7">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中国光大银行长沙分行</w:t>
            </w:r>
          </w:p>
        </w:tc>
        <w:tc>
          <w:tcPr>
            <w:tcW w:w="1020" w:type="dxa"/>
            <w:tcBorders>
              <w:top w:val="single" w:color="auto" w:sz="6" w:space="0"/>
              <w:left w:val="single" w:color="auto" w:sz="6" w:space="0"/>
              <w:bottom w:val="single" w:color="auto" w:sz="6" w:space="0"/>
              <w:right w:val="single" w:color="auto" w:sz="6" w:space="0"/>
            </w:tcBorders>
            <w:vAlign w:val="center"/>
          </w:tcPr>
          <w:p w14:paraId="619CEEF9">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邓永胜</w:t>
            </w:r>
          </w:p>
        </w:tc>
        <w:tc>
          <w:tcPr>
            <w:tcW w:w="2893" w:type="dxa"/>
            <w:tcBorders>
              <w:top w:val="single" w:color="auto" w:sz="6" w:space="0"/>
              <w:left w:val="single" w:color="auto" w:sz="6" w:space="0"/>
              <w:bottom w:val="single" w:color="auto" w:sz="6" w:space="0"/>
              <w:right w:val="single" w:color="auto" w:sz="6" w:space="0"/>
            </w:tcBorders>
            <w:vAlign w:val="center"/>
          </w:tcPr>
          <w:p w14:paraId="204721A4">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岳麓支行副行长</w:t>
            </w:r>
          </w:p>
        </w:tc>
        <w:tc>
          <w:tcPr>
            <w:tcW w:w="2212" w:type="dxa"/>
            <w:tcBorders>
              <w:top w:val="single" w:color="auto" w:sz="6" w:space="0"/>
              <w:left w:val="single" w:color="auto" w:sz="6" w:space="0"/>
              <w:bottom w:val="single" w:color="auto" w:sz="6" w:space="0"/>
              <w:right w:val="double" w:color="auto" w:sz="2" w:space="0"/>
            </w:tcBorders>
            <w:vAlign w:val="center"/>
          </w:tcPr>
          <w:p w14:paraId="51C35614">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13617319650</w:t>
            </w:r>
          </w:p>
        </w:tc>
      </w:tr>
      <w:tr w14:paraId="502BA83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553" w:type="dxa"/>
            <w:tcBorders>
              <w:top w:val="single" w:color="auto" w:sz="6" w:space="0"/>
              <w:left w:val="double" w:color="auto" w:sz="2" w:space="0"/>
              <w:bottom w:val="single" w:color="auto" w:sz="6" w:space="0"/>
              <w:right w:val="single" w:color="auto" w:sz="6" w:space="0"/>
            </w:tcBorders>
            <w:vAlign w:val="center"/>
          </w:tcPr>
          <w:p w14:paraId="6EE4E012">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中信银行长沙分行</w:t>
            </w:r>
          </w:p>
        </w:tc>
        <w:tc>
          <w:tcPr>
            <w:tcW w:w="1020" w:type="dxa"/>
            <w:tcBorders>
              <w:top w:val="single" w:color="auto" w:sz="6" w:space="0"/>
              <w:left w:val="single" w:color="auto" w:sz="6" w:space="0"/>
              <w:bottom w:val="single" w:color="auto" w:sz="6" w:space="0"/>
              <w:right w:val="single" w:color="auto" w:sz="6" w:space="0"/>
            </w:tcBorders>
            <w:vAlign w:val="center"/>
          </w:tcPr>
          <w:p w14:paraId="262097FF">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蔡学军</w:t>
            </w:r>
          </w:p>
        </w:tc>
        <w:tc>
          <w:tcPr>
            <w:tcW w:w="2893" w:type="dxa"/>
            <w:tcBorders>
              <w:top w:val="single" w:color="auto" w:sz="6" w:space="0"/>
              <w:left w:val="single" w:color="auto" w:sz="6" w:space="0"/>
              <w:bottom w:val="single" w:color="auto" w:sz="6" w:space="0"/>
              <w:right w:val="single" w:color="auto" w:sz="6" w:space="0"/>
            </w:tcBorders>
            <w:vAlign w:val="center"/>
          </w:tcPr>
          <w:p w14:paraId="5D0AF8A4">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公司银行部负责人</w:t>
            </w:r>
          </w:p>
        </w:tc>
        <w:tc>
          <w:tcPr>
            <w:tcW w:w="2212" w:type="dxa"/>
            <w:tcBorders>
              <w:top w:val="single" w:color="auto" w:sz="6" w:space="0"/>
              <w:left w:val="single" w:color="auto" w:sz="6" w:space="0"/>
              <w:bottom w:val="single" w:color="auto" w:sz="6" w:space="0"/>
              <w:right w:val="double" w:color="auto" w:sz="2" w:space="0"/>
            </w:tcBorders>
            <w:vAlign w:val="center"/>
          </w:tcPr>
          <w:p w14:paraId="76E0714E">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13055167195</w:t>
            </w:r>
          </w:p>
        </w:tc>
      </w:tr>
      <w:tr w14:paraId="77C21E1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2553" w:type="dxa"/>
            <w:tcBorders>
              <w:top w:val="single" w:color="auto" w:sz="6" w:space="0"/>
              <w:left w:val="double" w:color="auto" w:sz="2" w:space="0"/>
              <w:bottom w:val="double" w:color="auto" w:sz="2" w:space="0"/>
              <w:right w:val="single" w:color="auto" w:sz="6" w:space="0"/>
            </w:tcBorders>
            <w:vAlign w:val="center"/>
          </w:tcPr>
          <w:p w14:paraId="11B53BD7">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中信银行长沙分行</w:t>
            </w:r>
          </w:p>
        </w:tc>
        <w:tc>
          <w:tcPr>
            <w:tcW w:w="1020" w:type="dxa"/>
            <w:tcBorders>
              <w:top w:val="single" w:color="auto" w:sz="6" w:space="0"/>
              <w:left w:val="single" w:color="auto" w:sz="6" w:space="0"/>
              <w:bottom w:val="double" w:color="auto" w:sz="2" w:space="0"/>
              <w:right w:val="single" w:color="auto" w:sz="6" w:space="0"/>
            </w:tcBorders>
            <w:vAlign w:val="center"/>
          </w:tcPr>
          <w:p w14:paraId="379CB140">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宋学农</w:t>
            </w:r>
          </w:p>
        </w:tc>
        <w:tc>
          <w:tcPr>
            <w:tcW w:w="2893" w:type="dxa"/>
            <w:tcBorders>
              <w:top w:val="single" w:color="auto" w:sz="6" w:space="0"/>
              <w:left w:val="single" w:color="auto" w:sz="6" w:space="0"/>
              <w:bottom w:val="double" w:color="auto" w:sz="2" w:space="0"/>
              <w:right w:val="single" w:color="auto" w:sz="6" w:space="0"/>
            </w:tcBorders>
            <w:vAlign w:val="center"/>
          </w:tcPr>
          <w:p w14:paraId="2A4D5A11">
            <w:pPr>
              <w:adjustRightInd w:val="0"/>
              <w:snapToGrid w:val="0"/>
              <w:spacing w:beforeLines="50" w:afterLines="50" w:line="320" w:lineRule="exact"/>
              <w:ind w:firstLine="0" w:firstLineChars="0"/>
              <w:rPr>
                <w:rFonts w:ascii="宋体" w:hAnsi="宋体" w:cs="Times New Roman"/>
                <w:color w:val="auto"/>
                <w:szCs w:val="21"/>
              </w:rPr>
            </w:pPr>
            <w:r>
              <w:rPr>
                <w:rFonts w:hint="eastAsia" w:ascii="宋体" w:hAnsi="宋体" w:cs="Times New Roman"/>
                <w:color w:val="auto"/>
                <w:kern w:val="0"/>
              </w:rPr>
              <w:t>银行部综合管理部副总经理</w:t>
            </w:r>
          </w:p>
        </w:tc>
        <w:tc>
          <w:tcPr>
            <w:tcW w:w="2212" w:type="dxa"/>
            <w:tcBorders>
              <w:top w:val="single" w:color="auto" w:sz="6" w:space="0"/>
              <w:left w:val="single" w:color="auto" w:sz="6" w:space="0"/>
              <w:bottom w:val="double" w:color="auto" w:sz="2" w:space="0"/>
              <w:right w:val="double" w:color="auto" w:sz="2" w:space="0"/>
            </w:tcBorders>
            <w:vAlign w:val="center"/>
          </w:tcPr>
          <w:p w14:paraId="743758F2">
            <w:pPr>
              <w:adjustRightInd w:val="0"/>
              <w:snapToGrid w:val="0"/>
              <w:spacing w:beforeLines="50" w:afterLines="50" w:line="320" w:lineRule="exact"/>
              <w:ind w:firstLine="0" w:firstLineChars="0"/>
              <w:jc w:val="center"/>
              <w:rPr>
                <w:rFonts w:ascii="宋体" w:hAnsi="宋体" w:cs="Times New Roman"/>
                <w:color w:val="auto"/>
                <w:szCs w:val="21"/>
              </w:rPr>
            </w:pPr>
            <w:r>
              <w:rPr>
                <w:rFonts w:hint="eastAsia" w:ascii="宋体" w:hAnsi="宋体" w:cs="Times New Roman"/>
                <w:color w:val="auto"/>
                <w:kern w:val="0"/>
              </w:rPr>
              <w:t>0731-845822141</w:t>
            </w:r>
          </w:p>
        </w:tc>
      </w:tr>
    </w:tbl>
    <w:p w14:paraId="68083614">
      <w:pPr>
        <w:adjustRightInd w:val="0"/>
        <w:snapToGrid w:val="0"/>
        <w:spacing w:line="360" w:lineRule="auto"/>
        <w:ind w:firstLine="0" w:firstLineChars="0"/>
        <w:jc w:val="center"/>
        <w:rPr>
          <w:rFonts w:ascii="宋体" w:hAnsi="宋体" w:cs="宋体"/>
          <w:b/>
          <w:bCs/>
          <w:color w:val="auto"/>
          <w:kern w:val="0"/>
          <w:sz w:val="28"/>
          <w:szCs w:val="28"/>
        </w:rPr>
      </w:pPr>
    </w:p>
    <w:p w14:paraId="042CCE9D">
      <w:pPr>
        <w:rPr>
          <w:rFonts w:hint="eastAsia" w:ascii="宋体" w:hAnsi="宋体" w:cs="宋体"/>
          <w:b/>
          <w:bCs/>
          <w:color w:val="auto"/>
          <w:kern w:val="0"/>
          <w:sz w:val="28"/>
          <w:szCs w:val="28"/>
        </w:rPr>
      </w:pPr>
      <w:r>
        <w:rPr>
          <w:rFonts w:hint="eastAsia" w:ascii="宋体" w:hAnsi="宋体" w:cs="宋体"/>
          <w:b/>
          <w:bCs/>
          <w:color w:val="auto"/>
          <w:kern w:val="0"/>
          <w:sz w:val="28"/>
          <w:szCs w:val="28"/>
        </w:rPr>
        <w:br w:type="page"/>
      </w:r>
    </w:p>
    <w:p w14:paraId="38C93912">
      <w:pPr>
        <w:adjustRightInd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kern w:val="0"/>
          <w:sz w:val="28"/>
          <w:szCs w:val="28"/>
        </w:rPr>
        <w:t>长沙市政府采购支持中小企业融资合作银行及联系人名单</w:t>
      </w:r>
    </w:p>
    <w:tbl>
      <w:tblPr>
        <w:tblStyle w:val="43"/>
        <w:tblW w:w="894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320"/>
        <w:gridCol w:w="2745"/>
        <w:gridCol w:w="2754"/>
      </w:tblGrid>
      <w:tr w14:paraId="243B2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127" w:type="dxa"/>
            <w:vAlign w:val="center"/>
          </w:tcPr>
          <w:p w14:paraId="44D47432">
            <w:pPr>
              <w:adjustRightInd w:val="0"/>
              <w:snapToGrid w:val="0"/>
              <w:spacing w:beforeLines="50" w:line="360" w:lineRule="auto"/>
              <w:ind w:firstLine="0" w:firstLineChars="0"/>
              <w:jc w:val="center"/>
              <w:rPr>
                <w:rFonts w:ascii="宋体" w:hAnsi="宋体" w:cs="宋体"/>
                <w:color w:val="auto"/>
                <w:szCs w:val="21"/>
              </w:rPr>
            </w:pPr>
            <w:r>
              <w:rPr>
                <w:rFonts w:hint="eastAsia" w:ascii="宋体" w:hAnsi="宋体" w:cs="宋体"/>
                <w:bCs/>
                <w:color w:val="auto"/>
                <w:kern w:val="0"/>
                <w:szCs w:val="21"/>
              </w:rPr>
              <w:t>银行名称</w:t>
            </w:r>
          </w:p>
        </w:tc>
        <w:tc>
          <w:tcPr>
            <w:tcW w:w="1320" w:type="dxa"/>
            <w:vAlign w:val="center"/>
          </w:tcPr>
          <w:p w14:paraId="42D2E45A">
            <w:pPr>
              <w:adjustRightInd w:val="0"/>
              <w:snapToGrid w:val="0"/>
              <w:spacing w:beforeLines="50" w:line="360" w:lineRule="auto"/>
              <w:ind w:firstLine="0" w:firstLineChars="0"/>
              <w:jc w:val="center"/>
              <w:rPr>
                <w:rFonts w:ascii="宋体" w:hAnsi="宋体" w:cs="宋体"/>
                <w:color w:val="auto"/>
                <w:szCs w:val="21"/>
              </w:rPr>
            </w:pPr>
            <w:r>
              <w:rPr>
                <w:rFonts w:hint="eastAsia" w:ascii="宋体" w:hAnsi="宋体" w:cs="宋体"/>
                <w:bCs/>
                <w:color w:val="auto"/>
                <w:kern w:val="0"/>
                <w:szCs w:val="21"/>
              </w:rPr>
              <w:t>联系人</w:t>
            </w:r>
          </w:p>
        </w:tc>
        <w:tc>
          <w:tcPr>
            <w:tcW w:w="2745" w:type="dxa"/>
            <w:vAlign w:val="center"/>
          </w:tcPr>
          <w:p w14:paraId="745BEA16">
            <w:pPr>
              <w:adjustRightInd w:val="0"/>
              <w:snapToGrid w:val="0"/>
              <w:spacing w:beforeLines="50" w:line="360" w:lineRule="auto"/>
              <w:ind w:firstLine="0" w:firstLineChars="0"/>
              <w:jc w:val="center"/>
              <w:rPr>
                <w:rFonts w:ascii="宋体" w:hAnsi="宋体" w:cs="宋体"/>
                <w:color w:val="auto"/>
                <w:szCs w:val="21"/>
              </w:rPr>
            </w:pPr>
            <w:r>
              <w:rPr>
                <w:rFonts w:hint="eastAsia" w:ascii="宋体" w:hAnsi="宋体" w:cs="宋体"/>
                <w:bCs/>
                <w:color w:val="auto"/>
                <w:kern w:val="0"/>
                <w:szCs w:val="21"/>
              </w:rPr>
              <w:t>职 务</w:t>
            </w:r>
          </w:p>
        </w:tc>
        <w:tc>
          <w:tcPr>
            <w:tcW w:w="2754" w:type="dxa"/>
            <w:vAlign w:val="center"/>
          </w:tcPr>
          <w:p w14:paraId="5F579C46">
            <w:pPr>
              <w:adjustRightInd w:val="0"/>
              <w:snapToGrid w:val="0"/>
              <w:spacing w:beforeLines="50" w:line="360" w:lineRule="auto"/>
              <w:ind w:firstLine="0" w:firstLineChars="0"/>
              <w:jc w:val="center"/>
              <w:rPr>
                <w:rFonts w:ascii="宋体" w:hAnsi="宋体" w:cs="宋体"/>
                <w:color w:val="auto"/>
                <w:szCs w:val="21"/>
              </w:rPr>
            </w:pPr>
            <w:r>
              <w:rPr>
                <w:rFonts w:hint="eastAsia" w:ascii="宋体" w:hAnsi="宋体" w:cs="宋体"/>
                <w:bCs/>
                <w:color w:val="auto"/>
                <w:kern w:val="0"/>
                <w:szCs w:val="21"/>
              </w:rPr>
              <w:t>联系电话</w:t>
            </w:r>
          </w:p>
        </w:tc>
      </w:tr>
      <w:tr w14:paraId="004A3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4B52650F">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交通银行湖南省分行</w:t>
            </w:r>
          </w:p>
        </w:tc>
        <w:tc>
          <w:tcPr>
            <w:tcW w:w="1320" w:type="dxa"/>
            <w:vAlign w:val="center"/>
          </w:tcPr>
          <w:p w14:paraId="4F96DF85">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谢俊峰</w:t>
            </w:r>
          </w:p>
        </w:tc>
        <w:tc>
          <w:tcPr>
            <w:tcW w:w="2745" w:type="dxa"/>
            <w:vAlign w:val="center"/>
          </w:tcPr>
          <w:p w14:paraId="5FCA362B">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湘江中路支行公司</w:t>
            </w:r>
          </w:p>
          <w:p w14:paraId="49B4E803">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业务管理经理</w:t>
            </w:r>
          </w:p>
        </w:tc>
        <w:tc>
          <w:tcPr>
            <w:tcW w:w="2754" w:type="dxa"/>
            <w:vAlign w:val="center"/>
          </w:tcPr>
          <w:p w14:paraId="7BE4022D">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84919503；13687320956</w:t>
            </w:r>
          </w:p>
        </w:tc>
      </w:tr>
      <w:tr w14:paraId="53EF59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0908B410">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光大银行长沙分行</w:t>
            </w:r>
          </w:p>
        </w:tc>
        <w:tc>
          <w:tcPr>
            <w:tcW w:w="1320" w:type="dxa"/>
            <w:vAlign w:val="center"/>
          </w:tcPr>
          <w:p w14:paraId="17F0DB3E">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唐红英</w:t>
            </w:r>
          </w:p>
        </w:tc>
        <w:tc>
          <w:tcPr>
            <w:tcW w:w="2745" w:type="dxa"/>
            <w:vAlign w:val="center"/>
          </w:tcPr>
          <w:p w14:paraId="27E5D961">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溁湾支行行长</w:t>
            </w:r>
          </w:p>
        </w:tc>
        <w:tc>
          <w:tcPr>
            <w:tcW w:w="2754" w:type="dxa"/>
            <w:vAlign w:val="center"/>
          </w:tcPr>
          <w:p w14:paraId="77D2B65E">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89750053；18673166920</w:t>
            </w:r>
          </w:p>
        </w:tc>
      </w:tr>
      <w:tr w14:paraId="7B1C97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43FDC7C0">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建设银行湖南省分行</w:t>
            </w:r>
          </w:p>
        </w:tc>
        <w:tc>
          <w:tcPr>
            <w:tcW w:w="1320" w:type="dxa"/>
            <w:vAlign w:val="center"/>
          </w:tcPr>
          <w:p w14:paraId="7AAD50A3">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颜国恒</w:t>
            </w:r>
          </w:p>
        </w:tc>
        <w:tc>
          <w:tcPr>
            <w:tcW w:w="2745" w:type="dxa"/>
            <w:vAlign w:val="center"/>
          </w:tcPr>
          <w:p w14:paraId="5F37566B">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芙蓉中路支行</w:t>
            </w:r>
          </w:p>
        </w:tc>
        <w:tc>
          <w:tcPr>
            <w:tcW w:w="2754" w:type="dxa"/>
            <w:vAlign w:val="center"/>
          </w:tcPr>
          <w:p w14:paraId="0868F9C3">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88665238；13574801920</w:t>
            </w:r>
          </w:p>
        </w:tc>
      </w:tr>
      <w:tr w14:paraId="719E3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2F4D05AE">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农业银行湖南省分行</w:t>
            </w:r>
          </w:p>
        </w:tc>
        <w:tc>
          <w:tcPr>
            <w:tcW w:w="1320" w:type="dxa"/>
            <w:vAlign w:val="center"/>
          </w:tcPr>
          <w:p w14:paraId="25C9A845">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李  宁</w:t>
            </w:r>
          </w:p>
        </w:tc>
        <w:tc>
          <w:tcPr>
            <w:tcW w:w="2745" w:type="dxa"/>
            <w:vAlign w:val="center"/>
          </w:tcPr>
          <w:p w14:paraId="33E5D189">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天心区支行副行长</w:t>
            </w:r>
          </w:p>
        </w:tc>
        <w:tc>
          <w:tcPr>
            <w:tcW w:w="2754" w:type="dxa"/>
            <w:vAlign w:val="center"/>
          </w:tcPr>
          <w:p w14:paraId="353D91E0">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85114839；13975813058</w:t>
            </w:r>
          </w:p>
        </w:tc>
      </w:tr>
      <w:tr w14:paraId="1AF05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05F4CBF5">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中国银行湖南省分行</w:t>
            </w:r>
          </w:p>
        </w:tc>
        <w:tc>
          <w:tcPr>
            <w:tcW w:w="1320" w:type="dxa"/>
            <w:vAlign w:val="center"/>
          </w:tcPr>
          <w:p w14:paraId="48DF50C7">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刘  毅</w:t>
            </w:r>
          </w:p>
        </w:tc>
        <w:tc>
          <w:tcPr>
            <w:tcW w:w="2745" w:type="dxa"/>
            <w:vAlign w:val="center"/>
          </w:tcPr>
          <w:p w14:paraId="634DEA9C">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丽臣路支行行长</w:t>
            </w:r>
          </w:p>
        </w:tc>
        <w:tc>
          <w:tcPr>
            <w:tcW w:w="2754" w:type="dxa"/>
            <w:vAlign w:val="center"/>
          </w:tcPr>
          <w:p w14:paraId="2D3FC911">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82741897；13808436058</w:t>
            </w:r>
          </w:p>
        </w:tc>
      </w:tr>
      <w:tr w14:paraId="6D0052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733A0F3D">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长沙银行</w:t>
            </w:r>
          </w:p>
        </w:tc>
        <w:tc>
          <w:tcPr>
            <w:tcW w:w="1320" w:type="dxa"/>
            <w:vAlign w:val="center"/>
          </w:tcPr>
          <w:p w14:paraId="5448FDAA">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廖  科</w:t>
            </w:r>
          </w:p>
        </w:tc>
        <w:tc>
          <w:tcPr>
            <w:tcW w:w="2745" w:type="dxa"/>
            <w:vAlign w:val="center"/>
          </w:tcPr>
          <w:p w14:paraId="044C6AB5">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金城支行公司业务部总经理</w:t>
            </w:r>
          </w:p>
        </w:tc>
        <w:tc>
          <w:tcPr>
            <w:tcW w:w="2754" w:type="dxa"/>
            <w:vAlign w:val="center"/>
          </w:tcPr>
          <w:p w14:paraId="0261F402">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84413595；13707319275</w:t>
            </w:r>
          </w:p>
        </w:tc>
      </w:tr>
      <w:tr w14:paraId="37A567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27" w:type="dxa"/>
            <w:vAlign w:val="center"/>
          </w:tcPr>
          <w:p w14:paraId="15B9DCF6">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邮储银行长沙分行</w:t>
            </w:r>
          </w:p>
        </w:tc>
        <w:tc>
          <w:tcPr>
            <w:tcW w:w="1320" w:type="dxa"/>
            <w:vAlign w:val="center"/>
          </w:tcPr>
          <w:p w14:paraId="227B2522">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严春燕</w:t>
            </w:r>
          </w:p>
        </w:tc>
        <w:tc>
          <w:tcPr>
            <w:tcW w:w="2745" w:type="dxa"/>
            <w:vAlign w:val="center"/>
          </w:tcPr>
          <w:p w14:paraId="4074F8F7">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岳麓支行副行长</w:t>
            </w:r>
          </w:p>
        </w:tc>
        <w:tc>
          <w:tcPr>
            <w:tcW w:w="2754" w:type="dxa"/>
            <w:vAlign w:val="center"/>
          </w:tcPr>
          <w:p w14:paraId="28FDBEC5">
            <w:pPr>
              <w:adjustRightInd w:val="0"/>
              <w:snapToGrid w:val="0"/>
              <w:spacing w:beforeLines="50" w:line="360" w:lineRule="auto"/>
              <w:ind w:firstLine="0" w:firstLineChars="0"/>
              <w:jc w:val="center"/>
              <w:rPr>
                <w:rFonts w:ascii="宋体" w:hAnsi="宋体" w:cs="宋体"/>
                <w:bCs/>
                <w:color w:val="auto"/>
                <w:kern w:val="0"/>
                <w:szCs w:val="21"/>
              </w:rPr>
            </w:pPr>
            <w:r>
              <w:rPr>
                <w:rFonts w:hint="eastAsia" w:ascii="宋体" w:hAnsi="宋体" w:cs="宋体"/>
                <w:bCs/>
                <w:color w:val="auto"/>
                <w:kern w:val="0"/>
                <w:szCs w:val="21"/>
              </w:rPr>
              <w:t>85579459；13875864330</w:t>
            </w:r>
          </w:p>
        </w:tc>
      </w:tr>
    </w:tbl>
    <w:p w14:paraId="6658D94A">
      <w:pPr>
        <w:adjustRightInd w:val="0"/>
        <w:snapToGrid w:val="0"/>
        <w:spacing w:line="360" w:lineRule="auto"/>
        <w:ind w:firstLine="0" w:firstLineChars="0"/>
        <w:rPr>
          <w:rFonts w:ascii="宋体" w:hAnsi="宋体" w:cs="宋体"/>
          <w:b/>
          <w:bCs/>
          <w:color w:val="auto"/>
          <w:szCs w:val="21"/>
        </w:rPr>
      </w:pPr>
    </w:p>
    <w:p w14:paraId="53029395">
      <w:pPr>
        <w:adjustRightInd w:val="0"/>
        <w:snapToGrid w:val="0"/>
        <w:spacing w:line="360" w:lineRule="auto"/>
        <w:ind w:firstLine="0" w:firstLineChars="0"/>
        <w:rPr>
          <w:rFonts w:ascii="宋体" w:hAnsi="宋体" w:cs="宋体"/>
          <w:b/>
          <w:bCs/>
          <w:color w:val="auto"/>
          <w:szCs w:val="21"/>
        </w:rPr>
      </w:pPr>
      <w:r>
        <w:rPr>
          <w:rFonts w:hint="eastAsia" w:ascii="宋体" w:hAnsi="宋体" w:cs="宋体"/>
          <w:b/>
          <w:bCs/>
          <w:color w:val="auto"/>
          <w:szCs w:val="21"/>
        </w:rPr>
        <w:t>附页2</w:t>
      </w:r>
    </w:p>
    <w:p w14:paraId="5716EF00">
      <w:pPr>
        <w:adjustRightInd w:val="0"/>
        <w:snapToGrid w:val="0"/>
        <w:spacing w:line="360" w:lineRule="auto"/>
        <w:ind w:firstLine="0" w:firstLineChars="0"/>
        <w:jc w:val="center"/>
        <w:rPr>
          <w:rFonts w:ascii="宋体" w:hAnsi="宋体" w:cs="宋体"/>
          <w:b/>
          <w:bCs/>
          <w:color w:val="auto"/>
          <w:sz w:val="28"/>
          <w:szCs w:val="28"/>
        </w:rPr>
      </w:pPr>
      <w:r>
        <w:rPr>
          <w:rFonts w:hint="eastAsia" w:ascii="宋体" w:hAnsi="宋体" w:cs="宋体"/>
          <w:b/>
          <w:bCs/>
          <w:color w:val="auto"/>
          <w:kern w:val="0"/>
          <w:sz w:val="28"/>
          <w:szCs w:val="28"/>
        </w:rPr>
        <w:t>湖南省政府采购信用担保试点工作的</w:t>
      </w:r>
      <w:r>
        <w:rPr>
          <w:rFonts w:hint="eastAsia" w:ascii="宋体" w:hAnsi="宋体" w:cs="宋体"/>
          <w:b/>
          <w:color w:val="auto"/>
          <w:sz w:val="28"/>
          <w:szCs w:val="28"/>
        </w:rPr>
        <w:t>信用担保机构名单</w:t>
      </w:r>
    </w:p>
    <w:tbl>
      <w:tblPr>
        <w:tblStyle w:val="43"/>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4"/>
        <w:gridCol w:w="1065"/>
        <w:gridCol w:w="3731"/>
      </w:tblGrid>
      <w:tr w14:paraId="7EE27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4264" w:type="dxa"/>
            <w:vAlign w:val="center"/>
          </w:tcPr>
          <w:p w14:paraId="276B2A3C">
            <w:pPr>
              <w:adjustRightInd w:val="0"/>
              <w:snapToGrid w:val="0"/>
              <w:spacing w:line="240" w:lineRule="exact"/>
              <w:ind w:firstLine="0" w:firstLineChars="0"/>
              <w:jc w:val="center"/>
              <w:rPr>
                <w:rFonts w:ascii="宋体" w:hAnsi="宋体" w:cs="宋体"/>
                <w:b/>
                <w:bCs/>
                <w:color w:val="auto"/>
                <w:kern w:val="0"/>
                <w:szCs w:val="21"/>
              </w:rPr>
            </w:pPr>
            <w:r>
              <w:rPr>
                <w:rFonts w:hint="eastAsia" w:ascii="宋体" w:hAnsi="宋体" w:cs="宋体"/>
                <w:b/>
                <w:color w:val="auto"/>
                <w:szCs w:val="21"/>
              </w:rPr>
              <w:t>信用担保机构</w:t>
            </w:r>
          </w:p>
        </w:tc>
        <w:tc>
          <w:tcPr>
            <w:tcW w:w="1065" w:type="dxa"/>
            <w:vAlign w:val="center"/>
          </w:tcPr>
          <w:p w14:paraId="0C9C330B">
            <w:pPr>
              <w:adjustRightInd w:val="0"/>
              <w:snapToGrid w:val="0"/>
              <w:spacing w:line="240" w:lineRule="exact"/>
              <w:ind w:firstLine="0" w:firstLineChars="0"/>
              <w:jc w:val="center"/>
              <w:rPr>
                <w:rFonts w:ascii="宋体" w:hAnsi="宋体" w:cs="宋体"/>
                <w:b/>
                <w:bCs/>
                <w:color w:val="auto"/>
                <w:kern w:val="0"/>
                <w:szCs w:val="21"/>
              </w:rPr>
            </w:pPr>
            <w:r>
              <w:rPr>
                <w:rFonts w:hint="eastAsia" w:ascii="宋体" w:hAnsi="宋体" w:cs="宋体"/>
                <w:b/>
                <w:color w:val="auto"/>
                <w:szCs w:val="21"/>
              </w:rPr>
              <w:t>联系人</w:t>
            </w:r>
          </w:p>
        </w:tc>
        <w:tc>
          <w:tcPr>
            <w:tcW w:w="3731" w:type="dxa"/>
            <w:vAlign w:val="center"/>
          </w:tcPr>
          <w:p w14:paraId="4A87E889">
            <w:pPr>
              <w:adjustRightInd w:val="0"/>
              <w:snapToGrid w:val="0"/>
              <w:spacing w:line="240" w:lineRule="exact"/>
              <w:ind w:firstLine="0" w:firstLineChars="0"/>
              <w:jc w:val="center"/>
              <w:rPr>
                <w:rFonts w:ascii="宋体" w:hAnsi="宋体" w:cs="宋体"/>
                <w:b/>
                <w:bCs/>
                <w:color w:val="auto"/>
                <w:kern w:val="0"/>
                <w:szCs w:val="21"/>
              </w:rPr>
            </w:pPr>
            <w:r>
              <w:rPr>
                <w:rFonts w:hint="eastAsia" w:ascii="宋体" w:hAnsi="宋体" w:cs="宋体"/>
                <w:b/>
                <w:color w:val="auto"/>
                <w:szCs w:val="21"/>
              </w:rPr>
              <w:t>联系电话</w:t>
            </w:r>
          </w:p>
        </w:tc>
      </w:tr>
      <w:tr w14:paraId="73E90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4264" w:type="dxa"/>
            <w:vAlign w:val="center"/>
          </w:tcPr>
          <w:p w14:paraId="173F6D52">
            <w:pPr>
              <w:adjustRightInd w:val="0"/>
              <w:snapToGrid w:val="0"/>
              <w:spacing w:line="360" w:lineRule="auto"/>
              <w:ind w:firstLine="0" w:firstLineChars="0"/>
              <w:jc w:val="left"/>
              <w:rPr>
                <w:rFonts w:ascii="宋体" w:hAnsi="宋体" w:cs="宋体"/>
                <w:bCs/>
                <w:color w:val="auto"/>
                <w:kern w:val="0"/>
                <w:szCs w:val="21"/>
              </w:rPr>
            </w:pPr>
            <w:r>
              <w:rPr>
                <w:rFonts w:hint="eastAsia" w:ascii="宋体" w:hAnsi="宋体" w:cs="宋体"/>
                <w:color w:val="auto"/>
                <w:szCs w:val="21"/>
              </w:rPr>
              <w:t>中国投资担保公司</w:t>
            </w:r>
          </w:p>
        </w:tc>
        <w:tc>
          <w:tcPr>
            <w:tcW w:w="1065" w:type="dxa"/>
            <w:vAlign w:val="center"/>
          </w:tcPr>
          <w:p w14:paraId="053DB0F9">
            <w:pPr>
              <w:adjustRightInd w:val="0"/>
              <w:snapToGrid w:val="0"/>
              <w:spacing w:line="360" w:lineRule="auto"/>
              <w:ind w:firstLine="0" w:firstLineChars="0"/>
              <w:jc w:val="center"/>
              <w:rPr>
                <w:rFonts w:ascii="宋体" w:hAnsi="宋体" w:cs="宋体"/>
                <w:bCs/>
                <w:color w:val="auto"/>
                <w:kern w:val="0"/>
                <w:szCs w:val="21"/>
              </w:rPr>
            </w:pPr>
            <w:r>
              <w:rPr>
                <w:rFonts w:hint="eastAsia" w:ascii="宋体" w:hAnsi="宋体" w:cs="宋体"/>
                <w:color w:val="auto"/>
                <w:szCs w:val="21"/>
              </w:rPr>
              <w:t>何  嘉</w:t>
            </w:r>
          </w:p>
        </w:tc>
        <w:tc>
          <w:tcPr>
            <w:tcW w:w="3731" w:type="dxa"/>
            <w:vAlign w:val="center"/>
          </w:tcPr>
          <w:p w14:paraId="27CA2577">
            <w:pPr>
              <w:adjustRightInd w:val="0"/>
              <w:snapToGrid w:val="0"/>
              <w:spacing w:line="360" w:lineRule="auto"/>
              <w:ind w:firstLine="0" w:firstLineChars="0"/>
              <w:jc w:val="left"/>
              <w:rPr>
                <w:rFonts w:ascii="宋体" w:hAnsi="宋体" w:cs="宋体"/>
                <w:bCs/>
                <w:color w:val="auto"/>
                <w:kern w:val="0"/>
                <w:szCs w:val="21"/>
              </w:rPr>
            </w:pPr>
            <w:r>
              <w:rPr>
                <w:rFonts w:hint="eastAsia" w:ascii="宋体" w:hAnsi="宋体" w:cs="宋体"/>
                <w:color w:val="auto"/>
                <w:szCs w:val="21"/>
              </w:rPr>
              <w:t>010-88822659/13718642233</w:t>
            </w:r>
          </w:p>
        </w:tc>
      </w:tr>
      <w:tr w14:paraId="3678A0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264" w:type="dxa"/>
            <w:vAlign w:val="center"/>
          </w:tcPr>
          <w:p w14:paraId="025E62DB">
            <w:pPr>
              <w:adjustRightInd w:val="0"/>
              <w:snapToGrid w:val="0"/>
              <w:spacing w:line="360" w:lineRule="auto"/>
              <w:ind w:firstLine="0" w:firstLineChars="0"/>
              <w:jc w:val="left"/>
              <w:rPr>
                <w:rFonts w:ascii="宋体" w:hAnsi="宋体" w:cs="宋体"/>
                <w:bCs/>
                <w:color w:val="auto"/>
                <w:kern w:val="0"/>
                <w:szCs w:val="21"/>
              </w:rPr>
            </w:pPr>
            <w:r>
              <w:rPr>
                <w:rFonts w:hint="eastAsia" w:ascii="宋体" w:hAnsi="宋体" w:cs="宋体"/>
                <w:color w:val="auto"/>
                <w:szCs w:val="21"/>
              </w:rPr>
              <w:t>湖南省中小企业信用担保有限责任公司</w:t>
            </w:r>
          </w:p>
        </w:tc>
        <w:tc>
          <w:tcPr>
            <w:tcW w:w="1065" w:type="dxa"/>
            <w:vAlign w:val="center"/>
          </w:tcPr>
          <w:p w14:paraId="634D93B2">
            <w:pPr>
              <w:adjustRightInd w:val="0"/>
              <w:snapToGrid w:val="0"/>
              <w:spacing w:line="360" w:lineRule="auto"/>
              <w:ind w:firstLine="0" w:firstLineChars="0"/>
              <w:jc w:val="center"/>
              <w:rPr>
                <w:rFonts w:ascii="宋体" w:hAnsi="宋体" w:cs="宋体"/>
                <w:bCs/>
                <w:color w:val="auto"/>
                <w:kern w:val="0"/>
                <w:szCs w:val="21"/>
              </w:rPr>
            </w:pPr>
            <w:r>
              <w:rPr>
                <w:rFonts w:hint="eastAsia" w:ascii="宋体" w:hAnsi="宋体" w:cs="宋体"/>
                <w:color w:val="auto"/>
                <w:szCs w:val="21"/>
              </w:rPr>
              <w:t>蔡建雄</w:t>
            </w:r>
          </w:p>
        </w:tc>
        <w:tc>
          <w:tcPr>
            <w:tcW w:w="3731" w:type="dxa"/>
            <w:vAlign w:val="center"/>
          </w:tcPr>
          <w:p w14:paraId="4BD27737">
            <w:pPr>
              <w:adjustRightInd w:val="0"/>
              <w:snapToGrid w:val="0"/>
              <w:spacing w:line="360" w:lineRule="auto"/>
              <w:ind w:firstLine="0" w:firstLineChars="0"/>
              <w:jc w:val="left"/>
              <w:rPr>
                <w:rFonts w:ascii="宋体" w:hAnsi="宋体" w:cs="宋体"/>
                <w:bCs/>
                <w:color w:val="auto"/>
                <w:kern w:val="0"/>
                <w:szCs w:val="21"/>
              </w:rPr>
            </w:pPr>
            <w:r>
              <w:rPr>
                <w:rFonts w:hint="eastAsia" w:ascii="宋体" w:hAnsi="宋体" w:cs="宋体"/>
                <w:color w:val="auto"/>
                <w:szCs w:val="21"/>
              </w:rPr>
              <w:t>0731-84172390-201/15573193555</w:t>
            </w:r>
          </w:p>
        </w:tc>
      </w:tr>
      <w:tr w14:paraId="7536E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trPr>
        <w:tc>
          <w:tcPr>
            <w:tcW w:w="4264" w:type="dxa"/>
            <w:vAlign w:val="center"/>
          </w:tcPr>
          <w:p w14:paraId="6A56BA34">
            <w:pPr>
              <w:adjustRightInd w:val="0"/>
              <w:snapToGrid w:val="0"/>
              <w:spacing w:line="360" w:lineRule="auto"/>
              <w:ind w:firstLine="0" w:firstLineChars="0"/>
              <w:rPr>
                <w:rFonts w:ascii="宋体" w:hAnsi="宋体" w:cs="宋体"/>
                <w:color w:val="auto"/>
                <w:szCs w:val="21"/>
              </w:rPr>
            </w:pPr>
            <w:r>
              <w:rPr>
                <w:rFonts w:hint="eastAsia" w:ascii="宋体" w:hAnsi="宋体" w:cs="宋体"/>
                <w:color w:val="auto"/>
                <w:szCs w:val="21"/>
              </w:rPr>
              <w:t>湖南农业信用担保有限公司</w:t>
            </w:r>
          </w:p>
        </w:tc>
        <w:tc>
          <w:tcPr>
            <w:tcW w:w="1065" w:type="dxa"/>
            <w:vAlign w:val="center"/>
          </w:tcPr>
          <w:p w14:paraId="38B0A804">
            <w:pPr>
              <w:adjustRightInd w:val="0"/>
              <w:snapToGrid w:val="0"/>
              <w:spacing w:line="360" w:lineRule="auto"/>
              <w:ind w:firstLine="0" w:firstLineChars="0"/>
              <w:jc w:val="center"/>
              <w:rPr>
                <w:rFonts w:ascii="宋体" w:hAnsi="宋体" w:cs="宋体"/>
                <w:color w:val="auto"/>
                <w:szCs w:val="21"/>
              </w:rPr>
            </w:pPr>
            <w:r>
              <w:rPr>
                <w:rFonts w:hint="eastAsia" w:ascii="宋体" w:hAnsi="宋体" w:cs="宋体"/>
                <w:color w:val="auto"/>
                <w:szCs w:val="21"/>
              </w:rPr>
              <w:t>彭  球</w:t>
            </w:r>
          </w:p>
          <w:p w14:paraId="6A5061BC">
            <w:pPr>
              <w:adjustRightInd w:val="0"/>
              <w:snapToGrid w:val="0"/>
              <w:spacing w:line="360" w:lineRule="auto"/>
              <w:ind w:firstLine="0" w:firstLineChars="0"/>
              <w:jc w:val="center"/>
              <w:rPr>
                <w:rFonts w:ascii="宋体" w:hAnsi="宋体" w:cs="宋体"/>
                <w:bCs/>
                <w:color w:val="auto"/>
                <w:kern w:val="0"/>
                <w:szCs w:val="21"/>
              </w:rPr>
            </w:pPr>
            <w:r>
              <w:rPr>
                <w:rFonts w:hint="eastAsia" w:ascii="宋体" w:hAnsi="宋体" w:cs="宋体"/>
                <w:color w:val="auto"/>
                <w:szCs w:val="21"/>
              </w:rPr>
              <w:t>邓霞英</w:t>
            </w:r>
          </w:p>
        </w:tc>
        <w:tc>
          <w:tcPr>
            <w:tcW w:w="3731" w:type="dxa"/>
            <w:vAlign w:val="center"/>
          </w:tcPr>
          <w:p w14:paraId="0D8F2254">
            <w:pPr>
              <w:adjustRightInd w:val="0"/>
              <w:snapToGrid w:val="0"/>
              <w:spacing w:line="360" w:lineRule="auto"/>
              <w:ind w:firstLine="0" w:firstLineChars="0"/>
              <w:jc w:val="left"/>
              <w:rPr>
                <w:rFonts w:ascii="宋体" w:hAnsi="宋体" w:cs="宋体"/>
                <w:bCs/>
                <w:color w:val="auto"/>
                <w:kern w:val="0"/>
                <w:szCs w:val="21"/>
              </w:rPr>
            </w:pPr>
            <w:r>
              <w:rPr>
                <w:rFonts w:hint="eastAsia" w:ascii="宋体" w:hAnsi="宋体" w:cs="宋体"/>
                <w:color w:val="auto"/>
                <w:szCs w:val="21"/>
              </w:rPr>
              <w:t>0731-89761702/13875980906 0731-89761706/13574125851</w:t>
            </w:r>
          </w:p>
        </w:tc>
      </w:tr>
    </w:tbl>
    <w:p w14:paraId="22AF138F">
      <w:pPr>
        <w:ind w:left="0" w:leftChars="0" w:firstLine="0" w:firstLineChars="0"/>
        <w:rPr>
          <w:color w:val="auto"/>
        </w:rPr>
        <w:sectPr>
          <w:footerReference r:id="rId14" w:type="first"/>
          <w:footerReference r:id="rId13" w:type="default"/>
          <w:pgSz w:w="11906" w:h="16838"/>
          <w:pgMar w:top="1440" w:right="1531" w:bottom="1440" w:left="1531" w:header="794" w:footer="680" w:gutter="0"/>
          <w:pgNumType w:fmt="decimal" w:start="1"/>
          <w:cols w:space="720" w:num="1"/>
          <w:docGrid w:type="lines" w:linePitch="312" w:charSpace="0"/>
        </w:sectPr>
      </w:pPr>
    </w:p>
    <w:p w14:paraId="29E4FB99">
      <w:pPr>
        <w:adjustRightInd w:val="0"/>
        <w:snapToGrid w:val="0"/>
        <w:spacing w:line="360" w:lineRule="auto"/>
        <w:ind w:firstLine="0" w:firstLineChars="0"/>
        <w:rPr>
          <w:rFonts w:ascii="宋体" w:hAnsi="宋体" w:cs="宋体"/>
          <w:b/>
          <w:bCs/>
          <w:color w:val="auto"/>
          <w:szCs w:val="21"/>
        </w:rPr>
      </w:pPr>
      <w:r>
        <w:rPr>
          <w:rFonts w:hint="eastAsia" w:ascii="宋体" w:hAnsi="宋体" w:cs="宋体"/>
          <w:b/>
          <w:bCs/>
          <w:color w:val="auto"/>
          <w:szCs w:val="21"/>
        </w:rPr>
        <w:t>附页3</w:t>
      </w:r>
    </w:p>
    <w:p w14:paraId="43D16901">
      <w:pPr>
        <w:jc w:val="center"/>
        <w:rPr>
          <w:rFonts w:hint="eastAsia" w:ascii="宋体" w:hAnsi="宋体" w:cs="宋体"/>
          <w:b/>
          <w:color w:val="auto"/>
          <w:kern w:val="0"/>
          <w:sz w:val="28"/>
          <w:szCs w:val="28"/>
        </w:rPr>
      </w:pPr>
      <w:r>
        <w:rPr>
          <w:rFonts w:hint="eastAsia" w:ascii="宋体" w:hAnsi="宋体" w:cs="宋体"/>
          <w:b/>
          <w:color w:val="auto"/>
          <w:kern w:val="0"/>
          <w:sz w:val="28"/>
          <w:szCs w:val="28"/>
        </w:rPr>
        <w:t>采购履约担保函</w:t>
      </w:r>
    </w:p>
    <w:p w14:paraId="73B475D0">
      <w:pPr>
        <w:jc w:val="right"/>
        <w:rPr>
          <w:b/>
          <w:color w:val="auto"/>
          <w:kern w:val="0"/>
        </w:rPr>
      </w:pPr>
      <w:r>
        <w:rPr>
          <w:rFonts w:hint="eastAsia"/>
          <w:color w:val="auto"/>
          <w:kern w:val="0"/>
        </w:rPr>
        <w:t>编号：</w:t>
      </w:r>
    </w:p>
    <w:p w14:paraId="6FB22FDE">
      <w:pPr>
        <w:rPr>
          <w:color w:val="auto"/>
          <w:kern w:val="0"/>
        </w:rPr>
      </w:pPr>
      <w:r>
        <w:rPr>
          <w:rFonts w:hint="eastAsia"/>
          <w:color w:val="auto"/>
          <w:kern w:val="0"/>
        </w:rPr>
        <w:t xml:space="preserve">（采购人）： </w:t>
      </w:r>
    </w:p>
    <w:p w14:paraId="2EDF0B8A">
      <w:pPr>
        <w:rPr>
          <w:color w:val="auto"/>
          <w:kern w:val="0"/>
        </w:rPr>
      </w:pPr>
      <w:r>
        <w:rPr>
          <w:rFonts w:hint="eastAsia"/>
          <w:color w:val="auto"/>
          <w:kern w:val="0"/>
        </w:rPr>
        <w:t>鉴于你方与（以下简称供应商）于年月日签订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7C5BB67A">
      <w:pPr>
        <w:rPr>
          <w:color w:val="auto"/>
          <w:kern w:val="0"/>
        </w:rPr>
      </w:pPr>
      <w:r>
        <w:rPr>
          <w:rFonts w:hint="eastAsia"/>
          <w:color w:val="auto"/>
          <w:kern w:val="0"/>
        </w:rPr>
        <w:t>一、保证责任的情形及保证金额</w:t>
      </w:r>
    </w:p>
    <w:p w14:paraId="25412A7C">
      <w:pPr>
        <w:rPr>
          <w:color w:val="auto"/>
          <w:kern w:val="0"/>
        </w:rPr>
      </w:pPr>
      <w:r>
        <w:rPr>
          <w:rFonts w:hint="eastAsia"/>
          <w:color w:val="auto"/>
          <w:kern w:val="0"/>
        </w:rPr>
        <w:t>（一）在供应商出现下列情形之一时，我方承担保证责任：</w:t>
      </w:r>
    </w:p>
    <w:p w14:paraId="01571DAB">
      <w:pPr>
        <w:rPr>
          <w:color w:val="auto"/>
          <w:kern w:val="0"/>
        </w:rPr>
      </w:pPr>
      <w:r>
        <w:rPr>
          <w:rFonts w:hint="eastAsia"/>
          <w:color w:val="auto"/>
          <w:kern w:val="0"/>
        </w:rPr>
        <w:t>1．将中标项目转让给他人，或者在投标文件中未说明，且未经采购人同意，将中标项目分包给他人的；</w:t>
      </w:r>
    </w:p>
    <w:p w14:paraId="625E3310">
      <w:pPr>
        <w:rPr>
          <w:color w:val="auto"/>
          <w:kern w:val="0"/>
        </w:rPr>
      </w:pPr>
      <w:r>
        <w:rPr>
          <w:rFonts w:hint="eastAsia"/>
          <w:color w:val="auto"/>
          <w:kern w:val="0"/>
        </w:rPr>
        <w:t xml:space="preserve">2．主合同约定的应当缴纳履约保证金的情形: </w:t>
      </w:r>
    </w:p>
    <w:p w14:paraId="5FC99640">
      <w:pPr>
        <w:rPr>
          <w:b/>
          <w:color w:val="auto"/>
          <w:kern w:val="0"/>
        </w:rPr>
      </w:pPr>
      <w:r>
        <w:rPr>
          <w:rFonts w:hint="eastAsia"/>
          <w:color w:val="auto"/>
          <w:kern w:val="0"/>
        </w:rPr>
        <w:t xml:space="preserve">（1）未按主合同约定的质量、数量和期限供应货物/提供服务/完成工程的； </w:t>
      </w:r>
    </w:p>
    <w:p w14:paraId="6CD1B359">
      <w:pPr>
        <w:rPr>
          <w:color w:val="auto"/>
          <w:kern w:val="0"/>
          <w:u w:val="single"/>
        </w:rPr>
      </w:pPr>
      <w:r>
        <w:rPr>
          <w:rFonts w:hint="eastAsia"/>
          <w:color w:val="auto"/>
          <w:kern w:val="0"/>
        </w:rPr>
        <w:t>（2）。</w:t>
      </w:r>
    </w:p>
    <w:p w14:paraId="7EC94E9B">
      <w:pPr>
        <w:rPr>
          <w:color w:val="auto"/>
          <w:kern w:val="0"/>
        </w:rPr>
      </w:pPr>
      <w:r>
        <w:rPr>
          <w:rFonts w:hint="eastAsia"/>
          <w:color w:val="auto"/>
          <w:kern w:val="0"/>
        </w:rPr>
        <w:t>（二）我方的保证范围是主合同约定的合同价款总额的%数额为元（大写），币种为。（即主合同履约保证金金额）</w:t>
      </w:r>
    </w:p>
    <w:p w14:paraId="79A4032A">
      <w:pPr>
        <w:rPr>
          <w:color w:val="auto"/>
          <w:kern w:val="0"/>
        </w:rPr>
      </w:pPr>
      <w:r>
        <w:rPr>
          <w:rFonts w:hint="eastAsia"/>
          <w:color w:val="auto"/>
          <w:kern w:val="0"/>
        </w:rPr>
        <w:t xml:space="preserve">二、保证的方式及保证期间 </w:t>
      </w:r>
    </w:p>
    <w:p w14:paraId="57E890AD">
      <w:pPr>
        <w:rPr>
          <w:color w:val="auto"/>
          <w:kern w:val="0"/>
        </w:rPr>
      </w:pPr>
      <w:r>
        <w:rPr>
          <w:rFonts w:hint="eastAsia"/>
          <w:color w:val="auto"/>
          <w:kern w:val="0"/>
        </w:rPr>
        <w:t xml:space="preserve">我方保证的方式为：连带责任保证。 </w:t>
      </w:r>
    </w:p>
    <w:p w14:paraId="3A1D1F38">
      <w:pPr>
        <w:rPr>
          <w:color w:val="auto"/>
          <w:kern w:val="0"/>
        </w:rPr>
      </w:pPr>
      <w:r>
        <w:rPr>
          <w:rFonts w:hint="eastAsia"/>
          <w:color w:val="auto"/>
          <w:kern w:val="0"/>
        </w:rPr>
        <w:t>我方保证的期间为：自本合同生效之日起至供应商按照主合同约定的供货/完工期限届满后日内。</w:t>
      </w:r>
    </w:p>
    <w:p w14:paraId="54FD0016">
      <w:pPr>
        <w:rPr>
          <w:color w:val="auto"/>
          <w:kern w:val="0"/>
        </w:rPr>
      </w:pPr>
      <w:r>
        <w:rPr>
          <w:rFonts w:hint="eastAsia"/>
          <w:color w:val="auto"/>
          <w:kern w:val="0"/>
        </w:rPr>
        <w:t xml:space="preserve">如果供应商未按主合同约定向贵方供应货物/提供服务/完成工程的，由我方在保证金额内向你方支付上述款项。 </w:t>
      </w:r>
    </w:p>
    <w:p w14:paraId="5441383F">
      <w:pPr>
        <w:rPr>
          <w:color w:val="auto"/>
          <w:kern w:val="0"/>
        </w:rPr>
      </w:pPr>
      <w:r>
        <w:rPr>
          <w:rFonts w:hint="eastAsia"/>
          <w:color w:val="auto"/>
          <w:kern w:val="0"/>
        </w:rPr>
        <w:t>三、承担保证责任的程序</w:t>
      </w:r>
    </w:p>
    <w:p w14:paraId="7E84D535">
      <w:pPr>
        <w:rPr>
          <w:b/>
          <w:color w:val="auto"/>
          <w:kern w:val="0"/>
        </w:rPr>
      </w:pPr>
      <w:r>
        <w:rPr>
          <w:rFonts w:hint="eastAsia"/>
          <w:color w:val="auto"/>
          <w:kern w:val="0"/>
        </w:rPr>
        <w:t xml:space="preserve">1．你方要求我方承担保证责任的，应在本保函保证期间内向我方发出书面索赔通知。索赔通知应写明要求索赔的金额，支付款项应到达的账号。并附有证明供应商违约事实的证明材料。 </w:t>
      </w:r>
    </w:p>
    <w:p w14:paraId="2D90822D">
      <w:pPr>
        <w:rPr>
          <w:color w:val="auto"/>
          <w:kern w:val="0"/>
        </w:rPr>
      </w:pPr>
      <w:r>
        <w:rPr>
          <w:rFonts w:hint="eastAsia"/>
          <w:color w:val="auto"/>
          <w:kern w:val="0"/>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28FC1887">
      <w:pPr>
        <w:rPr>
          <w:color w:val="auto"/>
          <w:kern w:val="0"/>
        </w:rPr>
      </w:pPr>
      <w:r>
        <w:rPr>
          <w:rFonts w:hint="eastAsia"/>
          <w:color w:val="auto"/>
          <w:kern w:val="0"/>
        </w:rPr>
        <w:t>2．我方收到你方的书面索赔通知及相应证明材料，在工作日内进行核定后按照本保函的承诺承担保证责任。</w:t>
      </w:r>
    </w:p>
    <w:p w14:paraId="1C0A0820">
      <w:pPr>
        <w:rPr>
          <w:color w:val="auto"/>
          <w:kern w:val="0"/>
        </w:rPr>
      </w:pPr>
      <w:r>
        <w:rPr>
          <w:rFonts w:hint="eastAsia"/>
          <w:color w:val="auto"/>
          <w:kern w:val="0"/>
        </w:rPr>
        <w:t>四、保证责任的终止</w:t>
      </w:r>
    </w:p>
    <w:p w14:paraId="536914A2">
      <w:pPr>
        <w:rPr>
          <w:color w:val="auto"/>
          <w:kern w:val="0"/>
        </w:rPr>
      </w:pPr>
      <w:r>
        <w:rPr>
          <w:rFonts w:hint="eastAsia"/>
          <w:color w:val="auto"/>
          <w:kern w:val="0"/>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5503018">
      <w:pPr>
        <w:rPr>
          <w:color w:val="auto"/>
          <w:kern w:val="0"/>
        </w:rPr>
      </w:pPr>
      <w:r>
        <w:rPr>
          <w:rFonts w:hint="eastAsia"/>
          <w:color w:val="auto"/>
          <w:kern w:val="0"/>
        </w:rPr>
        <w:t>2．我方按照本保函向你方履行了保证责任后，自我方向你方支付款项（支付款项从我方账户划出）之日起，保证责任即终止。</w:t>
      </w:r>
    </w:p>
    <w:p w14:paraId="3B98C348">
      <w:pPr>
        <w:rPr>
          <w:color w:val="auto"/>
          <w:kern w:val="0"/>
        </w:rPr>
      </w:pPr>
      <w:r>
        <w:rPr>
          <w:rFonts w:hint="eastAsia"/>
          <w:color w:val="auto"/>
          <w:kern w:val="0"/>
        </w:rPr>
        <w:t>3．按照法律法规的规定或出现应终止我方保证责任的其它情形的，我方在本保函项下的保证责任亦终止。</w:t>
      </w:r>
    </w:p>
    <w:p w14:paraId="2D1A46FC">
      <w:pPr>
        <w:rPr>
          <w:color w:val="auto"/>
          <w:kern w:val="0"/>
        </w:rPr>
      </w:pPr>
      <w:r>
        <w:rPr>
          <w:rFonts w:hint="eastAsia"/>
          <w:color w:val="auto"/>
          <w:kern w:val="0"/>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DAF433C">
      <w:pPr>
        <w:rPr>
          <w:color w:val="auto"/>
          <w:kern w:val="0"/>
        </w:rPr>
      </w:pPr>
      <w:r>
        <w:rPr>
          <w:rFonts w:hint="eastAsia"/>
          <w:color w:val="auto"/>
          <w:kern w:val="0"/>
        </w:rPr>
        <w:t>五、免责条款</w:t>
      </w:r>
    </w:p>
    <w:p w14:paraId="18F51F97">
      <w:pPr>
        <w:rPr>
          <w:color w:val="auto"/>
          <w:kern w:val="0"/>
        </w:rPr>
      </w:pPr>
      <w:r>
        <w:rPr>
          <w:rFonts w:hint="eastAsia"/>
          <w:color w:val="auto"/>
          <w:kern w:val="0"/>
        </w:rPr>
        <w:t>1．因你方违反主合同约定致使供应商不能履行义务的，我方不承担保证责任。</w:t>
      </w:r>
    </w:p>
    <w:p w14:paraId="407838F2">
      <w:pPr>
        <w:rPr>
          <w:b/>
          <w:color w:val="auto"/>
          <w:kern w:val="0"/>
        </w:rPr>
      </w:pPr>
      <w:r>
        <w:rPr>
          <w:rFonts w:hint="eastAsia"/>
          <w:color w:val="auto"/>
          <w:kern w:val="0"/>
        </w:rPr>
        <w:t>2．依照法律法规的规定或你方与供应商的另行约定，全部或者部分免除供应商应缴纳的保证金义务的，我方亦免除相应的保证责任。</w:t>
      </w:r>
    </w:p>
    <w:p w14:paraId="6E930928">
      <w:pPr>
        <w:rPr>
          <w:color w:val="auto"/>
          <w:kern w:val="0"/>
        </w:rPr>
      </w:pPr>
      <w:r>
        <w:rPr>
          <w:rFonts w:hint="eastAsia"/>
          <w:color w:val="auto"/>
          <w:kern w:val="0"/>
        </w:rPr>
        <w:t>3．因不可抗力造成供应商不能履行供货义务的，我方不承担保证责任。</w:t>
      </w:r>
    </w:p>
    <w:p w14:paraId="4AE526C7">
      <w:pPr>
        <w:rPr>
          <w:color w:val="auto"/>
          <w:kern w:val="0"/>
        </w:rPr>
      </w:pPr>
      <w:r>
        <w:rPr>
          <w:rFonts w:hint="eastAsia"/>
          <w:color w:val="auto"/>
          <w:kern w:val="0"/>
        </w:rPr>
        <w:t>六、争议的解决</w:t>
      </w:r>
    </w:p>
    <w:p w14:paraId="6AD26706">
      <w:pPr>
        <w:rPr>
          <w:color w:val="auto"/>
          <w:kern w:val="0"/>
        </w:rPr>
      </w:pPr>
      <w:r>
        <w:rPr>
          <w:rFonts w:hint="eastAsia"/>
          <w:color w:val="auto"/>
          <w:kern w:val="0"/>
        </w:rPr>
        <w:t>因本保函发生的纠纷，由你我双方协商解决，协商不成的，通过诉讼程序解决，诉讼管辖地法院为法院。</w:t>
      </w:r>
    </w:p>
    <w:p w14:paraId="32F65430">
      <w:pPr>
        <w:rPr>
          <w:color w:val="auto"/>
          <w:kern w:val="0"/>
        </w:rPr>
      </w:pPr>
      <w:r>
        <w:rPr>
          <w:rFonts w:hint="eastAsia"/>
          <w:color w:val="auto"/>
          <w:kern w:val="0"/>
        </w:rPr>
        <w:t xml:space="preserve">七、保函的生效 </w:t>
      </w:r>
    </w:p>
    <w:p w14:paraId="172761DF">
      <w:pPr>
        <w:rPr>
          <w:color w:val="auto"/>
          <w:kern w:val="0"/>
        </w:rPr>
      </w:pPr>
      <w:r>
        <w:rPr>
          <w:rFonts w:hint="eastAsia"/>
          <w:color w:val="auto"/>
          <w:kern w:val="0"/>
        </w:rPr>
        <w:t xml:space="preserve">本保函自我方加盖公章之日起生效。 </w:t>
      </w:r>
    </w:p>
    <w:p w14:paraId="32983C62">
      <w:pPr>
        <w:rPr>
          <w:color w:val="auto"/>
          <w:kern w:val="0"/>
        </w:rPr>
      </w:pPr>
      <w:r>
        <w:rPr>
          <w:rFonts w:hint="eastAsia"/>
          <w:color w:val="auto"/>
          <w:kern w:val="0"/>
        </w:rPr>
        <w:tab/>
      </w:r>
      <w:r>
        <w:rPr>
          <w:rFonts w:hint="eastAsia"/>
          <w:color w:val="auto"/>
          <w:kern w:val="0"/>
        </w:rPr>
        <w:t xml:space="preserve">          保证人：（公章） </w:t>
      </w:r>
    </w:p>
    <w:p w14:paraId="0CD9EC19">
      <w:pPr>
        <w:rPr>
          <w:color w:val="auto"/>
          <w:kern w:val="0"/>
        </w:rPr>
        <w:sectPr>
          <w:pgSz w:w="11906" w:h="16838"/>
          <w:pgMar w:top="1440" w:right="1531" w:bottom="1440" w:left="1531" w:header="851" w:footer="992" w:gutter="0"/>
          <w:pgNumType w:fmt="decimal"/>
          <w:cols w:space="720" w:num="1"/>
          <w:docGrid w:type="lines" w:linePitch="312" w:charSpace="0"/>
        </w:sectPr>
      </w:pPr>
      <w:r>
        <w:rPr>
          <w:rFonts w:hint="eastAsia"/>
          <w:color w:val="auto"/>
          <w:kern w:val="0"/>
        </w:rPr>
        <w:t xml:space="preserve"> 年</w:t>
      </w:r>
      <w:r>
        <w:rPr>
          <w:rFonts w:hint="eastAsia"/>
          <w:color w:val="auto"/>
          <w:kern w:val="0"/>
          <w:lang w:val="en-US" w:eastAsia="zh-CN"/>
        </w:rPr>
        <w:t xml:space="preserve">  </w:t>
      </w:r>
      <w:r>
        <w:rPr>
          <w:rFonts w:hint="eastAsia"/>
          <w:color w:val="auto"/>
          <w:kern w:val="0"/>
        </w:rPr>
        <w:t>月</w:t>
      </w:r>
      <w:r>
        <w:rPr>
          <w:rFonts w:hint="eastAsia"/>
          <w:color w:val="auto"/>
          <w:kern w:val="0"/>
          <w:lang w:val="en-US" w:eastAsia="zh-CN"/>
        </w:rPr>
        <w:t xml:space="preserve"> </w:t>
      </w:r>
      <w:r>
        <w:rPr>
          <w:rFonts w:hint="eastAsia"/>
          <w:color w:val="auto"/>
          <w:kern w:val="0"/>
        </w:rPr>
        <w:t xml:space="preserve"> 日</w:t>
      </w:r>
    </w:p>
    <w:p w14:paraId="12409081">
      <w:pPr>
        <w:rPr>
          <w:b/>
          <w:bCs/>
          <w:color w:val="auto"/>
        </w:rPr>
      </w:pPr>
      <w:r>
        <w:rPr>
          <w:rFonts w:hint="eastAsia"/>
          <w:b/>
          <w:bCs/>
          <w:color w:val="auto"/>
        </w:rPr>
        <w:t>附页4</w:t>
      </w:r>
    </w:p>
    <w:p w14:paraId="0AD4D74F">
      <w:pPr>
        <w:jc w:val="center"/>
        <w:rPr>
          <w:rFonts w:hint="eastAsia"/>
          <w:b/>
          <w:bCs/>
          <w:color w:val="auto"/>
          <w:sz w:val="24"/>
          <w:szCs w:val="24"/>
          <w:highlight w:val="none"/>
        </w:rPr>
      </w:pPr>
      <w:r>
        <w:rPr>
          <w:rFonts w:hint="eastAsia"/>
          <w:b/>
          <w:bCs/>
          <w:color w:val="auto"/>
          <w:sz w:val="24"/>
          <w:szCs w:val="24"/>
          <w:highlight w:val="none"/>
        </w:rPr>
        <w:t>评审因素和标准</w:t>
      </w:r>
    </w:p>
    <w:tbl>
      <w:tblPr>
        <w:tblStyle w:val="43"/>
        <w:tblW w:w="9704" w:type="dxa"/>
        <w:tblInd w:w="-233"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3"/>
        <w:gridCol w:w="1159"/>
        <w:gridCol w:w="1258"/>
        <w:gridCol w:w="6604"/>
      </w:tblGrid>
      <w:tr w14:paraId="6B83212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c>
          <w:tcPr>
            <w:tcW w:w="683" w:type="dxa"/>
            <w:noWrap w:val="0"/>
            <w:vAlign w:val="center"/>
          </w:tcPr>
          <w:p w14:paraId="7D8BFD87">
            <w:pPr>
              <w:snapToGrid w:val="0"/>
              <w:spacing w:line="360" w:lineRule="auto"/>
              <w:ind w:left="628" w:leftChars="1" w:hanging="626" w:hangingChars="297"/>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序号</w:t>
            </w:r>
          </w:p>
        </w:tc>
        <w:tc>
          <w:tcPr>
            <w:tcW w:w="1159" w:type="dxa"/>
            <w:noWrap w:val="0"/>
            <w:vAlign w:val="center"/>
          </w:tcPr>
          <w:p w14:paraId="28ABE141">
            <w:pPr>
              <w:snapToGrid w:val="0"/>
              <w:spacing w:line="36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评审因素</w:t>
            </w:r>
          </w:p>
        </w:tc>
        <w:tc>
          <w:tcPr>
            <w:tcW w:w="7862" w:type="dxa"/>
            <w:gridSpan w:val="2"/>
            <w:noWrap w:val="0"/>
            <w:vAlign w:val="center"/>
          </w:tcPr>
          <w:p w14:paraId="71A34A4E">
            <w:pPr>
              <w:snapToGrid w:val="0"/>
              <w:spacing w:line="360" w:lineRule="auto"/>
              <w:ind w:firstLine="0" w:firstLineChars="0"/>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评分标准</w:t>
            </w:r>
          </w:p>
        </w:tc>
      </w:tr>
      <w:tr w14:paraId="0CC8D47D">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684" w:hRule="atLeast"/>
        </w:trPr>
        <w:tc>
          <w:tcPr>
            <w:tcW w:w="683" w:type="dxa"/>
            <w:noWrap w:val="0"/>
            <w:vAlign w:val="center"/>
          </w:tcPr>
          <w:p w14:paraId="230D4D77">
            <w:pPr>
              <w:snapToGrid w:val="0"/>
              <w:spacing w:line="36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159" w:type="dxa"/>
            <w:noWrap w:val="0"/>
            <w:vAlign w:val="center"/>
          </w:tcPr>
          <w:p w14:paraId="1EE009A5">
            <w:pPr>
              <w:spacing w:line="340" w:lineRule="exact"/>
              <w:ind w:firstLine="0" w:firstLineChars="0"/>
              <w:jc w:val="center"/>
              <w:rPr>
                <w:rFonts w:hint="eastAsia" w:ascii="宋体" w:hAnsi="宋体" w:cs="Times New Roman"/>
                <w:color w:val="auto"/>
                <w:szCs w:val="21"/>
                <w:highlight w:val="none"/>
              </w:rPr>
            </w:pPr>
            <w:r>
              <w:rPr>
                <w:rFonts w:hint="eastAsia" w:ascii="宋体" w:hAnsi="宋体" w:cs="Times New Roman"/>
                <w:color w:val="auto"/>
                <w:szCs w:val="21"/>
                <w:highlight w:val="none"/>
              </w:rPr>
              <w:t>报价</w:t>
            </w:r>
          </w:p>
          <w:p w14:paraId="75EB2241">
            <w:pPr>
              <w:pStyle w:val="280"/>
              <w:spacing w:line="240" w:lineRule="auto"/>
              <w:ind w:left="0" w:leftChars="0" w:firstLine="0" w:firstLineChars="0"/>
              <w:jc w:val="center"/>
              <w:rPr>
                <w:rFonts w:hint="eastAsia" w:ascii="宋体" w:hAnsi="宋体" w:eastAsia="宋体" w:cs="Times New Roman"/>
                <w:color w:val="000000"/>
                <w:kern w:val="0"/>
                <w:sz w:val="20"/>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（40分）</w:t>
            </w:r>
          </w:p>
        </w:tc>
        <w:tc>
          <w:tcPr>
            <w:tcW w:w="1258" w:type="dxa"/>
            <w:noWrap w:val="0"/>
            <w:vAlign w:val="center"/>
          </w:tcPr>
          <w:p w14:paraId="4FB2984C">
            <w:pPr>
              <w:spacing w:line="340" w:lineRule="exact"/>
              <w:ind w:firstLine="0" w:firstLineChars="0"/>
              <w:jc w:val="center"/>
              <w:rPr>
                <w:rFonts w:hint="eastAsia" w:ascii="宋体" w:hAnsi="宋体" w:cs="Times New Roman"/>
                <w:color w:val="auto"/>
                <w:szCs w:val="21"/>
                <w:highlight w:val="none"/>
              </w:rPr>
            </w:pPr>
            <w:r>
              <w:rPr>
                <w:rFonts w:hint="eastAsia" w:ascii="宋体" w:hAnsi="宋体" w:cs="Times New Roman"/>
                <w:color w:val="auto"/>
                <w:szCs w:val="21"/>
                <w:highlight w:val="none"/>
              </w:rPr>
              <w:t>价格</w:t>
            </w:r>
          </w:p>
          <w:p w14:paraId="23D6B586">
            <w:pPr>
              <w:spacing w:line="340" w:lineRule="exact"/>
              <w:ind w:firstLine="0" w:firstLineChars="0"/>
              <w:jc w:val="center"/>
              <w:rPr>
                <w:rFonts w:hint="eastAsia" w:ascii="宋体" w:hAnsi="宋体" w:eastAsia="宋体" w:cs="Times New Roman"/>
                <w:color w:val="000000"/>
                <w:szCs w:val="21"/>
                <w:highlight w:val="none"/>
              </w:rPr>
            </w:pPr>
            <w:r>
              <w:rPr>
                <w:rFonts w:hint="eastAsia" w:ascii="宋体" w:hAnsi="宋体" w:cs="Times New Roman"/>
                <w:color w:val="auto"/>
                <w:szCs w:val="21"/>
                <w:highlight w:val="none"/>
              </w:rPr>
              <w:t>（</w:t>
            </w:r>
            <w:r>
              <w:rPr>
                <w:rFonts w:hint="eastAsia" w:cs="Times New Roman"/>
                <w:color w:val="auto"/>
                <w:szCs w:val="21"/>
                <w:highlight w:val="none"/>
                <w:lang w:val="en-US" w:eastAsia="zh-CN"/>
              </w:rPr>
              <w:t>4</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分）</w:t>
            </w:r>
          </w:p>
        </w:tc>
        <w:tc>
          <w:tcPr>
            <w:tcW w:w="6604" w:type="dxa"/>
            <w:noWrap w:val="0"/>
            <w:vAlign w:val="center"/>
          </w:tcPr>
          <w:p w14:paraId="2A4A67B2">
            <w:pPr>
              <w:pStyle w:val="281"/>
              <w:spacing w:after="0" w:line="240" w:lineRule="auto"/>
              <w:ind w:firstLine="420" w:firstLineChars="200"/>
              <w:jc w:val="left"/>
              <w:rPr>
                <w:rFonts w:hint="eastAsia" w:ascii="宋体" w:hAnsi="宋体" w:cs="Times New Roman"/>
                <w:b w:val="0"/>
                <w:bCs w:val="0"/>
                <w:color w:val="auto"/>
                <w:szCs w:val="21"/>
                <w:highlight w:val="none"/>
                <w:lang w:val="en-US" w:eastAsia="zh-CN"/>
              </w:rPr>
            </w:pPr>
            <w:r>
              <w:rPr>
                <w:rFonts w:hint="eastAsia" w:ascii="宋体" w:hAnsi="宋体" w:cs="Times New Roman"/>
                <w:b w:val="0"/>
                <w:bCs w:val="0"/>
                <w:color w:val="auto"/>
                <w:szCs w:val="21"/>
                <w:highlight w:val="none"/>
                <w:lang w:val="en-US" w:eastAsia="zh-CN"/>
              </w:rPr>
              <w:t>满足磋商文件要求且最后报价最低的供应商的价格为磋商基准价，其价格分为满分。其他供应商的价格分统一按照下列公式计算：</w:t>
            </w:r>
          </w:p>
          <w:p w14:paraId="1F323254">
            <w:pPr>
              <w:pStyle w:val="281"/>
              <w:spacing w:after="0" w:line="240" w:lineRule="auto"/>
              <w:ind w:firstLine="0" w:firstLineChars="0"/>
              <w:jc w:val="left"/>
              <w:rPr>
                <w:rFonts w:hint="eastAsia" w:ascii="宋体" w:hAnsi="宋体" w:cs="Times New Roman"/>
                <w:b w:val="0"/>
                <w:bCs w:val="0"/>
                <w:color w:val="auto"/>
                <w:szCs w:val="21"/>
                <w:highlight w:val="none"/>
                <w:lang w:val="en-US" w:eastAsia="zh-CN"/>
              </w:rPr>
            </w:pPr>
            <w:r>
              <w:rPr>
                <w:rFonts w:hint="eastAsia" w:ascii="宋体" w:hAnsi="宋体" w:cs="Times New Roman"/>
                <w:b w:val="0"/>
                <w:bCs w:val="0"/>
                <w:color w:val="auto"/>
                <w:szCs w:val="21"/>
                <w:highlight w:val="none"/>
                <w:lang w:val="en-US" w:eastAsia="zh-CN"/>
              </w:rPr>
              <w:t>磋商报价得分=（磋商基准价/最后磋商报价）×40</w:t>
            </w:r>
          </w:p>
          <w:p w14:paraId="5AE02B58">
            <w:pPr>
              <w:pStyle w:val="281"/>
              <w:spacing w:after="0" w:line="240" w:lineRule="auto"/>
              <w:ind w:firstLine="0" w:firstLineChars="0"/>
              <w:jc w:val="left"/>
              <w:rPr>
                <w:rFonts w:hint="eastAsia" w:ascii="宋体" w:hAnsi="宋体" w:cs="Times New Roman"/>
                <w:b w:val="0"/>
                <w:bCs w:val="0"/>
                <w:color w:val="auto"/>
                <w:szCs w:val="21"/>
                <w:highlight w:val="none"/>
                <w:lang w:val="en-US" w:eastAsia="zh-CN"/>
              </w:rPr>
            </w:pPr>
            <w:r>
              <w:rPr>
                <w:rFonts w:hint="eastAsia" w:ascii="宋体" w:hAnsi="宋体" w:cs="Times New Roman"/>
                <w:b w:val="0"/>
                <w:bCs w:val="0"/>
                <w:color w:val="auto"/>
                <w:szCs w:val="21"/>
                <w:highlight w:val="none"/>
                <w:lang w:val="en-US" w:eastAsia="zh-CN"/>
              </w:rPr>
              <w:t>注：1、价格评审过程中，不得去掉最后报价中的最高报价和最低报价。</w:t>
            </w:r>
          </w:p>
          <w:p w14:paraId="0A2EE19A">
            <w:pPr>
              <w:pStyle w:val="281"/>
              <w:spacing w:after="0" w:line="240" w:lineRule="auto"/>
              <w:ind w:firstLine="420" w:firstLineChars="200"/>
              <w:jc w:val="left"/>
              <w:rPr>
                <w:rFonts w:hint="eastAsia" w:ascii="宋体" w:hAnsi="宋体" w:eastAsia="宋体" w:cs="Times New Roman"/>
                <w:b w:val="0"/>
                <w:bCs w:val="0"/>
                <w:color w:val="000000"/>
                <w:kern w:val="2"/>
                <w:sz w:val="21"/>
                <w:szCs w:val="21"/>
                <w:highlight w:val="none"/>
                <w:lang w:val="en-US" w:eastAsia="zh-CN" w:bidi="ar-SA"/>
              </w:rPr>
            </w:pPr>
            <w:r>
              <w:rPr>
                <w:rFonts w:hint="eastAsia" w:ascii="宋体" w:hAnsi="宋体" w:cs="Times New Roman"/>
                <w:b w:val="0"/>
                <w:bCs w:val="0"/>
                <w:color w:val="auto"/>
                <w:szCs w:val="21"/>
                <w:highlight w:val="none"/>
                <w:lang w:val="en-US" w:eastAsia="zh-CN"/>
              </w:rPr>
              <w:t>2、经评委现场确定供应商的报价明显低于其他通过符合性审查供应商的报价，有可能影响产品质量或者不能诚信履约的，应当要求其在评标现场合理的时间内提供书面说明，提交相关证明材料（</w:t>
            </w:r>
            <w:r>
              <w:rPr>
                <w:rFonts w:hint="eastAsia"/>
                <w:color w:val="auto"/>
                <w:highlight w:val="none"/>
                <w:shd w:val="clear" w:color="000000" w:fill="FFFFFF"/>
                <w:lang w:eastAsia="zh-CN"/>
              </w:rPr>
              <w:t>供应商应为保安、保洁人员支付不低于长沙市最低工资标准的工资</w:t>
            </w:r>
            <w:r>
              <w:rPr>
                <w:rFonts w:hint="eastAsia"/>
                <w:color w:val="auto"/>
                <w:highlight w:val="none"/>
                <w:shd w:val="clear" w:color="000000" w:fill="FFFFFF"/>
                <w:lang w:val="en-US" w:eastAsia="zh-CN"/>
              </w:rPr>
              <w:t>支付记录、社保等证明</w:t>
            </w:r>
            <w:r>
              <w:rPr>
                <w:rFonts w:hint="eastAsia"/>
                <w:color w:val="auto"/>
                <w:highlight w:val="none"/>
                <w:shd w:val="clear" w:color="000000" w:fill="FFFFFF"/>
                <w:lang w:eastAsia="zh-CN"/>
              </w:rPr>
              <w:t>）</w:t>
            </w:r>
            <w:r>
              <w:rPr>
                <w:rFonts w:hint="eastAsia" w:ascii="宋体" w:hAnsi="宋体" w:cs="Times New Roman"/>
                <w:b w:val="0"/>
                <w:bCs w:val="0"/>
                <w:color w:val="auto"/>
                <w:szCs w:val="21"/>
                <w:highlight w:val="none"/>
                <w:lang w:val="en-US" w:eastAsia="zh-CN"/>
              </w:rPr>
              <w:t>；如评委一致认定供应商不能证明其报价合理性的，评标委员会应当将其作为无效响应处理。</w:t>
            </w:r>
          </w:p>
        </w:tc>
      </w:tr>
      <w:tr w14:paraId="6622F349">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340" w:hRule="atLeast"/>
        </w:trPr>
        <w:tc>
          <w:tcPr>
            <w:tcW w:w="683" w:type="dxa"/>
            <w:vMerge w:val="restart"/>
            <w:noWrap w:val="0"/>
            <w:vAlign w:val="center"/>
          </w:tcPr>
          <w:p w14:paraId="31DAC0E4">
            <w:pPr>
              <w:snapToGrid w:val="0"/>
              <w:spacing w:line="36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w:t>
            </w:r>
          </w:p>
          <w:p w14:paraId="4CBD78C5">
            <w:pPr>
              <w:snapToGrid w:val="0"/>
              <w:spacing w:line="360" w:lineRule="auto"/>
              <w:ind w:firstLine="0" w:firstLineChars="0"/>
              <w:jc w:val="center"/>
              <w:rPr>
                <w:rFonts w:hint="eastAsia" w:ascii="宋体" w:hAnsi="宋体" w:eastAsia="宋体" w:cs="Times New Roman"/>
                <w:szCs w:val="21"/>
                <w:highlight w:val="none"/>
              </w:rPr>
            </w:pPr>
          </w:p>
        </w:tc>
        <w:tc>
          <w:tcPr>
            <w:tcW w:w="1159" w:type="dxa"/>
            <w:vMerge w:val="restart"/>
            <w:noWrap w:val="0"/>
            <w:vAlign w:val="center"/>
          </w:tcPr>
          <w:p w14:paraId="58970FA8">
            <w:pPr>
              <w:spacing w:line="24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w:t>
            </w:r>
          </w:p>
          <w:p w14:paraId="1B133B72">
            <w:pPr>
              <w:keepNext w:val="0"/>
              <w:keepLines w:val="0"/>
              <w:pageBreakBefore w:val="0"/>
              <w:widowControl w:val="0"/>
              <w:kinsoku/>
              <w:wordWrap/>
              <w:overflowPunct/>
              <w:topLinePunct w:val="0"/>
              <w:autoSpaceDE w:val="0"/>
              <w:autoSpaceDN w:val="0"/>
              <w:bidi w:val="0"/>
              <w:snapToGrid/>
              <w:spacing w:after="0"/>
              <w:ind w:left="0" w:leftChars="0" w:firstLine="0" w:firstLineChars="0"/>
              <w:jc w:val="both"/>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w:t>
            </w:r>
            <w:r>
              <w:rPr>
                <w:rFonts w:hint="eastAsia" w:cs="Times New Roman"/>
                <w:kern w:val="0"/>
                <w:sz w:val="21"/>
                <w:szCs w:val="21"/>
                <w:highlight w:val="none"/>
                <w:lang w:val="en-US" w:eastAsia="zh-CN" w:bidi="ar-SA"/>
              </w:rPr>
              <w:t>5</w:t>
            </w:r>
            <w:r>
              <w:rPr>
                <w:rFonts w:hint="eastAsia" w:ascii="宋体" w:hAnsi="宋体" w:eastAsia="宋体" w:cs="Times New Roman"/>
                <w:kern w:val="0"/>
                <w:sz w:val="21"/>
                <w:szCs w:val="21"/>
                <w:highlight w:val="none"/>
                <w:lang w:val="en-US" w:eastAsia="zh-CN" w:bidi="ar-SA"/>
              </w:rPr>
              <w:t>0分）</w:t>
            </w:r>
          </w:p>
        </w:tc>
        <w:tc>
          <w:tcPr>
            <w:tcW w:w="1258" w:type="dxa"/>
            <w:noWrap w:val="0"/>
            <w:vAlign w:val="center"/>
          </w:tcPr>
          <w:p w14:paraId="0F3CB3A8">
            <w:pPr>
              <w:pStyle w:val="282"/>
              <w:spacing w:line="240" w:lineRule="auto"/>
              <w:ind w:left="0" w:leftChars="0" w:firstLine="0" w:firstLineChars="0"/>
              <w:jc w:val="center"/>
              <w:rPr>
                <w:rFonts w:hint="eastAsia" w:ascii="宋体" w:hAnsi="宋体" w:eastAsia="宋体" w:cs="Times New Roman"/>
                <w:szCs w:val="21"/>
                <w:highlight w:val="none"/>
              </w:rPr>
            </w:pPr>
            <w:r>
              <w:rPr>
                <w:rFonts w:hint="eastAsia" w:ascii="宋体" w:hAnsi="宋体" w:cs="Times New Roman"/>
                <w:color w:val="auto"/>
                <w:szCs w:val="21"/>
                <w:highlight w:val="none"/>
              </w:rPr>
              <w:t>保安管理服务方案（</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rPr>
              <w:t>分）</w:t>
            </w:r>
          </w:p>
        </w:tc>
        <w:tc>
          <w:tcPr>
            <w:tcW w:w="6604" w:type="dxa"/>
            <w:noWrap w:val="0"/>
            <w:vAlign w:val="center"/>
          </w:tcPr>
          <w:p w14:paraId="2BC0787D">
            <w:pPr>
              <w:spacing w:line="240" w:lineRule="auto"/>
              <w:ind w:firstLine="420" w:firstLineChars="200"/>
              <w:rPr>
                <w:rFonts w:hint="eastAsia" w:ascii="宋体" w:hAnsi="宋体" w:eastAsia="宋体" w:cs="Times New Roman"/>
                <w:szCs w:val="21"/>
                <w:highlight w:val="none"/>
              </w:rPr>
            </w:pPr>
            <w:r>
              <w:rPr>
                <w:rFonts w:hint="eastAsia" w:cs="Times New Roman"/>
                <w:color w:val="auto"/>
                <w:szCs w:val="21"/>
                <w:highlight w:val="none"/>
                <w:lang w:eastAsia="zh-CN"/>
              </w:rPr>
              <w:t>供应商</w:t>
            </w:r>
            <w:r>
              <w:rPr>
                <w:rFonts w:hint="eastAsia" w:cs="Times New Roman"/>
                <w:color w:val="auto"/>
                <w:szCs w:val="21"/>
                <w:highlight w:val="none"/>
                <w:lang w:val="en-US" w:eastAsia="zh-CN"/>
              </w:rPr>
              <w:t>针</w:t>
            </w:r>
            <w:r>
              <w:rPr>
                <w:rFonts w:hint="eastAsia" w:cs="Times New Roman"/>
                <w:color w:val="auto"/>
                <w:szCs w:val="21"/>
                <w:highlight w:val="none"/>
                <w:lang w:eastAsia="zh-CN"/>
              </w:rPr>
              <w:t>对本项目区域</w:t>
            </w:r>
            <w:r>
              <w:rPr>
                <w:rFonts w:hint="eastAsia" w:ascii="宋体" w:hAnsi="宋体" w:cs="Times New Roman"/>
                <w:color w:val="auto"/>
                <w:szCs w:val="21"/>
                <w:highlight w:val="none"/>
              </w:rPr>
              <w:t>提</w:t>
            </w:r>
            <w:r>
              <w:rPr>
                <w:rFonts w:hint="eastAsia" w:cs="Times New Roman"/>
                <w:color w:val="auto"/>
                <w:szCs w:val="21"/>
                <w:highlight w:val="none"/>
                <w:lang w:val="en-US" w:eastAsia="zh-CN"/>
              </w:rPr>
              <w:t>出</w:t>
            </w:r>
            <w:r>
              <w:rPr>
                <w:rFonts w:hint="eastAsia" w:ascii="宋体" w:hAnsi="宋体" w:cs="Times New Roman"/>
                <w:color w:val="auto"/>
                <w:szCs w:val="21"/>
                <w:highlight w:val="none"/>
              </w:rPr>
              <w:t>保安管理服务</w:t>
            </w:r>
            <w:r>
              <w:rPr>
                <w:rFonts w:hint="eastAsia" w:cs="Times New Roman"/>
                <w:color w:val="auto"/>
                <w:szCs w:val="21"/>
                <w:highlight w:val="none"/>
                <w:lang w:val="en-US" w:eastAsia="zh-CN"/>
              </w:rPr>
              <w:t>管理及</w:t>
            </w:r>
            <w:r>
              <w:rPr>
                <w:rFonts w:hint="eastAsia" w:ascii="宋体" w:hAnsi="宋体" w:cs="Times New Roman"/>
                <w:color w:val="auto"/>
                <w:szCs w:val="21"/>
                <w:highlight w:val="none"/>
              </w:rPr>
              <w:t>方案</w:t>
            </w:r>
            <w:r>
              <w:rPr>
                <w:rFonts w:hint="eastAsia" w:cs="Times New Roman"/>
                <w:color w:val="auto"/>
                <w:szCs w:val="21"/>
                <w:highlight w:val="none"/>
                <w:lang w:eastAsia="zh-CN"/>
              </w:rPr>
              <w:t>，</w:t>
            </w:r>
            <w:r>
              <w:rPr>
                <w:rFonts w:hint="eastAsia" w:cs="Times New Roman"/>
                <w:color w:val="auto"/>
                <w:szCs w:val="21"/>
                <w:highlight w:val="none"/>
                <w:lang w:val="en-US" w:eastAsia="zh-CN"/>
              </w:rPr>
              <w:t>内容涵盖以下关键要素</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①</w:t>
            </w:r>
            <w:r>
              <w:rPr>
                <w:rFonts w:hint="eastAsia" w:ascii="宋体" w:hAnsi="宋体" w:cs="Times New Roman"/>
                <w:color w:val="auto"/>
                <w:szCs w:val="21"/>
                <w:highlight w:val="none"/>
              </w:rPr>
              <w:t>人员</w:t>
            </w:r>
            <w:r>
              <w:rPr>
                <w:rFonts w:hint="eastAsia" w:ascii="宋体" w:hAnsi="宋体" w:cs="Times New Roman"/>
                <w:color w:val="auto"/>
                <w:szCs w:val="21"/>
                <w:highlight w:val="none"/>
                <w:lang w:val="en-US" w:eastAsia="zh-CN"/>
              </w:rPr>
              <w:t>配置</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②</w:t>
            </w:r>
            <w:r>
              <w:rPr>
                <w:rFonts w:hint="eastAsia" w:ascii="宋体" w:hAnsi="宋体" w:cs="Times New Roman"/>
                <w:color w:val="auto"/>
                <w:szCs w:val="21"/>
                <w:highlight w:val="none"/>
              </w:rPr>
              <w:t>进出车辆的秩序维护</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③巡逻机制</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④</w:t>
            </w:r>
            <w:r>
              <w:rPr>
                <w:rFonts w:hint="eastAsia" w:ascii="宋体" w:hAnsi="宋体" w:cs="Times New Roman"/>
                <w:color w:val="auto"/>
                <w:szCs w:val="21"/>
                <w:highlight w:val="none"/>
              </w:rPr>
              <w:t>防火和防盗</w:t>
            </w:r>
            <w:r>
              <w:rPr>
                <w:rFonts w:hint="eastAsia" w:cs="Times New Roman"/>
                <w:color w:val="auto"/>
                <w:szCs w:val="21"/>
                <w:highlight w:val="none"/>
                <w:lang w:val="en-US" w:eastAsia="zh-CN"/>
              </w:rPr>
              <w:t>措施；⑤保洁服务配合度等</w:t>
            </w:r>
            <w:r>
              <w:rPr>
                <w:rFonts w:hint="eastAsia" w:cs="Times New Roman"/>
                <w:color w:val="auto"/>
                <w:szCs w:val="21"/>
                <w:highlight w:val="none"/>
                <w:lang w:eastAsia="zh-CN"/>
              </w:rPr>
              <w:t>；</w:t>
            </w:r>
            <w:r>
              <w:rPr>
                <w:rFonts w:hint="eastAsia" w:ascii="宋体" w:hAnsi="宋体" w:cs="Times New Roman"/>
                <w:color w:val="auto"/>
                <w:szCs w:val="21"/>
                <w:highlight w:val="none"/>
              </w:rPr>
              <w:t>方案完整、合理、思路清晰、针对性强、综合对比强的计</w:t>
            </w:r>
            <w:r>
              <w:rPr>
                <w:rFonts w:hint="eastAsia" w:cs="Times New Roman"/>
                <w:color w:val="auto"/>
                <w:szCs w:val="21"/>
                <w:highlight w:val="none"/>
                <w:lang w:val="en-US" w:eastAsia="zh-CN"/>
              </w:rPr>
              <w:t>20</w:t>
            </w:r>
            <w:r>
              <w:rPr>
                <w:rFonts w:hint="eastAsia" w:ascii="宋体" w:hAnsi="宋体" w:cs="Times New Roman"/>
                <w:color w:val="auto"/>
                <w:szCs w:val="21"/>
                <w:highlight w:val="none"/>
              </w:rPr>
              <w:t>分，</w:t>
            </w:r>
            <w:r>
              <w:rPr>
                <w:rFonts w:hint="eastAsia" w:ascii="宋体" w:hAnsi="宋体" w:eastAsia="宋体" w:cs="宋体"/>
                <w:highlight w:val="none"/>
                <w:lang w:bidi="ar"/>
              </w:rPr>
              <w:t>每缺少一项方案要求的内容扣</w:t>
            </w:r>
            <w:r>
              <w:rPr>
                <w:rFonts w:hint="eastAsia" w:cs="宋体"/>
                <w:highlight w:val="none"/>
                <w:lang w:val="en-US" w:eastAsia="zh-CN" w:bidi="ar"/>
              </w:rPr>
              <w:t>4</w:t>
            </w:r>
            <w:r>
              <w:rPr>
                <w:rFonts w:hint="eastAsia" w:ascii="宋体" w:hAnsi="宋体" w:eastAsia="宋体" w:cs="宋体"/>
                <w:highlight w:val="none"/>
                <w:lang w:bidi="ar"/>
              </w:rPr>
              <w:t>分；每有一项方案要求的内容有一处欠合理、欠完善或方案内容与项目实际需求不符或实施存在差异性的一处扣</w:t>
            </w:r>
            <w:r>
              <w:rPr>
                <w:rFonts w:hint="eastAsia" w:cs="宋体"/>
                <w:highlight w:val="none"/>
                <w:lang w:val="en-US" w:eastAsia="zh-CN" w:bidi="ar"/>
              </w:rPr>
              <w:t>2</w:t>
            </w:r>
            <w:r>
              <w:rPr>
                <w:rFonts w:hint="eastAsia" w:ascii="宋体" w:hAnsi="宋体" w:eastAsia="宋体" w:cs="宋体"/>
                <w:highlight w:val="none"/>
                <w:lang w:bidi="ar"/>
              </w:rPr>
              <w:t>分，扣完为止</w:t>
            </w:r>
            <w:r>
              <w:rPr>
                <w:rFonts w:hint="eastAsia" w:ascii="宋体" w:hAnsi="宋体" w:eastAsia="宋体" w:cs="宋体"/>
                <w:highlight w:val="none"/>
                <w:lang w:eastAsia="zh-CN" w:bidi="ar"/>
              </w:rPr>
              <w:t>。未提供方案的不计分</w:t>
            </w:r>
            <w:r>
              <w:rPr>
                <w:rFonts w:hint="eastAsia" w:ascii="宋体" w:hAnsi="宋体" w:eastAsia="宋体" w:cs="宋体"/>
                <w:highlight w:val="none"/>
                <w:lang w:bidi="ar"/>
              </w:rPr>
              <w:t>。</w:t>
            </w:r>
          </w:p>
        </w:tc>
      </w:tr>
      <w:tr w14:paraId="0C16CC2B">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565" w:hRule="atLeast"/>
        </w:trPr>
        <w:tc>
          <w:tcPr>
            <w:tcW w:w="683" w:type="dxa"/>
            <w:vMerge w:val="continue"/>
            <w:noWrap w:val="0"/>
            <w:vAlign w:val="center"/>
          </w:tcPr>
          <w:p w14:paraId="5ACCDA34">
            <w:pPr>
              <w:snapToGrid w:val="0"/>
              <w:spacing w:line="360" w:lineRule="auto"/>
              <w:ind w:firstLine="0" w:firstLineChars="0"/>
              <w:jc w:val="center"/>
              <w:rPr>
                <w:rFonts w:hint="eastAsia" w:ascii="宋体" w:hAnsi="宋体" w:eastAsia="宋体" w:cs="Times New Roman"/>
                <w:szCs w:val="21"/>
                <w:highlight w:val="none"/>
              </w:rPr>
            </w:pPr>
          </w:p>
        </w:tc>
        <w:tc>
          <w:tcPr>
            <w:tcW w:w="1159" w:type="dxa"/>
            <w:vMerge w:val="continue"/>
            <w:noWrap w:val="0"/>
            <w:vAlign w:val="center"/>
          </w:tcPr>
          <w:p w14:paraId="5A01D8DD">
            <w:pPr>
              <w:snapToGrid w:val="0"/>
              <w:spacing w:before="156" w:line="360" w:lineRule="auto"/>
              <w:ind w:firstLine="0" w:firstLineChars="0"/>
              <w:jc w:val="center"/>
              <w:rPr>
                <w:rFonts w:hint="eastAsia" w:ascii="宋体" w:hAnsi="宋体" w:eastAsia="宋体" w:cs="Times New Roman"/>
                <w:szCs w:val="21"/>
                <w:highlight w:val="none"/>
              </w:rPr>
            </w:pPr>
          </w:p>
        </w:tc>
        <w:tc>
          <w:tcPr>
            <w:tcW w:w="1258" w:type="dxa"/>
            <w:noWrap w:val="0"/>
            <w:vAlign w:val="center"/>
          </w:tcPr>
          <w:p w14:paraId="7CB16F01">
            <w:pPr>
              <w:spacing w:line="240" w:lineRule="auto"/>
              <w:ind w:firstLine="0" w:firstLineChars="0"/>
              <w:jc w:val="center"/>
              <w:rPr>
                <w:rFonts w:hint="eastAsia" w:ascii="宋体" w:hAnsi="宋体" w:eastAsia="宋体" w:cs="Times New Roman"/>
                <w:kern w:val="0"/>
                <w:sz w:val="21"/>
                <w:szCs w:val="21"/>
                <w:highlight w:val="none"/>
                <w:lang w:val="en-US" w:eastAsia="zh-CN" w:bidi="ar-SA"/>
              </w:rPr>
            </w:pPr>
            <w:r>
              <w:rPr>
                <w:rFonts w:hint="eastAsia" w:ascii="宋体" w:hAnsi="宋体" w:cs="Times New Roman"/>
                <w:color w:val="auto"/>
                <w:szCs w:val="21"/>
                <w:highlight w:val="none"/>
              </w:rPr>
              <w:t>保洁管理服务方案（</w:t>
            </w:r>
            <w:r>
              <w:rPr>
                <w:rFonts w:hint="eastAsia" w:cs="Times New Roman"/>
                <w:color w:val="auto"/>
                <w:szCs w:val="21"/>
                <w:highlight w:val="none"/>
                <w:lang w:val="en-US" w:eastAsia="zh-CN"/>
              </w:rPr>
              <w:t>20</w:t>
            </w:r>
            <w:r>
              <w:rPr>
                <w:rFonts w:hint="eastAsia" w:ascii="宋体" w:hAnsi="宋体" w:cs="Times New Roman"/>
                <w:color w:val="auto"/>
                <w:szCs w:val="21"/>
                <w:highlight w:val="none"/>
              </w:rPr>
              <w:t>分）</w:t>
            </w:r>
          </w:p>
        </w:tc>
        <w:tc>
          <w:tcPr>
            <w:tcW w:w="6604" w:type="dxa"/>
            <w:noWrap w:val="0"/>
            <w:vAlign w:val="center"/>
          </w:tcPr>
          <w:p w14:paraId="335B58DC">
            <w:pPr>
              <w:spacing w:line="240" w:lineRule="auto"/>
              <w:ind w:firstLine="420" w:firstLineChars="200"/>
              <w:rPr>
                <w:rFonts w:hint="eastAsia" w:ascii="宋体" w:hAnsi="宋体" w:eastAsia="宋体" w:cs="Times New Roman"/>
                <w:szCs w:val="21"/>
                <w:highlight w:val="none"/>
              </w:rPr>
            </w:pPr>
            <w:r>
              <w:rPr>
                <w:rFonts w:hint="eastAsia" w:cs="Times New Roman"/>
                <w:color w:val="auto"/>
                <w:szCs w:val="21"/>
                <w:highlight w:val="none"/>
                <w:lang w:eastAsia="zh-CN"/>
              </w:rPr>
              <w:t>供应商</w:t>
            </w:r>
            <w:r>
              <w:rPr>
                <w:rFonts w:hint="eastAsia" w:ascii="宋体" w:hAnsi="宋体" w:cs="Times New Roman"/>
                <w:color w:val="auto"/>
                <w:szCs w:val="21"/>
                <w:highlight w:val="none"/>
              </w:rPr>
              <w:t>针对本</w:t>
            </w:r>
            <w:r>
              <w:rPr>
                <w:rFonts w:hint="eastAsia" w:cs="Times New Roman"/>
                <w:color w:val="auto"/>
                <w:szCs w:val="21"/>
                <w:highlight w:val="none"/>
                <w:lang w:val="en-US" w:eastAsia="zh-CN"/>
              </w:rPr>
              <w:t>项目</w:t>
            </w:r>
            <w:r>
              <w:rPr>
                <w:rFonts w:hint="eastAsia" w:ascii="宋体" w:hAnsi="宋体" w:cs="Times New Roman"/>
                <w:color w:val="auto"/>
                <w:szCs w:val="21"/>
                <w:highlight w:val="none"/>
              </w:rPr>
              <w:t>区域提出保洁</w:t>
            </w:r>
            <w:r>
              <w:rPr>
                <w:rFonts w:hint="eastAsia" w:cs="Times New Roman"/>
                <w:color w:val="auto"/>
                <w:szCs w:val="21"/>
                <w:highlight w:val="none"/>
                <w:lang w:val="en-US" w:eastAsia="zh-CN"/>
              </w:rPr>
              <w:t>管理服务</w:t>
            </w:r>
            <w:r>
              <w:rPr>
                <w:rFonts w:hint="eastAsia" w:ascii="宋体" w:hAnsi="宋体" w:cs="Times New Roman"/>
                <w:color w:val="auto"/>
                <w:szCs w:val="21"/>
                <w:highlight w:val="none"/>
              </w:rPr>
              <w:t>方案</w:t>
            </w:r>
            <w:r>
              <w:rPr>
                <w:rFonts w:hint="eastAsia" w:cs="Times New Roman"/>
                <w:color w:val="auto"/>
                <w:szCs w:val="21"/>
                <w:highlight w:val="none"/>
                <w:lang w:eastAsia="zh-CN"/>
              </w:rPr>
              <w:t>，</w:t>
            </w:r>
            <w:r>
              <w:rPr>
                <w:rFonts w:hint="eastAsia" w:cs="Times New Roman"/>
                <w:color w:val="auto"/>
                <w:szCs w:val="21"/>
                <w:highlight w:val="none"/>
                <w:lang w:val="en-US" w:eastAsia="zh-CN"/>
              </w:rPr>
              <w:t>内容涵盖以下关键要素：</w:t>
            </w:r>
            <w:r>
              <w:rPr>
                <w:rFonts w:hint="eastAsia" w:ascii="宋体" w:hAnsi="宋体" w:cs="Times New Roman"/>
                <w:color w:val="auto"/>
                <w:szCs w:val="21"/>
                <w:highlight w:val="none"/>
                <w:lang w:val="en-US" w:eastAsia="zh-CN"/>
              </w:rPr>
              <w:t>①</w:t>
            </w:r>
            <w:r>
              <w:rPr>
                <w:rFonts w:hint="eastAsia" w:ascii="宋体" w:hAnsi="宋体" w:cs="Times New Roman"/>
                <w:color w:val="auto"/>
                <w:szCs w:val="21"/>
                <w:highlight w:val="none"/>
              </w:rPr>
              <w:t>人员</w:t>
            </w:r>
            <w:r>
              <w:rPr>
                <w:rFonts w:hint="eastAsia" w:cs="Times New Roman"/>
                <w:color w:val="auto"/>
                <w:szCs w:val="21"/>
                <w:highlight w:val="none"/>
                <w:lang w:val="en-US" w:eastAsia="zh-CN"/>
              </w:rPr>
              <w:t>配置</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②</w:t>
            </w:r>
            <w:r>
              <w:rPr>
                <w:rFonts w:hint="eastAsia" w:ascii="宋体" w:hAnsi="宋体" w:cs="Times New Roman"/>
                <w:color w:val="auto"/>
                <w:szCs w:val="21"/>
                <w:highlight w:val="none"/>
              </w:rPr>
              <w:t>日常保洁服务范围</w:t>
            </w:r>
            <w:r>
              <w:rPr>
                <w:rFonts w:hint="eastAsia" w:cs="Times New Roman"/>
                <w:color w:val="auto"/>
                <w:szCs w:val="21"/>
                <w:highlight w:val="none"/>
                <w:lang w:val="en-US" w:eastAsia="zh-CN"/>
              </w:rPr>
              <w:t>和服务执行</w:t>
            </w:r>
            <w:r>
              <w:rPr>
                <w:rFonts w:hint="eastAsia" w:ascii="宋体" w:hAnsi="宋体" w:cs="Times New Roman"/>
                <w:color w:val="auto"/>
                <w:szCs w:val="21"/>
                <w:highlight w:val="none"/>
              </w:rPr>
              <w:t>标准</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③</w:t>
            </w:r>
            <w:r>
              <w:rPr>
                <w:rFonts w:hint="eastAsia" w:ascii="宋体" w:hAnsi="宋体" w:cs="Times New Roman"/>
                <w:color w:val="auto"/>
                <w:szCs w:val="21"/>
                <w:highlight w:val="none"/>
              </w:rPr>
              <w:t>垃圾收集</w:t>
            </w:r>
            <w:r>
              <w:rPr>
                <w:rFonts w:hint="eastAsia" w:cs="Times New Roman"/>
                <w:color w:val="auto"/>
                <w:szCs w:val="21"/>
                <w:highlight w:val="none"/>
                <w:lang w:val="en-US" w:eastAsia="zh-CN"/>
              </w:rPr>
              <w:t>及</w:t>
            </w:r>
            <w:r>
              <w:rPr>
                <w:rFonts w:hint="eastAsia" w:ascii="宋体" w:hAnsi="宋体" w:cs="Times New Roman"/>
                <w:color w:val="auto"/>
                <w:szCs w:val="21"/>
                <w:highlight w:val="none"/>
              </w:rPr>
              <w:t>公共区域垃圾桶保洁</w:t>
            </w:r>
            <w:r>
              <w:rPr>
                <w:rFonts w:hint="eastAsia" w:cs="Times New Roman"/>
                <w:color w:val="auto"/>
                <w:szCs w:val="21"/>
                <w:highlight w:val="none"/>
                <w:lang w:eastAsia="zh-CN"/>
              </w:rPr>
              <w:t>；</w:t>
            </w:r>
            <w:r>
              <w:rPr>
                <w:rFonts w:hint="eastAsia" w:ascii="宋体" w:hAnsi="宋体" w:cs="Times New Roman"/>
                <w:color w:val="auto"/>
                <w:szCs w:val="21"/>
                <w:highlight w:val="none"/>
                <w:lang w:val="en-US" w:eastAsia="zh-CN"/>
              </w:rPr>
              <w:t>④</w:t>
            </w:r>
            <w:r>
              <w:rPr>
                <w:rFonts w:hint="eastAsia" w:cs="Times New Roman"/>
                <w:color w:val="auto"/>
                <w:szCs w:val="21"/>
                <w:highlight w:val="none"/>
                <w:lang w:eastAsia="zh-CN"/>
              </w:rPr>
              <w:t>保洁工具及物资管理；</w:t>
            </w:r>
            <w:r>
              <w:rPr>
                <w:rFonts w:hint="eastAsia" w:cs="Times New Roman"/>
                <w:color w:val="auto"/>
                <w:szCs w:val="21"/>
                <w:highlight w:val="none"/>
                <w:lang w:val="en-US" w:eastAsia="zh-CN"/>
              </w:rPr>
              <w:t>⑤</w:t>
            </w:r>
            <w:r>
              <w:rPr>
                <w:rFonts w:hint="eastAsia" w:ascii="宋体" w:hAnsi="宋体" w:cs="Times New Roman"/>
                <w:color w:val="auto"/>
                <w:szCs w:val="21"/>
                <w:highlight w:val="none"/>
              </w:rPr>
              <w:t>现场实景照片不少于五张以直观展示区域现状</w:t>
            </w:r>
            <w:r>
              <w:rPr>
                <w:rFonts w:hint="eastAsia" w:cs="Times New Roman"/>
                <w:color w:val="auto"/>
                <w:szCs w:val="21"/>
                <w:highlight w:val="none"/>
                <w:lang w:val="en-US" w:eastAsia="zh-CN"/>
              </w:rPr>
              <w:t>等</w:t>
            </w:r>
            <w:r>
              <w:rPr>
                <w:rFonts w:hint="eastAsia" w:cs="Times New Roman"/>
                <w:color w:val="auto"/>
                <w:szCs w:val="21"/>
                <w:highlight w:val="none"/>
                <w:lang w:eastAsia="zh-CN"/>
              </w:rPr>
              <w:t>；</w:t>
            </w:r>
            <w:r>
              <w:rPr>
                <w:rFonts w:hint="eastAsia" w:ascii="宋体" w:hAnsi="宋体" w:cs="Times New Roman"/>
                <w:color w:val="auto"/>
                <w:szCs w:val="21"/>
                <w:highlight w:val="none"/>
              </w:rPr>
              <w:t>方案完整、合理、思路清晰、针对性强、综合对比强的计</w:t>
            </w:r>
            <w:r>
              <w:rPr>
                <w:rFonts w:hint="eastAsia" w:cs="Times New Roman"/>
                <w:color w:val="auto"/>
                <w:szCs w:val="21"/>
                <w:highlight w:val="none"/>
                <w:lang w:val="en-US" w:eastAsia="zh-CN"/>
              </w:rPr>
              <w:t>20</w:t>
            </w:r>
            <w:r>
              <w:rPr>
                <w:rFonts w:hint="eastAsia" w:ascii="宋体" w:hAnsi="宋体" w:cs="Times New Roman"/>
                <w:color w:val="auto"/>
                <w:szCs w:val="21"/>
                <w:highlight w:val="none"/>
              </w:rPr>
              <w:t>分，</w:t>
            </w:r>
            <w:r>
              <w:rPr>
                <w:rFonts w:hint="eastAsia" w:ascii="宋体" w:hAnsi="宋体" w:eastAsia="宋体" w:cs="宋体"/>
                <w:highlight w:val="none"/>
                <w:lang w:bidi="ar"/>
              </w:rPr>
              <w:t>每缺少一项方案要求的内容扣</w:t>
            </w:r>
            <w:r>
              <w:rPr>
                <w:rFonts w:hint="eastAsia" w:cs="宋体"/>
                <w:highlight w:val="none"/>
                <w:lang w:val="en-US" w:eastAsia="zh-CN" w:bidi="ar"/>
              </w:rPr>
              <w:t>4</w:t>
            </w:r>
            <w:r>
              <w:rPr>
                <w:rFonts w:hint="eastAsia" w:ascii="宋体" w:hAnsi="宋体" w:eastAsia="宋体" w:cs="宋体"/>
                <w:highlight w:val="none"/>
                <w:lang w:bidi="ar"/>
              </w:rPr>
              <w:t>分；每有一项方案要求的内容有一处欠合理、欠完善或方案内容与项目实际需求不符或实施存在差异性的一处扣</w:t>
            </w:r>
            <w:r>
              <w:rPr>
                <w:rFonts w:hint="eastAsia" w:cs="宋体"/>
                <w:highlight w:val="none"/>
                <w:lang w:val="en-US" w:eastAsia="zh-CN" w:bidi="ar"/>
              </w:rPr>
              <w:t>2</w:t>
            </w:r>
            <w:r>
              <w:rPr>
                <w:rFonts w:hint="eastAsia" w:ascii="宋体" w:hAnsi="宋体" w:eastAsia="宋体" w:cs="宋体"/>
                <w:highlight w:val="none"/>
                <w:lang w:bidi="ar"/>
              </w:rPr>
              <w:t>分，扣完为止</w:t>
            </w:r>
            <w:r>
              <w:rPr>
                <w:rFonts w:hint="eastAsia" w:ascii="宋体" w:hAnsi="宋体" w:eastAsia="宋体" w:cs="宋体"/>
                <w:highlight w:val="none"/>
                <w:lang w:eastAsia="zh-CN" w:bidi="ar"/>
              </w:rPr>
              <w:t>。未提供方案的不计分</w:t>
            </w:r>
            <w:r>
              <w:rPr>
                <w:rFonts w:hint="eastAsia" w:ascii="宋体" w:hAnsi="宋体" w:eastAsia="宋体" w:cs="宋体"/>
                <w:highlight w:val="none"/>
                <w:lang w:bidi="ar"/>
              </w:rPr>
              <w:t>。</w:t>
            </w:r>
          </w:p>
        </w:tc>
      </w:tr>
      <w:tr w14:paraId="1D4BB12A">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1397" w:hRule="atLeast"/>
        </w:trPr>
        <w:tc>
          <w:tcPr>
            <w:tcW w:w="683" w:type="dxa"/>
            <w:vMerge w:val="continue"/>
            <w:noWrap w:val="0"/>
            <w:vAlign w:val="center"/>
          </w:tcPr>
          <w:p w14:paraId="0255421B">
            <w:pPr>
              <w:snapToGrid w:val="0"/>
              <w:spacing w:line="360" w:lineRule="auto"/>
              <w:ind w:firstLine="0" w:firstLineChars="0"/>
              <w:jc w:val="center"/>
              <w:rPr>
                <w:rFonts w:hint="eastAsia" w:ascii="宋体" w:hAnsi="宋体" w:eastAsia="宋体" w:cs="Times New Roman"/>
                <w:szCs w:val="21"/>
                <w:highlight w:val="none"/>
              </w:rPr>
            </w:pPr>
          </w:p>
        </w:tc>
        <w:tc>
          <w:tcPr>
            <w:tcW w:w="1159" w:type="dxa"/>
            <w:vMerge w:val="continue"/>
            <w:noWrap w:val="0"/>
            <w:vAlign w:val="center"/>
          </w:tcPr>
          <w:p w14:paraId="597E65DB">
            <w:pPr>
              <w:snapToGrid w:val="0"/>
              <w:spacing w:before="156" w:line="360" w:lineRule="auto"/>
              <w:ind w:firstLine="0" w:firstLineChars="0"/>
              <w:jc w:val="center"/>
              <w:rPr>
                <w:rFonts w:hint="eastAsia" w:ascii="宋体" w:hAnsi="宋体" w:eastAsia="宋体" w:cs="Times New Roman"/>
                <w:szCs w:val="21"/>
                <w:highlight w:val="none"/>
              </w:rPr>
            </w:pPr>
          </w:p>
        </w:tc>
        <w:tc>
          <w:tcPr>
            <w:tcW w:w="1258" w:type="dxa"/>
            <w:noWrap w:val="0"/>
            <w:vAlign w:val="center"/>
          </w:tcPr>
          <w:p w14:paraId="728A1442">
            <w:pPr>
              <w:spacing w:line="240" w:lineRule="auto"/>
              <w:ind w:firstLine="0" w:firstLineChars="0"/>
              <w:jc w:val="center"/>
              <w:rPr>
                <w:rFonts w:hint="default" w:ascii="宋体" w:hAnsi="宋体" w:cs="Times New Roman"/>
                <w:color w:val="auto"/>
                <w:szCs w:val="21"/>
                <w:highlight w:val="none"/>
                <w:lang w:val="en-US"/>
              </w:rPr>
            </w:pPr>
            <w:r>
              <w:rPr>
                <w:rFonts w:hint="eastAsia" w:ascii="宋体" w:hAnsi="宋体" w:cs="Times New Roman"/>
                <w:color w:val="auto"/>
                <w:szCs w:val="21"/>
                <w:highlight w:val="none"/>
                <w:lang w:val="en-US" w:eastAsia="zh-CN"/>
              </w:rPr>
              <w:t>应急管理</w:t>
            </w:r>
            <w:r>
              <w:rPr>
                <w:rFonts w:hint="eastAsia" w:cs="Times New Roman"/>
                <w:color w:val="auto"/>
                <w:szCs w:val="21"/>
                <w:highlight w:val="none"/>
                <w:lang w:val="en-US" w:eastAsia="zh-CN"/>
              </w:rPr>
              <w:t>及工程维护方案</w:t>
            </w:r>
          </w:p>
          <w:p w14:paraId="76833AE7">
            <w:pPr>
              <w:spacing w:line="240" w:lineRule="auto"/>
              <w:ind w:firstLine="0" w:firstLineChars="0"/>
              <w:jc w:val="center"/>
              <w:rPr>
                <w:rFonts w:hint="eastAsia" w:ascii="宋体" w:hAnsi="宋体" w:eastAsia="宋体" w:cs="Times New Roman"/>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1</w:t>
            </w:r>
            <w:r>
              <w:rPr>
                <w:rFonts w:hint="eastAsia" w:cs="Times New Roman"/>
                <w:color w:val="auto"/>
                <w:szCs w:val="21"/>
                <w:highlight w:val="none"/>
                <w:lang w:val="en-US" w:eastAsia="zh-CN"/>
              </w:rPr>
              <w:t>0</w:t>
            </w:r>
            <w:r>
              <w:rPr>
                <w:rFonts w:hint="eastAsia" w:ascii="宋体" w:hAnsi="宋体" w:cs="Times New Roman"/>
                <w:color w:val="auto"/>
                <w:szCs w:val="21"/>
                <w:highlight w:val="none"/>
              </w:rPr>
              <w:t>分）</w:t>
            </w:r>
          </w:p>
        </w:tc>
        <w:tc>
          <w:tcPr>
            <w:tcW w:w="6604" w:type="dxa"/>
            <w:noWrap w:val="0"/>
            <w:vAlign w:val="center"/>
          </w:tcPr>
          <w:p w14:paraId="478C2ED2">
            <w:pPr>
              <w:spacing w:line="240" w:lineRule="auto"/>
              <w:ind w:firstLine="420" w:firstLineChars="200"/>
              <w:rPr>
                <w:rFonts w:hint="eastAsia" w:ascii="宋体" w:hAnsi="宋体" w:eastAsia="宋体" w:cs="Times New Roman"/>
                <w:highlight w:val="none"/>
              </w:rPr>
            </w:pPr>
            <w:r>
              <w:rPr>
                <w:rFonts w:hint="eastAsia" w:cs="宋体"/>
                <w:highlight w:val="none"/>
                <w:lang w:val="en-US" w:eastAsia="zh-CN"/>
              </w:rPr>
              <w:t>供应商</w:t>
            </w:r>
            <w:r>
              <w:rPr>
                <w:rFonts w:ascii="宋体" w:hAnsi="宋体" w:eastAsia="宋体" w:cs="宋体"/>
                <w:highlight w:val="none"/>
              </w:rPr>
              <w:t>针对本项目</w:t>
            </w:r>
            <w:r>
              <w:rPr>
                <w:rFonts w:hint="eastAsia" w:cs="宋体"/>
                <w:highlight w:val="none"/>
                <w:lang w:val="en-US" w:eastAsia="zh-CN"/>
              </w:rPr>
              <w:t>区域提出应</w:t>
            </w:r>
            <w:r>
              <w:rPr>
                <w:rFonts w:ascii="宋体" w:hAnsi="宋体" w:eastAsia="宋体" w:cs="宋体"/>
                <w:highlight w:val="none"/>
                <w:lang w:val="en-US" w:eastAsia="zh-CN"/>
              </w:rPr>
              <w:t>急管理方案</w:t>
            </w:r>
            <w:r>
              <w:rPr>
                <w:rFonts w:hint="eastAsia" w:cs="宋体"/>
                <w:highlight w:val="none"/>
                <w:lang w:val="en-US" w:eastAsia="zh-CN"/>
              </w:rPr>
              <w:t>及工程维护方案，</w:t>
            </w:r>
            <w:r>
              <w:rPr>
                <w:rFonts w:hint="eastAsia" w:cs="Times New Roman"/>
                <w:color w:val="auto"/>
                <w:szCs w:val="21"/>
                <w:highlight w:val="none"/>
                <w:lang w:val="en-US" w:eastAsia="zh-CN"/>
              </w:rPr>
              <w:t>内容涵盖以下关键要素：</w:t>
            </w:r>
            <w:r>
              <w:rPr>
                <w:rFonts w:hint="eastAsia" w:ascii="宋体" w:hAnsi="宋体" w:cs="Times New Roman"/>
                <w:color w:val="auto"/>
                <w:szCs w:val="21"/>
                <w:highlight w:val="none"/>
                <w:lang w:val="en-US" w:eastAsia="zh-CN"/>
              </w:rPr>
              <w:t>①突发公共安全事件应急预案</w:t>
            </w:r>
            <w:r>
              <w:rPr>
                <w:rFonts w:hint="eastAsia" w:cs="Times New Roman"/>
                <w:color w:val="auto"/>
                <w:szCs w:val="21"/>
                <w:highlight w:val="none"/>
                <w:lang w:val="en-US" w:eastAsia="zh-CN"/>
              </w:rPr>
              <w:t>；</w:t>
            </w:r>
            <w:r>
              <w:rPr>
                <w:rFonts w:hint="eastAsia" w:ascii="宋体" w:hAnsi="宋体" w:cs="Times New Roman"/>
                <w:color w:val="auto"/>
                <w:szCs w:val="21"/>
                <w:highlight w:val="none"/>
                <w:lang w:val="en-US" w:eastAsia="zh-CN"/>
              </w:rPr>
              <w:t>②突发设施与公共卫生事件应急预案；③房屋基础维修维护服务方案；④公共设施设备维修维护服务方案</w:t>
            </w:r>
            <w:r>
              <w:rPr>
                <w:rFonts w:hint="eastAsia" w:cs="宋体"/>
                <w:highlight w:val="none"/>
                <w:lang w:val="en-US" w:eastAsia="zh-CN"/>
              </w:rPr>
              <w:t>等，</w:t>
            </w:r>
            <w:r>
              <w:rPr>
                <w:rFonts w:hint="eastAsia" w:ascii="宋体" w:hAnsi="宋体" w:cs="Times New Roman"/>
                <w:color w:val="auto"/>
                <w:szCs w:val="21"/>
                <w:highlight w:val="none"/>
              </w:rPr>
              <w:t>方案完整、合理、思路清晰、针对性强、综合对比强的计</w:t>
            </w:r>
            <w:r>
              <w:rPr>
                <w:rFonts w:hint="eastAsia" w:cs="Times New Roman"/>
                <w:color w:val="auto"/>
                <w:szCs w:val="21"/>
                <w:highlight w:val="none"/>
                <w:lang w:val="en-US" w:eastAsia="zh-CN"/>
              </w:rPr>
              <w:t>10</w:t>
            </w:r>
            <w:r>
              <w:rPr>
                <w:rFonts w:hint="eastAsia" w:ascii="宋体" w:hAnsi="宋体" w:cs="Times New Roman"/>
                <w:color w:val="auto"/>
                <w:szCs w:val="21"/>
                <w:highlight w:val="none"/>
              </w:rPr>
              <w:t>分，</w:t>
            </w:r>
            <w:r>
              <w:rPr>
                <w:rFonts w:hint="eastAsia" w:ascii="宋体" w:hAnsi="宋体" w:eastAsia="宋体" w:cs="宋体"/>
                <w:highlight w:val="none"/>
                <w:lang w:bidi="ar"/>
              </w:rPr>
              <w:t>每缺少一项方案要求的内容扣</w:t>
            </w:r>
            <w:r>
              <w:rPr>
                <w:rFonts w:hint="eastAsia" w:cs="宋体"/>
                <w:highlight w:val="none"/>
                <w:lang w:val="en-US" w:eastAsia="zh-CN" w:bidi="ar"/>
              </w:rPr>
              <w:t>2.5</w:t>
            </w:r>
            <w:r>
              <w:rPr>
                <w:rFonts w:hint="eastAsia" w:ascii="宋体" w:hAnsi="宋体" w:eastAsia="宋体" w:cs="宋体"/>
                <w:highlight w:val="none"/>
                <w:lang w:bidi="ar"/>
              </w:rPr>
              <w:t>分；每有一项方案要求的内容有一处欠合理、欠完善或方案内容与项目实际需求不符或实施存在差异性的一处扣</w:t>
            </w:r>
            <w:r>
              <w:rPr>
                <w:rFonts w:hint="eastAsia" w:cs="宋体"/>
                <w:highlight w:val="none"/>
                <w:lang w:val="en-US" w:eastAsia="zh-CN" w:bidi="ar"/>
              </w:rPr>
              <w:t>1</w:t>
            </w:r>
            <w:r>
              <w:rPr>
                <w:rFonts w:hint="eastAsia" w:ascii="宋体" w:hAnsi="宋体" w:eastAsia="宋体" w:cs="宋体"/>
                <w:highlight w:val="none"/>
                <w:lang w:bidi="ar"/>
              </w:rPr>
              <w:t>分，扣完为止</w:t>
            </w:r>
            <w:r>
              <w:rPr>
                <w:rFonts w:hint="eastAsia" w:ascii="宋体" w:hAnsi="宋体" w:eastAsia="宋体" w:cs="宋体"/>
                <w:highlight w:val="none"/>
                <w:lang w:eastAsia="zh-CN" w:bidi="ar"/>
              </w:rPr>
              <w:t>。未提供方案的不计分</w:t>
            </w:r>
            <w:r>
              <w:rPr>
                <w:rFonts w:hint="eastAsia" w:ascii="宋体" w:hAnsi="宋体" w:eastAsia="宋体" w:cs="宋体"/>
                <w:highlight w:val="none"/>
                <w:lang w:bidi="ar"/>
              </w:rPr>
              <w:t>。</w:t>
            </w:r>
          </w:p>
        </w:tc>
      </w:tr>
      <w:tr w14:paraId="06E955A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13" w:hRule="atLeast"/>
        </w:trPr>
        <w:tc>
          <w:tcPr>
            <w:tcW w:w="683" w:type="dxa"/>
            <w:noWrap w:val="0"/>
            <w:vAlign w:val="center"/>
          </w:tcPr>
          <w:p w14:paraId="11D6BF04">
            <w:pPr>
              <w:snapToGrid w:val="0"/>
              <w:spacing w:line="36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3</w:t>
            </w:r>
          </w:p>
        </w:tc>
        <w:tc>
          <w:tcPr>
            <w:tcW w:w="1159" w:type="dxa"/>
            <w:noWrap w:val="0"/>
            <w:vAlign w:val="center"/>
          </w:tcPr>
          <w:p w14:paraId="69D23108">
            <w:pPr>
              <w:spacing w:line="24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商务</w:t>
            </w:r>
          </w:p>
          <w:p w14:paraId="32FE3932">
            <w:pPr>
              <w:keepNext w:val="0"/>
              <w:keepLines w:val="0"/>
              <w:pageBreakBefore w:val="0"/>
              <w:widowControl w:val="0"/>
              <w:kinsoku/>
              <w:wordWrap/>
              <w:overflowPunct/>
              <w:topLinePunct w:val="0"/>
              <w:autoSpaceDE w:val="0"/>
              <w:autoSpaceDN w:val="0"/>
              <w:bidi w:val="0"/>
              <w:snapToGrid/>
              <w:spacing w:after="0"/>
              <w:ind w:left="0" w:leftChars="0" w:firstLine="0" w:firstLineChars="0"/>
              <w:jc w:val="both"/>
              <w:rPr>
                <w:rFonts w:hint="eastAsia"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w:t>
            </w:r>
            <w:r>
              <w:rPr>
                <w:rFonts w:hint="eastAsia" w:cs="Times New Roman"/>
                <w:kern w:val="0"/>
                <w:sz w:val="21"/>
                <w:szCs w:val="21"/>
                <w:highlight w:val="none"/>
                <w:lang w:val="en-US" w:eastAsia="zh-CN" w:bidi="ar-SA"/>
              </w:rPr>
              <w:t>1</w:t>
            </w:r>
            <w:r>
              <w:rPr>
                <w:rFonts w:hint="eastAsia" w:ascii="宋体" w:hAnsi="宋体" w:eastAsia="宋体" w:cs="Times New Roman"/>
                <w:kern w:val="0"/>
                <w:sz w:val="21"/>
                <w:szCs w:val="21"/>
                <w:highlight w:val="none"/>
                <w:lang w:val="en-US" w:eastAsia="zh-CN" w:bidi="ar-SA"/>
              </w:rPr>
              <w:t>0分）</w:t>
            </w:r>
          </w:p>
        </w:tc>
        <w:tc>
          <w:tcPr>
            <w:tcW w:w="1258" w:type="dxa"/>
            <w:noWrap w:val="0"/>
            <w:vAlign w:val="center"/>
          </w:tcPr>
          <w:p w14:paraId="6010073F">
            <w:pPr>
              <w:snapToGrid w:val="0"/>
              <w:spacing w:line="320" w:lineRule="exact"/>
              <w:ind w:firstLine="0" w:firstLineChars="0"/>
              <w:jc w:val="center"/>
              <w:rPr>
                <w:rFonts w:hint="eastAsia" w:ascii="宋体" w:hAnsi="宋体" w:eastAsia="宋体" w:cs="Times New Roman"/>
                <w:color w:val="000000"/>
                <w:kern w:val="0"/>
                <w:szCs w:val="21"/>
                <w:highlight w:val="none"/>
              </w:rPr>
            </w:pPr>
            <w:r>
              <w:rPr>
                <w:rFonts w:hint="eastAsia" w:cs="Times New Roman"/>
                <w:color w:val="000000"/>
                <w:kern w:val="0"/>
                <w:szCs w:val="21"/>
                <w:highlight w:val="none"/>
                <w:lang w:val="en-US" w:eastAsia="zh-CN"/>
              </w:rPr>
              <w:t>类似业绩</w:t>
            </w:r>
            <w:r>
              <w:rPr>
                <w:rFonts w:hint="eastAsia" w:ascii="宋体" w:hAnsi="宋体" w:eastAsia="宋体" w:cs="Times New Roman"/>
                <w:color w:val="000000"/>
                <w:kern w:val="0"/>
                <w:szCs w:val="21"/>
                <w:highlight w:val="none"/>
              </w:rPr>
              <w:t>（</w:t>
            </w:r>
            <w:r>
              <w:rPr>
                <w:rFonts w:hint="eastAsia" w:ascii="宋体" w:hAnsi="宋体" w:eastAsia="宋体" w:cs="Times New Roman"/>
                <w:color w:val="000000"/>
                <w:kern w:val="0"/>
                <w:szCs w:val="21"/>
                <w:highlight w:val="none"/>
                <w:lang w:val="en-US" w:eastAsia="zh-CN"/>
              </w:rPr>
              <w:t>1</w:t>
            </w:r>
            <w:r>
              <w:rPr>
                <w:rFonts w:hint="eastAsia" w:cs="Times New Roman"/>
                <w:color w:val="000000"/>
                <w:kern w:val="0"/>
                <w:szCs w:val="21"/>
                <w:highlight w:val="none"/>
                <w:lang w:val="en-US" w:eastAsia="zh-CN"/>
              </w:rPr>
              <w:t>0</w:t>
            </w:r>
            <w:r>
              <w:rPr>
                <w:rFonts w:hint="eastAsia" w:ascii="宋体" w:hAnsi="宋体" w:eastAsia="宋体" w:cs="Times New Roman"/>
                <w:color w:val="000000"/>
                <w:kern w:val="0"/>
                <w:szCs w:val="21"/>
                <w:highlight w:val="none"/>
              </w:rPr>
              <w:t>分）</w:t>
            </w:r>
          </w:p>
        </w:tc>
        <w:tc>
          <w:tcPr>
            <w:tcW w:w="6604" w:type="dxa"/>
            <w:noWrap w:val="0"/>
            <w:vAlign w:val="center"/>
          </w:tcPr>
          <w:p w14:paraId="37D1A633">
            <w:pPr>
              <w:snapToGrid w:val="0"/>
              <w:spacing w:line="320" w:lineRule="exact"/>
              <w:ind w:firstLine="0" w:firstLineChars="0"/>
              <w:rPr>
                <w:rFonts w:hint="eastAsia" w:ascii="宋体" w:hAnsi="宋体" w:eastAsia="宋体" w:cs="Times New Roman"/>
                <w:b/>
                <w:bCs/>
                <w:color w:val="000000"/>
                <w:szCs w:val="21"/>
                <w:highlight w:val="none"/>
              </w:rPr>
            </w:pPr>
            <w:r>
              <w:rPr>
                <w:rFonts w:hint="eastAsia" w:ascii="宋体" w:hAnsi="宋体" w:eastAsia="宋体" w:cs="宋体"/>
                <w:color w:val="auto"/>
                <w:spacing w:val="-2"/>
                <w:kern w:val="2"/>
                <w:sz w:val="21"/>
                <w:szCs w:val="21"/>
                <w:highlight w:val="none"/>
                <w:lang w:val="en-US" w:eastAsia="en-US" w:bidi="ar-SA"/>
              </w:rPr>
              <w:t>供应商自2022年</w:t>
            </w:r>
            <w:r>
              <w:rPr>
                <w:rFonts w:hint="eastAsia" w:cs="宋体"/>
                <w:color w:val="auto"/>
                <w:spacing w:val="-2"/>
                <w:kern w:val="2"/>
                <w:sz w:val="21"/>
                <w:szCs w:val="21"/>
                <w:highlight w:val="none"/>
                <w:lang w:val="en-US" w:eastAsia="zh-CN" w:bidi="ar-SA"/>
              </w:rPr>
              <w:t>1</w:t>
            </w:r>
            <w:r>
              <w:rPr>
                <w:rFonts w:hint="eastAsia" w:ascii="宋体" w:hAnsi="宋体" w:eastAsia="宋体" w:cs="宋体"/>
                <w:color w:val="auto"/>
                <w:spacing w:val="-2"/>
                <w:kern w:val="2"/>
                <w:sz w:val="21"/>
                <w:szCs w:val="21"/>
                <w:highlight w:val="none"/>
                <w:lang w:val="en-US" w:eastAsia="en-US" w:bidi="ar-SA"/>
              </w:rPr>
              <w:t>月1日至今（以合同签订时间为准），具有类似项目业绩（须含保安服务或物业管理服务内容）的每个计5分，最多计10分。(单个项目不同年限不重复计分，提供相应的合同复印件并加盖供应商公章，否则不计分。本项目业绩所称物业管理服务内容须同时具备保安、保洁服务内容。</w:t>
            </w:r>
          </w:p>
        </w:tc>
      </w:tr>
      <w:tr w14:paraId="5E2A45A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23" w:hRule="atLeast"/>
        </w:trPr>
        <w:tc>
          <w:tcPr>
            <w:tcW w:w="683" w:type="dxa"/>
            <w:noWrap w:val="0"/>
            <w:vAlign w:val="center"/>
          </w:tcPr>
          <w:p w14:paraId="6B1F4E1E">
            <w:pPr>
              <w:snapToGrid w:val="0"/>
              <w:spacing w:line="36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4</w:t>
            </w:r>
          </w:p>
        </w:tc>
        <w:tc>
          <w:tcPr>
            <w:tcW w:w="1159" w:type="dxa"/>
            <w:noWrap w:val="0"/>
            <w:vAlign w:val="center"/>
          </w:tcPr>
          <w:p w14:paraId="66C7153E">
            <w:pPr>
              <w:spacing w:line="240" w:lineRule="auto"/>
              <w:ind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合计</w:t>
            </w:r>
          </w:p>
        </w:tc>
        <w:tc>
          <w:tcPr>
            <w:tcW w:w="7862" w:type="dxa"/>
            <w:gridSpan w:val="2"/>
            <w:noWrap w:val="0"/>
            <w:vAlign w:val="center"/>
          </w:tcPr>
          <w:p w14:paraId="66A88034">
            <w:pPr>
              <w:spacing w:line="240" w:lineRule="auto"/>
              <w:ind w:left="42" w:leftChars="20" w:right="145" w:rightChars="69" w:firstLine="0" w:firstLineChars="0"/>
              <w:rPr>
                <w:rFonts w:hint="eastAsia" w:ascii="宋体" w:hAnsi="宋体" w:eastAsia="宋体" w:cs="Times New Roman"/>
                <w:szCs w:val="21"/>
                <w:highlight w:val="none"/>
              </w:rPr>
            </w:pPr>
            <w:r>
              <w:rPr>
                <w:rFonts w:hint="eastAsia" w:ascii="宋体" w:hAnsi="宋体" w:eastAsia="宋体" w:cs="Times New Roman"/>
                <w:szCs w:val="21"/>
                <w:highlight w:val="none"/>
              </w:rPr>
              <w:t>100</w:t>
            </w:r>
          </w:p>
        </w:tc>
      </w:tr>
      <w:tr w14:paraId="63885F94">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8" w:type="dxa"/>
            <w:bottom w:w="0" w:type="dxa"/>
            <w:right w:w="108" w:type="dxa"/>
          </w:tblCellMar>
        </w:tblPrEx>
        <w:trPr>
          <w:trHeight w:val="223" w:hRule="atLeast"/>
        </w:trPr>
        <w:tc>
          <w:tcPr>
            <w:tcW w:w="9704" w:type="dxa"/>
            <w:gridSpan w:val="4"/>
            <w:noWrap w:val="0"/>
            <w:vAlign w:val="center"/>
          </w:tcPr>
          <w:p w14:paraId="3A4A4ED8">
            <w:pPr>
              <w:widowControl w:val="0"/>
              <w:spacing w:line="390" w:lineRule="exact"/>
              <w:jc w:val="left"/>
              <w:rPr>
                <w:rFonts w:hint="eastAsia" w:ascii="宋体" w:hAnsi="宋体" w:eastAsia="宋体" w:cs="Times New Roman"/>
                <w:b/>
                <w:bCs/>
                <w:color w:val="000000"/>
                <w:kern w:val="2"/>
                <w:sz w:val="21"/>
                <w:szCs w:val="21"/>
                <w:highlight w:val="none"/>
                <w:lang w:val="en-US" w:eastAsia="zh-CN" w:bidi="ar-SA"/>
              </w:rPr>
            </w:pPr>
            <w:r>
              <w:rPr>
                <w:rFonts w:hint="eastAsia" w:ascii="宋体" w:hAnsi="宋体" w:eastAsia="宋体" w:cs="Times New Roman"/>
                <w:b/>
                <w:bCs/>
                <w:color w:val="000000"/>
                <w:kern w:val="2"/>
                <w:sz w:val="21"/>
                <w:szCs w:val="21"/>
                <w:highlight w:val="none"/>
                <w:lang w:val="en-US" w:eastAsia="zh-CN" w:bidi="ar-SA"/>
              </w:rPr>
              <w:t>备注：1、 评标委员会按照以上评分标准进行独立评审。</w:t>
            </w:r>
          </w:p>
          <w:p w14:paraId="0E487A59">
            <w:pPr>
              <w:widowControl w:val="0"/>
              <w:numPr>
                <w:ilvl w:val="0"/>
                <w:numId w:val="0"/>
              </w:numPr>
              <w:spacing w:line="390" w:lineRule="exact"/>
              <w:jc w:val="left"/>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2、投标人参与本次采购应提供真实有效的证明材料，应当诚信守法、公平竞争。如有以提供虚假材料（包括但不限于虚假技术参数响应、虚假制造商产品彩页、虚假业绩、虚假证书、虚假网址等）、隐瞒失信信息等谋取中标的行为，一经发现，将报行政监管部门严肃查处。</w:t>
            </w:r>
          </w:p>
        </w:tc>
      </w:tr>
    </w:tbl>
    <w:p w14:paraId="42A7E60C">
      <w:pPr>
        <w:pStyle w:val="7"/>
        <w:rPr>
          <w:rFonts w:hint="eastAsia"/>
          <w:b/>
          <w:bCs/>
          <w:color w:val="auto"/>
          <w:sz w:val="24"/>
          <w:szCs w:val="24"/>
          <w:highlight w:val="yellow"/>
        </w:rPr>
      </w:pPr>
    </w:p>
    <w:p w14:paraId="7825E12C">
      <w:pPr>
        <w:rPr>
          <w:color w:val="auto"/>
        </w:rPr>
      </w:pPr>
    </w:p>
    <w:p w14:paraId="2D7C4047">
      <w:pPr>
        <w:jc w:val="center"/>
        <w:rPr>
          <w:color w:val="auto"/>
        </w:rPr>
      </w:pPr>
      <w:r>
        <w:rPr>
          <w:rFonts w:hint="eastAsia"/>
          <w:color w:val="auto"/>
        </w:rPr>
        <w:br w:type="page"/>
      </w:r>
      <w:r>
        <w:rPr>
          <w:rFonts w:hint="eastAsia" w:ascii="宋体" w:hAnsi="宋体" w:cs="宋体"/>
          <w:b/>
          <w:bCs/>
          <w:color w:val="auto"/>
          <w:sz w:val="24"/>
        </w:rPr>
        <w:t>磋商须知正文</w:t>
      </w:r>
    </w:p>
    <w:p w14:paraId="7F666B24">
      <w:pPr>
        <w:rPr>
          <w:color w:val="auto"/>
        </w:rPr>
      </w:pPr>
      <w:r>
        <w:rPr>
          <w:rFonts w:hint="eastAsia"/>
          <w:color w:val="auto"/>
        </w:rPr>
        <w:t>一、说明</w:t>
      </w:r>
    </w:p>
    <w:p w14:paraId="6CCE5452">
      <w:pPr>
        <w:rPr>
          <w:color w:val="auto"/>
        </w:rPr>
      </w:pPr>
      <w:r>
        <w:rPr>
          <w:rFonts w:hint="eastAsia"/>
          <w:color w:val="auto"/>
        </w:rPr>
        <w:t>1.适用范围</w:t>
      </w:r>
    </w:p>
    <w:p w14:paraId="4330B35C">
      <w:pPr>
        <w:rPr>
          <w:color w:val="auto"/>
        </w:rPr>
      </w:pPr>
      <w:r>
        <w:rPr>
          <w:rFonts w:hint="eastAsia"/>
          <w:color w:val="auto"/>
        </w:rPr>
        <w:t>1.1 本磋商文件仅适用于磋商须知前附表(以下简称</w:t>
      </w:r>
      <w:r>
        <w:rPr>
          <w:rFonts w:hint="eastAsia"/>
          <w:b/>
          <w:color w:val="auto"/>
        </w:rPr>
        <w:t>磋商须知前附表)</w:t>
      </w:r>
      <w:r>
        <w:rPr>
          <w:rFonts w:hint="eastAsia"/>
          <w:color w:val="auto"/>
        </w:rPr>
        <w:t>中所叙述的采购项目。</w:t>
      </w:r>
    </w:p>
    <w:p w14:paraId="6714E247">
      <w:pPr>
        <w:rPr>
          <w:color w:val="auto"/>
        </w:rPr>
      </w:pPr>
      <w:r>
        <w:rPr>
          <w:rFonts w:hint="eastAsia"/>
          <w:color w:val="auto"/>
        </w:rPr>
        <w:t>2.定义</w:t>
      </w:r>
    </w:p>
    <w:p w14:paraId="764F1CB4">
      <w:pPr>
        <w:rPr>
          <w:b/>
          <w:color w:val="auto"/>
        </w:rPr>
      </w:pPr>
      <w:r>
        <w:rPr>
          <w:rFonts w:hint="eastAsia"/>
          <w:color w:val="auto"/>
        </w:rPr>
        <w:t>2.1 “采购人”是指依法进行采购的国家机关、事业单位、团体组织。本次采购的采购人名称、地址、电话、联系人见</w:t>
      </w:r>
      <w:r>
        <w:rPr>
          <w:rFonts w:hint="eastAsia"/>
          <w:b/>
          <w:color w:val="auto"/>
        </w:rPr>
        <w:t>磋商须知前附表</w:t>
      </w:r>
      <w:r>
        <w:rPr>
          <w:rFonts w:hint="eastAsia"/>
          <w:color w:val="auto"/>
        </w:rPr>
        <w:t>。</w:t>
      </w:r>
    </w:p>
    <w:p w14:paraId="34480EBC">
      <w:pPr>
        <w:rPr>
          <w:b/>
          <w:color w:val="auto"/>
        </w:rPr>
      </w:pPr>
      <w:r>
        <w:rPr>
          <w:rFonts w:hint="eastAsia"/>
          <w:color w:val="auto"/>
        </w:rPr>
        <w:t>2.2 “采购代理机构”是指接受采购人委托，代理采购项目的集中采购机构和其它采购代理机构。本次采购的采购代理机构名称、地址、电话、联系人见</w:t>
      </w:r>
      <w:r>
        <w:rPr>
          <w:rFonts w:hint="eastAsia"/>
          <w:b/>
          <w:color w:val="auto"/>
        </w:rPr>
        <w:t>磋商须知前附表。</w:t>
      </w:r>
    </w:p>
    <w:p w14:paraId="7AE32BBE">
      <w:pPr>
        <w:rPr>
          <w:bCs/>
          <w:color w:val="auto"/>
          <w:kern w:val="36"/>
        </w:rPr>
      </w:pPr>
      <w:r>
        <w:rPr>
          <w:rFonts w:hint="eastAsia"/>
          <w:color w:val="auto"/>
        </w:rPr>
        <w:t>2.3 “供应商”是指响应磋商文件要求、参加竞争性磋商采购的法人、其它组织或者自然人。本次采购项目</w:t>
      </w:r>
      <w:r>
        <w:rPr>
          <w:rFonts w:hint="eastAsia"/>
          <w:color w:val="auto"/>
          <w:kern w:val="0"/>
        </w:rPr>
        <w:t>邀请</w:t>
      </w:r>
      <w:r>
        <w:rPr>
          <w:rFonts w:hint="eastAsia"/>
          <w:color w:val="auto"/>
        </w:rPr>
        <w:t>的</w:t>
      </w:r>
      <w:r>
        <w:rPr>
          <w:rFonts w:hint="eastAsia"/>
          <w:color w:val="auto"/>
          <w:kern w:val="0"/>
        </w:rPr>
        <w:t>供应商通过</w:t>
      </w:r>
      <w:r>
        <w:rPr>
          <w:rFonts w:hint="eastAsia"/>
          <w:b/>
          <w:color w:val="auto"/>
        </w:rPr>
        <w:t>磋商须知前附表</w:t>
      </w:r>
      <w:r>
        <w:rPr>
          <w:rFonts w:hint="eastAsia"/>
          <w:color w:val="auto"/>
        </w:rPr>
        <w:t>所述方式</w:t>
      </w:r>
      <w:r>
        <w:rPr>
          <w:rFonts w:hint="eastAsia"/>
          <w:color w:val="auto"/>
          <w:kern w:val="0"/>
        </w:rPr>
        <w:t>，邀请符合资格条件的供应商提交响应文件（含资格证明资料），参与竞争性磋商采购活动。</w:t>
      </w:r>
    </w:p>
    <w:p w14:paraId="759F12E8">
      <w:pPr>
        <w:rPr>
          <w:color w:val="auto"/>
          <w:kern w:val="0"/>
        </w:rPr>
      </w:pPr>
      <w:r>
        <w:rPr>
          <w:rFonts w:hint="eastAsia"/>
          <w:color w:val="auto"/>
        </w:rPr>
        <w:t>2.4 “磋商小组”是指</w:t>
      </w:r>
      <w:r>
        <w:rPr>
          <w:rFonts w:hint="eastAsia"/>
          <w:color w:val="auto"/>
          <w:kern w:val="0"/>
        </w:rPr>
        <w:t>依据财政部</w:t>
      </w:r>
      <w:r>
        <w:rPr>
          <w:rFonts w:hint="eastAsia"/>
          <w:color w:val="auto"/>
          <w:kern w:val="36"/>
        </w:rPr>
        <w:t>《政府采购竞争性磋商采购方式管理暂行办法》有关规定组建，依法依规</w:t>
      </w:r>
      <w:r>
        <w:rPr>
          <w:rFonts w:hint="eastAsia"/>
          <w:color w:val="auto"/>
          <w:kern w:val="0"/>
        </w:rPr>
        <w:t>履行其职责和义务的机构。</w:t>
      </w:r>
    </w:p>
    <w:p w14:paraId="723C9F45">
      <w:pPr>
        <w:rPr>
          <w:color w:val="auto"/>
        </w:rPr>
      </w:pPr>
      <w:r>
        <w:rPr>
          <w:rFonts w:hint="eastAsia"/>
          <w:color w:val="auto"/>
        </w:rPr>
        <w:t>2.5 “货物”是指各种形态和种类的物品，包括原资料、燃料、设备、产品等，详见《政府采购品目分类目录》(</w:t>
      </w:r>
      <w:r>
        <w:rPr>
          <w:rStyle w:val="46"/>
          <w:rFonts w:hint="eastAsia"/>
          <w:b w:val="0"/>
          <w:color w:val="auto"/>
        </w:rPr>
        <w:t>财库[2013]189号</w:t>
      </w:r>
      <w:r>
        <w:rPr>
          <w:rFonts w:hint="eastAsia"/>
          <w:color w:val="auto"/>
        </w:rPr>
        <w:t>)。</w:t>
      </w:r>
    </w:p>
    <w:p w14:paraId="64D76FA9">
      <w:pPr>
        <w:rPr>
          <w:color w:val="auto"/>
        </w:rPr>
      </w:pPr>
      <w:r>
        <w:rPr>
          <w:rFonts w:hint="eastAsia"/>
          <w:color w:val="auto"/>
        </w:rPr>
        <w:t>2.6 “工程”是指建设工程，包括建筑物和构筑物的新建、改建、扩建、装修、拆除、修缮等，详见《政府采购品目分类目录》(</w:t>
      </w:r>
      <w:r>
        <w:rPr>
          <w:rStyle w:val="46"/>
          <w:rFonts w:hint="eastAsia"/>
          <w:b w:val="0"/>
          <w:color w:val="auto"/>
        </w:rPr>
        <w:t>财库[2013]189号</w:t>
      </w:r>
      <w:r>
        <w:rPr>
          <w:rFonts w:hint="eastAsia"/>
          <w:color w:val="auto"/>
        </w:rPr>
        <w:t>)。</w:t>
      </w:r>
    </w:p>
    <w:p w14:paraId="0790CAE8">
      <w:pPr>
        <w:rPr>
          <w:color w:val="auto"/>
        </w:rPr>
      </w:pPr>
      <w:r>
        <w:rPr>
          <w:rFonts w:hint="eastAsia"/>
          <w:color w:val="auto"/>
        </w:rPr>
        <w:t>2.7 “服务”是指除货物和工程以外的其它采购对象，详见《政府采购品目分类目录》(</w:t>
      </w:r>
      <w:r>
        <w:rPr>
          <w:rStyle w:val="46"/>
          <w:rFonts w:hint="eastAsia"/>
          <w:b w:val="0"/>
          <w:color w:val="auto"/>
        </w:rPr>
        <w:t>财库[2013]189号</w:t>
      </w:r>
      <w:r>
        <w:rPr>
          <w:rFonts w:hint="eastAsia"/>
          <w:color w:val="auto"/>
        </w:rPr>
        <w:t>)。</w:t>
      </w:r>
    </w:p>
    <w:p w14:paraId="798C097E">
      <w:pPr>
        <w:rPr>
          <w:color w:val="auto"/>
        </w:rPr>
      </w:pPr>
      <w:r>
        <w:rPr>
          <w:rFonts w:hint="eastAsia"/>
          <w:color w:val="auto"/>
          <w:kern w:val="0"/>
        </w:rPr>
        <w:t>2.8</w:t>
      </w:r>
      <w:r>
        <w:rPr>
          <w:rFonts w:hint="eastAsia"/>
          <w:color w:val="auto"/>
        </w:rPr>
        <w:t xml:space="preserve"> “节能产品”或者“环保产品”是指财政部发布的《节能产品政府采购品目清单》或者《环境标志产品政府采购品目清单》的产品，“两型产品”是指湖南省财政厅发布的《湖南省两型产品政府采购目录》或《长沙市两型产品目录》的产品。</w:t>
      </w:r>
    </w:p>
    <w:p w14:paraId="331A8FAE">
      <w:pPr>
        <w:rPr>
          <w:color w:val="auto"/>
          <w:kern w:val="0"/>
        </w:rPr>
      </w:pPr>
      <w:r>
        <w:rPr>
          <w:rFonts w:hint="eastAsia"/>
          <w:color w:val="auto"/>
        </w:rPr>
        <w:t>2.9</w:t>
      </w:r>
      <w:r>
        <w:rPr>
          <w:rFonts w:hint="eastAsia"/>
          <w:color w:val="auto"/>
          <w:kern w:val="0"/>
        </w:rPr>
        <w:t xml:space="preserve"> “进口产品”是指通过中国海关报关验放进入中国境内且产自关境外的产品，详见《关于政府采购进口产品管理有关问题的通知》(财库[2007]119号)。</w:t>
      </w:r>
    </w:p>
    <w:p w14:paraId="75E77393">
      <w:pPr>
        <w:rPr>
          <w:color w:val="auto"/>
        </w:rPr>
      </w:pPr>
      <w:r>
        <w:rPr>
          <w:rFonts w:hint="eastAsia"/>
          <w:color w:val="auto"/>
        </w:rPr>
        <w:t>3.供应商的资格要求</w:t>
      </w:r>
    </w:p>
    <w:p w14:paraId="72A07E6B">
      <w:pPr>
        <w:rPr>
          <w:color w:val="auto"/>
        </w:rPr>
      </w:pPr>
      <w:r>
        <w:rPr>
          <w:rFonts w:hint="eastAsia"/>
          <w:color w:val="auto"/>
        </w:rPr>
        <w:t>3.1 供应商应当符合</w:t>
      </w:r>
      <w:r>
        <w:rPr>
          <w:rFonts w:hint="eastAsia"/>
          <w:b/>
          <w:color w:val="auto"/>
        </w:rPr>
        <w:t>磋商须知前附表</w:t>
      </w:r>
      <w:r>
        <w:rPr>
          <w:rFonts w:hint="eastAsia"/>
          <w:color w:val="auto"/>
        </w:rPr>
        <w:t>中规定的资格条件要求。</w:t>
      </w:r>
    </w:p>
    <w:p w14:paraId="60E14E31">
      <w:pPr>
        <w:rPr>
          <w:color w:val="auto"/>
        </w:rPr>
      </w:pPr>
      <w:r>
        <w:rPr>
          <w:rFonts w:hint="eastAsia"/>
          <w:color w:val="auto"/>
        </w:rPr>
        <w:t>3.2供应商为联合体形式的，除应满足本章第3.1款资格条件要求及第3.3款规定外，还应遵守以下规定</w:t>
      </w:r>
      <w:r>
        <w:rPr>
          <w:rFonts w:ascii="Times New Roman" w:hAnsi="Times New Roman"/>
          <w:b/>
          <w:bCs/>
          <w:color w:val="auto"/>
        </w:rPr>
        <w:t>（</w:t>
      </w:r>
      <w:r>
        <w:rPr>
          <w:rFonts w:ascii="Times New Roman" w:hAnsi="Times New Roman"/>
          <w:b/>
          <w:color w:val="auto"/>
        </w:rPr>
        <w:t>注：</w:t>
      </w:r>
      <w:r>
        <w:rPr>
          <w:rFonts w:ascii="Times New Roman" w:hAnsi="Times New Roman"/>
          <w:b/>
          <w:bCs/>
          <w:color w:val="auto"/>
        </w:rPr>
        <w:t>本项目不接受联合体投标，以下规定不适用本项目）</w:t>
      </w:r>
      <w:r>
        <w:rPr>
          <w:rFonts w:hint="eastAsia"/>
          <w:color w:val="auto"/>
        </w:rPr>
        <w:t xml:space="preserve">： </w:t>
      </w:r>
    </w:p>
    <w:p w14:paraId="54D20CF5">
      <w:pPr>
        <w:rPr>
          <w:color w:val="auto"/>
          <w:kern w:val="0"/>
          <w:lang w:val="zh-CN"/>
        </w:rPr>
      </w:pPr>
      <w:r>
        <w:rPr>
          <w:rFonts w:hint="eastAsia"/>
          <w:color w:val="auto"/>
          <w:kern w:val="0"/>
          <w:lang w:val="zh-CN"/>
        </w:rPr>
        <w:t>（1）联合体各方应按磋商文件提供的格式签订联合体协议书，明确联合体牵头人和各方权利义务(含承担工作及工作量比例)；</w:t>
      </w:r>
    </w:p>
    <w:p w14:paraId="0868C1CD">
      <w:pPr>
        <w:rPr>
          <w:color w:val="auto"/>
          <w:kern w:val="0"/>
          <w:lang w:val="zh-CN"/>
        </w:rPr>
      </w:pPr>
      <w:r>
        <w:rPr>
          <w:rFonts w:hint="eastAsia"/>
          <w:color w:val="auto"/>
          <w:kern w:val="0"/>
          <w:lang w:val="zh-CN"/>
        </w:rPr>
        <w:t>（2）联合体中有同类资质的供应商按照联合体分工承担相同工作的，应当按照资质等级较低的供应商确定资质等级；</w:t>
      </w:r>
    </w:p>
    <w:p w14:paraId="4199A607">
      <w:pPr>
        <w:rPr>
          <w:color w:val="auto"/>
          <w:kern w:val="0"/>
          <w:lang w:val="zh-CN"/>
        </w:rPr>
      </w:pPr>
      <w:r>
        <w:rPr>
          <w:rFonts w:hint="eastAsia"/>
          <w:color w:val="auto"/>
          <w:kern w:val="0"/>
          <w:lang w:val="zh-CN"/>
        </w:rPr>
        <w:t>（3）以联合体形式参加采购活动的，联合体各方不得再单独参加或者与其它供应商另外组成联合体参加同一合同项下的采购活动。</w:t>
      </w:r>
    </w:p>
    <w:p w14:paraId="482A6D26">
      <w:pPr>
        <w:rPr>
          <w:color w:val="auto"/>
        </w:rPr>
      </w:pPr>
      <w:r>
        <w:rPr>
          <w:rFonts w:hint="eastAsia"/>
          <w:color w:val="auto"/>
        </w:rPr>
        <w:t>3.3 供应商不得存在下列情形之一：</w:t>
      </w:r>
    </w:p>
    <w:p w14:paraId="7AAD0880">
      <w:pPr>
        <w:rPr>
          <w:color w:val="auto"/>
        </w:rPr>
      </w:pPr>
      <w:r>
        <w:rPr>
          <w:rFonts w:hint="eastAsia"/>
          <w:color w:val="auto"/>
        </w:rPr>
        <w:t>（l）与采购人、采购代理机构存在</w:t>
      </w:r>
      <w:r>
        <w:rPr>
          <w:rFonts w:hint="eastAsia"/>
          <w:bCs/>
          <w:color w:val="auto"/>
        </w:rPr>
        <w:t>隶属关系或者其它利害关系</w:t>
      </w:r>
      <w:r>
        <w:rPr>
          <w:rFonts w:hint="eastAsia"/>
          <w:color w:val="auto"/>
        </w:rPr>
        <w:t>。</w:t>
      </w:r>
    </w:p>
    <w:p w14:paraId="3486B968">
      <w:pPr>
        <w:rPr>
          <w:color w:val="auto"/>
        </w:rPr>
      </w:pPr>
      <w:r>
        <w:rPr>
          <w:rFonts w:hint="eastAsia"/>
          <w:color w:val="auto"/>
        </w:rPr>
        <w:t>（2）与其它供应商的法定代表人（或者负责人）为同一人，或者与其它供应商存在直接控股、管理关系。</w:t>
      </w:r>
    </w:p>
    <w:p w14:paraId="26D3C101">
      <w:pPr>
        <w:rPr>
          <w:color w:val="auto"/>
        </w:rPr>
      </w:pPr>
      <w:r>
        <w:rPr>
          <w:rFonts w:hint="eastAsia"/>
          <w:color w:val="auto"/>
        </w:rPr>
        <w:t>（3）受到刑事处罚，或者受到2</w:t>
      </w:r>
      <w:r>
        <w:rPr>
          <w:color w:val="auto"/>
        </w:rPr>
        <w:t>00</w:t>
      </w:r>
      <w:r>
        <w:rPr>
          <w:rFonts w:hint="eastAsia"/>
          <w:color w:val="auto"/>
        </w:rPr>
        <w:t>万元以上的罚款、责令停产停业、在一至三年内禁止参加采购活动、暂扣或者吊销许可证、暂扣或者吊销执照等情形之一的行政处罚，或者存在财政部门认定的其它重大违法记录。</w:t>
      </w:r>
    </w:p>
    <w:p w14:paraId="5A199C5E">
      <w:pPr>
        <w:rPr>
          <w:color w:val="auto"/>
        </w:rPr>
      </w:pPr>
      <w:r>
        <w:rPr>
          <w:rFonts w:hint="eastAsia"/>
          <w:color w:val="auto"/>
        </w:rPr>
        <w:t xml:space="preserve">4.参与磋商的费用 </w:t>
      </w:r>
    </w:p>
    <w:p w14:paraId="3060D2FD">
      <w:pPr>
        <w:rPr>
          <w:color w:val="auto"/>
        </w:rPr>
      </w:pPr>
      <w:r>
        <w:rPr>
          <w:rFonts w:hint="eastAsia"/>
          <w:color w:val="auto"/>
        </w:rPr>
        <w:t>4.1 无论磋商的结果如何，供应商应自行承担所有与竞争性磋商采购活动有关的全部费用。</w:t>
      </w:r>
    </w:p>
    <w:p w14:paraId="0EDCB2E3">
      <w:pPr>
        <w:pStyle w:val="25"/>
        <w:rPr>
          <w:color w:val="auto"/>
        </w:rPr>
      </w:pPr>
      <w:r>
        <w:rPr>
          <w:rFonts w:hint="eastAsia"/>
          <w:color w:val="auto"/>
        </w:rPr>
        <w:t>5．授权委托</w:t>
      </w:r>
    </w:p>
    <w:p w14:paraId="36912964">
      <w:pPr>
        <w:pStyle w:val="25"/>
        <w:rPr>
          <w:color w:val="auto"/>
        </w:rPr>
      </w:pPr>
      <w:r>
        <w:rPr>
          <w:rFonts w:hint="eastAsia"/>
          <w:color w:val="auto"/>
        </w:rPr>
        <w:t>5.1供应商代表为供应商法定代表人的，应具备法定代表人身份证明。供应商代表不是供应商法定代表人的，应具备法定代表人授权书，并附法定代表人身份证明。</w:t>
      </w:r>
    </w:p>
    <w:p w14:paraId="4659C4FF">
      <w:pPr>
        <w:pStyle w:val="25"/>
        <w:rPr>
          <w:color w:val="auto"/>
        </w:rPr>
      </w:pPr>
      <w:r>
        <w:rPr>
          <w:rFonts w:hint="eastAsia"/>
          <w:color w:val="auto"/>
        </w:rPr>
        <w:t>6．联合体形式</w:t>
      </w:r>
    </w:p>
    <w:p w14:paraId="0EE3D613">
      <w:pPr>
        <w:pStyle w:val="25"/>
        <w:rPr>
          <w:color w:val="auto"/>
        </w:rPr>
      </w:pPr>
      <w:r>
        <w:rPr>
          <w:rFonts w:hint="eastAsia"/>
          <w:color w:val="auto"/>
        </w:rPr>
        <w:t>6.1除</w:t>
      </w:r>
      <w:r>
        <w:rPr>
          <w:rFonts w:hint="eastAsia"/>
          <w:b/>
          <w:color w:val="auto"/>
        </w:rPr>
        <w:t>磋商须知前附表</w:t>
      </w:r>
      <w:r>
        <w:rPr>
          <w:rFonts w:hint="eastAsia"/>
          <w:color w:val="auto"/>
        </w:rPr>
        <w:t>中另有规定，本次谈判采购不接受为联合体形式的供应商。</w:t>
      </w:r>
    </w:p>
    <w:p w14:paraId="49B7612A">
      <w:pPr>
        <w:rPr>
          <w:color w:val="auto"/>
        </w:rPr>
      </w:pPr>
      <w:r>
        <w:rPr>
          <w:rFonts w:hint="eastAsia"/>
          <w:color w:val="auto"/>
        </w:rPr>
        <w:t>6.2供应商为联合体形式的，除应符合本章第3条规定外，还应遵守以下规定：</w:t>
      </w:r>
    </w:p>
    <w:p w14:paraId="0D1878B2">
      <w:pPr>
        <w:rPr>
          <w:color w:val="auto"/>
        </w:rPr>
      </w:pPr>
      <w:r>
        <w:rPr>
          <w:rFonts w:hint="eastAsia"/>
          <w:color w:val="auto"/>
        </w:rPr>
        <w:t>（l）联合体各方必须签订联合体协议书，明确联合体牵头人和各方的义务、工作、合同工作量比例；</w:t>
      </w:r>
    </w:p>
    <w:p w14:paraId="247D8776">
      <w:pPr>
        <w:rPr>
          <w:color w:val="auto"/>
        </w:rPr>
      </w:pPr>
      <w:r>
        <w:rPr>
          <w:rFonts w:hint="eastAsia"/>
          <w:color w:val="auto"/>
        </w:rPr>
        <w:t>（2）联合体各方均应当符合本章第3.1</w:t>
      </w:r>
      <w:r>
        <w:rPr>
          <w:rFonts w:hint="eastAsia"/>
          <w:color w:val="auto"/>
          <w:kern w:val="0"/>
          <w:lang w:val="zh-CN"/>
        </w:rPr>
        <w:t>款</w:t>
      </w:r>
      <w:r>
        <w:rPr>
          <w:rFonts w:hint="eastAsia"/>
          <w:color w:val="auto"/>
        </w:rPr>
        <w:t>规定的供应商基本资格条件；</w:t>
      </w:r>
    </w:p>
    <w:p w14:paraId="70A7B815">
      <w:pPr>
        <w:rPr>
          <w:color w:val="auto"/>
        </w:rPr>
      </w:pPr>
      <w:r>
        <w:rPr>
          <w:rFonts w:hint="eastAsia"/>
          <w:color w:val="auto"/>
        </w:rPr>
        <w:t>（3）除</w:t>
      </w:r>
      <w:r>
        <w:rPr>
          <w:rFonts w:hint="eastAsia"/>
          <w:b/>
          <w:color w:val="auto"/>
        </w:rPr>
        <w:t>磋商须知前附表</w:t>
      </w:r>
      <w:r>
        <w:rPr>
          <w:rFonts w:hint="eastAsia"/>
          <w:color w:val="auto"/>
        </w:rPr>
        <w:t>中另有规定，联合体双方应当符合本章第3.1</w:t>
      </w:r>
      <w:r>
        <w:rPr>
          <w:rFonts w:hint="eastAsia"/>
          <w:color w:val="auto"/>
          <w:kern w:val="0"/>
          <w:lang w:val="zh-CN"/>
        </w:rPr>
        <w:t>款</w:t>
      </w:r>
      <w:r>
        <w:rPr>
          <w:rFonts w:hint="eastAsia"/>
          <w:color w:val="auto"/>
        </w:rPr>
        <w:t>规定的供应商特定资格条件；</w:t>
      </w:r>
    </w:p>
    <w:p w14:paraId="20052A5A">
      <w:pPr>
        <w:rPr>
          <w:color w:val="auto"/>
          <w:kern w:val="0"/>
          <w:lang w:val="zh-CN"/>
        </w:rPr>
      </w:pPr>
      <w:r>
        <w:rPr>
          <w:rFonts w:hint="eastAsia"/>
          <w:color w:val="auto"/>
        </w:rPr>
        <w:t>（4）</w:t>
      </w:r>
      <w:r>
        <w:rPr>
          <w:rFonts w:hint="eastAsia"/>
          <w:color w:val="auto"/>
          <w:kern w:val="0"/>
          <w:lang w:val="zh-CN"/>
        </w:rPr>
        <w:t>联合体各方不得再单独或与其它供应商组成新的联合体参加同一项目的采购活动。</w:t>
      </w:r>
    </w:p>
    <w:p w14:paraId="6105F875">
      <w:pPr>
        <w:rPr>
          <w:color w:val="auto"/>
        </w:rPr>
      </w:pPr>
      <w:r>
        <w:rPr>
          <w:rFonts w:hint="eastAsia"/>
          <w:color w:val="auto"/>
        </w:rPr>
        <w:t>7.现场勘察</w:t>
      </w:r>
    </w:p>
    <w:p w14:paraId="5A0B55EE">
      <w:pPr>
        <w:rPr>
          <w:color w:val="auto"/>
        </w:rPr>
      </w:pPr>
      <w:r>
        <w:rPr>
          <w:rFonts w:hint="eastAsia"/>
          <w:color w:val="auto"/>
        </w:rPr>
        <w:t>7.1供应商应按</w:t>
      </w:r>
      <w:r>
        <w:rPr>
          <w:rFonts w:hint="eastAsia"/>
          <w:b/>
          <w:color w:val="auto"/>
        </w:rPr>
        <w:t>磋商须知前附表</w:t>
      </w:r>
      <w:r>
        <w:rPr>
          <w:rFonts w:hint="eastAsia"/>
          <w:color w:val="auto"/>
        </w:rPr>
        <w:t>中规定对采购项目现场和周围环境的现场考察。</w:t>
      </w:r>
    </w:p>
    <w:p w14:paraId="126001D3">
      <w:pPr>
        <w:rPr>
          <w:color w:val="auto"/>
        </w:rPr>
      </w:pPr>
      <w:r>
        <w:rPr>
          <w:rFonts w:hint="eastAsia"/>
          <w:color w:val="auto"/>
        </w:rPr>
        <w:t>7.2勘察现场的费用由供应商自己承担，勘察期间所发生的人身伤害及财产损失由供应商自己负责。</w:t>
      </w:r>
    </w:p>
    <w:p w14:paraId="7181A02B">
      <w:pPr>
        <w:rPr>
          <w:b/>
          <w:color w:val="auto"/>
        </w:rPr>
      </w:pPr>
      <w:r>
        <w:rPr>
          <w:rFonts w:hint="eastAsia"/>
          <w:color w:val="auto"/>
        </w:rPr>
        <w:t>7.3采购人不对供应商据此而做出的推论、理解和结论负责。一旦成交，供应商不得以任何借口，提出额外补偿，或延长合同期限的要求。</w:t>
      </w:r>
    </w:p>
    <w:p w14:paraId="028C2835">
      <w:pPr>
        <w:rPr>
          <w:color w:val="auto"/>
        </w:rPr>
      </w:pPr>
      <w:r>
        <w:rPr>
          <w:rFonts w:hint="eastAsia"/>
          <w:color w:val="auto"/>
        </w:rPr>
        <w:t>8.采购进口产品</w:t>
      </w:r>
    </w:p>
    <w:p w14:paraId="62A82960">
      <w:pPr>
        <w:rPr>
          <w:color w:val="auto"/>
          <w:kern w:val="0"/>
        </w:rPr>
      </w:pPr>
      <w:r>
        <w:rPr>
          <w:rFonts w:hint="eastAsia"/>
          <w:color w:val="auto"/>
        </w:rPr>
        <w:t>8.1本项目拒绝进口产品</w:t>
      </w:r>
      <w:r>
        <w:rPr>
          <w:color w:val="auto"/>
          <w:kern w:val="0"/>
        </w:rPr>
        <w:t>参加</w:t>
      </w:r>
      <w:r>
        <w:rPr>
          <w:color w:val="auto"/>
        </w:rPr>
        <w:t>竞争性磋商采购活动</w:t>
      </w:r>
      <w:r>
        <w:rPr>
          <w:color w:val="auto"/>
          <w:kern w:val="0"/>
        </w:rPr>
        <w:t>。</w:t>
      </w:r>
    </w:p>
    <w:p w14:paraId="26F02B17">
      <w:pPr>
        <w:rPr>
          <w:color w:val="auto"/>
        </w:rPr>
      </w:pPr>
      <w:r>
        <w:rPr>
          <w:rFonts w:hint="eastAsia"/>
          <w:bCs/>
          <w:color w:val="auto"/>
        </w:rPr>
        <w:t>9.</w:t>
      </w:r>
      <w:r>
        <w:rPr>
          <w:rFonts w:hint="eastAsia"/>
          <w:color w:val="auto"/>
        </w:rPr>
        <w:t xml:space="preserve"> 政府采购政策支持</w:t>
      </w:r>
    </w:p>
    <w:p w14:paraId="06161733">
      <w:pPr>
        <w:rPr>
          <w:color w:val="auto"/>
          <w:kern w:val="0"/>
        </w:rPr>
      </w:pPr>
      <w:r>
        <w:rPr>
          <w:rFonts w:hint="eastAsia"/>
          <w:color w:val="auto"/>
          <w:kern w:val="0"/>
        </w:rPr>
        <w:t>9.1对列入财政部、国家发展改革委发布的《节能产品政府采购品目清单》且属于应当“强制采购的节能产品”，按照规定实行强制采购。实行政府采购强制采购的节能产品见</w:t>
      </w:r>
      <w:r>
        <w:rPr>
          <w:rFonts w:hint="eastAsia"/>
          <w:b/>
          <w:color w:val="auto"/>
          <w:kern w:val="0"/>
        </w:rPr>
        <w:t>磋商文件前附表。</w:t>
      </w:r>
    </w:p>
    <w:p w14:paraId="25DE9CC9">
      <w:pPr>
        <w:pStyle w:val="25"/>
        <w:rPr>
          <w:color w:val="auto"/>
        </w:rPr>
      </w:pPr>
      <w:r>
        <w:rPr>
          <w:rFonts w:hint="eastAsia"/>
          <w:color w:val="auto"/>
          <w:kern w:val="0"/>
        </w:rPr>
        <w:t>9.2对列入财政部、国家发展改革委发布的《节能产品政府采购品目清单》的“非强制采购节能产品”，财政部、环境保护部发布的《环境标志产品政府采购品目清单》的“环境标志产品”，湖南省财政厅、湖南省科学技术厅、湖南省长株潭“两型社会”试验区建设管理委员会发布的《湖南省两型产品政府采购目录》</w:t>
      </w:r>
      <w:r>
        <w:rPr>
          <w:rFonts w:hint="eastAsia"/>
          <w:color w:val="auto"/>
        </w:rPr>
        <w:t>或《长沙市两型产品目录》</w:t>
      </w:r>
      <w:r>
        <w:rPr>
          <w:rFonts w:hint="eastAsia"/>
          <w:color w:val="auto"/>
          <w:kern w:val="0"/>
        </w:rPr>
        <w:t>的“两型产品”以及中小企业，实行优先采购，按照省级以上财政部门有关政策规定，评审时进行价格扣除或加分。实行政府采购优先采购的优惠率见</w:t>
      </w:r>
      <w:r>
        <w:rPr>
          <w:rFonts w:hint="eastAsia"/>
          <w:b/>
          <w:color w:val="auto"/>
          <w:kern w:val="0"/>
        </w:rPr>
        <w:t>磋商文件前附表。</w:t>
      </w:r>
    </w:p>
    <w:p w14:paraId="124B7254">
      <w:pPr>
        <w:rPr>
          <w:color w:val="auto"/>
          <w:kern w:val="0"/>
        </w:rPr>
      </w:pPr>
      <w:r>
        <w:rPr>
          <w:rFonts w:hint="eastAsia"/>
          <w:color w:val="auto"/>
          <w:kern w:val="0"/>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14:paraId="02A15F80">
      <w:pPr>
        <w:rPr>
          <w:color w:val="auto"/>
        </w:rPr>
      </w:pPr>
      <w:r>
        <w:rPr>
          <w:rFonts w:hint="eastAsia"/>
          <w:color w:val="auto"/>
        </w:rPr>
        <w:t>9.4同一项目中部分产品属于优先采购政策的，评审时只对该部分产品的报价实行价格扣除及加分。</w:t>
      </w:r>
    </w:p>
    <w:p w14:paraId="1C2E3595">
      <w:pPr>
        <w:rPr>
          <w:color w:val="auto"/>
        </w:rPr>
      </w:pPr>
      <w:r>
        <w:rPr>
          <w:rFonts w:hint="eastAsia"/>
          <w:color w:val="auto"/>
        </w:rPr>
        <w:t>9.5符合本章第9.1</w:t>
      </w:r>
      <w:r>
        <w:rPr>
          <w:rFonts w:hint="eastAsia"/>
          <w:color w:val="auto"/>
          <w:kern w:val="0"/>
          <w:lang w:val="zh-CN"/>
        </w:rPr>
        <w:t>款、</w:t>
      </w:r>
      <w:r>
        <w:rPr>
          <w:rFonts w:hint="eastAsia"/>
          <w:color w:val="auto"/>
        </w:rPr>
        <w:t>第9.2</w:t>
      </w:r>
      <w:r>
        <w:rPr>
          <w:rFonts w:hint="eastAsia"/>
          <w:color w:val="auto"/>
          <w:kern w:val="0"/>
          <w:lang w:val="zh-CN"/>
        </w:rPr>
        <w:t>款</w:t>
      </w:r>
      <w:r>
        <w:rPr>
          <w:rFonts w:hint="eastAsia"/>
          <w:color w:val="auto"/>
        </w:rPr>
        <w:t>规定的，应提供相关证明资料。</w:t>
      </w:r>
    </w:p>
    <w:p w14:paraId="5957A088">
      <w:pPr>
        <w:rPr>
          <w:color w:val="auto"/>
        </w:rPr>
      </w:pPr>
      <w:r>
        <w:rPr>
          <w:rFonts w:hint="eastAsia"/>
          <w:color w:val="auto"/>
        </w:rPr>
        <w:t>（1）非强制采购节能产品：提供《节能产品政府采购品目清单》证书（复印件）。</w:t>
      </w:r>
    </w:p>
    <w:p w14:paraId="40B993A3">
      <w:pPr>
        <w:rPr>
          <w:color w:val="auto"/>
        </w:rPr>
      </w:pPr>
      <w:r>
        <w:rPr>
          <w:rFonts w:hint="eastAsia"/>
          <w:color w:val="auto"/>
        </w:rPr>
        <w:t>（2）环境标志产品：提供《环境标志产品政府采购品目清单》证书（复印件）。</w:t>
      </w:r>
    </w:p>
    <w:p w14:paraId="646EFB8B">
      <w:pPr>
        <w:rPr>
          <w:color w:val="auto"/>
        </w:rPr>
      </w:pPr>
      <w:r>
        <w:rPr>
          <w:rFonts w:hint="eastAsia"/>
          <w:color w:val="auto"/>
        </w:rPr>
        <w:t>（3）两型产品：提供《湖南省两型产品政府采购目录》、《长沙市两型产品政府采购目录》所在页（截图）。</w:t>
      </w:r>
    </w:p>
    <w:p w14:paraId="187AA7C0">
      <w:pPr>
        <w:rPr>
          <w:color w:val="auto"/>
        </w:rPr>
      </w:pPr>
      <w:r>
        <w:rPr>
          <w:rFonts w:hint="eastAsia"/>
          <w:color w:val="auto"/>
        </w:rPr>
        <w:t>（4）中小企业：按《关于印发＜政府采购促进中小企业发展暂行办法＞的通知》(财库[2011]181号)规定提供《中小企业声明》（格式）。制造商符合小型、微型企业规定的，须与投标人同时出具《中小企业声明》。</w:t>
      </w:r>
    </w:p>
    <w:p w14:paraId="0E96A3D3">
      <w:pPr>
        <w:rPr>
          <w:color w:val="auto"/>
        </w:rPr>
      </w:pPr>
      <w:r>
        <w:rPr>
          <w:rFonts w:hint="eastAsia"/>
          <w:color w:val="auto"/>
        </w:rPr>
        <w:t>（5）监狱企业：按《财政部 司法部关于政府采购支持监狱企业发展有关问题的通知》(财库〔2014〕68号)文件规定提供证明文件（复印件）。</w:t>
      </w:r>
    </w:p>
    <w:p w14:paraId="56741F62">
      <w:pPr>
        <w:rPr>
          <w:color w:val="auto"/>
        </w:rPr>
      </w:pPr>
      <w:r>
        <w:rPr>
          <w:rFonts w:hint="eastAsia"/>
          <w:color w:val="auto"/>
        </w:rPr>
        <w:t>（6）残疾人福利性单位：按《三部门联合发布关于促进残疾人就业政府采购政策的通知》(财库〔2017〕141号)文件规定提供《残疾人福利性单位声明函》（格式）。</w:t>
      </w:r>
    </w:p>
    <w:p w14:paraId="0D96881B">
      <w:pPr>
        <w:rPr>
          <w:color w:val="auto"/>
        </w:rPr>
      </w:pPr>
      <w:r>
        <w:rPr>
          <w:rFonts w:hint="eastAsia"/>
          <w:color w:val="auto"/>
        </w:rPr>
        <w:t>9.6供应商有融资、担保需求的，具体办理流程可向</w:t>
      </w:r>
      <w:r>
        <w:rPr>
          <w:rFonts w:hint="eastAsia"/>
          <w:b/>
          <w:color w:val="auto"/>
        </w:rPr>
        <w:t>磋商须知前附表</w:t>
      </w:r>
      <w:r>
        <w:rPr>
          <w:rFonts w:hint="eastAsia"/>
          <w:color w:val="auto"/>
        </w:rPr>
        <w:t>所列金融机构和担保机构询问。</w:t>
      </w:r>
    </w:p>
    <w:p w14:paraId="34475050">
      <w:pPr>
        <w:rPr>
          <w:color w:val="auto"/>
        </w:rPr>
      </w:pPr>
      <w:r>
        <w:rPr>
          <w:rFonts w:hint="eastAsia"/>
          <w:color w:val="auto"/>
        </w:rPr>
        <w:t>二、磋商文件</w:t>
      </w:r>
    </w:p>
    <w:p w14:paraId="6542A746">
      <w:pPr>
        <w:rPr>
          <w:color w:val="auto"/>
        </w:rPr>
      </w:pPr>
      <w:r>
        <w:rPr>
          <w:rFonts w:hint="eastAsia"/>
          <w:color w:val="auto"/>
        </w:rPr>
        <w:t>10．磋商文件的组成</w:t>
      </w:r>
    </w:p>
    <w:p w14:paraId="7B6C45FE">
      <w:pPr>
        <w:pStyle w:val="25"/>
        <w:rPr>
          <w:color w:val="auto"/>
        </w:rPr>
      </w:pPr>
      <w:r>
        <w:rPr>
          <w:rFonts w:hint="eastAsia"/>
          <w:color w:val="auto"/>
        </w:rPr>
        <w:t>10.1 磋商文件由下列文件组成：</w:t>
      </w:r>
    </w:p>
    <w:p w14:paraId="0F1521BC">
      <w:pPr>
        <w:pStyle w:val="25"/>
        <w:rPr>
          <w:color w:val="auto"/>
        </w:rPr>
      </w:pPr>
      <w:r>
        <w:rPr>
          <w:rFonts w:hint="eastAsia"/>
          <w:color w:val="auto"/>
        </w:rPr>
        <w:t>第一章 磋商邀请</w:t>
      </w:r>
    </w:p>
    <w:p w14:paraId="79CEA833">
      <w:pPr>
        <w:pStyle w:val="25"/>
        <w:rPr>
          <w:color w:val="auto"/>
        </w:rPr>
      </w:pPr>
      <w:r>
        <w:rPr>
          <w:rFonts w:hint="eastAsia"/>
          <w:color w:val="auto"/>
        </w:rPr>
        <w:t>第二章 磋商须知</w:t>
      </w:r>
    </w:p>
    <w:p w14:paraId="6D2B995E">
      <w:pPr>
        <w:pStyle w:val="25"/>
        <w:rPr>
          <w:color w:val="auto"/>
        </w:rPr>
      </w:pPr>
      <w:r>
        <w:rPr>
          <w:rFonts w:hint="eastAsia"/>
          <w:color w:val="auto"/>
        </w:rPr>
        <w:t>第三章 采购合同格式条款</w:t>
      </w:r>
    </w:p>
    <w:p w14:paraId="17B68BA9">
      <w:pPr>
        <w:pStyle w:val="25"/>
        <w:rPr>
          <w:color w:val="auto"/>
        </w:rPr>
      </w:pPr>
      <w:r>
        <w:rPr>
          <w:rFonts w:hint="eastAsia"/>
          <w:color w:val="auto"/>
        </w:rPr>
        <w:t>第四章 采购需求</w:t>
      </w:r>
    </w:p>
    <w:p w14:paraId="383C5F0C">
      <w:pPr>
        <w:pStyle w:val="25"/>
        <w:rPr>
          <w:color w:val="auto"/>
        </w:rPr>
      </w:pPr>
      <w:r>
        <w:rPr>
          <w:rFonts w:hint="eastAsia"/>
          <w:color w:val="auto"/>
        </w:rPr>
        <w:t>第五章 响应文件组成</w:t>
      </w:r>
    </w:p>
    <w:p w14:paraId="32169349">
      <w:pPr>
        <w:pStyle w:val="25"/>
        <w:rPr>
          <w:color w:val="auto"/>
          <w:kern w:val="0"/>
        </w:rPr>
      </w:pPr>
      <w:r>
        <w:rPr>
          <w:rFonts w:hint="eastAsia"/>
          <w:color w:val="auto"/>
        </w:rPr>
        <w:t>10.2</w:t>
      </w:r>
      <w:r>
        <w:rPr>
          <w:rFonts w:hint="eastAsia"/>
          <w:color w:val="auto"/>
          <w:kern w:val="0"/>
        </w:rPr>
        <w:t>磋商小组根据与供应商磋商情况可能实质性变动的内容，包括采购需求中的技术、服务要求以及合同条款，</w:t>
      </w:r>
      <w:r>
        <w:rPr>
          <w:rFonts w:hint="eastAsia"/>
          <w:color w:val="auto"/>
        </w:rPr>
        <w:t>在</w:t>
      </w:r>
      <w:r>
        <w:rPr>
          <w:rFonts w:hint="eastAsia"/>
          <w:b/>
          <w:color w:val="auto"/>
        </w:rPr>
        <w:t>磋商须知前附表</w:t>
      </w:r>
      <w:r>
        <w:rPr>
          <w:rFonts w:hint="eastAsia"/>
          <w:color w:val="auto"/>
        </w:rPr>
        <w:t>中明确。</w:t>
      </w:r>
    </w:p>
    <w:p w14:paraId="18DF7BB3">
      <w:pPr>
        <w:rPr>
          <w:color w:val="auto"/>
        </w:rPr>
      </w:pPr>
      <w:r>
        <w:rPr>
          <w:rFonts w:hint="eastAsia"/>
          <w:color w:val="auto"/>
        </w:rPr>
        <w:t>10.3供应商应仔细阅读</w:t>
      </w:r>
      <w:r>
        <w:rPr>
          <w:rFonts w:hint="eastAsia"/>
          <w:bCs/>
          <w:color w:val="auto"/>
        </w:rPr>
        <w:t>磋商</w:t>
      </w:r>
      <w:r>
        <w:rPr>
          <w:rFonts w:hint="eastAsia"/>
          <w:color w:val="auto"/>
        </w:rPr>
        <w:t>文件的全部内容，按照</w:t>
      </w:r>
      <w:r>
        <w:rPr>
          <w:rFonts w:hint="eastAsia"/>
          <w:bCs/>
          <w:color w:val="auto"/>
        </w:rPr>
        <w:t>磋商</w:t>
      </w:r>
      <w:r>
        <w:rPr>
          <w:rFonts w:hint="eastAsia"/>
          <w:color w:val="auto"/>
        </w:rPr>
        <w:t>文件要求编制响应文件。任何对</w:t>
      </w:r>
      <w:r>
        <w:rPr>
          <w:rFonts w:hint="eastAsia"/>
          <w:bCs/>
          <w:color w:val="auto"/>
        </w:rPr>
        <w:t>磋商</w:t>
      </w:r>
      <w:r>
        <w:rPr>
          <w:rFonts w:hint="eastAsia"/>
          <w:color w:val="auto"/>
        </w:rPr>
        <w:t>文件的忽略或误解不能作为响应文件存在缺陷或瑕疵的理由，其风险由供应商承担。</w:t>
      </w:r>
    </w:p>
    <w:p w14:paraId="6BB009CA">
      <w:pPr>
        <w:rPr>
          <w:color w:val="auto"/>
        </w:rPr>
      </w:pPr>
      <w:r>
        <w:rPr>
          <w:rFonts w:hint="eastAsia"/>
          <w:color w:val="auto"/>
        </w:rPr>
        <w:t>11.磋商文件的提供期限</w:t>
      </w:r>
    </w:p>
    <w:p w14:paraId="1CC7F65F">
      <w:pPr>
        <w:rPr>
          <w:color w:val="auto"/>
        </w:rPr>
      </w:pPr>
      <w:r>
        <w:rPr>
          <w:rFonts w:hint="eastAsia"/>
          <w:color w:val="auto"/>
        </w:rPr>
        <w:t>11.1磋商文件的提供期限自开始发出之日起不得少于五个工作日。具体提供期限见</w:t>
      </w:r>
      <w:r>
        <w:rPr>
          <w:rFonts w:hint="eastAsia"/>
          <w:b/>
          <w:color w:val="auto"/>
        </w:rPr>
        <w:t>磋商文件前附表</w:t>
      </w:r>
      <w:r>
        <w:rPr>
          <w:rFonts w:hint="eastAsia"/>
          <w:color w:val="auto"/>
        </w:rPr>
        <w:t>。</w:t>
      </w:r>
    </w:p>
    <w:p w14:paraId="2BC1D78B">
      <w:pPr>
        <w:rPr>
          <w:color w:val="auto"/>
        </w:rPr>
      </w:pPr>
      <w:r>
        <w:rPr>
          <w:rFonts w:hint="eastAsia"/>
          <w:color w:val="auto"/>
        </w:rPr>
        <w:t>11.2供应商应持</w:t>
      </w:r>
      <w:r>
        <w:rPr>
          <w:rFonts w:hint="eastAsia"/>
          <w:b/>
          <w:color w:val="auto"/>
        </w:rPr>
        <w:t>磋商文件前附表</w:t>
      </w:r>
      <w:r>
        <w:rPr>
          <w:rFonts w:hint="eastAsia"/>
          <w:color w:val="auto"/>
        </w:rPr>
        <w:t>规定的资料领取或购买磋商文件。</w:t>
      </w:r>
    </w:p>
    <w:p w14:paraId="5586DE80">
      <w:pPr>
        <w:pStyle w:val="25"/>
        <w:rPr>
          <w:color w:val="auto"/>
        </w:rPr>
      </w:pPr>
      <w:r>
        <w:rPr>
          <w:rFonts w:hint="eastAsia"/>
          <w:color w:val="auto"/>
        </w:rPr>
        <w:t>12.</w:t>
      </w:r>
      <w:r>
        <w:rPr>
          <w:rFonts w:hint="eastAsia"/>
          <w:color w:val="auto"/>
          <w:kern w:val="0"/>
        </w:rPr>
        <w:t>提交首次响应文件</w:t>
      </w:r>
      <w:r>
        <w:rPr>
          <w:rFonts w:hint="eastAsia"/>
          <w:color w:val="auto"/>
        </w:rPr>
        <w:t>的</w:t>
      </w:r>
      <w:r>
        <w:rPr>
          <w:rFonts w:hint="eastAsia"/>
          <w:color w:val="auto"/>
          <w:kern w:val="0"/>
        </w:rPr>
        <w:t>截止</w:t>
      </w:r>
      <w:r>
        <w:rPr>
          <w:rFonts w:hint="eastAsia"/>
          <w:color w:val="auto"/>
        </w:rPr>
        <w:t>时间</w:t>
      </w:r>
    </w:p>
    <w:p w14:paraId="4CF3C486">
      <w:pPr>
        <w:pStyle w:val="25"/>
        <w:rPr>
          <w:color w:val="auto"/>
        </w:rPr>
      </w:pPr>
      <w:r>
        <w:rPr>
          <w:rFonts w:hint="eastAsia"/>
          <w:color w:val="auto"/>
        </w:rPr>
        <w:t>12.1</w:t>
      </w:r>
      <w:r>
        <w:rPr>
          <w:rFonts w:hint="eastAsia"/>
          <w:color w:val="auto"/>
          <w:kern w:val="0"/>
        </w:rPr>
        <w:t>供应商提交首次响应文件截止</w:t>
      </w:r>
      <w:r>
        <w:rPr>
          <w:rFonts w:hint="eastAsia"/>
          <w:color w:val="auto"/>
        </w:rPr>
        <w:t>时间见</w:t>
      </w:r>
      <w:r>
        <w:rPr>
          <w:rFonts w:hint="eastAsia"/>
          <w:b/>
          <w:color w:val="auto"/>
        </w:rPr>
        <w:t>磋商须知前附表</w:t>
      </w:r>
      <w:r>
        <w:rPr>
          <w:rFonts w:hint="eastAsia"/>
          <w:color w:val="auto"/>
        </w:rPr>
        <w:t>。</w:t>
      </w:r>
    </w:p>
    <w:p w14:paraId="63275A5E">
      <w:pPr>
        <w:rPr>
          <w:color w:val="auto"/>
        </w:rPr>
      </w:pPr>
      <w:r>
        <w:rPr>
          <w:rFonts w:hint="eastAsia"/>
          <w:color w:val="auto"/>
        </w:rPr>
        <w:t>13.磋商文件的澄清</w:t>
      </w:r>
      <w:r>
        <w:rPr>
          <w:rFonts w:hint="eastAsia"/>
          <w:color w:val="auto"/>
          <w:kern w:val="0"/>
          <w:lang w:val="zh-CN"/>
        </w:rPr>
        <w:t>或者</w:t>
      </w:r>
      <w:r>
        <w:rPr>
          <w:rFonts w:hint="eastAsia"/>
          <w:color w:val="auto"/>
        </w:rPr>
        <w:t>修改</w:t>
      </w:r>
    </w:p>
    <w:p w14:paraId="765DBE56">
      <w:pPr>
        <w:rPr>
          <w:color w:val="auto"/>
          <w:kern w:val="0"/>
        </w:rPr>
      </w:pPr>
      <w:r>
        <w:rPr>
          <w:rFonts w:hint="eastAsia"/>
          <w:color w:val="auto"/>
        </w:rPr>
        <w:t>13.1在</w:t>
      </w:r>
      <w:r>
        <w:rPr>
          <w:rFonts w:hint="eastAsia"/>
          <w:color w:val="auto"/>
          <w:kern w:val="0"/>
        </w:rPr>
        <w:t xml:space="preserve">提交首次响应文件截止之日前，采购人、采购代理机构可以对已发出的磋商文件进行必要的澄清或者修改。 </w:t>
      </w:r>
    </w:p>
    <w:p w14:paraId="0A180C11">
      <w:pPr>
        <w:rPr>
          <w:color w:val="auto"/>
          <w:kern w:val="0"/>
        </w:rPr>
      </w:pPr>
      <w:r>
        <w:rPr>
          <w:rFonts w:hint="eastAsia"/>
          <w:color w:val="auto"/>
        </w:rPr>
        <w:t>13.2</w:t>
      </w:r>
      <w:r>
        <w:rPr>
          <w:rFonts w:hint="eastAsia"/>
          <w:color w:val="auto"/>
          <w:kern w:val="0"/>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41EDF59A">
      <w:pPr>
        <w:pStyle w:val="25"/>
        <w:rPr>
          <w:color w:val="auto"/>
        </w:rPr>
      </w:pPr>
      <w:r>
        <w:rPr>
          <w:rFonts w:hint="eastAsia"/>
          <w:color w:val="auto"/>
        </w:rPr>
        <w:t>13.2</w:t>
      </w:r>
      <w:r>
        <w:rPr>
          <w:rFonts w:hint="eastAsia"/>
          <w:color w:val="auto"/>
          <w:kern w:val="0"/>
        </w:rPr>
        <w:t>提交首次响应文件截止时间前对磋商文件澄清或者修改内容，为磋商文件的组成部分。</w:t>
      </w:r>
    </w:p>
    <w:p w14:paraId="5A7EFA46">
      <w:pPr>
        <w:rPr>
          <w:color w:val="auto"/>
        </w:rPr>
      </w:pPr>
      <w:r>
        <w:rPr>
          <w:rFonts w:hint="eastAsia"/>
          <w:color w:val="auto"/>
        </w:rPr>
        <w:t>三、响应文件</w:t>
      </w:r>
    </w:p>
    <w:p w14:paraId="10410B19">
      <w:pPr>
        <w:rPr>
          <w:color w:val="auto"/>
        </w:rPr>
      </w:pPr>
      <w:r>
        <w:rPr>
          <w:rFonts w:hint="eastAsia"/>
          <w:color w:val="auto"/>
        </w:rPr>
        <w:t>14.一般要求</w:t>
      </w:r>
    </w:p>
    <w:p w14:paraId="3146AC1B">
      <w:pPr>
        <w:rPr>
          <w:color w:val="auto"/>
        </w:rPr>
      </w:pPr>
      <w:r>
        <w:rPr>
          <w:rFonts w:hint="eastAsia"/>
          <w:color w:val="auto"/>
        </w:rPr>
        <w:t>14.1 供应商应仔细阅读磋商文件的所有内容，按磋商文件的要求编制响应文件，并保证所提供的全部资料的真实性，以使其响应文件对磋商文件做出实质性的响应。</w:t>
      </w:r>
    </w:p>
    <w:p w14:paraId="149D2170">
      <w:pPr>
        <w:rPr>
          <w:bCs/>
          <w:color w:val="auto"/>
        </w:rPr>
      </w:pPr>
      <w:r>
        <w:rPr>
          <w:rFonts w:hint="eastAsia"/>
          <w:bCs/>
          <w:color w:val="auto"/>
        </w:rPr>
        <w:t xml:space="preserve">14.2 </w:t>
      </w:r>
      <w:r>
        <w:rPr>
          <w:rFonts w:hint="eastAsia"/>
          <w:color w:val="auto"/>
        </w:rPr>
        <w:t>供应商提交的响应文件及供应商与采购人或采购代理机构、磋商小组就有关磋商的所有来往函电均使用中文。供应商可以提交其它语言的资料，但应附中文注释，在有差异时以中文为准。</w:t>
      </w:r>
    </w:p>
    <w:p w14:paraId="27C428D2">
      <w:pPr>
        <w:pStyle w:val="25"/>
        <w:rPr>
          <w:color w:val="auto"/>
        </w:rPr>
      </w:pPr>
      <w:r>
        <w:rPr>
          <w:rFonts w:hint="eastAsia"/>
          <w:bCs/>
          <w:color w:val="auto"/>
        </w:rPr>
        <w:t xml:space="preserve">14.3 </w:t>
      </w:r>
      <w:r>
        <w:rPr>
          <w:rFonts w:hint="eastAsia"/>
          <w:color w:val="auto"/>
        </w:rPr>
        <w:t>计量单位应使用我国法定计量单位，未列明时应默认为我国法定计量单位。</w:t>
      </w:r>
    </w:p>
    <w:p w14:paraId="0262EC6F">
      <w:pPr>
        <w:pStyle w:val="25"/>
        <w:rPr>
          <w:color w:val="auto"/>
        </w:rPr>
      </w:pPr>
      <w:r>
        <w:rPr>
          <w:rFonts w:hint="eastAsia"/>
          <w:color w:val="auto"/>
        </w:rPr>
        <w:t>14.4 响应文件应采用书面形式，电报、传真、电子邮件形式的响应文件概不接受。</w:t>
      </w:r>
    </w:p>
    <w:p w14:paraId="228C7956">
      <w:pPr>
        <w:rPr>
          <w:color w:val="auto"/>
        </w:rPr>
      </w:pPr>
      <w:r>
        <w:rPr>
          <w:rFonts w:hint="eastAsia"/>
          <w:color w:val="auto"/>
        </w:rPr>
        <w:t>14.5 供应商应按磋商文件中提供的响应文件格式填写。</w:t>
      </w:r>
    </w:p>
    <w:p w14:paraId="555B0B4E">
      <w:pPr>
        <w:rPr>
          <w:color w:val="auto"/>
        </w:rPr>
      </w:pPr>
      <w:r>
        <w:rPr>
          <w:rFonts w:hint="eastAsia"/>
          <w:color w:val="auto"/>
        </w:rPr>
        <w:t>15.响应文件的组成</w:t>
      </w:r>
    </w:p>
    <w:p w14:paraId="702DFC0D">
      <w:pPr>
        <w:rPr>
          <w:color w:val="auto"/>
          <w:szCs w:val="21"/>
        </w:rPr>
      </w:pPr>
      <w:r>
        <w:rPr>
          <w:rFonts w:hint="eastAsia"/>
          <w:color w:val="auto"/>
        </w:rPr>
        <w:t>15.1 响应文件包括下列内容：</w:t>
      </w:r>
    </w:p>
    <w:p w14:paraId="498B7423">
      <w:pPr>
        <w:pStyle w:val="25"/>
        <w:rPr>
          <w:color w:val="auto"/>
        </w:rPr>
      </w:pPr>
      <w:r>
        <w:rPr>
          <w:rFonts w:hint="eastAsia"/>
          <w:color w:val="auto"/>
        </w:rPr>
        <w:t>（1）磋商响应声明</w:t>
      </w:r>
    </w:p>
    <w:p w14:paraId="257EC490">
      <w:pPr>
        <w:pStyle w:val="25"/>
        <w:rPr>
          <w:color w:val="auto"/>
        </w:rPr>
      </w:pPr>
      <w:r>
        <w:rPr>
          <w:rFonts w:hint="eastAsia"/>
          <w:color w:val="auto"/>
        </w:rPr>
        <w:t>（2）供应商的资格证明文件</w:t>
      </w:r>
    </w:p>
    <w:p w14:paraId="7D923970">
      <w:pPr>
        <w:pStyle w:val="25"/>
        <w:rPr>
          <w:color w:val="auto"/>
        </w:rPr>
      </w:pPr>
      <w:r>
        <w:rPr>
          <w:rFonts w:hint="eastAsia"/>
          <w:color w:val="auto"/>
        </w:rPr>
        <w:t>（3）服务方案</w:t>
      </w:r>
    </w:p>
    <w:p w14:paraId="0F2FBC0B">
      <w:pPr>
        <w:pStyle w:val="25"/>
        <w:rPr>
          <w:color w:val="auto"/>
        </w:rPr>
      </w:pPr>
      <w:r>
        <w:rPr>
          <w:rFonts w:hint="eastAsia"/>
          <w:color w:val="auto"/>
        </w:rPr>
        <w:t>（4）技术/商务响应与偏离表</w:t>
      </w:r>
    </w:p>
    <w:p w14:paraId="1BBEDD0B">
      <w:pPr>
        <w:pStyle w:val="25"/>
        <w:rPr>
          <w:color w:val="auto"/>
        </w:rPr>
      </w:pPr>
      <w:r>
        <w:rPr>
          <w:rFonts w:hint="eastAsia"/>
          <w:color w:val="auto"/>
        </w:rPr>
        <w:t>（</w:t>
      </w:r>
      <w:r>
        <w:rPr>
          <w:rFonts w:hint="eastAsia"/>
          <w:color w:val="auto"/>
          <w:lang w:val="en-US" w:eastAsia="zh-CN"/>
        </w:rPr>
        <w:t>5</w:t>
      </w:r>
      <w:r>
        <w:rPr>
          <w:rFonts w:hint="eastAsia"/>
          <w:color w:val="auto"/>
        </w:rPr>
        <w:t>）报价一览表</w:t>
      </w:r>
      <w:r>
        <w:rPr>
          <w:rFonts w:hint="eastAsia" w:ascii="Times New Roman" w:hAnsi="Times New Roman" w:cs="Times New Roman"/>
          <w:color w:val="auto"/>
        </w:rPr>
        <w:t>及报价文件</w:t>
      </w:r>
    </w:p>
    <w:p w14:paraId="63830131">
      <w:pPr>
        <w:pStyle w:val="25"/>
        <w:rPr>
          <w:color w:val="auto"/>
        </w:rPr>
      </w:pPr>
      <w:r>
        <w:rPr>
          <w:rFonts w:hint="eastAsia"/>
          <w:color w:val="auto"/>
        </w:rPr>
        <w:t>（</w:t>
      </w:r>
      <w:r>
        <w:rPr>
          <w:rFonts w:hint="eastAsia"/>
          <w:color w:val="auto"/>
          <w:lang w:val="en-US" w:eastAsia="zh-CN"/>
        </w:rPr>
        <w:t>6</w:t>
      </w:r>
      <w:r>
        <w:rPr>
          <w:rFonts w:hint="eastAsia"/>
          <w:color w:val="auto"/>
        </w:rPr>
        <w:t>）供应商认为需提供的其它资料</w:t>
      </w:r>
    </w:p>
    <w:p w14:paraId="4564A04C">
      <w:pPr>
        <w:pStyle w:val="25"/>
        <w:rPr>
          <w:color w:val="auto"/>
        </w:rPr>
      </w:pPr>
      <w:r>
        <w:rPr>
          <w:rFonts w:hint="eastAsia"/>
          <w:color w:val="auto"/>
        </w:rPr>
        <w:t>（</w:t>
      </w:r>
      <w:r>
        <w:rPr>
          <w:rFonts w:hint="eastAsia"/>
          <w:color w:val="auto"/>
          <w:lang w:val="en-US" w:eastAsia="zh-CN"/>
        </w:rPr>
        <w:t>7</w:t>
      </w:r>
      <w:r>
        <w:rPr>
          <w:rFonts w:hint="eastAsia"/>
          <w:color w:val="auto"/>
        </w:rPr>
        <w:t>）最后报价</w:t>
      </w:r>
    </w:p>
    <w:p w14:paraId="1D061B0C">
      <w:pPr>
        <w:rPr>
          <w:color w:val="auto"/>
        </w:rPr>
      </w:pPr>
      <w:r>
        <w:rPr>
          <w:rFonts w:hint="eastAsia"/>
          <w:color w:val="auto"/>
        </w:rPr>
        <w:t>15.2在磋商过程中，</w:t>
      </w:r>
      <w:r>
        <w:rPr>
          <w:rFonts w:hint="eastAsia"/>
          <w:color w:val="auto"/>
          <w:szCs w:val="21"/>
        </w:rPr>
        <w:t>供应商</w:t>
      </w:r>
      <w:r>
        <w:rPr>
          <w:rFonts w:hint="eastAsia"/>
          <w:color w:val="auto"/>
        </w:rPr>
        <w:t>根据</w:t>
      </w:r>
      <w:r>
        <w:rPr>
          <w:rFonts w:hint="eastAsia"/>
          <w:color w:val="auto"/>
          <w:kern w:val="0"/>
          <w:szCs w:val="21"/>
        </w:rPr>
        <w:t>磋商小组</w:t>
      </w:r>
      <w:r>
        <w:rPr>
          <w:rFonts w:hint="eastAsia"/>
          <w:bCs/>
          <w:color w:val="auto"/>
          <w:szCs w:val="21"/>
        </w:rPr>
        <w:t>书面形式要求</w:t>
      </w:r>
      <w:r>
        <w:rPr>
          <w:rFonts w:hint="eastAsia"/>
          <w:color w:val="auto"/>
          <w:kern w:val="0"/>
          <w:szCs w:val="21"/>
        </w:rPr>
        <w:t>提交的</w:t>
      </w:r>
      <w:r>
        <w:rPr>
          <w:rFonts w:hint="eastAsia"/>
          <w:color w:val="auto"/>
        </w:rPr>
        <w:t>最后报价(或者</w:t>
      </w:r>
      <w:r>
        <w:rPr>
          <w:rFonts w:hint="eastAsia"/>
          <w:bCs/>
          <w:color w:val="auto"/>
          <w:szCs w:val="21"/>
        </w:rPr>
        <w:t>重</w:t>
      </w:r>
      <w:r>
        <w:rPr>
          <w:rFonts w:hint="eastAsia"/>
          <w:color w:val="auto"/>
          <w:kern w:val="0"/>
          <w:szCs w:val="21"/>
        </w:rPr>
        <w:t>新提交的响应文件和</w:t>
      </w:r>
      <w:r>
        <w:rPr>
          <w:rFonts w:hint="eastAsia"/>
          <w:color w:val="auto"/>
        </w:rPr>
        <w:t>最后报价)是</w:t>
      </w:r>
      <w:r>
        <w:rPr>
          <w:rFonts w:hint="eastAsia"/>
          <w:color w:val="auto"/>
          <w:szCs w:val="21"/>
        </w:rPr>
        <w:t>响应文件</w:t>
      </w:r>
      <w:r>
        <w:rPr>
          <w:rFonts w:hint="eastAsia"/>
          <w:color w:val="auto"/>
        </w:rPr>
        <w:t>的有效组成部分。</w:t>
      </w:r>
    </w:p>
    <w:p w14:paraId="3094DF9F">
      <w:pPr>
        <w:rPr>
          <w:b/>
          <w:color w:val="auto"/>
        </w:rPr>
      </w:pPr>
      <w:r>
        <w:rPr>
          <w:rFonts w:hint="eastAsia"/>
          <w:color w:val="auto"/>
        </w:rPr>
        <w:t>15.3</w:t>
      </w:r>
      <w:r>
        <w:rPr>
          <w:rFonts w:hint="eastAsia"/>
          <w:color w:val="auto"/>
          <w:kern w:val="0"/>
          <w:szCs w:val="21"/>
        </w:rPr>
        <w:t>磋商文件规定可能发生实质性变动的，供应商应当在</w:t>
      </w:r>
      <w:r>
        <w:rPr>
          <w:rFonts w:hint="eastAsia"/>
          <w:color w:val="auto"/>
        </w:rPr>
        <w:t>《技术/商务响应与偏离表》中对应内容注明。</w:t>
      </w:r>
    </w:p>
    <w:p w14:paraId="5B6BC927">
      <w:pPr>
        <w:rPr>
          <w:color w:val="auto"/>
        </w:rPr>
      </w:pPr>
      <w:r>
        <w:rPr>
          <w:rFonts w:hint="eastAsia"/>
          <w:color w:val="auto"/>
        </w:rPr>
        <w:t>15.4根据《政府采购法》第四十二条的规定，供应商无论成交与否，其响应文件不予退还。</w:t>
      </w:r>
    </w:p>
    <w:p w14:paraId="4EE51C38">
      <w:pPr>
        <w:rPr>
          <w:color w:val="auto"/>
        </w:rPr>
      </w:pPr>
      <w:r>
        <w:rPr>
          <w:rFonts w:hint="eastAsia"/>
          <w:color w:val="auto"/>
        </w:rPr>
        <w:t>16.报价</w:t>
      </w:r>
    </w:p>
    <w:p w14:paraId="31A2C3C1">
      <w:pPr>
        <w:pStyle w:val="25"/>
        <w:rPr>
          <w:color w:val="auto"/>
        </w:rPr>
      </w:pPr>
      <w:r>
        <w:rPr>
          <w:rFonts w:hint="eastAsia"/>
          <w:color w:val="auto"/>
        </w:rPr>
        <w:t>16.1采购项目预算或其计算方法见</w:t>
      </w:r>
      <w:r>
        <w:rPr>
          <w:rFonts w:hint="eastAsia"/>
          <w:b/>
          <w:color w:val="auto"/>
        </w:rPr>
        <w:t>磋商须知前附表</w:t>
      </w:r>
      <w:r>
        <w:rPr>
          <w:rFonts w:hint="eastAsia"/>
          <w:color w:val="auto"/>
        </w:rPr>
        <w:t>。</w:t>
      </w:r>
    </w:p>
    <w:p w14:paraId="7D136009">
      <w:pPr>
        <w:pStyle w:val="159"/>
        <w:rPr>
          <w:color w:val="auto"/>
        </w:rPr>
      </w:pPr>
      <w:r>
        <w:rPr>
          <w:rFonts w:hint="eastAsia"/>
          <w:color w:val="auto"/>
        </w:rPr>
        <w:t>16.2供应商应按第五章 响应文件组成格式填写。</w:t>
      </w:r>
    </w:p>
    <w:p w14:paraId="59210C91">
      <w:pPr>
        <w:pStyle w:val="25"/>
        <w:rPr>
          <w:color w:val="auto"/>
        </w:rPr>
      </w:pPr>
      <w:r>
        <w:rPr>
          <w:rFonts w:hint="eastAsia"/>
          <w:color w:val="auto"/>
        </w:rPr>
        <w:t>16.3响应文件中标明的价格在合同执行过程中是固定不变的，不得以任何理由予以变更。以可变动价格提交的报价将被认为是非实质响应而被拒绝。</w:t>
      </w:r>
    </w:p>
    <w:p w14:paraId="64A35346">
      <w:pPr>
        <w:pStyle w:val="25"/>
        <w:rPr>
          <w:color w:val="auto"/>
        </w:rPr>
      </w:pPr>
      <w:r>
        <w:rPr>
          <w:rFonts w:hint="eastAsia"/>
          <w:color w:val="auto"/>
        </w:rPr>
        <w:t>16.4</w:t>
      </w:r>
      <w:r>
        <w:rPr>
          <w:rFonts w:hint="eastAsia"/>
          <w:color w:val="auto"/>
          <w:kern w:val="0"/>
          <w:lang w:val="zh-CN"/>
        </w:rPr>
        <w:t>供应商</w:t>
      </w:r>
      <w:r>
        <w:rPr>
          <w:rFonts w:hint="eastAsia"/>
          <w:color w:val="auto"/>
        </w:rPr>
        <w:t>的报价不得超过采购项目预算，采购项目预算或其计算方法见</w:t>
      </w:r>
      <w:r>
        <w:rPr>
          <w:rFonts w:hint="eastAsia"/>
          <w:b/>
          <w:color w:val="auto"/>
        </w:rPr>
        <w:t>磋商须知前附表</w:t>
      </w:r>
      <w:r>
        <w:rPr>
          <w:rFonts w:hint="eastAsia"/>
          <w:color w:val="auto"/>
        </w:rPr>
        <w:t>。</w:t>
      </w:r>
    </w:p>
    <w:p w14:paraId="69D3E121">
      <w:pPr>
        <w:pStyle w:val="25"/>
        <w:rPr>
          <w:color w:val="auto"/>
        </w:rPr>
      </w:pPr>
      <w:r>
        <w:rPr>
          <w:rFonts w:hint="eastAsia"/>
          <w:color w:val="auto"/>
        </w:rPr>
        <w:t>17.供应商符合磋商文件规定的证明文件</w:t>
      </w:r>
    </w:p>
    <w:p w14:paraId="67CF8F05">
      <w:pPr>
        <w:rPr>
          <w:color w:val="auto"/>
        </w:rPr>
      </w:pPr>
      <w:r>
        <w:rPr>
          <w:rFonts w:hint="eastAsia"/>
          <w:color w:val="auto"/>
        </w:rPr>
        <w:t>17.1供应商应提交满足本章第3.1款规定的资格条件要求的证明文件,该证明文件作为响应文件的一部分。</w:t>
      </w:r>
    </w:p>
    <w:p w14:paraId="09F475E8">
      <w:pPr>
        <w:rPr>
          <w:color w:val="auto"/>
        </w:rPr>
      </w:pPr>
      <w:r>
        <w:rPr>
          <w:rFonts w:hint="eastAsia"/>
          <w:color w:val="auto"/>
        </w:rPr>
        <w:t>17.2如果供应商为联合体，则应提交联合体各方资格证明文件、联合体协议。否则，在评审时将其视为无效响应。</w:t>
      </w:r>
    </w:p>
    <w:p w14:paraId="4643B04F">
      <w:pPr>
        <w:rPr>
          <w:color w:val="auto"/>
        </w:rPr>
      </w:pPr>
      <w:r>
        <w:rPr>
          <w:rFonts w:hint="eastAsia"/>
          <w:color w:val="auto"/>
        </w:rPr>
        <w:t>17.3 除</w:t>
      </w:r>
      <w:r>
        <w:rPr>
          <w:rFonts w:hint="eastAsia"/>
          <w:b/>
          <w:color w:val="auto"/>
        </w:rPr>
        <w:t>磋商须知前附表</w:t>
      </w:r>
      <w:r>
        <w:rPr>
          <w:rFonts w:hint="eastAsia"/>
          <w:color w:val="auto"/>
        </w:rPr>
        <w:t>另有规定外，供应商提供的货物及服务不是供应商制造或拥有的，则必须提供经销、或代理采购货物、或采购货物提供售后服务的证明文件。</w:t>
      </w:r>
    </w:p>
    <w:p w14:paraId="3245DDDC">
      <w:pPr>
        <w:pStyle w:val="25"/>
        <w:rPr>
          <w:rFonts w:hAnsi="宋体" w:cs="宋体"/>
          <w:color w:val="auto"/>
        </w:rPr>
      </w:pPr>
      <w:r>
        <w:rPr>
          <w:rFonts w:hint="eastAsia" w:hAnsi="宋体" w:cs="宋体"/>
          <w:color w:val="auto"/>
        </w:rPr>
        <w:t>18．样品提供</w:t>
      </w:r>
      <w:r>
        <w:rPr>
          <w:color w:val="auto"/>
        </w:rPr>
        <w:t>（注：本项目不要求投标时提供样品，以下内容不适用本项目）</w:t>
      </w:r>
    </w:p>
    <w:p w14:paraId="2515B827">
      <w:pPr>
        <w:rPr>
          <w:color w:val="auto"/>
        </w:rPr>
      </w:pPr>
      <w:r>
        <w:rPr>
          <w:rFonts w:hint="eastAsia"/>
          <w:color w:val="auto"/>
        </w:rPr>
        <w:t xml:space="preserve">18.1 </w:t>
      </w:r>
      <w:r>
        <w:rPr>
          <w:rFonts w:hint="eastAsia"/>
          <w:b/>
          <w:color w:val="auto"/>
        </w:rPr>
        <w:t>磋商须知前附表</w:t>
      </w:r>
      <w:r>
        <w:rPr>
          <w:rFonts w:hint="eastAsia"/>
          <w:color w:val="auto"/>
        </w:rPr>
        <w:t>规定</w:t>
      </w:r>
      <w:r>
        <w:rPr>
          <w:rFonts w:hint="eastAsia"/>
          <w:bCs/>
          <w:color w:val="auto"/>
        </w:rPr>
        <w:t>供应商</w:t>
      </w:r>
      <w:r>
        <w:rPr>
          <w:rFonts w:hint="eastAsia"/>
          <w:color w:val="auto"/>
        </w:rPr>
        <w:t>在磋商时提供样品的，</w:t>
      </w:r>
      <w:r>
        <w:rPr>
          <w:rFonts w:hint="eastAsia"/>
          <w:bCs/>
          <w:color w:val="auto"/>
        </w:rPr>
        <w:t>供应商</w:t>
      </w:r>
      <w:r>
        <w:rPr>
          <w:rFonts w:hint="eastAsia"/>
          <w:color w:val="auto"/>
        </w:rPr>
        <w:t>有以下情形之一的，在评审时将其视为无效响应。</w:t>
      </w:r>
    </w:p>
    <w:p w14:paraId="53BAABB6">
      <w:pPr>
        <w:rPr>
          <w:color w:val="auto"/>
        </w:rPr>
      </w:pPr>
      <w:r>
        <w:rPr>
          <w:rFonts w:hint="eastAsia"/>
          <w:color w:val="auto"/>
        </w:rPr>
        <w:t>（1）未在</w:t>
      </w:r>
      <w:r>
        <w:rPr>
          <w:rFonts w:hint="eastAsia"/>
          <w:b/>
          <w:color w:val="auto"/>
        </w:rPr>
        <w:t>磋商须知前附表</w:t>
      </w:r>
      <w:r>
        <w:rPr>
          <w:rFonts w:hint="eastAsia"/>
          <w:color w:val="auto"/>
        </w:rPr>
        <w:t>规定的提交时间、地点提交的；</w:t>
      </w:r>
    </w:p>
    <w:p w14:paraId="47FAC9AE">
      <w:pPr>
        <w:rPr>
          <w:color w:val="auto"/>
        </w:rPr>
      </w:pPr>
      <w:r>
        <w:rPr>
          <w:rFonts w:hint="eastAsia"/>
          <w:color w:val="auto"/>
        </w:rPr>
        <w:t>（2）</w:t>
      </w:r>
      <w:r>
        <w:rPr>
          <w:rFonts w:hint="eastAsia"/>
          <w:bCs/>
          <w:color w:val="auto"/>
        </w:rPr>
        <w:t>供应商</w:t>
      </w:r>
      <w:r>
        <w:rPr>
          <w:rFonts w:hint="eastAsia"/>
          <w:color w:val="auto"/>
        </w:rPr>
        <w:t>提供的样品与响应文件中提供样品的型号、规格不一致的。</w:t>
      </w:r>
    </w:p>
    <w:p w14:paraId="460195DF">
      <w:pPr>
        <w:rPr>
          <w:color w:val="auto"/>
        </w:rPr>
      </w:pPr>
      <w:r>
        <w:rPr>
          <w:rFonts w:hint="eastAsia"/>
          <w:color w:val="auto"/>
        </w:rPr>
        <w:t>19.磋商保证金</w:t>
      </w:r>
    </w:p>
    <w:p w14:paraId="476F32FD">
      <w:pPr>
        <w:rPr>
          <w:color w:val="auto"/>
          <w:kern w:val="0"/>
          <w:szCs w:val="21"/>
        </w:rPr>
      </w:pPr>
      <w:r>
        <w:rPr>
          <w:rFonts w:hint="eastAsia"/>
          <w:color w:val="auto"/>
          <w:szCs w:val="21"/>
        </w:rPr>
        <w:t>19.1根据《关于进一步</w:t>
      </w:r>
      <w:r>
        <w:rPr>
          <w:rFonts w:hint="eastAsia"/>
          <w:color w:val="auto"/>
        </w:rPr>
        <w:t>优化营商环境促进政府采购提速增效相关事项的通知》要求，为进一步降低交易成本费用，减轻企业资金负担，取消政府采购项目的投标保证金</w:t>
      </w:r>
      <w:r>
        <w:rPr>
          <w:color w:val="auto"/>
          <w:kern w:val="0"/>
          <w:szCs w:val="21"/>
        </w:rPr>
        <w:t>。</w:t>
      </w:r>
    </w:p>
    <w:p w14:paraId="0FA676DB">
      <w:pPr>
        <w:rPr>
          <w:bCs/>
          <w:color w:val="auto"/>
        </w:rPr>
      </w:pPr>
      <w:r>
        <w:rPr>
          <w:rFonts w:hint="eastAsia"/>
          <w:bCs/>
          <w:color w:val="auto"/>
        </w:rPr>
        <w:t>20.</w:t>
      </w:r>
      <w:r>
        <w:rPr>
          <w:rFonts w:hint="eastAsia"/>
          <w:color w:val="auto"/>
        </w:rPr>
        <w:t>响应文件有效期</w:t>
      </w:r>
    </w:p>
    <w:p w14:paraId="0A03352C">
      <w:pPr>
        <w:rPr>
          <w:color w:val="auto"/>
        </w:rPr>
      </w:pPr>
      <w:r>
        <w:rPr>
          <w:rFonts w:hint="eastAsia"/>
          <w:color w:val="auto"/>
        </w:rPr>
        <w:t>20.1响应文件</w:t>
      </w:r>
      <w:r>
        <w:rPr>
          <w:rFonts w:hint="eastAsia"/>
          <w:color w:val="auto"/>
          <w:szCs w:val="21"/>
        </w:rPr>
        <w:t>有效期见</w:t>
      </w:r>
      <w:r>
        <w:rPr>
          <w:rFonts w:hint="eastAsia"/>
          <w:b/>
          <w:color w:val="auto"/>
        </w:rPr>
        <w:t>磋商须知前附表</w:t>
      </w:r>
      <w:r>
        <w:rPr>
          <w:rFonts w:hint="eastAsia"/>
          <w:color w:val="auto"/>
          <w:szCs w:val="21"/>
        </w:rPr>
        <w:t>，在此期间</w:t>
      </w:r>
      <w:r>
        <w:rPr>
          <w:rFonts w:hint="eastAsia"/>
          <w:color w:val="auto"/>
        </w:rPr>
        <w:t>响应</w:t>
      </w:r>
      <w:r>
        <w:rPr>
          <w:rFonts w:hint="eastAsia"/>
          <w:color w:val="auto"/>
          <w:szCs w:val="21"/>
        </w:rPr>
        <w:t>文件对供应商具有法律约束力，</w:t>
      </w:r>
      <w:r>
        <w:rPr>
          <w:rFonts w:hint="eastAsia"/>
          <w:color w:val="auto"/>
        </w:rPr>
        <w:t>从</w:t>
      </w:r>
      <w:r>
        <w:rPr>
          <w:rFonts w:hint="eastAsia"/>
          <w:color w:val="auto"/>
          <w:kern w:val="0"/>
          <w:szCs w:val="21"/>
        </w:rPr>
        <w:t>提交首次响应文件截止时间</w:t>
      </w:r>
      <w:r>
        <w:rPr>
          <w:rFonts w:hint="eastAsia"/>
          <w:color w:val="auto"/>
        </w:rPr>
        <w:t>之日起计算。响应文件有效期不足的将被视为无效响应。</w:t>
      </w:r>
    </w:p>
    <w:p w14:paraId="275EE9E9">
      <w:pPr>
        <w:rPr>
          <w:color w:val="auto"/>
        </w:rPr>
      </w:pPr>
      <w:r>
        <w:rPr>
          <w:rFonts w:hint="eastAsia"/>
          <w:color w:val="auto"/>
        </w:rPr>
        <w:t>21.响应文件的签署及规定</w:t>
      </w:r>
    </w:p>
    <w:p w14:paraId="1721C0A2">
      <w:pPr>
        <w:pStyle w:val="25"/>
        <w:rPr>
          <w:color w:val="auto"/>
        </w:rPr>
      </w:pPr>
      <w:r>
        <w:rPr>
          <w:rFonts w:hint="eastAsia"/>
          <w:color w:val="auto"/>
        </w:rPr>
        <w:t>21.1响应文件的正本和副本应装订成册，正本一份，电子版文件一份，副本份数见</w:t>
      </w:r>
      <w:r>
        <w:rPr>
          <w:rFonts w:hint="eastAsia"/>
          <w:b/>
          <w:color w:val="auto"/>
        </w:rPr>
        <w:t>磋商须知前附表</w:t>
      </w:r>
      <w:r>
        <w:rPr>
          <w:rFonts w:hint="eastAsia"/>
          <w:color w:val="auto"/>
        </w:rPr>
        <w:t>。正本和副本的封面上应标记“正本”或“副本”的字样，当正本和副本有差异时，以正本为准。</w:t>
      </w:r>
    </w:p>
    <w:p w14:paraId="3ACB4E0B">
      <w:pPr>
        <w:pStyle w:val="25"/>
        <w:rPr>
          <w:color w:val="auto"/>
        </w:rPr>
      </w:pPr>
      <w:r>
        <w:rPr>
          <w:rFonts w:hint="eastAsia"/>
          <w:color w:val="auto"/>
        </w:rPr>
        <w:t>21.2 响应文件正本和副本应按磋商文件要求签章处盖单位章和由法定代表人或其委托代理人签字；任何加行、涂改、增删，应有法定代表人或其委托代理人在旁边签字。否则，将导致响应文件无效。</w:t>
      </w:r>
    </w:p>
    <w:p w14:paraId="47D60AA0">
      <w:pPr>
        <w:pStyle w:val="25"/>
        <w:rPr>
          <w:color w:val="auto"/>
        </w:rPr>
      </w:pPr>
      <w:r>
        <w:rPr>
          <w:rFonts w:hint="eastAsia"/>
          <w:color w:val="auto"/>
        </w:rPr>
        <w:t>21.3 在磋商过程中，供应商按磋商文件规定和磋商小组要求</w:t>
      </w:r>
      <w:r>
        <w:rPr>
          <w:rFonts w:hint="eastAsia"/>
          <w:bCs/>
          <w:color w:val="auto"/>
        </w:rPr>
        <w:t>重</w:t>
      </w:r>
      <w:r>
        <w:rPr>
          <w:rFonts w:hint="eastAsia"/>
          <w:color w:val="auto"/>
          <w:kern w:val="0"/>
        </w:rPr>
        <w:t>新提交的响应文件</w:t>
      </w:r>
      <w:r>
        <w:rPr>
          <w:rFonts w:hint="eastAsia"/>
          <w:color w:val="auto"/>
        </w:rPr>
        <w:t>，一式两份，可打印或用不退色墨水书写，但需经法定代表人或其委托代理人签字，</w:t>
      </w:r>
      <w:r>
        <w:rPr>
          <w:rFonts w:hint="eastAsia"/>
          <w:color w:val="auto"/>
          <w:kern w:val="0"/>
        </w:rPr>
        <w:t>或者加盖供应商单位章</w:t>
      </w:r>
      <w:r>
        <w:rPr>
          <w:rFonts w:hint="eastAsia"/>
          <w:color w:val="auto"/>
        </w:rPr>
        <w:t>。否则，将导致响应文件无效。</w:t>
      </w:r>
    </w:p>
    <w:p w14:paraId="35BC1A99">
      <w:pPr>
        <w:rPr>
          <w:color w:val="auto"/>
        </w:rPr>
      </w:pPr>
      <w:r>
        <w:rPr>
          <w:rFonts w:hint="eastAsia"/>
          <w:color w:val="auto"/>
        </w:rPr>
        <w:t>四、响应文件的递交</w:t>
      </w:r>
    </w:p>
    <w:p w14:paraId="12CFF70B">
      <w:pPr>
        <w:rPr>
          <w:color w:val="auto"/>
        </w:rPr>
      </w:pPr>
      <w:r>
        <w:rPr>
          <w:rFonts w:hint="eastAsia"/>
          <w:color w:val="auto"/>
        </w:rPr>
        <w:t>22.响应文件的密封和标记</w:t>
      </w:r>
    </w:p>
    <w:p w14:paraId="534BD754">
      <w:pPr>
        <w:pStyle w:val="25"/>
        <w:rPr>
          <w:color w:val="auto"/>
        </w:rPr>
      </w:pPr>
      <w:r>
        <w:rPr>
          <w:rFonts w:hint="eastAsia"/>
          <w:color w:val="auto"/>
        </w:rPr>
        <w:t>22.1响应文件应密封包装，加贴封条，并在封套的封口处盖供应商单位章或者由法定代表人或其委托代理人签字。</w:t>
      </w:r>
    </w:p>
    <w:p w14:paraId="243F5558">
      <w:pPr>
        <w:rPr>
          <w:color w:val="auto"/>
        </w:rPr>
      </w:pPr>
      <w:r>
        <w:rPr>
          <w:rFonts w:hint="eastAsia"/>
          <w:color w:val="auto"/>
        </w:rPr>
        <w:t>22.2响应文件封套上应写明的内容见</w:t>
      </w:r>
      <w:r>
        <w:rPr>
          <w:rFonts w:hint="eastAsia"/>
          <w:b/>
          <w:color w:val="auto"/>
        </w:rPr>
        <w:t>磋商须知前附表。</w:t>
      </w:r>
    </w:p>
    <w:p w14:paraId="58867153">
      <w:pPr>
        <w:rPr>
          <w:color w:val="auto"/>
        </w:rPr>
      </w:pPr>
      <w:r>
        <w:rPr>
          <w:rFonts w:hint="eastAsia"/>
          <w:color w:val="auto"/>
        </w:rPr>
        <w:t>22.3响应文件如果未按上述规定密封和加写标记，采购人或采购代理机构将拒绝接收。</w:t>
      </w:r>
    </w:p>
    <w:p w14:paraId="58B945A2">
      <w:pPr>
        <w:rPr>
          <w:color w:val="auto"/>
        </w:rPr>
      </w:pPr>
      <w:r>
        <w:rPr>
          <w:rFonts w:hint="eastAsia"/>
          <w:color w:val="auto"/>
        </w:rPr>
        <w:t>23.响应文件的</w:t>
      </w:r>
      <w:r>
        <w:rPr>
          <w:rFonts w:hint="eastAsia"/>
          <w:color w:val="auto"/>
          <w:kern w:val="0"/>
          <w:lang w:val="zh-CN"/>
        </w:rPr>
        <w:t>补充、修改或者撤回</w:t>
      </w:r>
    </w:p>
    <w:p w14:paraId="2A1FF2D2">
      <w:pPr>
        <w:pStyle w:val="25"/>
        <w:rPr>
          <w:color w:val="auto"/>
        </w:rPr>
      </w:pPr>
      <w:r>
        <w:rPr>
          <w:rFonts w:hint="eastAsia"/>
          <w:color w:val="auto"/>
        </w:rPr>
        <w:t>23.1</w:t>
      </w:r>
      <w:r>
        <w:rPr>
          <w:rFonts w:hint="eastAsia"/>
          <w:color w:val="auto"/>
          <w:kern w:val="0"/>
        </w:rPr>
        <w:t>供应商在提交首次响应文件截止时间前，可以对所提交的首次响应文件进行补充、修改或者撤回，并书面通知采购人、采购代理机构。</w:t>
      </w:r>
      <w:r>
        <w:rPr>
          <w:rFonts w:hint="eastAsia"/>
          <w:color w:val="auto"/>
        </w:rPr>
        <w:t>该通知应有供应商法定代表人或其委托代理人签字。</w:t>
      </w:r>
    </w:p>
    <w:p w14:paraId="1BA3709A">
      <w:pPr>
        <w:pStyle w:val="25"/>
        <w:rPr>
          <w:color w:val="auto"/>
        </w:rPr>
      </w:pPr>
      <w:r>
        <w:rPr>
          <w:rFonts w:hint="eastAsia"/>
          <w:color w:val="auto"/>
        </w:rPr>
        <w:t>23.2</w:t>
      </w:r>
      <w:r>
        <w:rPr>
          <w:rFonts w:hint="eastAsia"/>
          <w:color w:val="auto"/>
          <w:kern w:val="0"/>
          <w:lang w:val="zh-CN"/>
        </w:rPr>
        <w:t>补充、修改的内容与响应文件不一致时，以补充、修改的内容为准。</w:t>
      </w:r>
    </w:p>
    <w:p w14:paraId="67F3E360">
      <w:pPr>
        <w:rPr>
          <w:color w:val="auto"/>
        </w:rPr>
      </w:pPr>
      <w:r>
        <w:rPr>
          <w:rFonts w:hint="eastAsia"/>
          <w:color w:val="auto"/>
        </w:rPr>
        <w:t>24.响应文件的递交与接收</w:t>
      </w:r>
    </w:p>
    <w:p w14:paraId="3348E50F">
      <w:pPr>
        <w:rPr>
          <w:color w:val="auto"/>
        </w:rPr>
      </w:pPr>
      <w:r>
        <w:rPr>
          <w:rFonts w:hint="eastAsia"/>
          <w:color w:val="auto"/>
        </w:rPr>
        <w:t>24.1 供应商应在</w:t>
      </w:r>
      <w:r>
        <w:rPr>
          <w:rFonts w:hint="eastAsia"/>
          <w:color w:val="auto"/>
          <w:kern w:val="0"/>
        </w:rPr>
        <w:t>提交首次响应文件截止时间</w:t>
      </w:r>
      <w:r>
        <w:rPr>
          <w:rFonts w:hint="eastAsia"/>
          <w:color w:val="auto"/>
        </w:rPr>
        <w:t>前，将响应文件送达</w:t>
      </w:r>
      <w:r>
        <w:rPr>
          <w:rFonts w:hint="eastAsia"/>
          <w:b/>
          <w:color w:val="auto"/>
        </w:rPr>
        <w:t>磋商须知前附表</w:t>
      </w:r>
      <w:r>
        <w:rPr>
          <w:rFonts w:hint="eastAsia"/>
          <w:color w:val="auto"/>
        </w:rPr>
        <w:t>中指定的地点。</w:t>
      </w:r>
      <w:r>
        <w:rPr>
          <w:rFonts w:hint="eastAsia"/>
          <w:color w:val="auto"/>
          <w:kern w:val="0"/>
        </w:rPr>
        <w:t>在截止时间后送达的响应文件，采购人、采购代理机构或者磋商小组应当拒收。</w:t>
      </w:r>
    </w:p>
    <w:p w14:paraId="72955B64">
      <w:pPr>
        <w:pStyle w:val="25"/>
        <w:rPr>
          <w:color w:val="auto"/>
        </w:rPr>
      </w:pPr>
      <w:r>
        <w:rPr>
          <w:rFonts w:hint="eastAsia"/>
          <w:color w:val="auto"/>
        </w:rPr>
        <w:t>24.2</w:t>
      </w:r>
      <w:r>
        <w:rPr>
          <w:rFonts w:hint="eastAsia"/>
          <w:color w:val="auto"/>
          <w:kern w:val="0"/>
        </w:rPr>
        <w:t>在提交首次响应文件截止时间后，</w:t>
      </w:r>
      <w:r>
        <w:rPr>
          <w:rFonts w:hint="eastAsia"/>
          <w:color w:val="auto"/>
        </w:rPr>
        <w:t>由</w:t>
      </w:r>
      <w:r>
        <w:rPr>
          <w:rFonts w:hint="eastAsia"/>
          <w:bCs/>
          <w:color w:val="auto"/>
        </w:rPr>
        <w:t>供应商代表</w:t>
      </w:r>
      <w:r>
        <w:rPr>
          <w:rFonts w:hint="eastAsia"/>
          <w:color w:val="auto"/>
        </w:rPr>
        <w:t>当场查验</w:t>
      </w:r>
      <w:r>
        <w:rPr>
          <w:rFonts w:hint="eastAsia"/>
          <w:bCs/>
          <w:color w:val="auto"/>
        </w:rPr>
        <w:t>响应文件</w:t>
      </w:r>
      <w:r>
        <w:rPr>
          <w:rFonts w:hint="eastAsia"/>
          <w:color w:val="auto"/>
        </w:rPr>
        <w:t>的密封状况，采购人或</w:t>
      </w:r>
      <w:r>
        <w:rPr>
          <w:rFonts w:hint="eastAsia"/>
          <w:bCs/>
          <w:color w:val="auto"/>
        </w:rPr>
        <w:t>采购代理机构</w:t>
      </w:r>
      <w:r>
        <w:rPr>
          <w:rFonts w:hint="eastAsia"/>
          <w:color w:val="auto"/>
        </w:rPr>
        <w:t>不当场拆封</w:t>
      </w:r>
      <w:r>
        <w:rPr>
          <w:rFonts w:hint="eastAsia"/>
          <w:bCs/>
          <w:color w:val="auto"/>
        </w:rPr>
        <w:t>响应文件</w:t>
      </w:r>
      <w:r>
        <w:rPr>
          <w:rFonts w:hint="eastAsia"/>
          <w:color w:val="auto"/>
        </w:rPr>
        <w:t>。</w:t>
      </w:r>
    </w:p>
    <w:p w14:paraId="2C2C5634">
      <w:pPr>
        <w:rPr>
          <w:color w:val="auto"/>
        </w:rPr>
      </w:pPr>
      <w:r>
        <w:rPr>
          <w:rFonts w:hint="eastAsia"/>
          <w:color w:val="auto"/>
        </w:rPr>
        <w:t>五、响应文件的磋商与评审</w:t>
      </w:r>
    </w:p>
    <w:p w14:paraId="3CAEDDE2">
      <w:pPr>
        <w:rPr>
          <w:color w:val="auto"/>
        </w:rPr>
      </w:pPr>
      <w:r>
        <w:rPr>
          <w:rFonts w:hint="eastAsia"/>
          <w:color w:val="auto"/>
        </w:rPr>
        <w:t>25.磋商程序</w:t>
      </w:r>
    </w:p>
    <w:p w14:paraId="232120B9">
      <w:pPr>
        <w:rPr>
          <w:bCs/>
          <w:color w:val="auto"/>
        </w:rPr>
      </w:pPr>
      <w:r>
        <w:rPr>
          <w:rFonts w:hint="eastAsia"/>
          <w:color w:val="auto"/>
          <w:kern w:val="0"/>
        </w:rPr>
        <w:t>25.1磋商程序：磋商（包括澄清）、响应文件评审、</w:t>
      </w:r>
      <w:r>
        <w:rPr>
          <w:rFonts w:hint="eastAsia"/>
          <w:bCs/>
          <w:color w:val="auto"/>
        </w:rPr>
        <w:t>提出成交供应商。其中，</w:t>
      </w:r>
      <w:r>
        <w:rPr>
          <w:rFonts w:hint="eastAsia"/>
          <w:color w:val="auto"/>
          <w:kern w:val="0"/>
        </w:rPr>
        <w:t>磋商按</w:t>
      </w:r>
      <w:r>
        <w:rPr>
          <w:rFonts w:hint="eastAsia"/>
          <w:color w:val="auto"/>
        </w:rPr>
        <w:t>本章第30.1</w:t>
      </w:r>
      <w:r>
        <w:rPr>
          <w:rFonts w:hint="eastAsia"/>
          <w:color w:val="auto"/>
          <w:kern w:val="0"/>
          <w:lang w:val="zh-CN"/>
        </w:rPr>
        <w:t>款或者</w:t>
      </w:r>
      <w:r>
        <w:rPr>
          <w:rFonts w:hint="eastAsia"/>
          <w:color w:val="auto"/>
        </w:rPr>
        <w:t>第30.2</w:t>
      </w:r>
      <w:r>
        <w:rPr>
          <w:rFonts w:hint="eastAsia"/>
          <w:color w:val="auto"/>
          <w:kern w:val="0"/>
          <w:lang w:val="zh-CN"/>
        </w:rPr>
        <w:t>款</w:t>
      </w:r>
      <w:r>
        <w:rPr>
          <w:rFonts w:hint="eastAsia"/>
          <w:color w:val="auto"/>
        </w:rPr>
        <w:t>情形</w:t>
      </w:r>
      <w:r>
        <w:rPr>
          <w:rFonts w:hint="eastAsia"/>
          <w:bCs/>
          <w:color w:val="auto"/>
        </w:rPr>
        <w:t>进行。</w:t>
      </w:r>
    </w:p>
    <w:p w14:paraId="4601EBEC">
      <w:pPr>
        <w:rPr>
          <w:color w:val="auto"/>
        </w:rPr>
      </w:pPr>
      <w:r>
        <w:rPr>
          <w:rFonts w:hint="eastAsia"/>
          <w:color w:val="auto"/>
          <w:kern w:val="0"/>
        </w:rPr>
        <w:t>26.响应文件审查</w:t>
      </w:r>
    </w:p>
    <w:p w14:paraId="207E0548">
      <w:pPr>
        <w:rPr>
          <w:color w:val="auto"/>
        </w:rPr>
      </w:pPr>
      <w:r>
        <w:rPr>
          <w:rFonts w:hint="eastAsia"/>
          <w:color w:val="auto"/>
        </w:rPr>
        <w:t>26.1 资格性审查：根据本章第3.1项规定的供应商资格条件要求，对响应文件的资格证明等进行审查，以确定供应商是否具备磋商资格条件。</w:t>
      </w:r>
    </w:p>
    <w:p w14:paraId="1C9C3282">
      <w:pPr>
        <w:rPr>
          <w:color w:val="auto"/>
        </w:rPr>
      </w:pPr>
      <w:r>
        <w:rPr>
          <w:rFonts w:hint="eastAsia"/>
          <w:color w:val="auto"/>
        </w:rPr>
        <w:t>26.2符合性审查: 对响应文件(包括首次提交的响应文件、重新提交的响应文件)的有效性、完整性和响应程度进行审查，以确定是否对磋商文件的实质性要求作出响应。</w:t>
      </w:r>
    </w:p>
    <w:p w14:paraId="320221B9">
      <w:pPr>
        <w:rPr>
          <w:color w:val="auto"/>
        </w:rPr>
      </w:pPr>
      <w:r>
        <w:rPr>
          <w:rFonts w:hint="eastAsia"/>
          <w:color w:val="auto"/>
        </w:rPr>
        <w:t>26.3响应文件审查结束后，磋商小组所有成员集中与单一供应商分别进行磋商，并给予所有参加磋商的供应商平等的磋商机会。供应商应派其法定代表人或委托代理人参加磋商。</w:t>
      </w:r>
    </w:p>
    <w:p w14:paraId="6162A3A1">
      <w:pPr>
        <w:pStyle w:val="25"/>
        <w:rPr>
          <w:color w:val="auto"/>
          <w:kern w:val="0"/>
        </w:rPr>
      </w:pPr>
      <w:r>
        <w:rPr>
          <w:rFonts w:hint="eastAsia"/>
          <w:color w:val="auto"/>
          <w:kern w:val="0"/>
        </w:rPr>
        <w:t>27.实质性响应</w:t>
      </w:r>
    </w:p>
    <w:p w14:paraId="7E740FF5">
      <w:pPr>
        <w:pStyle w:val="25"/>
        <w:rPr>
          <w:color w:val="auto"/>
          <w:kern w:val="0"/>
          <w:u w:val="single"/>
        </w:rPr>
      </w:pPr>
      <w:r>
        <w:rPr>
          <w:rFonts w:hint="eastAsia"/>
          <w:color w:val="auto"/>
          <w:kern w:val="0"/>
        </w:rPr>
        <w:t>27.1</w:t>
      </w:r>
      <w:r>
        <w:rPr>
          <w:rFonts w:hint="eastAsia"/>
          <w:color w:val="auto"/>
        </w:rPr>
        <w:t>实质性响应是指响应文件(包括首次响应文件、重新提交的响应文件)与磋商文件要求的所有条款、条件和规格相符，没有偏离。偏离指不满足、或不响应磋商文件的要求。</w:t>
      </w:r>
    </w:p>
    <w:p w14:paraId="55E72120">
      <w:pPr>
        <w:rPr>
          <w:color w:val="auto"/>
          <w:szCs w:val="21"/>
        </w:rPr>
      </w:pPr>
      <w:r>
        <w:rPr>
          <w:rFonts w:hint="eastAsia"/>
          <w:color w:val="auto"/>
          <w:szCs w:val="21"/>
        </w:rPr>
        <w:t>27.2</w:t>
      </w:r>
      <w:r>
        <w:rPr>
          <w:rFonts w:hint="eastAsia"/>
          <w:color w:val="auto"/>
        </w:rPr>
        <w:t>响应文件是否实质性响应磋商文件要求由磋商小组依据磋商文件规定认定。</w:t>
      </w:r>
      <w:r>
        <w:rPr>
          <w:rFonts w:hint="eastAsia"/>
          <w:color w:val="auto"/>
          <w:kern w:val="0"/>
          <w:szCs w:val="21"/>
        </w:rPr>
        <w:t>磋商小组</w:t>
      </w:r>
      <w:r>
        <w:rPr>
          <w:rFonts w:hint="eastAsia"/>
          <w:color w:val="auto"/>
          <w:szCs w:val="21"/>
        </w:rPr>
        <w:t>决定</w:t>
      </w:r>
      <w:r>
        <w:rPr>
          <w:rFonts w:hint="eastAsia"/>
          <w:color w:val="auto"/>
        </w:rPr>
        <w:t>响应文件</w:t>
      </w:r>
      <w:r>
        <w:rPr>
          <w:rFonts w:hint="eastAsia"/>
          <w:color w:val="auto"/>
          <w:szCs w:val="21"/>
        </w:rPr>
        <w:t>的响应性只根据</w:t>
      </w:r>
      <w:r>
        <w:rPr>
          <w:rFonts w:hint="eastAsia"/>
          <w:color w:val="auto"/>
        </w:rPr>
        <w:t>响应文件</w:t>
      </w:r>
      <w:r>
        <w:rPr>
          <w:rFonts w:hint="eastAsia"/>
          <w:color w:val="auto"/>
          <w:szCs w:val="21"/>
        </w:rPr>
        <w:t>本身的真实无误的内容，而不依据外部的证据。</w:t>
      </w:r>
    </w:p>
    <w:p w14:paraId="6A46427F">
      <w:pPr>
        <w:pStyle w:val="25"/>
        <w:rPr>
          <w:color w:val="auto"/>
          <w:kern w:val="0"/>
        </w:rPr>
      </w:pPr>
      <w:r>
        <w:rPr>
          <w:rFonts w:hint="eastAsia"/>
          <w:color w:val="auto"/>
          <w:kern w:val="0"/>
        </w:rPr>
        <w:t xml:space="preserve">28.无效响应 </w:t>
      </w:r>
    </w:p>
    <w:p w14:paraId="48B2F474">
      <w:pPr>
        <w:pStyle w:val="25"/>
        <w:rPr>
          <w:b/>
          <w:color w:val="auto"/>
          <w:kern w:val="0"/>
        </w:rPr>
      </w:pPr>
      <w:r>
        <w:rPr>
          <w:rFonts w:hint="eastAsia"/>
          <w:color w:val="auto"/>
          <w:kern w:val="0"/>
        </w:rPr>
        <w:t>28.1</w:t>
      </w:r>
      <w:r>
        <w:rPr>
          <w:rFonts w:hint="eastAsia"/>
          <w:color w:val="auto"/>
        </w:rPr>
        <w:t>磋商小组在对资格性和符合性进行审查时，有下列情况之一的，属无效响应，</w:t>
      </w:r>
      <w:r>
        <w:rPr>
          <w:rFonts w:hint="eastAsia"/>
          <w:color w:val="auto"/>
          <w:kern w:val="0"/>
        </w:rPr>
        <w:t>磋商小组应当告知有关供应商</w:t>
      </w:r>
      <w:r>
        <w:rPr>
          <w:rFonts w:hint="eastAsia"/>
          <w:color w:val="auto"/>
        </w:rPr>
        <w:t>：</w:t>
      </w:r>
    </w:p>
    <w:p w14:paraId="0BF31256">
      <w:pPr>
        <w:rPr>
          <w:color w:val="auto"/>
        </w:rPr>
      </w:pPr>
      <w:r>
        <w:rPr>
          <w:rFonts w:hint="eastAsia"/>
          <w:color w:val="auto"/>
        </w:rPr>
        <w:t>（1）供应商不具备本章第3.1款规定的供应商资格条件要求，或存在本章第3.3款情形的；</w:t>
      </w:r>
    </w:p>
    <w:p w14:paraId="3E063E70">
      <w:pPr>
        <w:rPr>
          <w:color w:val="auto"/>
        </w:rPr>
      </w:pPr>
      <w:r>
        <w:rPr>
          <w:rFonts w:hint="eastAsia"/>
          <w:color w:val="auto"/>
        </w:rPr>
        <w:t>（2）联合体不符合本章第3.2款规定的；</w:t>
      </w:r>
    </w:p>
    <w:p w14:paraId="49BD5086">
      <w:pPr>
        <w:rPr>
          <w:color w:val="auto"/>
        </w:rPr>
      </w:pPr>
      <w:r>
        <w:rPr>
          <w:rFonts w:hint="eastAsia"/>
          <w:color w:val="auto"/>
        </w:rPr>
        <w:t>（3）应交未交磋商保证金或金额不足、磋商保证金缴纳形式不符合磋商文件要求的；</w:t>
      </w:r>
    </w:p>
    <w:p w14:paraId="26BD95A2">
      <w:pPr>
        <w:rPr>
          <w:color w:val="auto"/>
        </w:rPr>
      </w:pPr>
      <w:r>
        <w:rPr>
          <w:rFonts w:hint="eastAsia"/>
          <w:color w:val="auto"/>
        </w:rPr>
        <w:t>（4）响应文件未按照磋商文件要求签署、盖章的；</w:t>
      </w:r>
    </w:p>
    <w:p w14:paraId="048455D3">
      <w:pPr>
        <w:rPr>
          <w:color w:val="auto"/>
        </w:rPr>
      </w:pPr>
      <w:r>
        <w:rPr>
          <w:rFonts w:hint="eastAsia"/>
          <w:color w:val="auto"/>
        </w:rPr>
        <w:t>（5）响应文件不满足本章第27.1款规定的实质性要求的；</w:t>
      </w:r>
    </w:p>
    <w:p w14:paraId="65E6E187">
      <w:pPr>
        <w:rPr>
          <w:color w:val="auto"/>
        </w:rPr>
      </w:pPr>
      <w:r>
        <w:rPr>
          <w:rFonts w:hint="eastAsia"/>
          <w:color w:val="auto"/>
        </w:rPr>
        <w:t>（6）响应文件有效期不足的；</w:t>
      </w:r>
    </w:p>
    <w:p w14:paraId="1C6214A4">
      <w:pPr>
        <w:rPr>
          <w:color w:val="auto"/>
        </w:rPr>
      </w:pPr>
      <w:r>
        <w:rPr>
          <w:rFonts w:hint="eastAsia"/>
          <w:color w:val="auto"/>
        </w:rPr>
        <w:t>（7）响应文件不符合法律、规章、规范性文件和磋商文件规定及要求的。</w:t>
      </w:r>
    </w:p>
    <w:p w14:paraId="4CA2D0AD">
      <w:pPr>
        <w:rPr>
          <w:color w:val="auto"/>
          <w:kern w:val="0"/>
        </w:rPr>
      </w:pPr>
      <w:r>
        <w:rPr>
          <w:rFonts w:hint="eastAsia"/>
          <w:color w:val="auto"/>
          <w:kern w:val="0"/>
        </w:rPr>
        <w:t>29.澄清</w:t>
      </w:r>
    </w:p>
    <w:p w14:paraId="172F4796">
      <w:pPr>
        <w:rPr>
          <w:color w:val="auto"/>
          <w:kern w:val="0"/>
        </w:rPr>
      </w:pPr>
      <w:r>
        <w:rPr>
          <w:rFonts w:hint="eastAsia"/>
          <w:color w:val="auto"/>
          <w:kern w:val="0"/>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7F6EBC24">
      <w:pPr>
        <w:rPr>
          <w:color w:val="auto"/>
          <w:kern w:val="0"/>
        </w:rPr>
      </w:pPr>
      <w:r>
        <w:rPr>
          <w:rFonts w:hint="eastAsia"/>
          <w:color w:val="auto"/>
          <w:kern w:val="0"/>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7E384A1F">
      <w:pPr>
        <w:rPr>
          <w:color w:val="auto"/>
          <w:kern w:val="0"/>
        </w:rPr>
      </w:pPr>
      <w:r>
        <w:rPr>
          <w:rFonts w:hint="eastAsia"/>
          <w:color w:val="auto"/>
          <w:kern w:val="0"/>
        </w:rPr>
        <w:t>30.磋商</w:t>
      </w:r>
    </w:p>
    <w:p w14:paraId="478232DF">
      <w:pPr>
        <w:rPr>
          <w:color w:val="auto"/>
          <w:kern w:val="0"/>
          <w:lang w:val="zh-CN"/>
        </w:rPr>
      </w:pPr>
      <w:r>
        <w:rPr>
          <w:rFonts w:hint="eastAsia"/>
          <w:color w:val="auto"/>
          <w:kern w:val="0"/>
        </w:rPr>
        <w:t>30.1</w:t>
      </w:r>
      <w:r>
        <w:rPr>
          <w:rFonts w:hint="eastAsia"/>
          <w:color w:val="auto"/>
        </w:rPr>
        <w:t>本章第10.2项</w:t>
      </w:r>
      <w:r>
        <w:rPr>
          <w:rFonts w:hint="eastAsia"/>
          <w:color w:val="auto"/>
          <w:kern w:val="0"/>
        </w:rPr>
        <w:t>未明确磋商文件实质性变动内容的，或者磋商文件明确了可能发生实质性变动内容，但在磋商过程中，</w:t>
      </w:r>
      <w:r>
        <w:rPr>
          <w:rFonts w:hint="eastAsia"/>
          <w:bCs/>
          <w:color w:val="auto"/>
        </w:rPr>
        <w:t>磋商小组</w:t>
      </w:r>
      <w:r>
        <w:rPr>
          <w:rFonts w:hint="eastAsia"/>
          <w:color w:val="auto"/>
          <w:kern w:val="0"/>
        </w:rPr>
        <w:t>根据磋商情况</w:t>
      </w:r>
      <w:r>
        <w:rPr>
          <w:rFonts w:hint="eastAsia"/>
          <w:bCs/>
          <w:color w:val="auto"/>
        </w:rPr>
        <w:t>认为</w:t>
      </w:r>
      <w:r>
        <w:rPr>
          <w:rFonts w:hint="eastAsia"/>
          <w:color w:val="auto"/>
          <w:kern w:val="0"/>
        </w:rPr>
        <w:t>磋商文件无需发生实质性变动的，磋商小组应当直接与响应文件审查合格的供应商就价格组织多轮磋商。</w:t>
      </w:r>
    </w:p>
    <w:p w14:paraId="558655E0">
      <w:pPr>
        <w:rPr>
          <w:color w:val="auto"/>
          <w:kern w:val="0"/>
        </w:rPr>
      </w:pPr>
      <w:r>
        <w:rPr>
          <w:rFonts w:hint="eastAsia"/>
          <w:color w:val="auto"/>
          <w:kern w:val="0"/>
        </w:rPr>
        <w:t>（1）磋商结束后，磋商小组应当要求所有继续参加磋商的供应商在磋商小组规定时间内提交最后报价。</w:t>
      </w:r>
    </w:p>
    <w:p w14:paraId="11D0E215">
      <w:pPr>
        <w:rPr>
          <w:color w:val="auto"/>
          <w:kern w:val="0"/>
        </w:rPr>
      </w:pPr>
      <w:r>
        <w:rPr>
          <w:rFonts w:hint="eastAsia"/>
          <w:color w:val="auto"/>
          <w:kern w:val="0"/>
        </w:rPr>
        <w:t>（2）磋商文件明确可能发生实质性变动，但在磋商过程中</w:t>
      </w:r>
      <w:r>
        <w:rPr>
          <w:rFonts w:hint="eastAsia"/>
          <w:bCs/>
          <w:color w:val="auto"/>
        </w:rPr>
        <w:t>磋商小组</w:t>
      </w:r>
      <w:r>
        <w:rPr>
          <w:rFonts w:hint="eastAsia"/>
          <w:color w:val="auto"/>
          <w:kern w:val="0"/>
        </w:rPr>
        <w:t>根据磋商情况</w:t>
      </w:r>
      <w:r>
        <w:rPr>
          <w:rFonts w:hint="eastAsia"/>
          <w:bCs/>
          <w:color w:val="auto"/>
        </w:rPr>
        <w:t>认为</w:t>
      </w:r>
      <w:r>
        <w:rPr>
          <w:rFonts w:hint="eastAsia"/>
          <w:color w:val="auto"/>
          <w:kern w:val="0"/>
        </w:rPr>
        <w:t>磋商文件无需发生实质性变动的，磋商小组不另行通知。</w:t>
      </w:r>
    </w:p>
    <w:p w14:paraId="49CAF06E">
      <w:pPr>
        <w:rPr>
          <w:color w:val="auto"/>
          <w:kern w:val="0"/>
        </w:rPr>
      </w:pPr>
      <w:r>
        <w:rPr>
          <w:rFonts w:hint="eastAsia"/>
          <w:color w:val="auto"/>
          <w:kern w:val="0"/>
        </w:rPr>
        <w:t>30.2</w:t>
      </w:r>
      <w:r>
        <w:rPr>
          <w:rFonts w:hint="eastAsia"/>
          <w:color w:val="auto"/>
        </w:rPr>
        <w:t>本章第10.2</w:t>
      </w:r>
      <w:r>
        <w:rPr>
          <w:rFonts w:hint="eastAsia"/>
          <w:color w:val="auto"/>
          <w:kern w:val="0"/>
          <w:lang w:val="zh-CN"/>
        </w:rPr>
        <w:t>款</w:t>
      </w:r>
      <w:r>
        <w:rPr>
          <w:rFonts w:hint="eastAsia"/>
          <w:color w:val="auto"/>
          <w:kern w:val="0"/>
        </w:rPr>
        <w:t>明确磋商文件实质性变动内容的，</w:t>
      </w:r>
      <w:r>
        <w:rPr>
          <w:rFonts w:hint="eastAsia"/>
          <w:bCs/>
          <w:color w:val="auto"/>
        </w:rPr>
        <w:t>磋商小组</w:t>
      </w:r>
      <w:r>
        <w:rPr>
          <w:rFonts w:hint="eastAsia"/>
          <w:color w:val="auto"/>
          <w:kern w:val="0"/>
        </w:rPr>
        <w:t>可以组织多轮磋商。</w:t>
      </w:r>
      <w:r>
        <w:rPr>
          <w:rFonts w:hint="eastAsia"/>
          <w:bCs/>
          <w:color w:val="auto"/>
        </w:rPr>
        <w:t>在每一轮磋商中，磋商小组</w:t>
      </w:r>
      <w:r>
        <w:rPr>
          <w:rFonts w:hint="eastAsia"/>
          <w:color w:val="auto"/>
          <w:kern w:val="0"/>
        </w:rPr>
        <w:t>可以根据磋商文件规定和磋商情况，</w:t>
      </w:r>
      <w:r>
        <w:rPr>
          <w:rFonts w:hint="eastAsia"/>
          <w:bCs/>
          <w:color w:val="auto"/>
        </w:rPr>
        <w:t>对磋商文件的</w:t>
      </w:r>
      <w:r>
        <w:rPr>
          <w:rFonts w:hint="eastAsia"/>
          <w:color w:val="auto"/>
          <w:kern w:val="0"/>
        </w:rPr>
        <w:t>采购需求中的技术、服务要求以及合同草案条款</w:t>
      </w:r>
      <w:r>
        <w:rPr>
          <w:rFonts w:hint="eastAsia"/>
          <w:bCs/>
          <w:color w:val="auto"/>
        </w:rPr>
        <w:t>作实质性变动(磋商文件的实质性变动内容为磋商文件的组成部分)，并以书面形式要求</w:t>
      </w:r>
      <w:r>
        <w:rPr>
          <w:rFonts w:hint="eastAsia"/>
          <w:color w:val="auto"/>
          <w:kern w:val="0"/>
        </w:rPr>
        <w:t>响应文件审查合格</w:t>
      </w:r>
      <w:r>
        <w:rPr>
          <w:rFonts w:hint="eastAsia"/>
          <w:bCs/>
          <w:color w:val="auto"/>
        </w:rPr>
        <w:t>的供应商，在规定的</w:t>
      </w:r>
      <w:r>
        <w:rPr>
          <w:rFonts w:hint="eastAsia"/>
          <w:color w:val="auto"/>
          <w:kern w:val="0"/>
        </w:rPr>
        <w:t>截止时间前</w:t>
      </w:r>
      <w:r>
        <w:rPr>
          <w:rFonts w:hint="eastAsia"/>
          <w:bCs/>
          <w:color w:val="auto"/>
        </w:rPr>
        <w:t>重</w:t>
      </w:r>
      <w:r>
        <w:rPr>
          <w:rFonts w:hint="eastAsia"/>
          <w:color w:val="auto"/>
          <w:kern w:val="0"/>
        </w:rPr>
        <w:t>新提交响应文件</w:t>
      </w:r>
      <w:r>
        <w:rPr>
          <w:rFonts w:hint="eastAsia"/>
          <w:bCs/>
          <w:color w:val="auto"/>
        </w:rPr>
        <w:t>。</w:t>
      </w:r>
      <w:r>
        <w:rPr>
          <w:rFonts w:hint="eastAsia"/>
          <w:color w:val="auto"/>
          <w:kern w:val="0"/>
        </w:rPr>
        <w:t>磋商小组应当</w:t>
      </w:r>
      <w:r>
        <w:rPr>
          <w:rFonts w:hint="eastAsia"/>
          <w:color w:val="auto"/>
        </w:rPr>
        <w:t>根据本章第26.2</w:t>
      </w:r>
      <w:r>
        <w:rPr>
          <w:rFonts w:hint="eastAsia"/>
          <w:color w:val="auto"/>
          <w:kern w:val="0"/>
          <w:lang w:val="zh-CN"/>
        </w:rPr>
        <w:t>款</w:t>
      </w:r>
      <w:r>
        <w:rPr>
          <w:rFonts w:hint="eastAsia"/>
          <w:color w:val="auto"/>
        </w:rPr>
        <w:t>规定</w:t>
      </w:r>
      <w:r>
        <w:rPr>
          <w:rFonts w:hint="eastAsia"/>
          <w:color w:val="auto"/>
          <w:kern w:val="0"/>
        </w:rPr>
        <w:t>对供应商重新提交的响应文件进行审查。供应商重新提交的响应文件审查不合格的，不得进入下一轮磋商。</w:t>
      </w:r>
    </w:p>
    <w:p w14:paraId="40687EA6">
      <w:pPr>
        <w:rPr>
          <w:color w:val="auto"/>
          <w:kern w:val="0"/>
        </w:rPr>
      </w:pPr>
      <w:r>
        <w:rPr>
          <w:rFonts w:hint="eastAsia"/>
          <w:color w:val="auto"/>
          <w:kern w:val="0"/>
        </w:rPr>
        <w:t>（1）磋商文件能够详细列明采购需求的技术、服务要求的，磋商结束后，磋商小组应当要求所有继续参加磋商的供应商在规定时间内提交最后报价。</w:t>
      </w:r>
    </w:p>
    <w:p w14:paraId="351BC424">
      <w:pPr>
        <w:rPr>
          <w:color w:val="auto"/>
          <w:kern w:val="0"/>
        </w:rPr>
      </w:pPr>
      <w:r>
        <w:rPr>
          <w:rFonts w:hint="eastAsia"/>
          <w:color w:val="auto"/>
          <w:kern w:val="0"/>
        </w:rPr>
        <w:t>（2）磋商文件不能详细列明采购需求的技术、服务要求的，需经磋商由供应商提供最终设计方案或解决方案的，磋商结束后，磋商小组应当按照少数服从多数的原则投票推荐3家以上供应商的设计方案或者解决方案，并要求其在规定时间内提交最后报价。</w:t>
      </w:r>
    </w:p>
    <w:p w14:paraId="16241D62">
      <w:pPr>
        <w:rPr>
          <w:bCs/>
          <w:color w:val="auto"/>
        </w:rPr>
      </w:pPr>
      <w:r>
        <w:rPr>
          <w:rFonts w:hint="eastAsia"/>
          <w:bCs/>
          <w:color w:val="auto"/>
        </w:rPr>
        <w:t>30.3重</w:t>
      </w:r>
      <w:r>
        <w:rPr>
          <w:rFonts w:hint="eastAsia"/>
          <w:color w:val="auto"/>
          <w:kern w:val="0"/>
        </w:rPr>
        <w:t>新提交的响应文件</w:t>
      </w:r>
      <w:r>
        <w:rPr>
          <w:rFonts w:hint="eastAsia"/>
          <w:color w:val="auto"/>
        </w:rPr>
        <w:t>或者最后报价应按</w:t>
      </w:r>
      <w:r>
        <w:rPr>
          <w:rFonts w:hint="eastAsia"/>
          <w:color w:val="auto"/>
          <w:kern w:val="0"/>
        </w:rPr>
        <w:t>本章第</w:t>
      </w:r>
      <w:r>
        <w:rPr>
          <w:rFonts w:hint="eastAsia"/>
          <w:color w:val="auto"/>
        </w:rPr>
        <w:t>21.3</w:t>
      </w:r>
      <w:r>
        <w:rPr>
          <w:rFonts w:hint="eastAsia"/>
          <w:color w:val="auto"/>
          <w:kern w:val="0"/>
          <w:lang w:val="zh-CN"/>
        </w:rPr>
        <w:t>款</w:t>
      </w:r>
      <w:r>
        <w:rPr>
          <w:rFonts w:hint="eastAsia"/>
          <w:color w:val="auto"/>
        </w:rPr>
        <w:t>规定，</w:t>
      </w:r>
      <w:r>
        <w:rPr>
          <w:rFonts w:hint="eastAsia"/>
          <w:color w:val="auto"/>
          <w:kern w:val="0"/>
        </w:rPr>
        <w:t>由其法定代表人或其委托代理人签字或者加盖供应商单位章，在规定时间内密封递交给磋商小组</w:t>
      </w:r>
      <w:r>
        <w:rPr>
          <w:rFonts w:hint="eastAsia"/>
          <w:bCs/>
          <w:color w:val="auto"/>
        </w:rPr>
        <w:t>。</w:t>
      </w:r>
    </w:p>
    <w:p w14:paraId="713A1BC5">
      <w:pPr>
        <w:rPr>
          <w:color w:val="auto"/>
          <w:kern w:val="0"/>
        </w:rPr>
      </w:pPr>
      <w:r>
        <w:rPr>
          <w:rFonts w:hint="eastAsia"/>
          <w:color w:val="auto"/>
          <w:kern w:val="0"/>
        </w:rPr>
        <w:t>30.4</w:t>
      </w:r>
      <w:r>
        <w:rPr>
          <w:rFonts w:hint="eastAsia"/>
          <w:color w:val="auto"/>
          <w:kern w:val="0"/>
          <w:lang w:val="zh-CN"/>
        </w:rPr>
        <w:t>供应商的</w:t>
      </w:r>
      <w:r>
        <w:rPr>
          <w:rFonts w:hint="eastAsia"/>
          <w:bCs/>
          <w:color w:val="auto"/>
        </w:rPr>
        <w:t>最</w:t>
      </w:r>
      <w:r>
        <w:rPr>
          <w:rFonts w:hint="eastAsia"/>
          <w:color w:val="auto"/>
          <w:kern w:val="0"/>
          <w:lang w:val="zh-CN"/>
        </w:rPr>
        <w:t>后</w:t>
      </w:r>
      <w:r>
        <w:rPr>
          <w:rFonts w:hint="eastAsia"/>
          <w:bCs/>
          <w:color w:val="auto"/>
        </w:rPr>
        <w:t>报价及</w:t>
      </w:r>
      <w:r>
        <w:rPr>
          <w:rFonts w:hint="eastAsia"/>
          <w:color w:val="auto"/>
          <w:kern w:val="0"/>
        </w:rPr>
        <w:t>政府采购政策规定的价格扣除情况，磋商小组应召集所有参加最后报价的供应商当场开封</w:t>
      </w:r>
      <w:r>
        <w:rPr>
          <w:rFonts w:hint="eastAsia"/>
          <w:bCs/>
          <w:color w:val="auto"/>
        </w:rPr>
        <w:t>公布，并由供应商代表签字确认。</w:t>
      </w:r>
    </w:p>
    <w:p w14:paraId="5C1CDB18">
      <w:pPr>
        <w:rPr>
          <w:color w:val="auto"/>
          <w:kern w:val="0"/>
        </w:rPr>
      </w:pPr>
      <w:r>
        <w:rPr>
          <w:rFonts w:hint="eastAsia"/>
          <w:color w:val="auto"/>
          <w:kern w:val="0"/>
        </w:rPr>
        <w:t>30.5提交首次响应文件的供应商，在提交最后报价之前，可以根据磋商情况退出磋商，并书面通知采购代理机构或者磋商小组。</w:t>
      </w:r>
      <w:r>
        <w:rPr>
          <w:rFonts w:hint="eastAsia"/>
          <w:color w:val="auto"/>
        </w:rPr>
        <w:t>该通知由供应商法定代表人或其委托代理人签字。</w:t>
      </w:r>
    </w:p>
    <w:p w14:paraId="2EF79499">
      <w:pPr>
        <w:pStyle w:val="60"/>
        <w:rPr>
          <w:color w:val="auto"/>
        </w:rPr>
      </w:pPr>
      <w:r>
        <w:rPr>
          <w:rFonts w:hint="eastAsia" w:ascii="宋体" w:hAnsi="宋体" w:cs="宋体"/>
          <w:color w:val="auto"/>
          <w:kern w:val="0"/>
          <w:szCs w:val="21"/>
        </w:rPr>
        <w:t>30.6磋商文件在磋商过程中未发生实质性变动的，参加磋商供应商的次轮报价不得高于上轮报价，否则视为无效响应。</w:t>
      </w:r>
    </w:p>
    <w:p w14:paraId="6A3869FB">
      <w:pPr>
        <w:rPr>
          <w:bCs/>
          <w:color w:val="auto"/>
        </w:rPr>
      </w:pPr>
      <w:r>
        <w:rPr>
          <w:rFonts w:hint="eastAsia"/>
          <w:color w:val="auto"/>
          <w:kern w:val="0"/>
        </w:rPr>
        <w:t>31.响应文件评审</w:t>
      </w:r>
    </w:p>
    <w:p w14:paraId="7A1F0ECF">
      <w:pPr>
        <w:rPr>
          <w:color w:val="auto"/>
          <w:kern w:val="0"/>
        </w:rPr>
      </w:pPr>
      <w:r>
        <w:rPr>
          <w:rFonts w:hint="eastAsia"/>
          <w:color w:val="auto"/>
          <w:kern w:val="0"/>
        </w:rPr>
        <w:t>31.1经磋商确定最终采购需求和提交最后报价的供应商后，由磋商小组采用综合评分法对提交最后报价的供应商的响应文件和最后报价进行综合评价。</w:t>
      </w:r>
    </w:p>
    <w:p w14:paraId="21EEC2B4">
      <w:pPr>
        <w:rPr>
          <w:color w:val="auto"/>
          <w:kern w:val="0"/>
        </w:rPr>
      </w:pPr>
      <w:r>
        <w:rPr>
          <w:rFonts w:hint="eastAsia"/>
          <w:color w:val="auto"/>
          <w:kern w:val="0"/>
        </w:rPr>
        <w:t>31.2综合评分法，是指响应文件满足磋商文件全部实质性要求且按评审因素的量化指标评审得分最高的供应商为成交候选供应商的评审方法。本采购项目的评审因素和标准见磋商须知前附表。</w:t>
      </w:r>
    </w:p>
    <w:p w14:paraId="652785BC">
      <w:pPr>
        <w:rPr>
          <w:color w:val="auto"/>
          <w:kern w:val="0"/>
        </w:rPr>
      </w:pPr>
      <w:r>
        <w:rPr>
          <w:rFonts w:hint="eastAsia"/>
          <w:color w:val="auto"/>
          <w:kern w:val="0"/>
        </w:rPr>
        <w:t>31.3最后报价调整。磋商小组以各供应商最后报价为基础，按照符合政府采购支持中小企业发展的相应条件，对供应商的最后报价进行价格扣除，用扣除后的最后报价计算价格得分，具体价格扣除比例见磋商须知前附表。</w:t>
      </w:r>
    </w:p>
    <w:p w14:paraId="682643E3">
      <w:pPr>
        <w:rPr>
          <w:color w:val="auto"/>
          <w:kern w:val="0"/>
        </w:rPr>
      </w:pPr>
      <w:r>
        <w:rPr>
          <w:rFonts w:hint="eastAsia"/>
          <w:color w:val="auto"/>
          <w:kern w:val="0"/>
        </w:rPr>
        <w:t>31.4综合评分法中的价格分采用低价优先法计算，即满足磋商文件要求且经调整后的最后报价最低的供应商的价格为磋商基准价，其价格分为满分。其他供应商的价格分按照下列公式计算：</w:t>
      </w:r>
    </w:p>
    <w:p w14:paraId="65E745C3">
      <w:pPr>
        <w:rPr>
          <w:color w:val="auto"/>
          <w:kern w:val="0"/>
        </w:rPr>
      </w:pPr>
      <w:r>
        <w:rPr>
          <w:rFonts w:hint="eastAsia"/>
          <w:color w:val="auto"/>
          <w:kern w:val="0"/>
        </w:rPr>
        <w:t>详见评分标准</w:t>
      </w:r>
    </w:p>
    <w:p w14:paraId="5FB4F9C7">
      <w:pPr>
        <w:rPr>
          <w:color w:val="auto"/>
          <w:kern w:val="0"/>
        </w:rPr>
      </w:pPr>
      <w:r>
        <w:rPr>
          <w:rFonts w:hint="eastAsia"/>
          <w:color w:val="auto"/>
          <w:kern w:val="0"/>
        </w:rPr>
        <w:t>项目评审过程中，不得去掉最后报价中的最高报价和最低报价。</w:t>
      </w:r>
    </w:p>
    <w:p w14:paraId="61FA2122">
      <w:pPr>
        <w:rPr>
          <w:color w:val="auto"/>
          <w:kern w:val="0"/>
        </w:rPr>
      </w:pPr>
      <w:r>
        <w:rPr>
          <w:rFonts w:hint="eastAsia"/>
          <w:color w:val="auto"/>
          <w:kern w:val="0"/>
        </w:rPr>
        <w:t>31.5涉及政府采购政策优惠对供应商分值进行调整的，按磋商须知前附表规定调整供应商的技术、商务、价格得分或总得分。</w:t>
      </w:r>
    </w:p>
    <w:p w14:paraId="3008F7C9">
      <w:pPr>
        <w:rPr>
          <w:color w:val="auto"/>
          <w:kern w:val="0"/>
        </w:rPr>
      </w:pPr>
      <w:r>
        <w:rPr>
          <w:rFonts w:hint="eastAsia"/>
          <w:color w:val="auto"/>
          <w:kern w:val="0"/>
        </w:rPr>
        <w:t>31.6涉及多处或部分获得政府采购政策优惠的，其多处或部分享受政府采购优惠政策的计算方法见磋商须知前附表相关规定。</w:t>
      </w:r>
    </w:p>
    <w:p w14:paraId="41CFF068">
      <w:pPr>
        <w:rPr>
          <w:color w:val="auto"/>
          <w:kern w:val="0"/>
        </w:rPr>
      </w:pPr>
      <w:r>
        <w:rPr>
          <w:rFonts w:hint="eastAsia"/>
          <w:color w:val="auto"/>
          <w:kern w:val="0"/>
        </w:rPr>
        <w:t>31.7评审时，磋商小组各成员应当独立对每个供应商的响应文件进行评价、评分，并按照政府采购优惠政策对最后报价进行价格扣除和技术、商务、价格加分后，汇总各供应商的总得分。</w:t>
      </w:r>
    </w:p>
    <w:p w14:paraId="5A16A08A">
      <w:pPr>
        <w:rPr>
          <w:rFonts w:hint="eastAsia"/>
          <w:color w:val="auto"/>
          <w:kern w:val="0"/>
        </w:rPr>
      </w:pPr>
      <w:r>
        <w:rPr>
          <w:rFonts w:hint="eastAsia"/>
          <w:color w:val="auto"/>
          <w:kern w:val="0"/>
        </w:rPr>
        <w:t>32.提出成交供应商</w:t>
      </w:r>
    </w:p>
    <w:p w14:paraId="01704431">
      <w:pPr>
        <w:rPr>
          <w:rFonts w:hint="eastAsia"/>
          <w:color w:val="auto"/>
          <w:kern w:val="0"/>
        </w:rPr>
      </w:pPr>
      <w:r>
        <w:rPr>
          <w:rFonts w:hint="eastAsia"/>
          <w:color w:val="auto"/>
          <w:kern w:val="0"/>
          <w:lang w:val="en-US" w:eastAsia="zh-CN"/>
        </w:rPr>
        <w:t>3</w:t>
      </w:r>
      <w:r>
        <w:rPr>
          <w:rFonts w:hint="default"/>
          <w:color w:val="auto"/>
          <w:kern w:val="0"/>
          <w:lang w:val="en-US" w:eastAsia="zh-CN"/>
        </w:rPr>
        <w:t xml:space="preserve">2.1 </w:t>
      </w:r>
      <w:r>
        <w:rPr>
          <w:rFonts w:hint="default"/>
          <w:color w:val="auto"/>
          <w:kern w:val="0"/>
        </w:rPr>
        <w:t>竞争性磋商采购过程中提交</w:t>
      </w:r>
      <w:r>
        <w:rPr>
          <w:rFonts w:hint="default"/>
          <w:color w:val="auto"/>
          <w:kern w:val="0"/>
          <w:lang w:val="en-US" w:eastAsia="zh-CN"/>
        </w:rPr>
        <w:t>响应</w:t>
      </w:r>
      <w:r>
        <w:rPr>
          <w:rFonts w:hint="default"/>
          <w:color w:val="auto"/>
          <w:kern w:val="0"/>
        </w:rPr>
        <w:t>文件或者经评审实质性响应文件要求的供应商只有两家时，</w:t>
      </w:r>
      <w:r>
        <w:rPr>
          <w:rFonts w:hint="default"/>
          <w:color w:val="auto"/>
          <w:kern w:val="0"/>
          <w:lang w:val="en-US" w:eastAsia="zh-CN"/>
        </w:rPr>
        <w:t>经评委一致同意，</w:t>
      </w:r>
      <w:r>
        <w:rPr>
          <w:rFonts w:hint="default"/>
          <w:color w:val="auto"/>
          <w:kern w:val="0"/>
        </w:rPr>
        <w:t>竞争性磋商</w:t>
      </w:r>
      <w:r>
        <w:rPr>
          <w:rFonts w:hint="default"/>
          <w:color w:val="auto"/>
          <w:kern w:val="0"/>
          <w:lang w:val="en-US" w:eastAsia="zh-CN"/>
        </w:rPr>
        <w:t>活动可以继续进行；采购</w:t>
      </w:r>
      <w:r>
        <w:rPr>
          <w:rFonts w:hint="default"/>
          <w:color w:val="auto"/>
          <w:kern w:val="0"/>
        </w:rPr>
        <w:t>过程中提交</w:t>
      </w:r>
      <w:r>
        <w:rPr>
          <w:rFonts w:hint="default"/>
          <w:color w:val="auto"/>
          <w:kern w:val="0"/>
          <w:lang w:val="en-US" w:eastAsia="zh-CN"/>
        </w:rPr>
        <w:t>响应</w:t>
      </w:r>
      <w:r>
        <w:rPr>
          <w:rFonts w:hint="default"/>
          <w:color w:val="auto"/>
          <w:kern w:val="0"/>
        </w:rPr>
        <w:t>文件或者经评审实质性响应文件要求的供应商只有</w:t>
      </w:r>
      <w:r>
        <w:rPr>
          <w:rFonts w:hint="default"/>
          <w:color w:val="auto"/>
          <w:kern w:val="0"/>
          <w:lang w:val="en-US" w:eastAsia="zh-CN"/>
        </w:rPr>
        <w:t>一</w:t>
      </w:r>
      <w:r>
        <w:rPr>
          <w:rFonts w:hint="default"/>
          <w:color w:val="auto"/>
          <w:kern w:val="0"/>
        </w:rPr>
        <w:t>家时，应当终止采购活动，发布项目终止公告并说明原因，重新开展采购活动。</w:t>
      </w:r>
    </w:p>
    <w:p w14:paraId="69E80A5B">
      <w:pPr>
        <w:rPr>
          <w:rFonts w:hint="eastAsia"/>
          <w:color w:val="auto"/>
          <w:kern w:val="0"/>
        </w:rPr>
      </w:pPr>
      <w:r>
        <w:rPr>
          <w:rFonts w:hint="eastAsia"/>
          <w:color w:val="auto"/>
          <w:kern w:val="0"/>
        </w:rPr>
        <w:t>32.1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color w:val="auto"/>
          <w:kern w:val="0"/>
          <w:lang w:val="en-US" w:eastAsia="zh-CN"/>
        </w:rPr>
        <w:t>除磋商小组一致同意外</w:t>
      </w:r>
      <w:r>
        <w:rPr>
          <w:rFonts w:hint="eastAsia"/>
          <w:color w:val="auto"/>
          <w:kern w:val="0"/>
        </w:rPr>
        <w:t>，可以推荐2家成交候选供应商。</w:t>
      </w:r>
    </w:p>
    <w:p w14:paraId="38CEBAE7">
      <w:pPr>
        <w:rPr>
          <w:color w:val="auto"/>
        </w:rPr>
      </w:pPr>
      <w:r>
        <w:rPr>
          <w:rFonts w:hint="eastAsia"/>
          <w:color w:val="auto"/>
        </w:rPr>
        <w:t>33.确定成交供应商</w:t>
      </w:r>
    </w:p>
    <w:p w14:paraId="644D7367">
      <w:pPr>
        <w:rPr>
          <w:color w:val="auto"/>
          <w:kern w:val="0"/>
        </w:rPr>
      </w:pPr>
      <w:r>
        <w:rPr>
          <w:rFonts w:hint="eastAsia"/>
          <w:color w:val="auto"/>
          <w:kern w:val="0"/>
        </w:rPr>
        <w:t>33.1采购代理机构应当在评审结束后2个工作日内将评审报告送采购人确认。</w:t>
      </w:r>
    </w:p>
    <w:p w14:paraId="4FFC1208">
      <w:pPr>
        <w:rPr>
          <w:color w:val="auto"/>
          <w:kern w:val="0"/>
        </w:rPr>
      </w:pPr>
      <w:r>
        <w:rPr>
          <w:rFonts w:hint="eastAsia"/>
          <w:color w:val="auto"/>
          <w:kern w:val="0"/>
        </w:rPr>
        <w:t>33.2采购人应当在收到评审报告后5个工作日内，从评审报告提出的成交候选供应商中，按照排序由高到低的原则确定成交供应商，也可以书面授权磋商小组直接确定成交供应商。</w:t>
      </w:r>
    </w:p>
    <w:p w14:paraId="3915E7F4">
      <w:pPr>
        <w:pStyle w:val="25"/>
        <w:rPr>
          <w:color w:val="auto"/>
        </w:rPr>
      </w:pPr>
      <w:r>
        <w:rPr>
          <w:rFonts w:hint="eastAsia"/>
          <w:color w:val="auto"/>
        </w:rPr>
        <w:t>34.磋商终止</w:t>
      </w:r>
    </w:p>
    <w:p w14:paraId="1F77FC1D">
      <w:pPr>
        <w:rPr>
          <w:color w:val="auto"/>
          <w:kern w:val="0"/>
          <w:sz w:val="21"/>
          <w:szCs w:val="21"/>
        </w:rPr>
      </w:pPr>
      <w:r>
        <w:rPr>
          <w:rFonts w:hint="eastAsia"/>
          <w:bCs/>
          <w:color w:val="auto"/>
        </w:rPr>
        <w:t>34.</w:t>
      </w:r>
      <w:r>
        <w:rPr>
          <w:rFonts w:hint="eastAsia"/>
          <w:bCs/>
          <w:color w:val="auto"/>
          <w:sz w:val="21"/>
          <w:szCs w:val="21"/>
        </w:rPr>
        <w:t>1</w:t>
      </w:r>
      <w:r>
        <w:rPr>
          <w:rFonts w:hint="eastAsia"/>
          <w:color w:val="auto"/>
          <w:kern w:val="0"/>
          <w:sz w:val="21"/>
          <w:szCs w:val="21"/>
        </w:rPr>
        <w:t>出现下列情形之一的，采购人或者采购代理机构应当终止竞争性磋商采购活动，</w:t>
      </w:r>
      <w:r>
        <w:rPr>
          <w:rFonts w:hint="eastAsia"/>
          <w:color w:val="auto"/>
          <w:sz w:val="21"/>
          <w:szCs w:val="21"/>
        </w:rPr>
        <w:t>在本章第37.1款指定的媒体上</w:t>
      </w:r>
      <w:r>
        <w:rPr>
          <w:rFonts w:hint="eastAsia"/>
          <w:color w:val="auto"/>
          <w:kern w:val="0"/>
          <w:sz w:val="21"/>
          <w:szCs w:val="21"/>
        </w:rPr>
        <w:t xml:space="preserve">发布项目终止公告并说明原因，重新开展采购活动： </w:t>
      </w:r>
    </w:p>
    <w:p w14:paraId="13679DB9">
      <w:pPr>
        <w:rPr>
          <w:color w:val="auto"/>
          <w:kern w:val="0"/>
          <w:sz w:val="21"/>
          <w:szCs w:val="21"/>
        </w:rPr>
      </w:pPr>
      <w:r>
        <w:rPr>
          <w:rFonts w:hint="eastAsia"/>
          <w:color w:val="auto"/>
          <w:kern w:val="0"/>
          <w:sz w:val="21"/>
          <w:szCs w:val="21"/>
        </w:rPr>
        <w:t>（1）因情况变化，不再符合规定的竞争性磋商采购方式适用情形的；</w:t>
      </w:r>
    </w:p>
    <w:p w14:paraId="0EAEA511">
      <w:pPr>
        <w:rPr>
          <w:color w:val="auto"/>
          <w:kern w:val="0"/>
          <w:sz w:val="21"/>
          <w:szCs w:val="21"/>
        </w:rPr>
      </w:pPr>
      <w:r>
        <w:rPr>
          <w:rFonts w:hint="eastAsia"/>
          <w:color w:val="auto"/>
          <w:kern w:val="0"/>
          <w:sz w:val="21"/>
          <w:szCs w:val="21"/>
        </w:rPr>
        <w:t>（2）出现影响采购公正的违法、违规行为的；</w:t>
      </w:r>
    </w:p>
    <w:p w14:paraId="12504BC8">
      <w:pPr>
        <w:rPr>
          <w:rFonts w:hint="eastAsia"/>
          <w:bCs/>
          <w:color w:val="auto"/>
          <w:sz w:val="21"/>
          <w:szCs w:val="21"/>
        </w:rPr>
      </w:pPr>
      <w:r>
        <w:rPr>
          <w:rFonts w:hint="eastAsia"/>
          <w:color w:val="auto"/>
          <w:kern w:val="0"/>
          <w:sz w:val="21"/>
          <w:szCs w:val="21"/>
        </w:rPr>
        <w:t>（3）</w:t>
      </w:r>
      <w:r>
        <w:rPr>
          <w:rFonts w:hint="eastAsia"/>
          <w:bCs/>
          <w:color w:val="auto"/>
          <w:sz w:val="21"/>
          <w:szCs w:val="21"/>
        </w:rPr>
        <w:t>除</w:t>
      </w:r>
      <w:r>
        <w:rPr>
          <w:rFonts w:hint="eastAsia"/>
          <w:color w:val="auto"/>
          <w:kern w:val="0"/>
          <w:szCs w:val="21"/>
        </w:rPr>
        <w:t>磋商小组</w:t>
      </w:r>
      <w:r>
        <w:rPr>
          <w:rFonts w:hint="eastAsia"/>
          <w:bCs w:val="0"/>
          <w:color w:val="auto"/>
          <w:kern w:val="0"/>
          <w:sz w:val="21"/>
          <w:szCs w:val="21"/>
          <w:lang w:val="en-US" w:eastAsia="zh-CN"/>
        </w:rPr>
        <w:t>一致同意</w:t>
      </w:r>
      <w:r>
        <w:rPr>
          <w:rFonts w:hint="eastAsia" w:ascii="宋体" w:hAnsi="宋体" w:eastAsia="宋体" w:cs="宋体"/>
          <w:color w:val="auto"/>
          <w:kern w:val="0"/>
          <w:sz w:val="21"/>
          <w:szCs w:val="21"/>
        </w:rPr>
        <w:t>竞争性磋商</w:t>
      </w:r>
      <w:r>
        <w:rPr>
          <w:rFonts w:hint="eastAsia" w:ascii="宋体" w:hAnsi="宋体" w:eastAsia="宋体" w:cs="宋体"/>
          <w:color w:val="auto"/>
          <w:kern w:val="0"/>
          <w:sz w:val="21"/>
          <w:szCs w:val="21"/>
          <w:lang w:val="en-US" w:eastAsia="zh-CN"/>
        </w:rPr>
        <w:t>活动可以继续进行</w:t>
      </w:r>
      <w:r>
        <w:rPr>
          <w:rFonts w:hint="eastAsia"/>
          <w:bCs w:val="0"/>
          <w:color w:val="auto"/>
          <w:kern w:val="0"/>
          <w:sz w:val="21"/>
          <w:szCs w:val="21"/>
        </w:rPr>
        <w:t>外</w:t>
      </w:r>
      <w:r>
        <w:rPr>
          <w:rFonts w:hint="eastAsia"/>
          <w:bCs/>
          <w:color w:val="auto"/>
          <w:sz w:val="21"/>
          <w:szCs w:val="21"/>
        </w:rPr>
        <w:t>，在采购过程中符合要求的供应商或者报价未超过采购预算的供应商不足3家的；</w:t>
      </w:r>
    </w:p>
    <w:p w14:paraId="5387D3B4">
      <w:pPr>
        <w:rPr>
          <w:bCs/>
          <w:color w:val="auto"/>
          <w:sz w:val="21"/>
          <w:szCs w:val="21"/>
        </w:rPr>
      </w:pPr>
      <w:r>
        <w:rPr>
          <w:rFonts w:hint="eastAsia"/>
          <w:color w:val="auto"/>
          <w:kern w:val="0"/>
          <w:sz w:val="21"/>
          <w:szCs w:val="21"/>
        </w:rPr>
        <w:t>（4）因重大变故，采购任务取消的。</w:t>
      </w:r>
    </w:p>
    <w:p w14:paraId="6CCD101E">
      <w:pPr>
        <w:rPr>
          <w:color w:val="auto"/>
          <w:kern w:val="0"/>
          <w:sz w:val="21"/>
          <w:szCs w:val="21"/>
        </w:rPr>
      </w:pPr>
      <w:r>
        <w:rPr>
          <w:rFonts w:hint="eastAsia"/>
          <w:color w:val="auto"/>
          <w:kern w:val="0"/>
          <w:sz w:val="21"/>
          <w:szCs w:val="21"/>
        </w:rPr>
        <w:t>35．重新评审</w:t>
      </w:r>
    </w:p>
    <w:p w14:paraId="7262D7A8">
      <w:pPr>
        <w:rPr>
          <w:color w:val="auto"/>
          <w:kern w:val="0"/>
          <w:sz w:val="21"/>
          <w:szCs w:val="21"/>
        </w:rPr>
      </w:pPr>
      <w:r>
        <w:rPr>
          <w:rFonts w:hint="eastAsia"/>
          <w:color w:val="auto"/>
          <w:kern w:val="0"/>
          <w:sz w:val="21"/>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76DDC6D9">
      <w:pPr>
        <w:rPr>
          <w:color w:val="auto"/>
          <w:sz w:val="21"/>
          <w:szCs w:val="21"/>
        </w:rPr>
      </w:pPr>
      <w:r>
        <w:rPr>
          <w:rFonts w:hint="eastAsia"/>
          <w:color w:val="auto"/>
          <w:sz w:val="21"/>
          <w:szCs w:val="21"/>
        </w:rPr>
        <w:t>36.保密及串通行为</w:t>
      </w:r>
    </w:p>
    <w:p w14:paraId="27A4E7B4">
      <w:pPr>
        <w:rPr>
          <w:color w:val="auto"/>
          <w:sz w:val="21"/>
          <w:szCs w:val="21"/>
        </w:rPr>
      </w:pPr>
      <w:r>
        <w:rPr>
          <w:rFonts w:hint="eastAsia"/>
          <w:color w:val="auto"/>
          <w:sz w:val="21"/>
          <w:szCs w:val="21"/>
        </w:rPr>
        <w:t>36.1磋商小组成员以及与评审工作有关的人员不得泄露评审情况以及评审过程中获悉的国家秘密、商业秘密。</w:t>
      </w:r>
    </w:p>
    <w:p w14:paraId="39C8A703">
      <w:pPr>
        <w:rPr>
          <w:color w:val="auto"/>
          <w:sz w:val="21"/>
          <w:szCs w:val="21"/>
        </w:rPr>
      </w:pPr>
      <w:r>
        <w:rPr>
          <w:rFonts w:hint="eastAsia"/>
          <w:color w:val="auto"/>
          <w:sz w:val="21"/>
          <w:szCs w:val="21"/>
        </w:rPr>
        <w:t>36.2</w:t>
      </w:r>
      <w:r>
        <w:rPr>
          <w:rFonts w:hint="eastAsia"/>
          <w:color w:val="auto"/>
          <w:kern w:val="0"/>
          <w:sz w:val="21"/>
          <w:szCs w:val="21"/>
        </w:rPr>
        <w:t>供应商</w:t>
      </w:r>
      <w:r>
        <w:rPr>
          <w:rFonts w:hint="eastAsia"/>
          <w:color w:val="auto"/>
          <w:sz w:val="21"/>
          <w:szCs w:val="21"/>
        </w:rPr>
        <w:t>不得与</w:t>
      </w:r>
      <w:r>
        <w:rPr>
          <w:rFonts w:hint="eastAsia"/>
          <w:color w:val="auto"/>
          <w:kern w:val="0"/>
          <w:sz w:val="21"/>
          <w:szCs w:val="21"/>
        </w:rPr>
        <w:t>采购人、采购代理机构、其它供应商恶意</w:t>
      </w:r>
      <w:r>
        <w:rPr>
          <w:rFonts w:hint="eastAsia"/>
          <w:color w:val="auto"/>
          <w:sz w:val="21"/>
          <w:szCs w:val="21"/>
        </w:rPr>
        <w:t>串通；不得向</w:t>
      </w:r>
      <w:r>
        <w:rPr>
          <w:rFonts w:hint="eastAsia"/>
          <w:color w:val="auto"/>
          <w:kern w:val="0"/>
          <w:sz w:val="21"/>
          <w:szCs w:val="21"/>
        </w:rPr>
        <w:t>采购人、采购代理机构</w:t>
      </w:r>
      <w:r>
        <w:rPr>
          <w:rFonts w:hint="eastAsia"/>
          <w:color w:val="auto"/>
          <w:sz w:val="21"/>
          <w:szCs w:val="21"/>
        </w:rPr>
        <w:t>或者磋商小组成员行贿或者提供其它不正当利益；不得提供虚假资料谋取成交；不得以任何方式干扰、影响采购工作。</w:t>
      </w:r>
    </w:p>
    <w:p w14:paraId="1B54E1B0">
      <w:pPr>
        <w:rPr>
          <w:color w:val="auto"/>
          <w:sz w:val="21"/>
          <w:szCs w:val="21"/>
          <w:lang w:val="zh-CN"/>
        </w:rPr>
      </w:pPr>
      <w:r>
        <w:rPr>
          <w:rFonts w:hint="eastAsia"/>
          <w:color w:val="auto"/>
          <w:sz w:val="21"/>
          <w:szCs w:val="21"/>
        </w:rPr>
        <w:t>36.3</w:t>
      </w:r>
      <w:r>
        <w:rPr>
          <w:rFonts w:hint="eastAsia"/>
          <w:color w:val="auto"/>
          <w:sz w:val="21"/>
          <w:szCs w:val="21"/>
          <w:lang w:val="zh-CN"/>
        </w:rPr>
        <w:t>有下列情形之一的，属于恶意串通，对供应商依照政府采购法第七十七条第一款的规定追究法律责任：</w:t>
      </w:r>
    </w:p>
    <w:p w14:paraId="026FA293">
      <w:pPr>
        <w:rPr>
          <w:color w:val="auto"/>
          <w:sz w:val="21"/>
          <w:szCs w:val="21"/>
          <w:lang w:val="zh-CN"/>
        </w:rPr>
      </w:pPr>
      <w:r>
        <w:rPr>
          <w:rFonts w:hint="eastAsia"/>
          <w:color w:val="auto"/>
          <w:sz w:val="21"/>
          <w:szCs w:val="21"/>
          <w:lang w:val="zh-CN"/>
        </w:rPr>
        <w:t>（一）供应商直接或者间接从采购人或者采购代理机构处获得其它供应商的相关情况并修改其投标文件或者响应文件；</w:t>
      </w:r>
    </w:p>
    <w:p w14:paraId="0C15FAA7">
      <w:pPr>
        <w:rPr>
          <w:color w:val="auto"/>
          <w:sz w:val="21"/>
          <w:szCs w:val="21"/>
          <w:lang w:val="zh-CN"/>
        </w:rPr>
      </w:pPr>
      <w:r>
        <w:rPr>
          <w:rFonts w:hint="eastAsia"/>
          <w:color w:val="auto"/>
          <w:sz w:val="21"/>
          <w:szCs w:val="21"/>
          <w:lang w:val="zh-CN"/>
        </w:rPr>
        <w:t>（二）供应商按照采购人或者采购代理机构的授意撤换、修改投标文件或者响应文件；</w:t>
      </w:r>
    </w:p>
    <w:p w14:paraId="13063D94">
      <w:pPr>
        <w:rPr>
          <w:color w:val="auto"/>
          <w:sz w:val="21"/>
          <w:szCs w:val="21"/>
          <w:lang w:val="zh-CN"/>
        </w:rPr>
      </w:pPr>
      <w:r>
        <w:rPr>
          <w:rFonts w:hint="eastAsia"/>
          <w:color w:val="auto"/>
          <w:sz w:val="21"/>
          <w:szCs w:val="21"/>
          <w:lang w:val="zh-CN"/>
        </w:rPr>
        <w:t>（三）供应商之间协商报价、技术方案等投标文件或者响应文件的实质性内容；</w:t>
      </w:r>
    </w:p>
    <w:p w14:paraId="6C87724C">
      <w:pPr>
        <w:rPr>
          <w:color w:val="auto"/>
          <w:sz w:val="21"/>
          <w:szCs w:val="21"/>
          <w:lang w:val="zh-CN"/>
        </w:rPr>
      </w:pPr>
      <w:r>
        <w:rPr>
          <w:rFonts w:hint="eastAsia"/>
          <w:color w:val="auto"/>
          <w:sz w:val="21"/>
          <w:szCs w:val="21"/>
          <w:lang w:val="zh-CN"/>
        </w:rPr>
        <w:t>（四）属于同一集团、协会、商会等组织成员的供应商按照该组织要求协同参加采购活动；</w:t>
      </w:r>
    </w:p>
    <w:p w14:paraId="5FBDEBFE">
      <w:pPr>
        <w:rPr>
          <w:color w:val="auto"/>
          <w:sz w:val="21"/>
          <w:szCs w:val="21"/>
          <w:lang w:val="zh-CN"/>
        </w:rPr>
      </w:pPr>
      <w:r>
        <w:rPr>
          <w:rFonts w:hint="eastAsia"/>
          <w:color w:val="auto"/>
          <w:sz w:val="21"/>
          <w:szCs w:val="21"/>
          <w:lang w:val="zh-CN"/>
        </w:rPr>
        <w:t>（五）供应商之间事先约定由某一特定供应商中标、成交；</w:t>
      </w:r>
    </w:p>
    <w:p w14:paraId="4B28244C">
      <w:pPr>
        <w:rPr>
          <w:color w:val="auto"/>
          <w:sz w:val="21"/>
          <w:szCs w:val="21"/>
          <w:lang w:val="zh-CN"/>
        </w:rPr>
      </w:pPr>
      <w:r>
        <w:rPr>
          <w:rFonts w:hint="eastAsia"/>
          <w:color w:val="auto"/>
          <w:sz w:val="21"/>
          <w:szCs w:val="21"/>
          <w:lang w:val="zh-CN"/>
        </w:rPr>
        <w:t>（六）供应商之间商定部分供应商放弃参加采购活动或者放弃中标、成交；</w:t>
      </w:r>
    </w:p>
    <w:p w14:paraId="170882D5">
      <w:pPr>
        <w:rPr>
          <w:color w:val="auto"/>
          <w:sz w:val="21"/>
          <w:szCs w:val="21"/>
          <w:lang w:val="zh-CN"/>
        </w:rPr>
      </w:pPr>
      <w:r>
        <w:rPr>
          <w:rFonts w:hint="eastAsia"/>
          <w:color w:val="auto"/>
          <w:sz w:val="21"/>
          <w:szCs w:val="21"/>
          <w:lang w:val="zh-CN"/>
        </w:rPr>
        <w:t>（七）供应商与采购人或者采购代理机构之间、供应商相互之间，为谋求特定供应商中标、成交或者排斥其它供应商的其它串通行为。</w:t>
      </w:r>
    </w:p>
    <w:p w14:paraId="304EB6EB">
      <w:pPr>
        <w:rPr>
          <w:color w:val="auto"/>
          <w:sz w:val="21"/>
          <w:szCs w:val="21"/>
        </w:rPr>
      </w:pPr>
      <w:r>
        <w:rPr>
          <w:rFonts w:hint="eastAsia"/>
          <w:color w:val="auto"/>
          <w:sz w:val="21"/>
          <w:szCs w:val="21"/>
        </w:rPr>
        <w:t>六、成交结果信息公布与授予合同</w:t>
      </w:r>
    </w:p>
    <w:p w14:paraId="3F0103FB">
      <w:pPr>
        <w:rPr>
          <w:rFonts w:hint="eastAsia"/>
          <w:color w:val="auto"/>
          <w:sz w:val="21"/>
          <w:szCs w:val="21"/>
          <w:lang w:val="zh-CN" w:eastAsia="zh-CN"/>
        </w:rPr>
      </w:pPr>
      <w:r>
        <w:rPr>
          <w:rFonts w:hint="eastAsia"/>
          <w:color w:val="auto"/>
          <w:sz w:val="21"/>
          <w:szCs w:val="21"/>
          <w:lang w:val="zh-CN" w:eastAsia="zh-CN"/>
        </w:rPr>
        <w:t>37.成交信息的公布</w:t>
      </w:r>
    </w:p>
    <w:p w14:paraId="46823DAF">
      <w:pPr>
        <w:rPr>
          <w:rFonts w:hint="eastAsia"/>
          <w:color w:val="auto"/>
          <w:sz w:val="21"/>
          <w:szCs w:val="21"/>
          <w:lang w:val="zh-CN" w:eastAsia="zh-CN"/>
        </w:rPr>
      </w:pPr>
      <w:r>
        <w:rPr>
          <w:rFonts w:hint="eastAsia"/>
          <w:color w:val="auto"/>
          <w:sz w:val="21"/>
          <w:szCs w:val="21"/>
          <w:lang w:val="zh-CN" w:eastAsia="zh-CN"/>
        </w:rPr>
        <w:t>37.1成交供应商确定后2个工作日内，成交结果信息将在磋商须知前附表指定的媒体上公布。</w:t>
      </w:r>
    </w:p>
    <w:p w14:paraId="59146F8F">
      <w:pPr>
        <w:rPr>
          <w:rFonts w:hint="eastAsia"/>
          <w:color w:val="auto"/>
          <w:sz w:val="21"/>
          <w:szCs w:val="21"/>
          <w:lang w:val="zh-CN" w:eastAsia="zh-CN"/>
        </w:rPr>
      </w:pPr>
      <w:r>
        <w:rPr>
          <w:rFonts w:hint="eastAsia"/>
          <w:color w:val="auto"/>
          <w:sz w:val="21"/>
          <w:szCs w:val="21"/>
          <w:lang w:val="zh-CN" w:eastAsia="zh-CN"/>
        </w:rPr>
        <w:t>38.询问及质疑</w:t>
      </w:r>
    </w:p>
    <w:p w14:paraId="449B4737">
      <w:pPr>
        <w:rPr>
          <w:rFonts w:hint="eastAsia"/>
          <w:color w:val="auto"/>
          <w:sz w:val="21"/>
          <w:szCs w:val="21"/>
          <w:lang w:val="zh-CN" w:eastAsia="zh-CN"/>
        </w:rPr>
      </w:pPr>
      <w:r>
        <w:rPr>
          <w:rFonts w:hint="eastAsia"/>
          <w:color w:val="auto"/>
          <w:sz w:val="21"/>
          <w:szCs w:val="21"/>
          <w:lang w:val="zh-CN" w:eastAsia="zh-CN"/>
        </w:rPr>
        <w:t>38.1供应商对采购活动事项有疑问的，可以向采购人或采购代理机构提出询问。</w:t>
      </w:r>
    </w:p>
    <w:p w14:paraId="40B12103">
      <w:pPr>
        <w:rPr>
          <w:rFonts w:hint="eastAsia"/>
          <w:color w:val="auto"/>
          <w:sz w:val="21"/>
          <w:szCs w:val="21"/>
          <w:lang w:val="zh-CN" w:eastAsia="zh-CN"/>
        </w:rPr>
      </w:pPr>
      <w:r>
        <w:rPr>
          <w:rFonts w:hint="eastAsia"/>
          <w:color w:val="auto"/>
          <w:sz w:val="21"/>
          <w:szCs w:val="21"/>
          <w:lang w:val="zh-CN" w:eastAsia="zh-CN"/>
        </w:rPr>
        <w:t>38.2供应商若认为磋商文件、采购过程和成交结果使自己的权益受到损害，可以按法律、行政法规及湖南省财政厅规范性文件规定向采购人或采购代理机构提出质疑。</w:t>
      </w:r>
    </w:p>
    <w:p w14:paraId="36508602">
      <w:pPr>
        <w:rPr>
          <w:rFonts w:hint="eastAsia"/>
          <w:color w:val="auto"/>
          <w:sz w:val="21"/>
          <w:szCs w:val="21"/>
          <w:lang w:val="zh-CN" w:eastAsia="zh-CN"/>
        </w:rPr>
      </w:pPr>
      <w:r>
        <w:rPr>
          <w:rFonts w:hint="eastAsia"/>
          <w:color w:val="auto"/>
          <w:sz w:val="21"/>
          <w:szCs w:val="21"/>
          <w:lang w:val="zh-CN" w:eastAsia="zh-CN"/>
        </w:rPr>
        <w:t>39.成交通知</w:t>
      </w:r>
    </w:p>
    <w:p w14:paraId="71B6E9E3">
      <w:pPr>
        <w:rPr>
          <w:rFonts w:hint="eastAsia"/>
          <w:color w:val="auto"/>
          <w:sz w:val="21"/>
          <w:szCs w:val="21"/>
          <w:lang w:val="zh-CN" w:eastAsia="zh-CN"/>
        </w:rPr>
      </w:pPr>
      <w:r>
        <w:rPr>
          <w:rFonts w:hint="eastAsia"/>
          <w:color w:val="auto"/>
          <w:sz w:val="21"/>
          <w:szCs w:val="21"/>
          <w:lang w:val="zh-CN" w:eastAsia="zh-CN"/>
        </w:rPr>
        <w:t>39.1成交供应商确定后，采购人或采购代理机构将以书面形式向成交供应商发出成交通知书。成交通知书对采购人和成交供应商具有同等法律效力。</w:t>
      </w:r>
    </w:p>
    <w:p w14:paraId="66E6FC59">
      <w:pPr>
        <w:rPr>
          <w:rFonts w:hint="eastAsia"/>
          <w:color w:val="auto"/>
          <w:sz w:val="21"/>
          <w:szCs w:val="21"/>
          <w:lang w:val="zh-CN" w:eastAsia="zh-CN"/>
        </w:rPr>
      </w:pPr>
      <w:r>
        <w:rPr>
          <w:rFonts w:hint="eastAsia"/>
          <w:color w:val="auto"/>
          <w:sz w:val="21"/>
          <w:szCs w:val="21"/>
          <w:lang w:val="zh-CN" w:eastAsia="zh-CN"/>
        </w:rPr>
        <w:t>39.2 成交通知书是合同文件的组成部分。</w:t>
      </w:r>
    </w:p>
    <w:p w14:paraId="1425ED78">
      <w:pPr>
        <w:rPr>
          <w:rFonts w:hint="eastAsia"/>
          <w:color w:val="auto"/>
          <w:sz w:val="21"/>
          <w:szCs w:val="21"/>
          <w:lang w:val="zh-CN" w:eastAsia="zh-CN"/>
        </w:rPr>
      </w:pPr>
      <w:r>
        <w:rPr>
          <w:rFonts w:hint="eastAsia"/>
          <w:color w:val="auto"/>
          <w:sz w:val="21"/>
          <w:szCs w:val="21"/>
          <w:lang w:val="zh-CN" w:eastAsia="zh-CN"/>
        </w:rPr>
        <w:t>40.签订合同</w:t>
      </w:r>
    </w:p>
    <w:p w14:paraId="0F8DC6B2">
      <w:pPr>
        <w:rPr>
          <w:color w:val="auto"/>
          <w:sz w:val="21"/>
          <w:szCs w:val="21"/>
        </w:rPr>
      </w:pPr>
      <w:r>
        <w:rPr>
          <w:rFonts w:hint="eastAsia"/>
          <w:color w:val="auto"/>
          <w:sz w:val="21"/>
          <w:szCs w:val="21"/>
        </w:rPr>
        <w:t>40.1成交供应商应当在成交通知书发出之日起30日内与采购人签订采购合同。</w:t>
      </w:r>
    </w:p>
    <w:p w14:paraId="4504FCBB">
      <w:pPr>
        <w:rPr>
          <w:color w:val="auto"/>
          <w:sz w:val="21"/>
          <w:szCs w:val="21"/>
        </w:rPr>
      </w:pPr>
      <w:r>
        <w:rPr>
          <w:rFonts w:hint="eastAsia"/>
          <w:color w:val="auto"/>
          <w:sz w:val="21"/>
          <w:szCs w:val="21"/>
        </w:rPr>
        <w:t>40.2磋商文件、成交供应商的响应文件等均为签订采购合同的依据。</w:t>
      </w:r>
    </w:p>
    <w:p w14:paraId="6CC3AC34">
      <w:pPr>
        <w:rPr>
          <w:color w:val="auto"/>
          <w:sz w:val="21"/>
          <w:szCs w:val="21"/>
        </w:rPr>
      </w:pPr>
      <w:r>
        <w:rPr>
          <w:rFonts w:hint="eastAsia"/>
          <w:color w:val="auto"/>
          <w:sz w:val="21"/>
          <w:szCs w:val="21"/>
        </w:rPr>
        <w:t>40.3 成交供应商应当按照合同约定履行义务。成交供应商不得向他人转让成交项目，也不得将成交项目分包后分别向他人转让。</w:t>
      </w:r>
    </w:p>
    <w:p w14:paraId="2950CAAF">
      <w:pPr>
        <w:rPr>
          <w:color w:val="auto"/>
          <w:sz w:val="21"/>
          <w:szCs w:val="21"/>
        </w:rPr>
      </w:pPr>
      <w:r>
        <w:rPr>
          <w:rFonts w:hint="eastAsia"/>
          <w:color w:val="auto"/>
          <w:sz w:val="21"/>
          <w:szCs w:val="21"/>
        </w:rPr>
        <w:t>40.4 成交供应商有下列情形之一的，责令限期改正，情节严重的，列入不良行为记录名单，在1至3年内禁止参加采购活动，并予以通报：</w:t>
      </w:r>
    </w:p>
    <w:p w14:paraId="7538F416">
      <w:pPr>
        <w:rPr>
          <w:color w:val="auto"/>
          <w:sz w:val="21"/>
          <w:szCs w:val="21"/>
        </w:rPr>
      </w:pPr>
      <w:r>
        <w:rPr>
          <w:rFonts w:hint="eastAsia"/>
          <w:color w:val="auto"/>
          <w:sz w:val="21"/>
          <w:szCs w:val="21"/>
        </w:rPr>
        <w:t>（一）成交后无正当理由不与采购人签订合同的；</w:t>
      </w:r>
    </w:p>
    <w:p w14:paraId="4E1DFCC3">
      <w:pPr>
        <w:rPr>
          <w:color w:val="auto"/>
          <w:sz w:val="21"/>
          <w:szCs w:val="21"/>
        </w:rPr>
      </w:pPr>
      <w:r>
        <w:rPr>
          <w:rFonts w:hint="eastAsia"/>
          <w:color w:val="auto"/>
          <w:sz w:val="21"/>
          <w:szCs w:val="21"/>
        </w:rPr>
        <w:t>（二）未按照采购文件确定的事项签订采购合同，或者与采购人另行订立背离合同实质性内容的协议的；</w:t>
      </w:r>
    </w:p>
    <w:p w14:paraId="60B381F8">
      <w:pPr>
        <w:rPr>
          <w:color w:val="auto"/>
          <w:sz w:val="21"/>
          <w:szCs w:val="21"/>
        </w:rPr>
      </w:pPr>
      <w:r>
        <w:rPr>
          <w:rFonts w:hint="eastAsia"/>
          <w:color w:val="auto"/>
          <w:sz w:val="21"/>
          <w:szCs w:val="21"/>
        </w:rPr>
        <w:t>（三）拒绝履行合同义务的；</w:t>
      </w:r>
    </w:p>
    <w:p w14:paraId="473AF90D">
      <w:pPr>
        <w:rPr>
          <w:color w:val="auto"/>
          <w:sz w:val="21"/>
          <w:szCs w:val="21"/>
        </w:rPr>
      </w:pPr>
      <w:r>
        <w:rPr>
          <w:rFonts w:hint="eastAsia"/>
          <w:color w:val="auto"/>
          <w:sz w:val="21"/>
          <w:szCs w:val="21"/>
        </w:rPr>
        <w:t>（四）违反法律、规章、规范性文件规定的。</w:t>
      </w:r>
    </w:p>
    <w:p w14:paraId="593773EC">
      <w:pPr>
        <w:rPr>
          <w:color w:val="auto"/>
          <w:sz w:val="21"/>
          <w:szCs w:val="21"/>
        </w:rPr>
      </w:pPr>
      <w:r>
        <w:rPr>
          <w:rFonts w:hint="eastAsia"/>
          <w:color w:val="auto"/>
          <w:sz w:val="21"/>
          <w:szCs w:val="21"/>
        </w:rPr>
        <w:t>七、其它规定</w:t>
      </w:r>
    </w:p>
    <w:p w14:paraId="281F5FE0">
      <w:pPr>
        <w:rPr>
          <w:color w:val="auto"/>
          <w:sz w:val="21"/>
          <w:szCs w:val="21"/>
        </w:rPr>
      </w:pPr>
      <w:r>
        <w:rPr>
          <w:rFonts w:hint="eastAsia"/>
          <w:color w:val="auto"/>
          <w:sz w:val="21"/>
          <w:szCs w:val="21"/>
        </w:rPr>
        <w:t>41.1采购代理服务费</w:t>
      </w:r>
    </w:p>
    <w:p w14:paraId="3581F5D5">
      <w:pPr>
        <w:rPr>
          <w:color w:val="auto"/>
          <w:sz w:val="21"/>
          <w:szCs w:val="21"/>
        </w:rPr>
      </w:pPr>
      <w:r>
        <w:rPr>
          <w:rFonts w:hint="eastAsia"/>
          <w:color w:val="auto"/>
          <w:sz w:val="21"/>
          <w:szCs w:val="21"/>
        </w:rPr>
        <w:t>41.1采购代理机构应按磋商须知前附表规定收取采购代理服务费。</w:t>
      </w:r>
    </w:p>
    <w:p w14:paraId="3BECD161">
      <w:pPr>
        <w:rPr>
          <w:color w:val="auto"/>
          <w:sz w:val="21"/>
          <w:szCs w:val="21"/>
        </w:rPr>
      </w:pPr>
      <w:r>
        <w:rPr>
          <w:rFonts w:hint="eastAsia"/>
          <w:color w:val="auto"/>
          <w:sz w:val="21"/>
          <w:szCs w:val="21"/>
        </w:rPr>
        <w:t>41.2集中采购机构不得收取采购代理服务费。</w:t>
      </w:r>
    </w:p>
    <w:p w14:paraId="09CF0335">
      <w:pPr>
        <w:rPr>
          <w:color w:val="auto"/>
          <w:sz w:val="21"/>
          <w:szCs w:val="21"/>
        </w:rPr>
      </w:pPr>
      <w:r>
        <w:rPr>
          <w:rFonts w:hint="eastAsia"/>
          <w:color w:val="auto"/>
          <w:sz w:val="21"/>
          <w:szCs w:val="21"/>
        </w:rPr>
        <w:t>42. 其它规定</w:t>
      </w:r>
    </w:p>
    <w:p w14:paraId="6968E7CD">
      <w:pPr>
        <w:rPr>
          <w:color w:val="auto"/>
          <w:sz w:val="32"/>
          <w:szCs w:val="32"/>
        </w:rPr>
      </w:pPr>
      <w:r>
        <w:rPr>
          <w:rFonts w:hint="eastAsia"/>
          <w:b w:val="0"/>
          <w:bCs w:val="0"/>
          <w:color w:val="auto"/>
          <w:sz w:val="21"/>
          <w:szCs w:val="21"/>
        </w:rPr>
        <w:t>本项目为国有企业的采购活动，属于非政府采购项目，本文件所称政府采购的表述不代表本项目适用政府采购政策规定，由采购人负责所有相关问题的处理。</w:t>
      </w:r>
      <w:r>
        <w:rPr>
          <w:rFonts w:hint="eastAsia"/>
          <w:color w:val="auto"/>
          <w:sz w:val="32"/>
          <w:szCs w:val="32"/>
        </w:rPr>
        <w:br w:type="page"/>
      </w:r>
    </w:p>
    <w:p w14:paraId="1C3EC870">
      <w:pPr>
        <w:tabs>
          <w:tab w:val="left" w:pos="420"/>
          <w:tab w:val="left" w:pos="7560"/>
          <w:tab w:val="left" w:pos="7740"/>
          <w:tab w:val="left" w:pos="7920"/>
        </w:tabs>
        <w:adjustRightInd w:val="0"/>
        <w:snapToGrid w:val="0"/>
        <w:spacing w:line="360" w:lineRule="auto"/>
        <w:ind w:firstLine="643" w:firstLineChars="200"/>
        <w:jc w:val="center"/>
        <w:rPr>
          <w:rFonts w:hint="eastAsia" w:ascii="宋体" w:hAnsi="宋体" w:cs="宋体"/>
          <w:b/>
          <w:color w:val="auto"/>
          <w:sz w:val="32"/>
          <w:szCs w:val="32"/>
        </w:rPr>
      </w:pPr>
    </w:p>
    <w:p w14:paraId="35D5B134">
      <w:pPr>
        <w:tabs>
          <w:tab w:val="left" w:pos="420"/>
          <w:tab w:val="left" w:pos="7560"/>
          <w:tab w:val="left" w:pos="7740"/>
          <w:tab w:val="left" w:pos="7920"/>
        </w:tabs>
        <w:adjustRightInd w:val="0"/>
        <w:snapToGrid w:val="0"/>
        <w:spacing w:line="360" w:lineRule="auto"/>
        <w:ind w:firstLine="643" w:firstLineChars="200"/>
        <w:jc w:val="center"/>
        <w:rPr>
          <w:rFonts w:hint="eastAsia" w:ascii="宋体" w:hAnsi="宋体" w:cs="宋体"/>
          <w:b/>
          <w:color w:val="auto"/>
          <w:sz w:val="32"/>
          <w:szCs w:val="32"/>
        </w:rPr>
      </w:pPr>
      <w:r>
        <w:rPr>
          <w:rFonts w:hint="eastAsia" w:ascii="宋体" w:hAnsi="宋体" w:cs="宋体"/>
          <w:b/>
          <w:color w:val="auto"/>
          <w:sz w:val="32"/>
          <w:szCs w:val="32"/>
        </w:rPr>
        <w:t>第三章  采购合同格式</w:t>
      </w:r>
    </w:p>
    <w:p w14:paraId="4A980187">
      <w:pPr>
        <w:spacing w:line="240" w:lineRule="auto"/>
        <w:ind w:firstLine="0" w:firstLineChars="0"/>
        <w:jc w:val="center"/>
        <w:rPr>
          <w:rFonts w:hint="eastAsia" w:ascii="宋体" w:hAnsi="宋体" w:eastAsia="宋体" w:cs="宋体"/>
          <w:b/>
          <w:bCs w:val="0"/>
          <w:color w:val="auto"/>
          <w:sz w:val="26"/>
          <w:szCs w:val="26"/>
          <w:highlight w:val="none"/>
          <w:lang w:eastAsia="zh-CN"/>
        </w:rPr>
      </w:pPr>
      <w:r>
        <w:rPr>
          <w:rFonts w:hint="eastAsia" w:ascii="宋体" w:hAnsi="宋体" w:eastAsia="宋体" w:cs="宋体"/>
          <w:b/>
          <w:bCs w:val="0"/>
          <w:color w:val="auto"/>
          <w:sz w:val="26"/>
          <w:szCs w:val="26"/>
          <w:highlight w:val="none"/>
        </w:rPr>
        <w:t>（</w:t>
      </w:r>
      <w:r>
        <w:rPr>
          <w:rFonts w:hint="eastAsia" w:ascii="宋体" w:hAnsi="宋体" w:eastAsia="宋体" w:cs="宋体"/>
          <w:b/>
          <w:bCs w:val="0"/>
          <w:color w:val="auto"/>
          <w:sz w:val="26"/>
          <w:szCs w:val="26"/>
          <w:highlight w:val="none"/>
          <w:lang w:val="en-US" w:eastAsia="zh-CN"/>
        </w:rPr>
        <w:t>根据采购需求及中标结果拟定，</w:t>
      </w:r>
      <w:r>
        <w:rPr>
          <w:rFonts w:hint="eastAsia" w:ascii="宋体" w:hAnsi="宋体" w:eastAsia="宋体" w:cs="宋体"/>
          <w:b/>
          <w:bCs w:val="0"/>
          <w:color w:val="auto"/>
          <w:sz w:val="26"/>
          <w:szCs w:val="26"/>
          <w:highlight w:val="none"/>
        </w:rPr>
        <w:t>以采购人最终提供的合同文件为准）</w:t>
      </w:r>
      <w:r>
        <w:rPr>
          <w:rFonts w:hint="eastAsia" w:ascii="宋体" w:hAnsi="宋体" w:eastAsia="宋体" w:cs="宋体"/>
          <w:b/>
          <w:bCs w:val="0"/>
          <w:color w:val="auto"/>
          <w:sz w:val="26"/>
          <w:szCs w:val="26"/>
          <w:highlight w:val="none"/>
          <w:lang w:eastAsia="zh-CN"/>
        </w:rPr>
        <w:t>。</w:t>
      </w:r>
    </w:p>
    <w:p w14:paraId="72957C8F">
      <w:pPr>
        <w:adjustRightInd w:val="0"/>
        <w:snapToGrid w:val="0"/>
        <w:spacing w:before="156" w:beforeLines="50" w:line="360" w:lineRule="auto"/>
        <w:ind w:left="420" w:leftChars="20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一、采购合同协议书</w:t>
      </w:r>
    </w:p>
    <w:p w14:paraId="1A993927">
      <w:pPr>
        <w:spacing w:line="240" w:lineRule="auto"/>
        <w:ind w:firstLine="4200" w:firstLineChars="20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采购合同编号：</w:t>
      </w:r>
      <w:r>
        <w:rPr>
          <w:rFonts w:hint="eastAsia" w:ascii="宋体" w:hAnsi="宋体" w:eastAsia="宋体" w:cs="宋体"/>
          <w:color w:val="auto"/>
          <w:szCs w:val="21"/>
          <w:highlight w:val="none"/>
          <w:u w:val="single"/>
        </w:rPr>
        <w:t xml:space="preserve">                 </w:t>
      </w:r>
    </w:p>
    <w:p w14:paraId="28349EF9">
      <w:pPr>
        <w:adjustRightInd w:val="0"/>
        <w:snapToGrid w:val="0"/>
        <w:spacing w:before="156" w:beforeLines="50" w:line="360" w:lineRule="auto"/>
        <w:ind w:firstLine="0" w:firstLineChars="0"/>
        <w:jc w:val="center"/>
        <w:rPr>
          <w:rFonts w:hint="eastAsia" w:ascii="宋体" w:hAnsi="宋体" w:eastAsia="宋体" w:cs="宋体"/>
          <w:b/>
          <w:color w:val="auto"/>
          <w:szCs w:val="21"/>
          <w:highlight w:val="none"/>
        </w:rPr>
      </w:pPr>
    </w:p>
    <w:p w14:paraId="09731B91">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（甲方）</w:t>
      </w:r>
    </w:p>
    <w:p w14:paraId="3B1263CB">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w:t>
      </w:r>
    </w:p>
    <w:p w14:paraId="599BC0A1">
      <w:pPr>
        <w:widowControl w:val="0"/>
        <w:adjustRightInd w:val="0"/>
        <w:snapToGrid w:val="0"/>
        <w:spacing w:after="0" w:line="360" w:lineRule="auto"/>
        <w:ind w:left="420" w:leftChars="200"/>
        <w:jc w:val="both"/>
        <w:rPr>
          <w:rFonts w:hint="eastAsia" w:ascii="宋体" w:hAnsi="宋体" w:eastAsia="宋体" w:cs="宋体"/>
          <w:color w:val="auto"/>
          <w:kern w:val="2"/>
          <w:sz w:val="21"/>
          <w:szCs w:val="21"/>
          <w:highlight w:val="none"/>
          <w:lang w:val="en-US" w:eastAsia="zh-CN" w:bidi="ar-SA"/>
        </w:rPr>
      </w:pPr>
    </w:p>
    <w:p w14:paraId="4C8D3636">
      <w:pPr>
        <w:widowControl w:val="0"/>
        <w:adjustRightInd w:val="0"/>
        <w:snapToGrid w:val="0"/>
        <w:spacing w:after="0"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为了保护甲、乙双方合法权益，根据《中华人民共和国民法典》及其他有关法律、法规、规章，双方签订本合同协议书。</w:t>
      </w:r>
    </w:p>
    <w:p w14:paraId="1E029F09">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1.项目信息</w:t>
      </w:r>
    </w:p>
    <w:p w14:paraId="075B184F">
      <w:pPr>
        <w:widowControl w:val="0"/>
        <w:adjustRightInd w:val="0"/>
        <w:snapToGrid w:val="0"/>
        <w:spacing w:after="0" w:line="360" w:lineRule="auto"/>
        <w:ind w:left="420" w:left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（1）采购项目名称：</w:t>
      </w:r>
      <w:r>
        <w:rPr>
          <w:rFonts w:hint="eastAsia" w:ascii="宋体" w:hAnsi="宋体" w:eastAsia="宋体" w:cs="宋体"/>
          <w:color w:val="auto"/>
          <w:kern w:val="2"/>
          <w:sz w:val="21"/>
          <w:szCs w:val="21"/>
          <w:highlight w:val="none"/>
          <w:u w:val="single"/>
          <w:lang w:val="en-US" w:eastAsia="zh-CN" w:bidi="ar-SA"/>
        </w:rPr>
        <w:t xml:space="preserve">                                          </w:t>
      </w:r>
    </w:p>
    <w:p w14:paraId="0C911C43">
      <w:pPr>
        <w:widowControl w:val="0"/>
        <w:adjustRightInd w:val="0"/>
        <w:snapToGrid w:val="0"/>
        <w:spacing w:after="0" w:line="360" w:lineRule="auto"/>
        <w:ind w:left="420" w:left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（2）采购计划编号：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0DE50B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r>
        <w:rPr>
          <w:rFonts w:hint="eastAsia" w:ascii="宋体" w:hAnsi="宋体" w:eastAsia="宋体" w:cs="宋体"/>
          <w:color w:val="auto"/>
          <w:szCs w:val="21"/>
          <w:highlight w:val="none"/>
          <w:u w:val="single"/>
        </w:rPr>
        <w:t xml:space="preserve">                             </w:t>
      </w:r>
    </w:p>
    <w:p w14:paraId="7148DA14">
      <w:pPr>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（工程项目）承包范围：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41E3D218">
      <w:pPr>
        <w:adjustRightInd w:val="0"/>
        <w:snapToGrid w:val="0"/>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2.合同金额</w:t>
      </w:r>
    </w:p>
    <w:p w14:paraId="595712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p>
    <w:p w14:paraId="4BFD174D">
      <w:pPr>
        <w:adjustRightInd w:val="0"/>
        <w:snapToGrid w:val="0"/>
        <w:spacing w:line="360" w:lineRule="auto"/>
        <w:ind w:firstLine="1260" w:firstLineChars="6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p>
    <w:p w14:paraId="7B23DBC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（2）具体标的见附件。</w:t>
      </w:r>
    </w:p>
    <w:p w14:paraId="3E777A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（3）合同价格形式：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C3A685">
      <w:pPr>
        <w:adjustRightInd w:val="0"/>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3.履行合同的时间、地点及方式</w:t>
      </w:r>
      <w:r>
        <w:rPr>
          <w:rFonts w:hint="eastAsia" w:ascii="宋体" w:hAnsi="宋体" w:eastAsia="宋体" w:cs="宋体"/>
          <w:color w:val="auto"/>
          <w:szCs w:val="21"/>
          <w:highlight w:val="none"/>
          <w:u w:val="single"/>
        </w:rPr>
        <w:t xml:space="preserve"> </w:t>
      </w:r>
    </w:p>
    <w:p w14:paraId="1E6B21A0">
      <w:pPr>
        <w:adjustRightInd w:val="0"/>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p w14:paraId="37D2E5CB">
      <w:pPr>
        <w:adjustRightInd w:val="0"/>
        <w:snapToGrid w:val="0"/>
        <w:spacing w:line="360" w:lineRule="auto"/>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u w:val="single"/>
        </w:rPr>
        <w:t xml:space="preserve">                             </w:t>
      </w:r>
    </w:p>
    <w:p w14:paraId="17FDAABA">
      <w:pPr>
        <w:adjustRightInd w:val="0"/>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u w:val="single"/>
        </w:rPr>
        <w:t xml:space="preserve">                             </w:t>
      </w:r>
    </w:p>
    <w:p w14:paraId="40CCC5A6">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4.付款：</w:t>
      </w:r>
    </w:p>
    <w:p w14:paraId="169FDF16">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26FBEA8">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5.解决合同纠纷方式</w:t>
      </w:r>
    </w:p>
    <w:p w14:paraId="7B0536C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首先通过双方协商解决，协商解决不成，则通过以下途径之一解决纠纷：</w:t>
      </w:r>
    </w:p>
    <w:p w14:paraId="747769FE">
      <w:pPr>
        <w:adjustRightInd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提请仲裁       □ 向人民法院提起诉讼</w:t>
      </w:r>
    </w:p>
    <w:p w14:paraId="35832014">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6.组成合同的文件</w:t>
      </w:r>
    </w:p>
    <w:p w14:paraId="35B9F64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65ED1B4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（1）在采购或合同履行过程中乙方作出的承诺以及双方协商达成的变更或补充协议</w:t>
      </w:r>
    </w:p>
    <w:p w14:paraId="3AAB1DC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14:paraId="5B0B0DA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w:t>
      </w:r>
    </w:p>
    <w:p w14:paraId="6836484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（4）政府采购合同格式条款及其附件</w:t>
      </w:r>
    </w:p>
    <w:p w14:paraId="41AD760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（5）专用合同条款</w:t>
      </w:r>
    </w:p>
    <w:p w14:paraId="7AFE98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（6）通用合同条款（如果有）</w:t>
      </w:r>
    </w:p>
    <w:p w14:paraId="669EAEE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（7）标准、规范及有关技术文件，图纸，已标价工程量清单或预算书（如果有）</w:t>
      </w:r>
    </w:p>
    <w:p w14:paraId="51D2364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14:paraId="001F4C72">
      <w:pPr>
        <w:adjustRightInd w:val="0"/>
        <w:snapToGrid w:val="0"/>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7.合同生效</w:t>
      </w:r>
    </w:p>
    <w:p w14:paraId="579DB30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3912C55C">
      <w:pPr>
        <w:adjustRightInd w:val="0"/>
        <w:snapToGrid w:val="0"/>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8.合同份数</w:t>
      </w:r>
    </w:p>
    <w:p w14:paraId="17EE22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份，采购人执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份，供应商执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7F1426E8">
      <w:pPr>
        <w:adjustRightInd w:val="0"/>
        <w:snapToGrid w:val="0"/>
        <w:spacing w:line="360" w:lineRule="auto"/>
        <w:ind w:firstLine="0" w:firstLineChars="0"/>
        <w:rPr>
          <w:rFonts w:hint="eastAsia" w:ascii="宋体" w:hAnsi="宋体" w:eastAsia="宋体" w:cs="宋体"/>
          <w:color w:val="auto"/>
          <w:szCs w:val="21"/>
          <w:highlight w:val="none"/>
        </w:rPr>
      </w:pPr>
    </w:p>
    <w:p w14:paraId="53CE4CBA">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EB121E6">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0F87D3C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6D81C9A">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1603EA81">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1A5F5871">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p>
    <w:p w14:paraId="610DF1B7">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0B60C025">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172FD91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 户 银 行：</w:t>
      </w:r>
      <w:r>
        <w:rPr>
          <w:rFonts w:hint="eastAsia" w:ascii="宋体" w:hAnsi="宋体" w:eastAsia="宋体" w:cs="宋体"/>
          <w:color w:val="auto"/>
          <w:szCs w:val="21"/>
          <w:highlight w:val="none"/>
          <w:u w:val="single"/>
        </w:rPr>
        <w:t xml:space="preserve">                   </w:t>
      </w:r>
    </w:p>
    <w:p w14:paraId="20116DE6">
      <w:pPr>
        <w:adjustRightInd w:val="0"/>
        <w:snapToGrid w:val="0"/>
        <w:spacing w:line="360" w:lineRule="auto"/>
        <w:ind w:firstLine="0" w:firstLineChars="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cs="宋体"/>
          <w:color w:val="auto"/>
          <w:szCs w:val="21"/>
          <w:highlight w:val="none"/>
          <w:lang w:val="en-US" w:eastAsia="zh-CN"/>
        </w:rPr>
        <w:t xml:space="preserve">     </w:t>
      </w:r>
      <w:r>
        <w:rPr>
          <w:rFonts w:hint="eastAsia" w:ascii="宋体" w:hAnsi="宋体" w:eastAsia="宋体" w:cs="宋体"/>
          <w:color w:val="auto"/>
          <w:szCs w:val="21"/>
          <w:highlight w:val="none"/>
        </w:rPr>
        <w:t xml:space="preserve"> 帐       号：</w:t>
      </w:r>
      <w:r>
        <w:rPr>
          <w:rFonts w:hint="eastAsia" w:ascii="宋体" w:hAnsi="宋体" w:eastAsia="宋体" w:cs="宋体"/>
          <w:color w:val="auto"/>
          <w:szCs w:val="21"/>
          <w:highlight w:val="none"/>
          <w:u w:val="single"/>
        </w:rPr>
        <w:t xml:space="preserve">                 </w:t>
      </w:r>
    </w:p>
    <w:p w14:paraId="786E5093">
      <w:pPr>
        <w:rPr>
          <w:color w:val="auto"/>
        </w:rPr>
      </w:pPr>
    </w:p>
    <w:p w14:paraId="085BA8DF">
      <w:pPr>
        <w:rPr>
          <w:color w:val="auto"/>
        </w:rPr>
      </w:pPr>
    </w:p>
    <w:p w14:paraId="7E10F9B6">
      <w:pPr>
        <w:tabs>
          <w:tab w:val="left" w:pos="8820"/>
          <w:tab w:val="left" w:pos="9345"/>
          <w:tab w:val="left" w:pos="9765"/>
        </w:tabs>
        <w:adjustRightInd w:val="0"/>
        <w:snapToGrid w:val="0"/>
        <w:spacing w:beforeLines="50" w:line="360" w:lineRule="auto"/>
        <w:ind w:right="384" w:rightChars="183" w:firstLine="0" w:firstLineChars="0"/>
        <w:jc w:val="center"/>
        <w:rPr>
          <w:rFonts w:ascii="黑体" w:hAnsi="华文中宋" w:eastAsia="黑体" w:cs="Times New Roman"/>
          <w:b/>
          <w:color w:val="auto"/>
          <w:sz w:val="30"/>
          <w:szCs w:val="30"/>
        </w:rPr>
      </w:pPr>
      <w:r>
        <w:rPr>
          <w:rFonts w:hint="eastAsia"/>
          <w:bCs/>
          <w:color w:val="auto"/>
          <w:sz w:val="32"/>
          <w:szCs w:val="32"/>
        </w:rPr>
        <w:br w:type="page"/>
      </w:r>
      <w:r>
        <w:rPr>
          <w:rFonts w:hint="eastAsia" w:ascii="宋体" w:hAnsi="宋体" w:cs="宋体"/>
          <w:b/>
          <w:color w:val="auto"/>
          <w:sz w:val="30"/>
          <w:szCs w:val="30"/>
        </w:rPr>
        <w:t>二、采购合同通用条款</w:t>
      </w:r>
    </w:p>
    <w:p w14:paraId="4D8C92A3">
      <w:pPr>
        <w:tabs>
          <w:tab w:val="left" w:pos="8820"/>
          <w:tab w:val="left" w:pos="9345"/>
          <w:tab w:val="left" w:pos="9765"/>
        </w:tabs>
        <w:adjustRightInd w:val="0"/>
        <w:snapToGrid w:val="0"/>
        <w:spacing w:beforeLines="50" w:line="360" w:lineRule="auto"/>
        <w:ind w:right="384" w:rightChars="183" w:firstLine="0" w:firstLineChars="0"/>
        <w:jc w:val="center"/>
        <w:rPr>
          <w:color w:val="auto"/>
        </w:rPr>
      </w:pPr>
      <w:r>
        <w:rPr>
          <w:rFonts w:hint="eastAsia" w:ascii="黑体" w:hAnsi="华文中宋" w:eastAsia="黑体" w:cs="Times New Roman"/>
          <w:b/>
          <w:bCs/>
          <w:color w:val="auto"/>
          <w:sz w:val="36"/>
          <w:szCs w:val="36"/>
        </w:rPr>
        <w:t>采购合同通用条款（服务类）</w:t>
      </w:r>
    </w:p>
    <w:p w14:paraId="1D12546E">
      <w:pPr>
        <w:rPr>
          <w:rFonts w:ascii="黑体" w:eastAsia="黑体"/>
          <w:b/>
          <w:color w:val="auto"/>
          <w:sz w:val="30"/>
          <w:szCs w:val="30"/>
        </w:rPr>
      </w:pPr>
      <w:r>
        <w:rPr>
          <w:rFonts w:hint="eastAsia"/>
          <w:bCs/>
          <w:color w:val="auto"/>
        </w:rPr>
        <w:t>服务类政府采购合同格式文本</w:t>
      </w:r>
      <w:r>
        <w:rPr>
          <w:rFonts w:hint="eastAsia"/>
          <w:color w:val="auto"/>
        </w:rPr>
        <w:t>省级以上政府部门或行业组织有标准或</w:t>
      </w:r>
      <w:r>
        <w:rPr>
          <w:color w:val="auto"/>
        </w:rPr>
        <w:t>示范</w:t>
      </w:r>
      <w:r>
        <w:rPr>
          <w:rFonts w:hint="eastAsia"/>
          <w:color w:val="auto"/>
        </w:rPr>
        <w:t>文本的，应按照其文本确定</w:t>
      </w:r>
      <w:r>
        <w:rPr>
          <w:rFonts w:hint="eastAsia"/>
          <w:bCs/>
          <w:color w:val="auto"/>
        </w:rPr>
        <w:t>合同格式</w:t>
      </w:r>
      <w:r>
        <w:rPr>
          <w:rFonts w:hint="eastAsia"/>
          <w:color w:val="auto"/>
        </w:rPr>
        <w:t>。没有文本的，按照《中华人民共和国</w:t>
      </w:r>
      <w:r>
        <w:rPr>
          <w:rFonts w:hint="eastAsia"/>
          <w:color w:val="auto"/>
          <w:lang w:val="en-US" w:eastAsia="zh-CN"/>
        </w:rPr>
        <w:t>民法典</w:t>
      </w:r>
      <w:r>
        <w:rPr>
          <w:rFonts w:hint="eastAsia"/>
          <w:color w:val="auto"/>
        </w:rPr>
        <w:t>》及采购项目特点自行拟定特定文本确定</w:t>
      </w:r>
      <w:r>
        <w:rPr>
          <w:rFonts w:hint="eastAsia"/>
          <w:bCs/>
          <w:color w:val="auto"/>
        </w:rPr>
        <w:t>合同格式</w:t>
      </w:r>
      <w:r>
        <w:rPr>
          <w:rFonts w:hint="eastAsia"/>
          <w:color w:val="auto"/>
        </w:rPr>
        <w:t>。</w:t>
      </w:r>
    </w:p>
    <w:p w14:paraId="30356081">
      <w:pPr>
        <w:rPr>
          <w:color w:val="auto"/>
        </w:rPr>
      </w:pPr>
    </w:p>
    <w:p w14:paraId="79F97B14">
      <w:pPr>
        <w:rPr>
          <w:color w:val="auto"/>
        </w:rPr>
      </w:pPr>
    </w:p>
    <w:p w14:paraId="50712EAD">
      <w:pPr>
        <w:rPr>
          <w:color w:val="auto"/>
        </w:rPr>
      </w:pPr>
    </w:p>
    <w:p w14:paraId="0C5D0BBC">
      <w:pPr>
        <w:rPr>
          <w:color w:val="auto"/>
        </w:rPr>
      </w:pPr>
    </w:p>
    <w:p w14:paraId="2A33D2D4">
      <w:pPr>
        <w:rPr>
          <w:color w:val="auto"/>
        </w:rPr>
      </w:pPr>
    </w:p>
    <w:p w14:paraId="0F9E8006">
      <w:pPr>
        <w:rPr>
          <w:color w:val="auto"/>
        </w:rPr>
      </w:pPr>
    </w:p>
    <w:p w14:paraId="3AD2BBAC">
      <w:pPr>
        <w:rPr>
          <w:color w:val="auto"/>
        </w:rPr>
      </w:pPr>
    </w:p>
    <w:p w14:paraId="09E11037">
      <w:pPr>
        <w:rPr>
          <w:color w:val="auto"/>
        </w:rPr>
      </w:pPr>
    </w:p>
    <w:p w14:paraId="701F6B4E">
      <w:pPr>
        <w:rPr>
          <w:color w:val="auto"/>
        </w:rPr>
      </w:pPr>
    </w:p>
    <w:p w14:paraId="2D7C6867">
      <w:pPr>
        <w:rPr>
          <w:color w:val="auto"/>
        </w:rPr>
      </w:pPr>
    </w:p>
    <w:p w14:paraId="67E9C04C">
      <w:pPr>
        <w:rPr>
          <w:color w:val="auto"/>
        </w:rPr>
      </w:pPr>
    </w:p>
    <w:p w14:paraId="3506E429">
      <w:pPr>
        <w:rPr>
          <w:color w:val="auto"/>
        </w:rPr>
      </w:pPr>
    </w:p>
    <w:p w14:paraId="1B9F6E5D">
      <w:pPr>
        <w:rPr>
          <w:color w:val="auto"/>
        </w:rPr>
      </w:pPr>
    </w:p>
    <w:p w14:paraId="39C0D363">
      <w:pPr>
        <w:rPr>
          <w:color w:val="auto"/>
        </w:rPr>
      </w:pPr>
    </w:p>
    <w:p w14:paraId="1473D924">
      <w:pPr>
        <w:rPr>
          <w:color w:val="auto"/>
        </w:rPr>
      </w:pPr>
    </w:p>
    <w:p w14:paraId="186A5C96">
      <w:pPr>
        <w:rPr>
          <w:rFonts w:hint="eastAsia" w:ascii="宋体" w:hAnsi="宋体" w:cs="宋体"/>
          <w:b/>
          <w:color w:val="auto"/>
          <w:sz w:val="30"/>
          <w:szCs w:val="30"/>
        </w:rPr>
      </w:pPr>
      <w:r>
        <w:rPr>
          <w:rFonts w:hint="eastAsia" w:ascii="宋体" w:hAnsi="宋体" w:cs="宋体"/>
          <w:b/>
          <w:color w:val="auto"/>
          <w:sz w:val="30"/>
          <w:szCs w:val="30"/>
        </w:rPr>
        <w:br w:type="page"/>
      </w:r>
    </w:p>
    <w:p w14:paraId="41A28BF4">
      <w:pPr>
        <w:tabs>
          <w:tab w:val="left" w:pos="8820"/>
          <w:tab w:val="left" w:pos="9345"/>
          <w:tab w:val="left" w:pos="9765"/>
        </w:tabs>
        <w:adjustRightInd w:val="0"/>
        <w:snapToGrid w:val="0"/>
        <w:spacing w:beforeLines="50" w:line="360" w:lineRule="auto"/>
        <w:ind w:right="384" w:rightChars="183" w:firstLine="0" w:firstLineChars="0"/>
        <w:jc w:val="center"/>
        <w:rPr>
          <w:rFonts w:ascii="宋体" w:hAnsi="宋体" w:cs="宋体"/>
          <w:b/>
          <w:color w:val="auto"/>
          <w:sz w:val="30"/>
          <w:szCs w:val="30"/>
        </w:rPr>
      </w:pPr>
      <w:r>
        <w:rPr>
          <w:rFonts w:hint="eastAsia" w:ascii="宋体" w:hAnsi="宋体" w:cs="宋体"/>
          <w:b/>
          <w:color w:val="auto"/>
          <w:sz w:val="30"/>
          <w:szCs w:val="30"/>
        </w:rPr>
        <w:t>三、采购合同专用条款</w:t>
      </w:r>
    </w:p>
    <w:p w14:paraId="5F66F76F">
      <w:pPr>
        <w:widowControl w:val="0"/>
        <w:snapToGrid w:val="0"/>
        <w:spacing w:after="120"/>
        <w:ind w:left="105" w:leftChars="50"/>
        <w:jc w:val="center"/>
        <w:rPr>
          <w:rFonts w:ascii="黑体" w:hAnsi="华文中宋" w:eastAsia="黑体" w:cs="Times New Roman"/>
          <w:b/>
          <w:bCs/>
          <w:color w:val="auto"/>
          <w:kern w:val="2"/>
          <w:sz w:val="36"/>
          <w:szCs w:val="36"/>
          <w:lang w:val="en-US" w:eastAsia="zh-CN" w:bidi="ar-SA"/>
        </w:rPr>
      </w:pPr>
      <w:r>
        <w:rPr>
          <w:rFonts w:hint="eastAsia" w:ascii="黑体" w:hAnsi="华文中宋" w:eastAsia="黑体" w:cs="Times New Roman"/>
          <w:b/>
          <w:bCs/>
          <w:color w:val="auto"/>
          <w:kern w:val="2"/>
          <w:sz w:val="36"/>
          <w:szCs w:val="36"/>
          <w:lang w:val="en-US" w:eastAsia="zh-CN" w:bidi="ar-SA"/>
        </w:rPr>
        <w:t>采购合同专用条款（服务类）</w:t>
      </w:r>
    </w:p>
    <w:p w14:paraId="0D03C926">
      <w:pPr>
        <w:widowControl w:val="0"/>
        <w:snapToGrid w:val="0"/>
        <w:spacing w:after="120"/>
        <w:ind w:left="105" w:leftChars="50"/>
        <w:jc w:val="both"/>
        <w:rPr>
          <w:rFonts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服务类政府采购合同专用条款参照（货物类）专用条款的格式和相关内容，根据项目的实际情况，按照服务内容、服务要求、服务期限、服务流程、考核方式等内容进行编制。</w:t>
      </w:r>
    </w:p>
    <w:p w14:paraId="703C9A61">
      <w:pPr>
        <w:rPr>
          <w:color w:val="auto"/>
        </w:rPr>
      </w:pPr>
    </w:p>
    <w:p w14:paraId="21D88E18">
      <w:pPr>
        <w:rPr>
          <w:color w:val="auto"/>
        </w:rPr>
      </w:pPr>
    </w:p>
    <w:p w14:paraId="356FFD27">
      <w:pPr>
        <w:rPr>
          <w:rFonts w:hint="eastAsia" w:ascii="宋体" w:hAnsi="宋体" w:cs="宋体"/>
          <w:b/>
          <w:bCs/>
          <w:color w:val="auto"/>
          <w:sz w:val="32"/>
          <w:szCs w:val="32"/>
        </w:rPr>
      </w:pPr>
      <w:r>
        <w:rPr>
          <w:rFonts w:hint="eastAsia" w:ascii="宋体" w:hAnsi="宋体" w:cs="宋体"/>
          <w:b/>
          <w:bCs/>
          <w:color w:val="auto"/>
          <w:sz w:val="32"/>
          <w:szCs w:val="32"/>
        </w:rPr>
        <w:br w:type="page"/>
      </w:r>
    </w:p>
    <w:p w14:paraId="27AF8B66">
      <w:pPr>
        <w:spacing w:line="360" w:lineRule="auto"/>
        <w:ind w:firstLine="0" w:firstLineChars="0"/>
        <w:jc w:val="center"/>
        <w:rPr>
          <w:rFonts w:hint="eastAsia" w:ascii="楷体" w:hAnsi="楷体" w:eastAsia="楷体" w:cs="楷体"/>
          <w:b/>
          <w:sz w:val="32"/>
          <w:szCs w:val="32"/>
        </w:rPr>
      </w:pPr>
      <w:r>
        <w:rPr>
          <w:rFonts w:hint="eastAsia" w:ascii="宋体" w:hAnsi="宋体" w:cs="宋体"/>
          <w:b/>
          <w:bCs/>
          <w:color w:val="auto"/>
          <w:sz w:val="32"/>
          <w:szCs w:val="32"/>
        </w:rPr>
        <w:t xml:space="preserve">第四章 </w:t>
      </w:r>
      <w:r>
        <w:rPr>
          <w:rFonts w:hint="eastAsia" w:ascii="宋体" w:hAnsi="宋体" w:cs="宋体"/>
          <w:b/>
          <w:color w:val="auto"/>
          <w:sz w:val="32"/>
          <w:szCs w:val="32"/>
        </w:rPr>
        <w:t>采购需求</w:t>
      </w:r>
      <w:bookmarkStart w:id="0" w:name="EB9a8ee9d69ed8461daef322c4246813af"/>
    </w:p>
    <w:bookmarkEnd w:id="0"/>
    <w:p w14:paraId="1C79EB28">
      <w:pPr>
        <w:keepNext w:val="0"/>
        <w:keepLines w:val="0"/>
        <w:pageBreakBefore w:val="0"/>
        <w:kinsoku/>
        <w:wordWrap/>
        <w:overflowPunct/>
        <w:topLinePunct w:val="0"/>
        <w:bidi w:val="0"/>
        <w:adjustRightInd w:val="0"/>
        <w:snapToGrid w:val="0"/>
        <w:spacing w:line="56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一、采购项目名称：</w:t>
      </w:r>
      <w:r>
        <w:rPr>
          <w:rFonts w:hint="eastAsia" w:cs="宋体"/>
          <w:bCs/>
          <w:sz w:val="21"/>
          <w:szCs w:val="21"/>
          <w:lang w:eastAsia="zh-CN"/>
        </w:rPr>
        <w:t>荷韵园、福港苑保安保洁及工程维护业务委托服务采购</w:t>
      </w:r>
    </w:p>
    <w:p w14:paraId="3FDA0549">
      <w:pPr>
        <w:keepNext w:val="0"/>
        <w:keepLines w:val="0"/>
        <w:pageBreakBefore w:val="0"/>
        <w:widowControl/>
        <w:kinsoku/>
        <w:wordWrap/>
        <w:overflowPunct/>
        <w:topLinePunct w:val="0"/>
        <w:bidi w:val="0"/>
        <w:spacing w:after="93" w:afterLines="30" w:line="56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二、采购清单及技术规格、参数与要求：</w:t>
      </w:r>
    </w:p>
    <w:p w14:paraId="1928DCC0">
      <w:pPr>
        <w:keepNext w:val="0"/>
        <w:keepLines w:val="0"/>
        <w:pageBreakBefore w:val="0"/>
        <w:widowControl/>
        <w:kinsoku/>
        <w:wordWrap/>
        <w:overflowPunct/>
        <w:topLinePunct w:val="0"/>
        <w:bidi w:val="0"/>
        <w:spacing w:after="93" w:afterLines="30" w:line="560" w:lineRule="exact"/>
        <w:ind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rPr>
        <w:t>1、荷韵园位于</w:t>
      </w:r>
      <w:r>
        <w:rPr>
          <w:rFonts w:hint="eastAsia" w:ascii="宋体" w:hAnsi="宋体" w:eastAsia="宋体" w:cs="宋体"/>
          <w:color w:val="000000"/>
          <w:kern w:val="0"/>
          <w:sz w:val="21"/>
          <w:szCs w:val="21"/>
          <w:highlight w:val="none"/>
          <w:lang w:val="en-US" w:eastAsia="zh-CN"/>
        </w:rPr>
        <w:t>长沙市开福区植秀路与天鹅大道交叉口东北处，荷韵园物业服务项目建筑面积</w:t>
      </w:r>
      <w:r>
        <w:rPr>
          <w:rFonts w:hint="eastAsia" w:cs="宋体"/>
          <w:color w:val="000000"/>
          <w:kern w:val="0"/>
          <w:sz w:val="21"/>
          <w:szCs w:val="21"/>
          <w:highlight w:val="none"/>
          <w:lang w:val="en-US" w:eastAsia="zh-CN"/>
        </w:rPr>
        <w:t>（住宅、商铺、地下车库等）：</w:t>
      </w:r>
      <w:r>
        <w:rPr>
          <w:rFonts w:hint="eastAsia" w:ascii="宋体" w:hAnsi="宋体" w:eastAsia="宋体" w:cs="宋体"/>
          <w:color w:val="000000"/>
          <w:kern w:val="0"/>
          <w:sz w:val="21"/>
          <w:szCs w:val="21"/>
          <w:highlight w:val="none"/>
          <w:lang w:val="en-US" w:eastAsia="zh-CN"/>
        </w:rPr>
        <w:t>115510.58 平方米</w:t>
      </w:r>
      <w:r>
        <w:rPr>
          <w:rFonts w:hint="eastAsia" w:cs="宋体"/>
          <w:color w:val="000000"/>
          <w:kern w:val="0"/>
          <w:sz w:val="21"/>
          <w:szCs w:val="21"/>
          <w:highlight w:val="none"/>
          <w:lang w:val="en-US" w:eastAsia="zh-CN"/>
        </w:rPr>
        <w:t>。</w:t>
      </w:r>
    </w:p>
    <w:p w14:paraId="1EFBA6D4">
      <w:pPr>
        <w:keepNext w:val="0"/>
        <w:keepLines w:val="0"/>
        <w:pageBreakBefore w:val="0"/>
        <w:widowControl/>
        <w:kinsoku/>
        <w:wordWrap/>
        <w:overflowPunct/>
        <w:topLinePunct w:val="0"/>
        <w:bidi w:val="0"/>
        <w:spacing w:after="93" w:afterLines="30" w:line="56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2、福港苑位于长沙市开福区芙蓉北路辅道与汤家湖路交叉口东南，福港苑物业服务项目建筑面积</w:t>
      </w:r>
      <w:r>
        <w:rPr>
          <w:rFonts w:hint="eastAsia" w:cs="宋体"/>
          <w:color w:val="000000"/>
          <w:kern w:val="0"/>
          <w:sz w:val="21"/>
          <w:szCs w:val="21"/>
          <w:highlight w:val="none"/>
          <w:lang w:val="en-US" w:eastAsia="zh-CN"/>
        </w:rPr>
        <w:t>（住宅、商铺、地下车库等）</w:t>
      </w:r>
      <w:r>
        <w:rPr>
          <w:rFonts w:hint="eastAsia" w:ascii="宋体" w:hAnsi="宋体" w:eastAsia="宋体" w:cs="宋体"/>
          <w:color w:val="000000"/>
          <w:kern w:val="0"/>
          <w:sz w:val="21"/>
          <w:szCs w:val="21"/>
          <w:highlight w:val="none"/>
          <w:lang w:val="en-US" w:eastAsia="zh-CN"/>
        </w:rPr>
        <w:t>：34434.27平方米。</w:t>
      </w:r>
    </w:p>
    <w:tbl>
      <w:tblPr>
        <w:tblStyle w:val="43"/>
        <w:tblpPr w:leftFromText="180" w:rightFromText="180" w:vertAnchor="text" w:horzAnchor="page" w:tblpX="1834" w:tblpY="229"/>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31"/>
        <w:gridCol w:w="2564"/>
        <w:gridCol w:w="757"/>
        <w:gridCol w:w="757"/>
        <w:gridCol w:w="1418"/>
        <w:gridCol w:w="1418"/>
      </w:tblGrid>
      <w:tr w14:paraId="0B36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noWrap w:val="0"/>
            <w:vAlign w:val="center"/>
          </w:tcPr>
          <w:p w14:paraId="3F3789CD">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631" w:type="dxa"/>
            <w:noWrap w:val="0"/>
            <w:vAlign w:val="center"/>
          </w:tcPr>
          <w:p w14:paraId="3231B32A">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标的名称</w:t>
            </w:r>
          </w:p>
        </w:tc>
        <w:tc>
          <w:tcPr>
            <w:tcW w:w="2564" w:type="dxa"/>
            <w:noWrap w:val="0"/>
            <w:vAlign w:val="center"/>
          </w:tcPr>
          <w:p w14:paraId="01F5B576">
            <w:pPr>
              <w:keepNext w:val="0"/>
              <w:keepLines w:val="0"/>
              <w:pageBreakBefore w:val="0"/>
              <w:kinsoku/>
              <w:wordWrap/>
              <w:overflowPunct/>
              <w:topLinePunct w:val="0"/>
              <w:bidi w:val="0"/>
              <w:spacing w:line="240" w:lineRule="auto"/>
              <w:ind w:firstLine="0" w:firstLineChars="0"/>
              <w:jc w:val="center"/>
              <w:rPr>
                <w:rFonts w:hint="eastAsia" w:ascii="宋体" w:hAnsi="宋体" w:eastAsia="宋体" w:cs="宋体"/>
                <w:b/>
                <w:bCs/>
                <w:kern w:val="0"/>
                <w:sz w:val="21"/>
                <w:szCs w:val="21"/>
                <w:lang w:val="zh-CN"/>
              </w:rPr>
            </w:pPr>
            <w:r>
              <w:rPr>
                <w:rFonts w:hint="eastAsia" w:ascii="宋体" w:hAnsi="宋体" w:eastAsia="宋体" w:cs="宋体"/>
                <w:b/>
                <w:bCs/>
                <w:kern w:val="0"/>
                <w:sz w:val="21"/>
                <w:szCs w:val="21"/>
              </w:rPr>
              <w:t>项目特征</w:t>
            </w:r>
          </w:p>
        </w:tc>
        <w:tc>
          <w:tcPr>
            <w:tcW w:w="757" w:type="dxa"/>
            <w:noWrap w:val="0"/>
            <w:vAlign w:val="center"/>
          </w:tcPr>
          <w:p w14:paraId="767674DD">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57" w:type="dxa"/>
            <w:noWrap w:val="0"/>
            <w:vAlign w:val="center"/>
          </w:tcPr>
          <w:p w14:paraId="471BF25E">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1418" w:type="dxa"/>
            <w:noWrap w:val="0"/>
            <w:vAlign w:val="center"/>
          </w:tcPr>
          <w:p w14:paraId="764B4FD1">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预算单价（元）</w:t>
            </w:r>
          </w:p>
        </w:tc>
        <w:tc>
          <w:tcPr>
            <w:tcW w:w="1418" w:type="dxa"/>
            <w:noWrap w:val="0"/>
            <w:vAlign w:val="center"/>
          </w:tcPr>
          <w:p w14:paraId="57BB86CA">
            <w:pPr>
              <w:keepNext w:val="0"/>
              <w:keepLines w:val="0"/>
              <w:pageBreakBefore w:val="0"/>
              <w:widowControl/>
              <w:kinsoku/>
              <w:wordWrap/>
              <w:overflowPunct/>
              <w:topLinePunct w:val="0"/>
              <w:bidi w:val="0"/>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预算总价（元）</w:t>
            </w:r>
          </w:p>
        </w:tc>
      </w:tr>
      <w:tr w14:paraId="61D8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51" w:type="dxa"/>
            <w:noWrap w:val="0"/>
            <w:vAlign w:val="center"/>
          </w:tcPr>
          <w:p w14:paraId="6976ACB0">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p>
        </w:tc>
        <w:tc>
          <w:tcPr>
            <w:tcW w:w="1631" w:type="dxa"/>
            <w:noWrap w:val="0"/>
            <w:vAlign w:val="center"/>
          </w:tcPr>
          <w:p w14:paraId="2E57C3F1">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保安、保洁服务业务委托</w:t>
            </w:r>
          </w:p>
        </w:tc>
        <w:tc>
          <w:tcPr>
            <w:tcW w:w="2564" w:type="dxa"/>
            <w:noWrap w:val="0"/>
            <w:vAlign w:val="center"/>
          </w:tcPr>
          <w:p w14:paraId="2BB9D1BA">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color w:val="FF0000"/>
                <w:sz w:val="21"/>
                <w:szCs w:val="21"/>
              </w:rPr>
            </w:pPr>
            <w:r>
              <w:rPr>
                <w:rFonts w:hint="eastAsia" w:ascii="宋体" w:hAnsi="宋体" w:eastAsia="宋体" w:cs="宋体"/>
                <w:color w:val="auto"/>
                <w:sz w:val="21"/>
                <w:szCs w:val="21"/>
              </w:rPr>
              <w:t>须由成交方提供</w:t>
            </w:r>
            <w:r>
              <w:rPr>
                <w:rFonts w:hint="eastAsia" w:cs="宋体"/>
                <w:bCs/>
                <w:sz w:val="21"/>
                <w:szCs w:val="21"/>
                <w:lang w:eastAsia="zh-CN"/>
              </w:rPr>
              <w:t>福港苑小区</w:t>
            </w:r>
            <w:r>
              <w:rPr>
                <w:rFonts w:hint="eastAsia" w:ascii="宋体" w:hAnsi="宋体" w:eastAsia="宋体" w:cs="宋体"/>
                <w:color w:val="auto"/>
                <w:sz w:val="21"/>
                <w:szCs w:val="21"/>
              </w:rPr>
              <w:t>保安保洁服务</w:t>
            </w:r>
          </w:p>
        </w:tc>
        <w:tc>
          <w:tcPr>
            <w:tcW w:w="757" w:type="dxa"/>
            <w:noWrap w:val="0"/>
            <w:vAlign w:val="center"/>
          </w:tcPr>
          <w:p w14:paraId="4AC79535">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w:t>
            </w:r>
          </w:p>
        </w:tc>
        <w:tc>
          <w:tcPr>
            <w:tcW w:w="757" w:type="dxa"/>
            <w:noWrap w:val="0"/>
            <w:vAlign w:val="center"/>
          </w:tcPr>
          <w:p w14:paraId="73E61987">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项</w:t>
            </w:r>
          </w:p>
        </w:tc>
        <w:tc>
          <w:tcPr>
            <w:tcW w:w="1418" w:type="dxa"/>
            <w:shd w:val="clear" w:color="auto" w:fill="auto"/>
            <w:noWrap w:val="0"/>
            <w:vAlign w:val="center"/>
          </w:tcPr>
          <w:p w14:paraId="055330A7">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32971</w:t>
            </w:r>
            <w:r>
              <w:rPr>
                <w:rFonts w:hint="eastAsia" w:ascii="宋体" w:hAnsi="宋体" w:eastAsia="宋体" w:cs="宋体"/>
                <w:kern w:val="0"/>
                <w:sz w:val="21"/>
                <w:szCs w:val="21"/>
                <w:lang w:val="en-US" w:eastAsia="zh-CN"/>
              </w:rPr>
              <w:t>.00</w:t>
            </w:r>
          </w:p>
          <w:p w14:paraId="4F8F748F">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元</w:t>
            </w:r>
            <w:r>
              <w:rPr>
                <w:rFonts w:hint="eastAsia" w:ascii="宋体" w:hAnsi="宋体" w:eastAsia="宋体" w:cs="宋体"/>
                <w:kern w:val="0"/>
                <w:sz w:val="21"/>
                <w:szCs w:val="21"/>
              </w:rPr>
              <w:t>/月</w:t>
            </w:r>
          </w:p>
        </w:tc>
        <w:tc>
          <w:tcPr>
            <w:tcW w:w="1418" w:type="dxa"/>
            <w:shd w:val="clear" w:color="auto" w:fill="auto"/>
            <w:noWrap w:val="0"/>
            <w:vAlign w:val="center"/>
          </w:tcPr>
          <w:p w14:paraId="19612322">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395652.00</w:t>
            </w:r>
          </w:p>
          <w:p w14:paraId="5B845B0F">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元</w:t>
            </w:r>
            <w:r>
              <w:rPr>
                <w:rFonts w:hint="eastAsia" w:ascii="宋体" w:hAnsi="宋体" w:eastAsia="宋体" w:cs="宋体"/>
                <w:kern w:val="0"/>
                <w:sz w:val="21"/>
                <w:szCs w:val="21"/>
              </w:rPr>
              <w:t>/年</w:t>
            </w:r>
          </w:p>
        </w:tc>
      </w:tr>
      <w:tr w14:paraId="01F1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51" w:type="dxa"/>
            <w:noWrap w:val="0"/>
            <w:vAlign w:val="center"/>
          </w:tcPr>
          <w:p w14:paraId="32EB65F7">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631" w:type="dxa"/>
            <w:noWrap w:val="0"/>
            <w:vAlign w:val="center"/>
          </w:tcPr>
          <w:p w14:paraId="0D94A973">
            <w:pPr>
              <w:keepNext w:val="0"/>
              <w:keepLines w:val="0"/>
              <w:pageBreakBefore w:val="0"/>
              <w:kinsoku/>
              <w:wordWrap/>
              <w:overflowPunct/>
              <w:topLinePunct w:val="0"/>
              <w:bidi w:val="0"/>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保安、保洁服务业务委托</w:t>
            </w:r>
          </w:p>
        </w:tc>
        <w:tc>
          <w:tcPr>
            <w:tcW w:w="2564" w:type="dxa"/>
            <w:noWrap w:val="0"/>
            <w:vAlign w:val="center"/>
          </w:tcPr>
          <w:p w14:paraId="298FA364">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须由成交方提供</w:t>
            </w:r>
            <w:r>
              <w:rPr>
                <w:rFonts w:hint="eastAsia" w:cs="宋体"/>
                <w:bCs/>
                <w:sz w:val="21"/>
                <w:szCs w:val="21"/>
                <w:lang w:eastAsia="zh-CN"/>
              </w:rPr>
              <w:t>荷韵园小区</w:t>
            </w:r>
            <w:r>
              <w:rPr>
                <w:rFonts w:hint="eastAsia" w:ascii="宋体" w:hAnsi="宋体" w:eastAsia="宋体" w:cs="宋体"/>
                <w:color w:val="auto"/>
                <w:sz w:val="21"/>
                <w:szCs w:val="21"/>
              </w:rPr>
              <w:t>保安保洁服务</w:t>
            </w:r>
          </w:p>
        </w:tc>
        <w:tc>
          <w:tcPr>
            <w:tcW w:w="757" w:type="dxa"/>
            <w:shd w:val="clear" w:color="auto" w:fill="auto"/>
            <w:noWrap w:val="0"/>
            <w:vAlign w:val="center"/>
          </w:tcPr>
          <w:p w14:paraId="6043994F">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1</w:t>
            </w:r>
          </w:p>
        </w:tc>
        <w:tc>
          <w:tcPr>
            <w:tcW w:w="757" w:type="dxa"/>
            <w:shd w:val="clear" w:color="auto" w:fill="auto"/>
            <w:noWrap w:val="0"/>
            <w:vAlign w:val="center"/>
          </w:tcPr>
          <w:p w14:paraId="674A6B04">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rPr>
              <w:t>项</w:t>
            </w:r>
          </w:p>
        </w:tc>
        <w:tc>
          <w:tcPr>
            <w:tcW w:w="1418" w:type="dxa"/>
            <w:shd w:val="clear" w:color="auto" w:fill="auto"/>
            <w:noWrap w:val="0"/>
            <w:vAlign w:val="center"/>
          </w:tcPr>
          <w:p w14:paraId="215FAC10">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55294</w:t>
            </w:r>
            <w:r>
              <w:rPr>
                <w:rFonts w:hint="eastAsia" w:ascii="宋体" w:hAnsi="宋体" w:eastAsia="宋体" w:cs="宋体"/>
                <w:kern w:val="0"/>
                <w:sz w:val="21"/>
                <w:szCs w:val="21"/>
                <w:lang w:val="en-US" w:eastAsia="zh-CN"/>
              </w:rPr>
              <w:t>.00</w:t>
            </w:r>
          </w:p>
          <w:p w14:paraId="540DC861">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元</w:t>
            </w:r>
            <w:r>
              <w:rPr>
                <w:rFonts w:hint="eastAsia" w:ascii="宋体" w:hAnsi="宋体" w:eastAsia="宋体" w:cs="宋体"/>
                <w:kern w:val="0"/>
                <w:sz w:val="21"/>
                <w:szCs w:val="21"/>
              </w:rPr>
              <w:t>/月</w:t>
            </w:r>
          </w:p>
        </w:tc>
        <w:tc>
          <w:tcPr>
            <w:tcW w:w="1418" w:type="dxa"/>
            <w:shd w:val="clear" w:color="auto" w:fill="auto"/>
            <w:noWrap w:val="0"/>
            <w:vAlign w:val="center"/>
          </w:tcPr>
          <w:p w14:paraId="0472317A">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en-US" w:eastAsia="zh-CN" w:bidi="ar-SA"/>
              </w:rPr>
            </w:pPr>
            <w:r>
              <w:rPr>
                <w:rFonts w:hint="eastAsia" w:cs="宋体"/>
                <w:kern w:val="0"/>
                <w:sz w:val="21"/>
                <w:szCs w:val="21"/>
                <w:lang w:eastAsia="zh-CN"/>
              </w:rPr>
              <w:t>663528.00</w:t>
            </w:r>
            <w:r>
              <w:rPr>
                <w:rFonts w:hint="eastAsia" w:ascii="宋体" w:hAnsi="宋体" w:eastAsia="宋体" w:cs="宋体"/>
                <w:kern w:val="0"/>
                <w:sz w:val="21"/>
                <w:szCs w:val="21"/>
              </w:rPr>
              <w:t>元/年</w:t>
            </w:r>
          </w:p>
        </w:tc>
      </w:tr>
      <w:tr w14:paraId="5AC4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560" w:type="dxa"/>
            <w:gridSpan w:val="5"/>
            <w:noWrap w:val="0"/>
            <w:vAlign w:val="center"/>
          </w:tcPr>
          <w:p w14:paraId="628CEF0F">
            <w:pPr>
              <w:keepNext w:val="0"/>
              <w:keepLines w:val="0"/>
              <w:pageBreakBefore w:val="0"/>
              <w:kinsoku/>
              <w:wordWrap/>
              <w:overflowPunct/>
              <w:topLinePunct w:val="0"/>
              <w:bidi w:val="0"/>
              <w:spacing w:line="360" w:lineRule="auto"/>
              <w:ind w:firstLine="0" w:firstLineChars="0"/>
              <w:jc w:val="center"/>
              <w:rPr>
                <w:rFonts w:hint="eastAsia" w:ascii="宋体" w:hAnsi="宋体" w:eastAsia="宋体" w:cs="宋体"/>
                <w:kern w:val="0"/>
                <w:sz w:val="21"/>
                <w:szCs w:val="21"/>
                <w:lang w:val="zh-CN"/>
              </w:rPr>
            </w:pPr>
            <w:r>
              <w:rPr>
                <w:rFonts w:hint="eastAsia" w:ascii="宋体" w:hAnsi="宋体" w:eastAsia="宋体" w:cs="宋体"/>
                <w:color w:val="auto"/>
                <w:kern w:val="0"/>
                <w:sz w:val="21"/>
                <w:szCs w:val="21"/>
                <w:highlight w:val="none"/>
                <w:lang w:val="en-US" w:eastAsia="zh-CN"/>
              </w:rPr>
              <w:t>合计金额</w:t>
            </w:r>
          </w:p>
        </w:tc>
        <w:tc>
          <w:tcPr>
            <w:tcW w:w="1418" w:type="dxa"/>
            <w:shd w:val="clear" w:color="auto" w:fill="auto"/>
            <w:noWrap w:val="0"/>
            <w:vAlign w:val="center"/>
          </w:tcPr>
          <w:p w14:paraId="7D9F9A10">
            <w:pPr>
              <w:keepNext w:val="0"/>
              <w:keepLines w:val="0"/>
              <w:pageBreakBefore w:val="0"/>
              <w:kinsoku/>
              <w:wordWrap/>
              <w:overflowPunct/>
              <w:topLinePunct w:val="0"/>
              <w:bidi w:val="0"/>
              <w:spacing w:line="360" w:lineRule="auto"/>
              <w:ind w:firstLine="0" w:firstLineChars="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88265</w:t>
            </w:r>
            <w:r>
              <w:rPr>
                <w:rFonts w:hint="eastAsia" w:ascii="宋体" w:hAnsi="宋体" w:eastAsia="宋体" w:cs="宋体"/>
                <w:kern w:val="0"/>
                <w:sz w:val="21"/>
                <w:szCs w:val="21"/>
                <w:lang w:val="en-US" w:eastAsia="zh-CN"/>
              </w:rPr>
              <w:t>.00</w:t>
            </w:r>
          </w:p>
        </w:tc>
        <w:tc>
          <w:tcPr>
            <w:tcW w:w="1418" w:type="dxa"/>
            <w:shd w:val="clear" w:color="auto" w:fill="auto"/>
            <w:noWrap w:val="0"/>
            <w:vAlign w:val="center"/>
          </w:tcPr>
          <w:p w14:paraId="270D8BB3">
            <w:pPr>
              <w:keepNext w:val="0"/>
              <w:keepLines w:val="0"/>
              <w:pageBreakBefore w:val="0"/>
              <w:kinsoku/>
              <w:wordWrap/>
              <w:overflowPunct/>
              <w:topLinePunct w:val="0"/>
              <w:bidi w:val="0"/>
              <w:spacing w:line="360" w:lineRule="auto"/>
              <w:ind w:firstLine="0" w:firstLineChars="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1059180.00</w:t>
            </w:r>
          </w:p>
        </w:tc>
      </w:tr>
    </w:tbl>
    <w:p w14:paraId="507C52F3">
      <w:pPr>
        <w:keepNext w:val="0"/>
        <w:keepLines w:val="0"/>
        <w:pageBreakBefore w:val="0"/>
        <w:kinsoku/>
        <w:wordWrap/>
        <w:overflowPunct/>
        <w:topLinePunct w:val="0"/>
        <w:bidi w:val="0"/>
        <w:spacing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三、项目服务要求</w:t>
      </w:r>
    </w:p>
    <w:p w14:paraId="19362A4A">
      <w:pPr>
        <w:keepNext w:val="0"/>
        <w:keepLines w:val="0"/>
        <w:pageBreakBefore w:val="0"/>
        <w:kinsoku/>
        <w:wordWrap/>
        <w:overflowPunct/>
        <w:topLinePunct w:val="0"/>
        <w:bidi w:val="0"/>
        <w:spacing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服务形式要求</w:t>
      </w:r>
    </w:p>
    <w:p w14:paraId="658B349A">
      <w:pPr>
        <w:keepNext w:val="0"/>
        <w:keepLines w:val="0"/>
        <w:pageBreakBefore w:val="0"/>
        <w:widowControl/>
        <w:kinsoku/>
        <w:wordWrap/>
        <w:overflowPunct/>
        <w:topLinePunct w:val="0"/>
        <w:bidi w:val="0"/>
        <w:spacing w:after="93" w:afterLines="30" w:line="560" w:lineRule="exact"/>
        <w:ind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服务范围：项目红线范围内（含前坪）固定安全岗位及人行出入口、车辆出入口、停车场、消防安全管理和项目巡查等相关安全防范、秩序维护、门岗</w:t>
      </w:r>
      <w:r>
        <w:rPr>
          <w:rFonts w:hint="eastAsia" w:ascii="宋体" w:hAnsi="宋体" w:eastAsia="宋体" w:cs="宋体"/>
          <w:color w:val="000000"/>
          <w:kern w:val="0"/>
          <w:sz w:val="21"/>
          <w:szCs w:val="21"/>
          <w:lang w:val="en-US" w:eastAsia="zh-CN"/>
        </w:rPr>
        <w:t>值守</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物品（大件货特殊）出入等级、</w:t>
      </w:r>
      <w:r>
        <w:rPr>
          <w:rFonts w:hint="eastAsia" w:ascii="宋体" w:hAnsi="宋体" w:eastAsia="宋体" w:cs="宋体"/>
          <w:color w:val="000000"/>
          <w:kern w:val="0"/>
          <w:sz w:val="21"/>
          <w:szCs w:val="21"/>
        </w:rPr>
        <w:t>突发事件应急处理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工程及设施设备基础维护维修</w:t>
      </w:r>
      <w:r>
        <w:rPr>
          <w:rFonts w:hint="eastAsia" w:ascii="宋体" w:hAnsi="宋体" w:eastAsia="宋体" w:cs="宋体"/>
          <w:color w:val="000000"/>
          <w:kern w:val="0"/>
          <w:sz w:val="21"/>
          <w:szCs w:val="21"/>
        </w:rPr>
        <w:t>等工作；庭院、楼层、楼道、电梯厅、天台、采光井、外围、停车场（库）、休闲桌椅及其它公共区域日常保洁、车库地面冲洗、冬季铲冰除雪、</w:t>
      </w:r>
      <w:r>
        <w:rPr>
          <w:rFonts w:hint="eastAsia" w:ascii="宋体" w:hAnsi="宋体" w:eastAsia="宋体" w:cs="宋体"/>
          <w:color w:val="000000"/>
          <w:kern w:val="0"/>
          <w:sz w:val="21"/>
          <w:szCs w:val="21"/>
          <w:lang w:val="en-US" w:eastAsia="zh-CN"/>
        </w:rPr>
        <w:t>绿化设施基础维护、</w:t>
      </w:r>
      <w:r>
        <w:rPr>
          <w:rFonts w:hint="eastAsia" w:ascii="宋体" w:hAnsi="宋体" w:eastAsia="宋体" w:cs="宋体"/>
          <w:color w:val="000000"/>
          <w:kern w:val="0"/>
          <w:sz w:val="21"/>
          <w:szCs w:val="21"/>
        </w:rPr>
        <w:t>垃圾分类等工作；</w:t>
      </w:r>
    </w:p>
    <w:p w14:paraId="2AE63288">
      <w:pPr>
        <w:keepNext w:val="0"/>
        <w:keepLines w:val="0"/>
        <w:pageBreakBefore w:val="0"/>
        <w:kinsoku/>
        <w:wordWrap/>
        <w:overflowPunct/>
        <w:topLinePunct w:val="0"/>
        <w:bidi w:val="0"/>
        <w:spacing w:before="156" w:beforeLines="50" w:after="156" w:afterLines="50"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承担保安、保洁人员整套人力资源管理服务工作(包括招聘及离职手续办理、劳动合同管理、绩效管理、工资管理、保险福利管理、计划生育管理等)，所有保安、保洁人员须服从采购人工作安排，</w:t>
      </w:r>
      <w:r>
        <w:rPr>
          <w:rFonts w:hint="eastAsia" w:ascii="宋体" w:hAnsi="宋体" w:eastAsia="宋体" w:cs="宋体"/>
          <w:sz w:val="21"/>
          <w:szCs w:val="21"/>
          <w:lang w:val="en-US" w:eastAsia="zh-CN"/>
        </w:rPr>
        <w:t>保安保洁人员食宿由供应商自行负责</w:t>
      </w:r>
      <w:r>
        <w:rPr>
          <w:rFonts w:hint="eastAsia" w:cs="宋体"/>
          <w:sz w:val="21"/>
          <w:szCs w:val="21"/>
          <w:lang w:val="en-US" w:eastAsia="zh-CN"/>
        </w:rPr>
        <w:t>；</w:t>
      </w:r>
    </w:p>
    <w:p w14:paraId="4A1AABE8">
      <w:pPr>
        <w:keepNext w:val="0"/>
        <w:keepLines w:val="0"/>
        <w:pageBreakBefore w:val="0"/>
        <w:kinsoku/>
        <w:wordWrap/>
        <w:overflowPunct/>
        <w:topLinePunct w:val="0"/>
        <w:bidi w:val="0"/>
        <w:spacing w:before="156" w:beforeLines="50" w:after="156" w:afterLines="50"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所有保安、保洁人员必须是与成交供应商签订劳动合同，有合法劳动关系并购买社会保险，保证人员的素质及思想稳定，并提供统一的管理</w:t>
      </w:r>
      <w:r>
        <w:rPr>
          <w:rFonts w:hint="eastAsia" w:ascii="宋体" w:hAnsi="宋体" w:eastAsia="宋体" w:cs="宋体"/>
          <w:sz w:val="21"/>
          <w:szCs w:val="21"/>
          <w:lang w:eastAsia="zh-CN"/>
        </w:rPr>
        <w:t>；</w:t>
      </w:r>
    </w:p>
    <w:p w14:paraId="58D799DC">
      <w:pPr>
        <w:keepNext w:val="0"/>
        <w:keepLines w:val="0"/>
        <w:pageBreakBefore w:val="0"/>
        <w:kinsoku/>
        <w:wordWrap/>
        <w:overflowPunct/>
        <w:topLinePunct w:val="0"/>
        <w:bidi w:val="0"/>
        <w:spacing w:before="156" w:beforeLines="50" w:after="156" w:afterLines="50"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采购人确定保安、保洁服务标准及的人员数量后，成交供应商应按《劳动合同法》确保5个工作日内办理完毕劳动合同签订手续及相关流程，并及时向采购人保证使保安、保洁人员能够顺利上岗</w:t>
      </w:r>
      <w:r>
        <w:rPr>
          <w:rFonts w:hint="eastAsia" w:ascii="宋体" w:hAnsi="宋体" w:eastAsia="宋体" w:cs="宋体"/>
          <w:sz w:val="21"/>
          <w:szCs w:val="21"/>
          <w:lang w:eastAsia="zh-CN"/>
        </w:rPr>
        <w:t>；</w:t>
      </w:r>
    </w:p>
    <w:p w14:paraId="61F45DF8">
      <w:pPr>
        <w:keepNext w:val="0"/>
        <w:keepLines w:val="0"/>
        <w:pageBreakBefore w:val="0"/>
        <w:kinsoku/>
        <w:wordWrap/>
        <w:overflowPunct/>
        <w:topLinePunct w:val="0"/>
        <w:bidi w:val="0"/>
        <w:spacing w:before="156" w:beforeLines="50" w:after="156" w:afterLines="50"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工伤保险事务办理（成交供应商在接到报案电话后24小时内，</w:t>
      </w:r>
      <w:r>
        <w:rPr>
          <w:rFonts w:hint="eastAsia" w:ascii="宋体" w:hAnsi="宋体" w:eastAsia="宋体" w:cs="宋体"/>
          <w:sz w:val="21"/>
          <w:szCs w:val="21"/>
          <w:lang w:eastAsia="zh-CN"/>
        </w:rPr>
        <w:t>须</w:t>
      </w:r>
      <w:r>
        <w:rPr>
          <w:rFonts w:hint="eastAsia" w:ascii="宋体" w:hAnsi="宋体" w:eastAsia="宋体" w:cs="宋体"/>
          <w:sz w:val="21"/>
          <w:szCs w:val="21"/>
        </w:rPr>
        <w:t>安排专职人员对接办理工伤事故员工的住院治疗、工伤鉴定、工伤理赔等手续工作）采购人予以</w:t>
      </w:r>
      <w:r>
        <w:rPr>
          <w:rFonts w:hint="eastAsia" w:ascii="宋体" w:hAnsi="宋体" w:eastAsia="宋体" w:cs="宋体"/>
          <w:sz w:val="21"/>
          <w:szCs w:val="21"/>
          <w:lang w:eastAsia="zh-CN"/>
        </w:rPr>
        <w:t>必要</w:t>
      </w:r>
      <w:r>
        <w:rPr>
          <w:rFonts w:hint="eastAsia" w:ascii="宋体" w:hAnsi="宋体" w:eastAsia="宋体" w:cs="宋体"/>
          <w:sz w:val="21"/>
          <w:szCs w:val="21"/>
        </w:rPr>
        <w:t>协助</w:t>
      </w:r>
      <w:r>
        <w:rPr>
          <w:rFonts w:hint="eastAsia" w:ascii="宋体" w:hAnsi="宋体" w:eastAsia="宋体" w:cs="宋体"/>
          <w:sz w:val="21"/>
          <w:szCs w:val="21"/>
          <w:lang w:eastAsia="zh-CN"/>
        </w:rPr>
        <w:t>；</w:t>
      </w:r>
    </w:p>
    <w:p w14:paraId="2DDCC800">
      <w:pPr>
        <w:keepNext w:val="0"/>
        <w:keepLines w:val="0"/>
        <w:pageBreakBefore w:val="0"/>
        <w:kinsoku/>
        <w:wordWrap/>
        <w:overflowPunct/>
        <w:topLinePunct w:val="0"/>
        <w:bidi w:val="0"/>
        <w:spacing w:before="156" w:beforeLines="50" w:after="156" w:afterLines="50"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rPr>
        <w:t>成交供应商应为保安、保洁人员支付不低于长沙市最低工资标准的工资，并为他们缴纳相应的社会保险。成交供应商应按时足额支付所属人员工资及相关福利，如因成交供应商拖欠所属人员工资2个月及以上，对采购人造成负面影响的，采购人有权扣除履约保证金1万元/次，上述人员的涉及用工方面的劳务纠纷、福利纠纷和劳动</w:t>
      </w:r>
      <w:r>
        <w:rPr>
          <w:rFonts w:hint="eastAsia" w:ascii="宋体" w:hAnsi="宋体" w:eastAsia="宋体" w:cs="宋体"/>
          <w:sz w:val="21"/>
          <w:szCs w:val="21"/>
          <w:lang w:eastAsia="zh-CN"/>
        </w:rPr>
        <w:t>或意外</w:t>
      </w:r>
      <w:r>
        <w:rPr>
          <w:rFonts w:hint="eastAsia" w:ascii="宋体" w:hAnsi="宋体" w:eastAsia="宋体" w:cs="宋体"/>
          <w:sz w:val="21"/>
          <w:szCs w:val="21"/>
        </w:rPr>
        <w:t>事故</w:t>
      </w:r>
      <w:r>
        <w:rPr>
          <w:rFonts w:hint="eastAsia" w:ascii="宋体" w:hAnsi="宋体" w:eastAsia="宋体" w:cs="宋体"/>
          <w:sz w:val="21"/>
          <w:szCs w:val="21"/>
          <w:lang w:eastAsia="zh-CN"/>
        </w:rPr>
        <w:t>，与其相关联的协调、理赔、经济赔偿等一切事宜及费用</w:t>
      </w:r>
      <w:r>
        <w:rPr>
          <w:rFonts w:hint="eastAsia" w:ascii="宋体" w:hAnsi="宋体" w:eastAsia="宋体" w:cs="宋体"/>
          <w:sz w:val="21"/>
          <w:szCs w:val="21"/>
        </w:rPr>
        <w:t>均由成交供应商负责，与采购人无关</w:t>
      </w:r>
      <w:r>
        <w:rPr>
          <w:rFonts w:hint="eastAsia" w:ascii="宋体" w:hAnsi="宋体" w:eastAsia="宋体" w:cs="宋体"/>
          <w:sz w:val="21"/>
          <w:szCs w:val="21"/>
          <w:lang w:eastAsia="zh-CN"/>
        </w:rPr>
        <w:t>；</w:t>
      </w:r>
    </w:p>
    <w:p w14:paraId="741701F5">
      <w:pPr>
        <w:keepNext w:val="0"/>
        <w:keepLines w:val="0"/>
        <w:pageBreakBefore w:val="0"/>
        <w:kinsoku/>
        <w:wordWrap/>
        <w:overflowPunct/>
        <w:topLinePunct w:val="0"/>
        <w:bidi w:val="0"/>
        <w:spacing w:before="156" w:beforeLines="50" w:after="156" w:afterLines="50" w:line="560" w:lineRule="exact"/>
        <w:ind w:firstLine="420" w:firstLineChars="200"/>
        <w:rPr>
          <w:rFonts w:hint="eastAsia" w:ascii="宋体" w:hAnsi="宋体" w:eastAsia="宋体" w:cs="宋体"/>
          <w:b/>
          <w:bCs/>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本项目如因成交供应商管理不善出现偷盗事件，如造成损失，采购人可协助成交供应商共同处理，如涉及赔偿则由成交供应商负责。</w:t>
      </w:r>
    </w:p>
    <w:p w14:paraId="1A959E92">
      <w:pPr>
        <w:keepNext w:val="0"/>
        <w:keepLines w:val="0"/>
        <w:pageBreakBefore w:val="0"/>
        <w:kinsoku/>
        <w:wordWrap/>
        <w:overflowPunct/>
        <w:topLinePunct w:val="0"/>
        <w:bidi w:val="0"/>
        <w:spacing w:line="5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rPr>
        <w:t>2.保安人员</w:t>
      </w:r>
      <w:r>
        <w:rPr>
          <w:rFonts w:hint="eastAsia" w:ascii="宋体" w:hAnsi="宋体" w:eastAsia="宋体" w:cs="宋体"/>
          <w:b/>
          <w:bCs/>
          <w:sz w:val="21"/>
          <w:szCs w:val="21"/>
          <w:lang w:val="en-US" w:eastAsia="zh-CN"/>
        </w:rPr>
        <w:t>岗位</w:t>
      </w:r>
      <w:r>
        <w:rPr>
          <w:rFonts w:hint="eastAsia" w:ascii="宋体" w:hAnsi="宋体" w:eastAsia="宋体" w:cs="宋体"/>
          <w:b/>
          <w:bCs/>
          <w:sz w:val="21"/>
          <w:szCs w:val="21"/>
        </w:rPr>
        <w:t>要求</w:t>
      </w:r>
      <w:r>
        <w:rPr>
          <w:rFonts w:hint="eastAsia" w:ascii="宋体" w:hAnsi="宋体" w:eastAsia="宋体" w:cs="宋体"/>
          <w:b/>
          <w:bCs/>
          <w:sz w:val="21"/>
          <w:szCs w:val="21"/>
          <w:lang w:val="en-US" w:eastAsia="zh-CN"/>
        </w:rPr>
        <w:t>及职责</w:t>
      </w:r>
    </w:p>
    <w:p w14:paraId="5D31EA2C">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身高（男）1.70米以上、（女）1.60米以上，姿态良好、容貌端正，身体健康，年龄5</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岁</w:t>
      </w:r>
      <w:r>
        <w:rPr>
          <w:rFonts w:hint="eastAsia" w:ascii="宋体" w:hAnsi="宋体" w:eastAsia="宋体" w:cs="宋体"/>
          <w:color w:val="000000"/>
          <w:sz w:val="21"/>
          <w:szCs w:val="21"/>
          <w:lang w:eastAsia="zh-CN"/>
        </w:rPr>
        <w:t>以下</w:t>
      </w:r>
      <w:r>
        <w:rPr>
          <w:rFonts w:hint="eastAsia" w:ascii="宋体" w:hAnsi="宋体" w:eastAsia="宋体" w:cs="宋体"/>
          <w:color w:val="000000"/>
          <w:sz w:val="21"/>
          <w:szCs w:val="21"/>
        </w:rPr>
        <w:t>；</w:t>
      </w:r>
    </w:p>
    <w:p w14:paraId="6062B207">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初中及以上文化程度，</w:t>
      </w:r>
      <w:r>
        <w:rPr>
          <w:rFonts w:hint="eastAsia" w:ascii="宋体" w:hAnsi="宋体" w:eastAsia="宋体" w:cs="宋体"/>
          <w:color w:val="000000"/>
          <w:sz w:val="21"/>
          <w:szCs w:val="21"/>
          <w:lang w:val="en-US" w:eastAsia="zh-CN"/>
        </w:rPr>
        <w:t>所有保安</w:t>
      </w:r>
      <w:r>
        <w:rPr>
          <w:rFonts w:hint="eastAsia" w:ascii="宋体" w:hAnsi="宋体" w:eastAsia="宋体" w:cs="宋体"/>
          <w:color w:val="000000"/>
          <w:sz w:val="21"/>
          <w:szCs w:val="21"/>
        </w:rPr>
        <w:t>人员须</w:t>
      </w:r>
      <w:r>
        <w:rPr>
          <w:rFonts w:hint="eastAsia" w:ascii="宋体" w:hAnsi="宋体" w:eastAsia="宋体" w:cs="宋体"/>
          <w:color w:val="000000"/>
          <w:sz w:val="21"/>
          <w:szCs w:val="21"/>
          <w:lang w:val="en-US" w:eastAsia="zh-CN"/>
        </w:rPr>
        <w:t>持有保安员证等</w:t>
      </w:r>
      <w:r>
        <w:rPr>
          <w:rFonts w:hint="eastAsia" w:ascii="宋体" w:hAnsi="宋体" w:eastAsia="宋体" w:cs="宋体"/>
          <w:color w:val="000000"/>
          <w:sz w:val="21"/>
          <w:szCs w:val="21"/>
        </w:rPr>
        <w:t>相应的技术</w:t>
      </w:r>
      <w:r>
        <w:rPr>
          <w:rFonts w:hint="eastAsia" w:ascii="宋体" w:hAnsi="宋体" w:eastAsia="宋体" w:cs="宋体"/>
          <w:color w:val="000000"/>
          <w:sz w:val="21"/>
          <w:szCs w:val="21"/>
          <w:lang w:val="en-US" w:eastAsia="zh-CN"/>
        </w:rPr>
        <w:t>/岗位</w:t>
      </w:r>
      <w:r>
        <w:rPr>
          <w:rFonts w:hint="eastAsia" w:ascii="宋体" w:hAnsi="宋体" w:eastAsia="宋体" w:cs="宋体"/>
          <w:color w:val="000000"/>
          <w:sz w:val="21"/>
          <w:szCs w:val="21"/>
        </w:rPr>
        <w:t>资格证书；</w:t>
      </w:r>
    </w:p>
    <w:p w14:paraId="5490859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会操作使用保安器具和消防器材</w:t>
      </w:r>
      <w:r>
        <w:rPr>
          <w:rFonts w:hint="eastAsia" w:ascii="宋体" w:hAnsi="宋体" w:eastAsia="宋体" w:cs="宋体"/>
          <w:color w:val="000000"/>
          <w:sz w:val="21"/>
          <w:szCs w:val="21"/>
          <w:lang w:eastAsia="zh-CN"/>
        </w:rPr>
        <w:t>，退伍军人及专业学校毕业者优先</w:t>
      </w:r>
      <w:r>
        <w:rPr>
          <w:rFonts w:hint="eastAsia" w:ascii="宋体" w:hAnsi="宋体" w:eastAsia="宋体" w:cs="宋体"/>
          <w:color w:val="000000"/>
          <w:sz w:val="21"/>
          <w:szCs w:val="21"/>
        </w:rPr>
        <w:t>；</w:t>
      </w:r>
    </w:p>
    <w:p w14:paraId="46453844">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品行良好、遵纪守法、无犯罪记录</w:t>
      </w:r>
      <w:r>
        <w:rPr>
          <w:rFonts w:hint="eastAsia" w:ascii="宋体" w:hAnsi="宋体" w:eastAsia="宋体" w:cs="宋体"/>
          <w:color w:val="000000"/>
          <w:sz w:val="21"/>
          <w:szCs w:val="21"/>
          <w:lang w:eastAsia="zh-CN"/>
        </w:rPr>
        <w:t>；</w:t>
      </w:r>
    </w:p>
    <w:p w14:paraId="46EE73B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遵守甲方的各项管理规定。反映敏捷，服从安排调度，敢于负责</w:t>
      </w:r>
      <w:r>
        <w:rPr>
          <w:rFonts w:hint="eastAsia" w:ascii="宋体" w:hAnsi="宋体" w:eastAsia="宋体" w:cs="宋体"/>
          <w:color w:val="000000"/>
          <w:sz w:val="21"/>
          <w:szCs w:val="21"/>
          <w:lang w:eastAsia="zh-CN"/>
        </w:rPr>
        <w:t>；</w:t>
      </w:r>
    </w:p>
    <w:p w14:paraId="30111E07">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专职安全护卫人员，思想品德良好，作风正派；身体健康，责任心强，工作认真负责，体态良好；无犯罪记录；</w:t>
      </w:r>
    </w:p>
    <w:p w14:paraId="5D07C5CA">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接受过两年以上安全护卫或相关训练，训练有素，掌握基本安全护卫技能，并定期进行安全防范学习，增强安全防范能力</w:t>
      </w:r>
      <w:r>
        <w:rPr>
          <w:rFonts w:hint="eastAsia" w:ascii="宋体" w:hAnsi="宋体" w:eastAsia="宋体" w:cs="宋体"/>
          <w:color w:val="000000"/>
          <w:sz w:val="21"/>
          <w:szCs w:val="21"/>
          <w:lang w:eastAsia="zh-CN"/>
        </w:rPr>
        <w:t>，消监控室值班人员必须本人持有消防设备操作证等相关专业技术证书方可上岗；</w:t>
      </w:r>
    </w:p>
    <w:p w14:paraId="0C6D4EAE">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熟悉小区环境，熟悉物业管理及有关法律法规，能恰当的处理和应对小区护卫工作；</w:t>
      </w:r>
    </w:p>
    <w:p w14:paraId="4418F647">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当班时佩戴统一标志和执勤工号，身穿当地规定保安统一制服，工具佩戴规范，仪容仪表规范整齐；配备对讲装置和其他必备的安全护卫工具；</w:t>
      </w:r>
    </w:p>
    <w:p w14:paraId="3FE065ED">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上岗时精神振作，举止应文明，姿态良好，大方、得体，抬头挺胸，注意检查和保持仪表；</w:t>
      </w:r>
    </w:p>
    <w:p w14:paraId="7929134D">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严格遵守《交接班制度》，工作交接清楚，交接记录规范、整洁、及时、完善；</w:t>
      </w:r>
    </w:p>
    <w:p w14:paraId="1492EEB2">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当值时须按规定着装整齐，制服须保持整洁；精神饱满，举止大方、得体；使用文明礼貌用语，文明服务，礼貌待人； </w:t>
      </w:r>
    </w:p>
    <w:p w14:paraId="2D9CFBFA">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当值时严禁吸烟、吃零食、使用手机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不得做与工作无关的私事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w:t>
      </w:r>
      <w:r>
        <w:rPr>
          <w:rFonts w:hint="eastAsia" w:ascii="宋体" w:hAnsi="宋体" w:eastAsia="宋体" w:cs="宋体"/>
          <w:color w:val="000000"/>
          <w:sz w:val="21"/>
          <w:szCs w:val="21"/>
        </w:rPr>
        <w:t>阅看书籍、报纸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收听收录机或看电视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不得睡岗、</w:t>
      </w:r>
      <w:r>
        <w:rPr>
          <w:rFonts w:hint="eastAsia" w:ascii="宋体" w:hAnsi="宋体" w:eastAsia="宋体" w:cs="宋体"/>
          <w:color w:val="000000"/>
          <w:sz w:val="21"/>
          <w:szCs w:val="21"/>
        </w:rPr>
        <w:t>未经批准不得擅离职守、无故旷工或缺岗、脱岗；</w:t>
      </w:r>
    </w:p>
    <w:p w14:paraId="244F8390">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严禁在公司所管物业范围内打麻将、玩牌、喝酒，不</w:t>
      </w:r>
      <w:r>
        <w:rPr>
          <w:rFonts w:hint="eastAsia" w:ascii="宋体" w:hAnsi="宋体" w:eastAsia="宋体" w:cs="宋体"/>
          <w:color w:val="000000"/>
          <w:sz w:val="21"/>
          <w:szCs w:val="21"/>
          <w:lang w:val="en-US" w:eastAsia="zh-CN"/>
        </w:rPr>
        <w:t>得</w:t>
      </w:r>
      <w:r>
        <w:rPr>
          <w:rFonts w:hint="eastAsia" w:ascii="宋体" w:hAnsi="宋体" w:eastAsia="宋体" w:cs="宋体"/>
          <w:color w:val="000000"/>
          <w:sz w:val="21"/>
          <w:szCs w:val="21"/>
        </w:rPr>
        <w:t>借娱乐为名搞变相赌博；</w:t>
      </w:r>
    </w:p>
    <w:p w14:paraId="5A647652">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2.15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参加应急预案的演练和日常训练、培训，掌握应急事件处理方法，并快速响应</w:t>
      </w:r>
      <w:r>
        <w:rPr>
          <w:rFonts w:hint="eastAsia" w:cs="宋体"/>
          <w:color w:val="000000"/>
          <w:sz w:val="21"/>
          <w:szCs w:val="21"/>
          <w:lang w:eastAsia="zh-CN"/>
        </w:rPr>
        <w:t>。</w:t>
      </w:r>
    </w:p>
    <w:p w14:paraId="202589D9">
      <w:pPr>
        <w:keepNext w:val="0"/>
        <w:keepLines w:val="0"/>
        <w:pageBreakBefore w:val="0"/>
        <w:kinsoku/>
        <w:wordWrap/>
        <w:overflowPunct/>
        <w:topLinePunct w:val="0"/>
        <w:bidi w:val="0"/>
        <w:spacing w:line="56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w:t>
      </w:r>
      <w:r>
        <w:rPr>
          <w:rFonts w:hint="eastAsia" w:ascii="宋体" w:hAnsi="宋体" w:eastAsia="宋体" w:cs="宋体"/>
          <w:b/>
          <w:bCs/>
          <w:color w:val="000000"/>
          <w:sz w:val="21"/>
          <w:szCs w:val="21"/>
          <w:lang w:eastAsia="zh-CN"/>
        </w:rPr>
        <w:t>保洁</w:t>
      </w:r>
      <w:r>
        <w:rPr>
          <w:rFonts w:hint="eastAsia" w:ascii="宋体" w:hAnsi="宋体" w:eastAsia="宋体" w:cs="宋体"/>
          <w:b/>
          <w:bCs/>
          <w:color w:val="000000"/>
          <w:sz w:val="21"/>
          <w:szCs w:val="21"/>
        </w:rPr>
        <w:t>人员岗位</w:t>
      </w:r>
      <w:r>
        <w:rPr>
          <w:rFonts w:hint="eastAsia" w:ascii="宋体" w:hAnsi="宋体" w:eastAsia="宋体" w:cs="宋体"/>
          <w:b/>
          <w:bCs/>
          <w:color w:val="000000"/>
          <w:sz w:val="21"/>
          <w:szCs w:val="21"/>
          <w:lang w:val="en-US" w:eastAsia="zh-CN"/>
        </w:rPr>
        <w:t>要求及</w:t>
      </w:r>
      <w:r>
        <w:rPr>
          <w:rFonts w:hint="eastAsia" w:ascii="宋体" w:hAnsi="宋体" w:eastAsia="宋体" w:cs="宋体"/>
          <w:b/>
          <w:bCs/>
          <w:color w:val="000000"/>
          <w:sz w:val="21"/>
          <w:szCs w:val="21"/>
        </w:rPr>
        <w:t>职责</w:t>
      </w:r>
    </w:p>
    <w:p w14:paraId="15D3C97B">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地面保洁岗</w:t>
      </w:r>
    </w:p>
    <w:p w14:paraId="67123797">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3.1.1、负责外围、小区水景系统、广场及道路等公共区域内的清洁卫生；</w:t>
      </w:r>
    </w:p>
    <w:p w14:paraId="60B78FC2">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3.1.2、负责清扫小区区域外围路面、小区广场及道路、绿化带；</w:t>
      </w:r>
    </w:p>
    <w:p w14:paraId="3911B12D">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3.1.3、负责打捞水景系内的杂物、落叶等，要求水面无杂物，池底洁净无沉淀物；</w:t>
      </w:r>
    </w:p>
    <w:p w14:paraId="126178DD">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3.1.4、收集绿化带内果皮箱的垃圾，换上新的垃圾袋，并将收集的垃圾运到生活垃圾终转站；</w:t>
      </w:r>
    </w:p>
    <w:p w14:paraId="0A4C754D">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3.1.5、对区域内所有设施进行清洁（宣传栏、雕塑、信报箱、标识牌、台面等）；</w:t>
      </w:r>
    </w:p>
    <w:p w14:paraId="3E90061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3.1.6、负责外围区域巡视保洁。不</w:t>
      </w:r>
      <w:r>
        <w:rPr>
          <w:rFonts w:hint="eastAsia" w:ascii="宋体" w:hAnsi="宋体" w:eastAsia="宋体" w:cs="宋体"/>
          <w:color w:val="000000"/>
          <w:sz w:val="21"/>
          <w:szCs w:val="21"/>
          <w:lang w:val="en-US" w:eastAsia="zh-CN"/>
        </w:rPr>
        <w:t>得</w:t>
      </w:r>
      <w:r>
        <w:rPr>
          <w:rFonts w:hint="eastAsia" w:ascii="宋体" w:hAnsi="宋体" w:eastAsia="宋体" w:cs="宋体"/>
          <w:color w:val="000000"/>
          <w:sz w:val="21"/>
          <w:szCs w:val="21"/>
        </w:rPr>
        <w:t>将垃圾、树叶等倒入绿化带，如遇雨后天晴，应根据岗位区域的实际情况依次对地面和台面进行有效排水处理；</w:t>
      </w:r>
    </w:p>
    <w:p w14:paraId="0B315C89">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3.1.7、地面污渍清洗操作规程：</w:t>
      </w:r>
    </w:p>
    <w:p w14:paraId="73EBE604">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①地面污渍清洗，如地面有油漆、锈水等污渍，分别用天那水、瓷锈水、盐酸（按比例渗水）作为清洁剂，先将地面清扫干净，并浇上适量的水，接着把相应的清洁剂倒在地面上用钢刷来回擦，再冲水后用地拖将水拖干；</w:t>
      </w:r>
    </w:p>
    <w:p w14:paraId="327C51C6">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②瓷片地面用拖把或毛巾对地面及墙面进行拖擦。</w:t>
      </w:r>
    </w:p>
    <w:p w14:paraId="38779BF0">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w:t>
      </w:r>
      <w:r>
        <w:rPr>
          <w:rFonts w:hint="eastAsia" w:ascii="宋体" w:hAnsi="宋体" w:eastAsia="宋体" w:cs="宋体"/>
          <w:color w:val="000000"/>
          <w:sz w:val="21"/>
          <w:szCs w:val="21"/>
          <w:lang w:eastAsia="zh-CN"/>
        </w:rPr>
        <w:t>楼</w:t>
      </w:r>
      <w:r>
        <w:rPr>
          <w:rFonts w:hint="eastAsia" w:ascii="宋体" w:hAnsi="宋体" w:eastAsia="宋体" w:cs="宋体"/>
          <w:color w:val="000000"/>
          <w:sz w:val="21"/>
          <w:szCs w:val="21"/>
        </w:rPr>
        <w:t>层保洁岗</w:t>
      </w:r>
    </w:p>
    <w:p w14:paraId="2E027F69">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3.2.1、负责责任区楼道的清扫保洁，从地下室到楼顶层天台楼宇内所有的公共部分；</w:t>
      </w:r>
    </w:p>
    <w:p w14:paraId="501CB7A6">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3.2.2、负责楼层的生活垃圾收集至垃圾中转站,清洗垃圾桶,套上垃圾袋放回相应的楼层。首先清洁干净首层大堂地面，电梯厅内地面的卫生之后，再用扫把对楼层、通道及后楼梯清扫；</w:t>
      </w:r>
    </w:p>
    <w:p w14:paraId="59AE46A9">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3.2.3、负责用地拖拖抹通道地面及楼梯台阶。再用清洁毛巾对楼层的公共设备，包括通道防火门、消防栓、平开窗、楼道灯罩、开关、排风口、楼梯扶手、楼层墙面、后楼梯管线等擦抹一遍；</w:t>
      </w:r>
    </w:p>
    <w:p w14:paraId="428CD8BC">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3.2.4、楼层所有灯具用干净的白毛巾擦拭；</w:t>
      </w:r>
    </w:p>
    <w:p w14:paraId="0F321632">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3.2.5、负责后楼梯顶面扫尘、除蛛网；</w:t>
      </w:r>
    </w:p>
    <w:p w14:paraId="3154A3B6">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3.2.6、负责对楼宇内的门厅前不锈钢拄、不锈钢护栏、招牌、电梯轿厢门等上不锈钢油；</w:t>
      </w:r>
    </w:p>
    <w:p w14:paraId="5ABC0ABF">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3.2.7、负责天台及楼道内无杂物清理。</w:t>
      </w:r>
    </w:p>
    <w:p w14:paraId="0AEDE7DE">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3.3、地下室保洁岗</w:t>
      </w:r>
    </w:p>
    <w:p w14:paraId="0A3382E1">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3.3.1、人员配备根据地下室的面积大小而定岗；</w:t>
      </w:r>
    </w:p>
    <w:p w14:paraId="65EA78EE">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3.3.2、负责地下室清扫保洁工作；</w:t>
      </w:r>
    </w:p>
    <w:p w14:paraId="610CE64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3.3.3、负责地下室管线、消防设施、设备、指示牌等保洁工作；</w:t>
      </w:r>
    </w:p>
    <w:p w14:paraId="017DB17F">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3.3.4、负责对地下室的污水井每季度彻底清洗一次，周边污水沟在冲冼地面时也要冲洗干净。</w:t>
      </w:r>
    </w:p>
    <w:p w14:paraId="30874FF0">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3.4垃圾中转清洁岗</w:t>
      </w:r>
    </w:p>
    <w:p w14:paraId="19816A9E">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3.4.1、负责小区的垃圾清运至周边的中转站并按要求进行垃圾分类，此岗视项目具体要求而定；</w:t>
      </w:r>
    </w:p>
    <w:p w14:paraId="7B4A6F3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3.4.2、按项目规定时间集中清运生活垃圾到中转站；</w:t>
      </w:r>
    </w:p>
    <w:p w14:paraId="01E70A0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3.4.3、负责冲洗垃圾站周边地面和墙壁、垃圾桶，冲洗地面污水。放回垃圾桶，并摆放整齐；</w:t>
      </w:r>
    </w:p>
    <w:p w14:paraId="320F9D8C">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3.4.4、负责垃圾房、垃圾桶消杀；</w:t>
      </w:r>
    </w:p>
    <w:p w14:paraId="2B73374A">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3.4.5、注意事项：在倾倒垃圾时垃圾桶要套牢挂钩，以防掉下造成意外伤亡事故。</w:t>
      </w:r>
    </w:p>
    <w:p w14:paraId="7E70C859">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4、工程维护人员岗位要求/职责</w:t>
      </w:r>
    </w:p>
    <w:p w14:paraId="6A1CB630">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4.1、从事电力相关工作人员须持有高/低压电工证方可上岗；</w:t>
      </w:r>
    </w:p>
    <w:p w14:paraId="27394387">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4.2、熟悉并能正确使用各类基础工程维护维修相关工具（如：电锤、电钻、各类仪器仪表等）；</w:t>
      </w:r>
    </w:p>
    <w:p w14:paraId="393533F6">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4.3、有2年以上的工程维护工作经验；</w:t>
      </w:r>
    </w:p>
    <w:p w14:paraId="57C38713">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4.4、熟悉物业日常工程管理的明确范围及职责；</w:t>
      </w:r>
    </w:p>
    <w:p w14:paraId="1C91591F">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4.5、熟悉住宅小区风机房、弱电系统等大型设备的基本操作及保养流程及常规操作流程；</w:t>
      </w:r>
    </w:p>
    <w:p w14:paraId="08CC118B">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4.6、掌握箱式电梯运行基本原理及工作方式，熟悉电梯保养流程及保养重要节点，能够对电梯维保工作提出专业意见；</w:t>
      </w:r>
    </w:p>
    <w:p w14:paraId="63FB9371">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cs="宋体"/>
          <w:color w:val="000000"/>
          <w:sz w:val="21"/>
          <w:szCs w:val="21"/>
          <w:lang w:val="en-US" w:eastAsia="zh-CN"/>
        </w:rPr>
        <w:t>7</w:t>
      </w:r>
      <w:r>
        <w:rPr>
          <w:rFonts w:hint="eastAsia" w:ascii="宋体" w:hAnsi="宋体" w:eastAsia="宋体" w:cs="宋体"/>
          <w:color w:val="000000"/>
          <w:sz w:val="21"/>
          <w:szCs w:val="21"/>
          <w:lang w:val="en-US" w:eastAsia="zh-CN"/>
        </w:rPr>
        <w:t>、熟练掌握工程常规的如基础泥、木工种内容及工作技能；</w:t>
      </w:r>
    </w:p>
    <w:p w14:paraId="57718AC5">
      <w:pPr>
        <w:keepNext w:val="0"/>
        <w:keepLines w:val="0"/>
        <w:pageBreakBefore w:val="0"/>
        <w:kinsoku/>
        <w:wordWrap/>
        <w:overflowPunct/>
        <w:topLinePunct w:val="0"/>
        <w:bidi w:val="0"/>
        <w:spacing w:line="5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cs="宋体"/>
          <w:color w:val="000000"/>
          <w:sz w:val="21"/>
          <w:szCs w:val="21"/>
          <w:lang w:val="en-US" w:eastAsia="zh-CN"/>
        </w:rPr>
        <w:t>8</w:t>
      </w:r>
      <w:r>
        <w:rPr>
          <w:rFonts w:hint="eastAsia" w:ascii="宋体" w:hAnsi="宋体" w:eastAsia="宋体" w:cs="宋体"/>
          <w:color w:val="000000"/>
          <w:sz w:val="21"/>
          <w:szCs w:val="21"/>
          <w:lang w:val="en-US" w:eastAsia="zh-CN"/>
        </w:rPr>
        <w:t>、电工须熟悉电气工作相关操作流程及安全操作指南；</w:t>
      </w:r>
    </w:p>
    <w:p w14:paraId="599292CD">
      <w:pPr>
        <w:keepNext w:val="0"/>
        <w:keepLines w:val="0"/>
        <w:pageBreakBefore w:val="0"/>
        <w:kinsoku/>
        <w:wordWrap/>
        <w:overflowPunct/>
        <w:topLinePunct w:val="0"/>
        <w:bidi w:val="0"/>
        <w:spacing w:line="560" w:lineRule="exact"/>
        <w:ind w:firstLine="420" w:firstLineChars="200"/>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4.</w:t>
      </w:r>
      <w:r>
        <w:rPr>
          <w:rFonts w:hint="eastAsia" w:cs="宋体"/>
          <w:color w:val="000000"/>
          <w:sz w:val="21"/>
          <w:szCs w:val="21"/>
          <w:lang w:val="en-US" w:eastAsia="zh-CN"/>
        </w:rPr>
        <w:t>9</w:t>
      </w:r>
      <w:r>
        <w:rPr>
          <w:rFonts w:hint="eastAsia" w:ascii="宋体" w:hAnsi="宋体" w:eastAsia="宋体" w:cs="宋体"/>
          <w:color w:val="000000"/>
          <w:sz w:val="21"/>
          <w:szCs w:val="21"/>
          <w:lang w:val="en-US" w:eastAsia="zh-CN"/>
        </w:rPr>
        <w:t>、能够严格遵守并执行采购人的工作安排及工作制度</w:t>
      </w:r>
      <w:r>
        <w:rPr>
          <w:rFonts w:hint="eastAsia" w:cs="宋体"/>
          <w:color w:val="000000"/>
          <w:sz w:val="21"/>
          <w:szCs w:val="21"/>
          <w:lang w:val="en-US" w:eastAsia="zh-CN"/>
        </w:rPr>
        <w:t>。</w:t>
      </w:r>
    </w:p>
    <w:p w14:paraId="1021D1A5">
      <w:pPr>
        <w:keepNext w:val="0"/>
        <w:keepLines w:val="0"/>
        <w:pageBreakBefore w:val="0"/>
        <w:kinsoku/>
        <w:wordWrap/>
        <w:overflowPunct/>
        <w:topLinePunct w:val="0"/>
        <w:bidi w:val="0"/>
        <w:spacing w:before="156" w:beforeLines="50" w:after="156" w:afterLines="50" w:line="560" w:lineRule="exact"/>
        <w:ind w:firstLine="422" w:firstLineChars="200"/>
        <w:rPr>
          <w:rFonts w:hint="eastAsia" w:ascii="宋体" w:hAnsi="宋体" w:eastAsia="宋体" w:cs="宋体"/>
          <w:b/>
          <w:bCs/>
          <w:sz w:val="21"/>
          <w:szCs w:val="21"/>
        </w:rPr>
      </w:pPr>
      <w:r>
        <w:rPr>
          <w:rFonts w:hint="eastAsia" w:cs="宋体"/>
          <w:b/>
          <w:bCs/>
          <w:sz w:val="21"/>
          <w:szCs w:val="21"/>
          <w:lang w:val="en-US" w:eastAsia="zh-CN"/>
        </w:rPr>
        <w:t>5</w:t>
      </w:r>
      <w:r>
        <w:rPr>
          <w:rFonts w:hint="eastAsia" w:ascii="宋体" w:hAnsi="宋体" w:eastAsia="宋体" w:cs="宋体"/>
          <w:b/>
          <w:bCs/>
          <w:sz w:val="21"/>
          <w:szCs w:val="21"/>
        </w:rPr>
        <w:t>、人员配备要求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38"/>
        <w:gridCol w:w="2211"/>
        <w:gridCol w:w="1060"/>
        <w:gridCol w:w="3786"/>
      </w:tblGrid>
      <w:tr w14:paraId="586E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0" w:type="auto"/>
            <w:noWrap w:val="0"/>
            <w:vAlign w:val="top"/>
          </w:tcPr>
          <w:p w14:paraId="601F7ABC">
            <w:pPr>
              <w:ind w:left="0" w:leftChars="0" w:firstLine="0" w:firstLineChars="0"/>
              <w:jc w:val="center"/>
              <w:rPr>
                <w:rFonts w:hint="eastAsia"/>
                <w:b/>
                <w:bCs/>
                <w:lang w:eastAsia="zh-CN"/>
              </w:rPr>
            </w:pPr>
            <w:r>
              <w:rPr>
                <w:rFonts w:hint="eastAsia"/>
                <w:b/>
                <w:bCs/>
                <w:lang w:eastAsia="zh-CN"/>
              </w:rPr>
              <w:t>项目</w:t>
            </w:r>
          </w:p>
        </w:tc>
        <w:tc>
          <w:tcPr>
            <w:tcW w:w="0" w:type="auto"/>
            <w:noWrap w:val="0"/>
            <w:vAlign w:val="top"/>
          </w:tcPr>
          <w:p w14:paraId="3E3D6668">
            <w:pPr>
              <w:ind w:left="0" w:leftChars="0" w:firstLine="0" w:firstLineChars="0"/>
              <w:jc w:val="center"/>
              <w:rPr>
                <w:rFonts w:hint="eastAsia"/>
                <w:b/>
                <w:bCs/>
                <w:lang w:val="zh-CN"/>
              </w:rPr>
            </w:pPr>
            <w:r>
              <w:rPr>
                <w:rFonts w:hint="eastAsia"/>
                <w:b/>
                <w:bCs/>
              </w:rPr>
              <w:t>序号</w:t>
            </w:r>
          </w:p>
        </w:tc>
        <w:tc>
          <w:tcPr>
            <w:tcW w:w="0" w:type="auto"/>
            <w:noWrap w:val="0"/>
            <w:vAlign w:val="top"/>
          </w:tcPr>
          <w:p w14:paraId="6BB51521">
            <w:pPr>
              <w:ind w:left="0" w:leftChars="0" w:firstLine="0" w:firstLineChars="0"/>
              <w:jc w:val="center"/>
              <w:rPr>
                <w:rFonts w:hint="eastAsia"/>
                <w:b/>
                <w:bCs/>
                <w:lang w:val="zh-CN"/>
              </w:rPr>
            </w:pPr>
            <w:r>
              <w:rPr>
                <w:rFonts w:hint="eastAsia"/>
                <w:b/>
                <w:bCs/>
              </w:rPr>
              <w:t>职位</w:t>
            </w:r>
          </w:p>
        </w:tc>
        <w:tc>
          <w:tcPr>
            <w:tcW w:w="0" w:type="auto"/>
            <w:noWrap w:val="0"/>
            <w:vAlign w:val="top"/>
          </w:tcPr>
          <w:p w14:paraId="159F5E40">
            <w:pPr>
              <w:ind w:left="0" w:leftChars="0" w:firstLine="0" w:firstLineChars="0"/>
              <w:jc w:val="center"/>
              <w:rPr>
                <w:rFonts w:hint="eastAsia"/>
                <w:b/>
                <w:bCs/>
              </w:rPr>
            </w:pPr>
            <w:r>
              <w:rPr>
                <w:rFonts w:hint="eastAsia"/>
                <w:b/>
                <w:bCs/>
              </w:rPr>
              <w:t>配置人数</w:t>
            </w:r>
          </w:p>
        </w:tc>
        <w:tc>
          <w:tcPr>
            <w:tcW w:w="0" w:type="auto"/>
            <w:noWrap w:val="0"/>
            <w:vAlign w:val="top"/>
          </w:tcPr>
          <w:p w14:paraId="5792D0CC">
            <w:pPr>
              <w:jc w:val="center"/>
              <w:rPr>
                <w:rFonts w:hint="eastAsia"/>
                <w:b/>
                <w:bCs/>
              </w:rPr>
            </w:pPr>
            <w:r>
              <w:rPr>
                <w:rFonts w:hint="eastAsia"/>
                <w:b/>
                <w:bCs/>
              </w:rPr>
              <w:t>工作区域</w:t>
            </w:r>
          </w:p>
        </w:tc>
      </w:tr>
      <w:tr w14:paraId="018D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restart"/>
            <w:noWrap w:val="0"/>
            <w:vAlign w:val="center"/>
          </w:tcPr>
          <w:p w14:paraId="735B1FF3">
            <w:pPr>
              <w:ind w:left="0" w:leftChars="0" w:firstLine="0" w:firstLineChars="0"/>
              <w:jc w:val="center"/>
              <w:rPr>
                <w:rFonts w:hint="eastAsia"/>
                <w:lang w:val="en-US" w:eastAsia="zh-CN"/>
              </w:rPr>
            </w:pPr>
            <w:r>
              <w:rPr>
                <w:rFonts w:hint="eastAsia"/>
                <w:lang w:val="en-US" w:eastAsia="zh-CN"/>
              </w:rPr>
              <w:t>荷</w:t>
            </w:r>
          </w:p>
          <w:p w14:paraId="1DACC0ED">
            <w:pPr>
              <w:ind w:left="0" w:leftChars="0" w:firstLine="0" w:firstLineChars="0"/>
              <w:jc w:val="center"/>
              <w:rPr>
                <w:rFonts w:hint="eastAsia"/>
                <w:lang w:val="en-US" w:eastAsia="zh-CN"/>
              </w:rPr>
            </w:pPr>
            <w:r>
              <w:rPr>
                <w:rFonts w:hint="eastAsia"/>
                <w:lang w:val="en-US" w:eastAsia="zh-CN"/>
              </w:rPr>
              <w:t>韵</w:t>
            </w:r>
          </w:p>
          <w:p w14:paraId="1815A1FC">
            <w:pPr>
              <w:ind w:left="0" w:leftChars="0" w:firstLine="0" w:firstLineChars="0"/>
              <w:jc w:val="center"/>
              <w:rPr>
                <w:rFonts w:hint="eastAsia"/>
                <w:lang w:val="en-US" w:eastAsia="zh-CN"/>
              </w:rPr>
            </w:pPr>
            <w:r>
              <w:rPr>
                <w:rFonts w:hint="eastAsia"/>
                <w:lang w:val="en-US" w:eastAsia="zh-CN"/>
              </w:rPr>
              <w:t>园</w:t>
            </w:r>
          </w:p>
          <w:p w14:paraId="2B89B02B">
            <w:pPr>
              <w:ind w:left="0" w:leftChars="0" w:firstLine="0" w:firstLineChars="0"/>
              <w:jc w:val="center"/>
              <w:rPr>
                <w:rFonts w:hint="eastAsia"/>
                <w:lang w:val="en-US" w:eastAsia="zh-CN"/>
              </w:rPr>
            </w:pPr>
            <w:r>
              <w:rPr>
                <w:rFonts w:hint="eastAsia"/>
                <w:lang w:val="en-US" w:eastAsia="zh-CN"/>
              </w:rPr>
              <w:t>人</w:t>
            </w:r>
          </w:p>
          <w:p w14:paraId="22358525">
            <w:pPr>
              <w:ind w:left="0" w:leftChars="0" w:firstLine="0" w:firstLineChars="0"/>
              <w:jc w:val="center"/>
              <w:rPr>
                <w:rFonts w:hint="eastAsia"/>
                <w:lang w:val="en-US" w:eastAsia="zh-CN"/>
              </w:rPr>
            </w:pPr>
            <w:r>
              <w:rPr>
                <w:rFonts w:hint="eastAsia"/>
                <w:lang w:val="en-US" w:eastAsia="zh-CN"/>
              </w:rPr>
              <w:t>员</w:t>
            </w:r>
          </w:p>
          <w:p w14:paraId="7F7B8C75">
            <w:pPr>
              <w:ind w:left="0" w:leftChars="0" w:firstLine="0" w:firstLineChars="0"/>
              <w:jc w:val="center"/>
              <w:rPr>
                <w:rFonts w:hint="eastAsia"/>
                <w:lang w:val="en-US" w:eastAsia="zh-CN"/>
              </w:rPr>
            </w:pPr>
            <w:r>
              <w:rPr>
                <w:rFonts w:hint="eastAsia"/>
                <w:lang w:val="en-US" w:eastAsia="zh-CN"/>
              </w:rPr>
              <w:t>配</w:t>
            </w:r>
          </w:p>
          <w:p w14:paraId="05DE590A">
            <w:pPr>
              <w:ind w:left="0" w:leftChars="0" w:firstLine="0" w:firstLineChars="0"/>
              <w:jc w:val="center"/>
              <w:rPr>
                <w:rFonts w:hint="eastAsia"/>
                <w:lang w:val="en-US" w:eastAsia="zh-CN"/>
              </w:rPr>
            </w:pPr>
            <w:r>
              <w:rPr>
                <w:rFonts w:hint="eastAsia"/>
                <w:lang w:val="en-US" w:eastAsia="zh-CN"/>
              </w:rPr>
              <w:t>备</w:t>
            </w:r>
          </w:p>
          <w:p w14:paraId="13945691">
            <w:pPr>
              <w:jc w:val="center"/>
              <w:rPr>
                <w:rFonts w:hint="eastAsia"/>
                <w:lang w:val="en-US" w:eastAsia="zh-CN"/>
              </w:rPr>
            </w:pPr>
          </w:p>
        </w:tc>
        <w:tc>
          <w:tcPr>
            <w:tcW w:w="0" w:type="auto"/>
            <w:noWrap w:val="0"/>
            <w:vAlign w:val="top"/>
          </w:tcPr>
          <w:p w14:paraId="59211156">
            <w:pPr>
              <w:ind w:left="0" w:leftChars="0" w:firstLine="0" w:firstLineChars="0"/>
              <w:jc w:val="center"/>
              <w:rPr>
                <w:rFonts w:hint="eastAsia"/>
                <w:lang w:val="en-US" w:eastAsia="zh-CN"/>
              </w:rPr>
            </w:pPr>
            <w:r>
              <w:rPr>
                <w:rFonts w:hint="eastAsia"/>
                <w:lang w:val="en-US" w:eastAsia="zh-CN"/>
              </w:rPr>
              <w:t>1</w:t>
            </w:r>
          </w:p>
        </w:tc>
        <w:tc>
          <w:tcPr>
            <w:tcW w:w="0" w:type="auto"/>
            <w:noWrap w:val="0"/>
            <w:vAlign w:val="top"/>
          </w:tcPr>
          <w:p w14:paraId="0EB6468D">
            <w:pPr>
              <w:jc w:val="both"/>
              <w:rPr>
                <w:rFonts w:hint="eastAsia"/>
                <w:lang w:val="en-US" w:eastAsia="zh-CN"/>
              </w:rPr>
            </w:pPr>
            <w:r>
              <w:rPr>
                <w:rFonts w:hint="eastAsia"/>
                <w:lang w:val="en-US" w:eastAsia="zh-CN"/>
              </w:rPr>
              <w:t xml:space="preserve">工程人员 </w:t>
            </w:r>
          </w:p>
        </w:tc>
        <w:tc>
          <w:tcPr>
            <w:tcW w:w="0" w:type="auto"/>
            <w:noWrap w:val="0"/>
            <w:vAlign w:val="top"/>
          </w:tcPr>
          <w:p w14:paraId="61B99DAD">
            <w:pPr>
              <w:jc w:val="both"/>
              <w:rPr>
                <w:rFonts w:hint="eastAsia"/>
                <w:lang w:val="en-US" w:eastAsia="zh-CN"/>
              </w:rPr>
            </w:pPr>
            <w:r>
              <w:rPr>
                <w:rFonts w:hint="eastAsia"/>
                <w:lang w:val="en-US" w:eastAsia="zh-CN"/>
              </w:rPr>
              <w:t>1</w:t>
            </w:r>
          </w:p>
        </w:tc>
        <w:tc>
          <w:tcPr>
            <w:tcW w:w="0" w:type="auto"/>
            <w:noWrap w:val="0"/>
            <w:vAlign w:val="top"/>
          </w:tcPr>
          <w:p w14:paraId="051A6981">
            <w:pPr>
              <w:ind w:left="0" w:leftChars="0" w:firstLine="0" w:firstLineChars="0"/>
              <w:jc w:val="both"/>
              <w:rPr>
                <w:rFonts w:hint="eastAsia"/>
                <w:lang w:val="en-US" w:eastAsia="zh-CN"/>
              </w:rPr>
            </w:pPr>
            <w:r>
              <w:rPr>
                <w:rFonts w:hint="eastAsia"/>
                <w:lang w:val="en-US" w:eastAsia="zh-CN"/>
              </w:rPr>
              <w:t>对小区提供工程维护</w:t>
            </w:r>
          </w:p>
        </w:tc>
      </w:tr>
      <w:tr w14:paraId="33B4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31ECBD7D">
            <w:pPr>
              <w:jc w:val="both"/>
              <w:rPr>
                <w:rFonts w:hint="eastAsia"/>
                <w:lang w:val="en-US" w:eastAsia="zh-CN"/>
              </w:rPr>
            </w:pPr>
          </w:p>
        </w:tc>
        <w:tc>
          <w:tcPr>
            <w:tcW w:w="0" w:type="auto"/>
            <w:gridSpan w:val="2"/>
            <w:noWrap w:val="0"/>
            <w:vAlign w:val="top"/>
          </w:tcPr>
          <w:p w14:paraId="1D5C8545">
            <w:pPr>
              <w:jc w:val="center"/>
              <w:rPr>
                <w:rFonts w:hint="eastAsia"/>
                <w:b/>
                <w:bCs/>
                <w:lang w:val="en-US" w:eastAsia="zh-CN"/>
              </w:rPr>
            </w:pPr>
            <w:r>
              <w:rPr>
                <w:rFonts w:hint="eastAsia"/>
                <w:b/>
                <w:bCs/>
                <w:lang w:val="en-US" w:eastAsia="zh-CN"/>
              </w:rPr>
              <w:t>小计</w:t>
            </w:r>
          </w:p>
        </w:tc>
        <w:tc>
          <w:tcPr>
            <w:tcW w:w="0" w:type="auto"/>
            <w:gridSpan w:val="2"/>
            <w:noWrap w:val="0"/>
            <w:vAlign w:val="top"/>
          </w:tcPr>
          <w:p w14:paraId="1F8C4AE9">
            <w:pPr>
              <w:jc w:val="both"/>
              <w:rPr>
                <w:rFonts w:hint="default"/>
                <w:b/>
                <w:bCs/>
                <w:lang w:val="en-US" w:eastAsia="zh-CN"/>
              </w:rPr>
            </w:pPr>
            <w:r>
              <w:rPr>
                <w:rFonts w:hint="eastAsia"/>
                <w:b/>
                <w:bCs/>
                <w:lang w:val="en-US" w:eastAsia="zh-CN"/>
              </w:rPr>
              <w:t>1人</w:t>
            </w:r>
          </w:p>
        </w:tc>
      </w:tr>
      <w:tr w14:paraId="7A14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79CA1F5A">
            <w:pPr>
              <w:jc w:val="both"/>
              <w:rPr>
                <w:rFonts w:hint="eastAsia"/>
                <w:lang w:val="en-US" w:eastAsia="zh-CN"/>
              </w:rPr>
            </w:pPr>
          </w:p>
        </w:tc>
        <w:tc>
          <w:tcPr>
            <w:tcW w:w="0" w:type="auto"/>
            <w:noWrap w:val="0"/>
            <w:vAlign w:val="top"/>
          </w:tcPr>
          <w:p w14:paraId="2EECE8DB">
            <w:pPr>
              <w:ind w:left="0" w:leftChars="0" w:firstLine="0" w:firstLineChars="0"/>
              <w:jc w:val="center"/>
              <w:rPr>
                <w:rFonts w:hint="eastAsia"/>
                <w:lang w:eastAsia="zh-CN"/>
              </w:rPr>
            </w:pPr>
            <w:r>
              <w:rPr>
                <w:rFonts w:hint="eastAsia"/>
                <w:lang w:val="en-US" w:eastAsia="zh-CN"/>
              </w:rPr>
              <w:t>1</w:t>
            </w:r>
          </w:p>
        </w:tc>
        <w:tc>
          <w:tcPr>
            <w:tcW w:w="0" w:type="auto"/>
            <w:noWrap w:val="0"/>
            <w:vAlign w:val="top"/>
          </w:tcPr>
          <w:p w14:paraId="534CE9AE">
            <w:pPr>
              <w:jc w:val="both"/>
              <w:rPr>
                <w:rFonts w:hint="eastAsia"/>
                <w:lang w:val="en-US" w:eastAsia="zh-CN"/>
              </w:rPr>
            </w:pPr>
            <w:r>
              <w:rPr>
                <w:rFonts w:hint="eastAsia"/>
                <w:lang w:val="en-US" w:eastAsia="zh-CN"/>
              </w:rPr>
              <w:t>固定岗保安</w:t>
            </w:r>
          </w:p>
        </w:tc>
        <w:tc>
          <w:tcPr>
            <w:tcW w:w="0" w:type="auto"/>
            <w:noWrap w:val="0"/>
            <w:vAlign w:val="top"/>
          </w:tcPr>
          <w:p w14:paraId="4187D63E">
            <w:pPr>
              <w:jc w:val="both"/>
              <w:rPr>
                <w:rFonts w:hint="eastAsia"/>
                <w:lang w:val="en-US" w:eastAsia="zh-CN"/>
              </w:rPr>
            </w:pPr>
            <w:r>
              <w:rPr>
                <w:rFonts w:hint="eastAsia"/>
                <w:lang w:val="en-US" w:eastAsia="zh-CN"/>
              </w:rPr>
              <w:t>2</w:t>
            </w:r>
          </w:p>
        </w:tc>
        <w:tc>
          <w:tcPr>
            <w:tcW w:w="0" w:type="auto"/>
            <w:noWrap w:val="0"/>
            <w:vAlign w:val="top"/>
          </w:tcPr>
          <w:p w14:paraId="1F3A9805">
            <w:pPr>
              <w:ind w:left="0" w:leftChars="0" w:firstLine="0" w:firstLineChars="0"/>
              <w:jc w:val="both"/>
              <w:rPr>
                <w:rFonts w:hint="eastAsia"/>
                <w:lang w:val="en-US" w:eastAsia="zh-CN"/>
              </w:rPr>
            </w:pPr>
            <w:r>
              <w:rPr>
                <w:rFonts w:hint="eastAsia"/>
              </w:rPr>
              <w:t>车辆进出</w:t>
            </w:r>
            <w:r>
              <w:rPr>
                <w:rFonts w:hint="eastAsia"/>
                <w:lang w:eastAsia="zh-CN"/>
              </w:rPr>
              <w:t>、</w:t>
            </w:r>
            <w:r>
              <w:rPr>
                <w:rFonts w:hint="eastAsia"/>
                <w:lang w:val="en-US" w:eastAsia="zh-CN"/>
              </w:rPr>
              <w:t>物品出入登记</w:t>
            </w:r>
          </w:p>
        </w:tc>
      </w:tr>
      <w:tr w14:paraId="5FBF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4CC9E728">
            <w:pPr>
              <w:jc w:val="both"/>
              <w:rPr>
                <w:rFonts w:hint="eastAsia"/>
              </w:rPr>
            </w:pPr>
          </w:p>
        </w:tc>
        <w:tc>
          <w:tcPr>
            <w:tcW w:w="0" w:type="auto"/>
            <w:noWrap w:val="0"/>
            <w:vAlign w:val="top"/>
          </w:tcPr>
          <w:p w14:paraId="74408108">
            <w:pPr>
              <w:ind w:left="0" w:leftChars="0" w:firstLine="0" w:firstLineChars="0"/>
              <w:jc w:val="center"/>
              <w:rPr>
                <w:rFonts w:hint="eastAsia"/>
                <w:lang w:eastAsia="zh-CN"/>
              </w:rPr>
            </w:pPr>
            <w:r>
              <w:rPr>
                <w:rFonts w:hint="eastAsia"/>
                <w:lang w:val="en-US" w:eastAsia="zh-CN"/>
              </w:rPr>
              <w:t>2</w:t>
            </w:r>
          </w:p>
        </w:tc>
        <w:tc>
          <w:tcPr>
            <w:tcW w:w="0" w:type="auto"/>
            <w:noWrap w:val="0"/>
            <w:vAlign w:val="top"/>
          </w:tcPr>
          <w:p w14:paraId="42FE4D09">
            <w:pPr>
              <w:jc w:val="both"/>
              <w:rPr>
                <w:rFonts w:hint="eastAsia"/>
              </w:rPr>
            </w:pPr>
            <w:r>
              <w:rPr>
                <w:rFonts w:hint="eastAsia"/>
              </w:rPr>
              <w:t>巡逻岗</w:t>
            </w:r>
          </w:p>
        </w:tc>
        <w:tc>
          <w:tcPr>
            <w:tcW w:w="0" w:type="auto"/>
            <w:noWrap w:val="0"/>
            <w:vAlign w:val="top"/>
          </w:tcPr>
          <w:p w14:paraId="4859464B">
            <w:pPr>
              <w:jc w:val="both"/>
              <w:rPr>
                <w:rFonts w:hint="eastAsia"/>
                <w:lang w:val="en-US" w:eastAsia="zh-CN"/>
              </w:rPr>
            </w:pPr>
            <w:r>
              <w:rPr>
                <w:rFonts w:hint="eastAsia"/>
                <w:lang w:val="en-US" w:eastAsia="zh-CN"/>
              </w:rPr>
              <w:t>2</w:t>
            </w:r>
          </w:p>
        </w:tc>
        <w:tc>
          <w:tcPr>
            <w:tcW w:w="0" w:type="auto"/>
            <w:noWrap w:val="0"/>
            <w:vAlign w:val="top"/>
          </w:tcPr>
          <w:p w14:paraId="09A6ABDD">
            <w:pPr>
              <w:ind w:left="0" w:leftChars="0" w:firstLine="0" w:firstLineChars="0"/>
              <w:jc w:val="both"/>
              <w:rPr>
                <w:rFonts w:hint="eastAsia"/>
                <w:lang w:eastAsia="zh-CN"/>
              </w:rPr>
            </w:pPr>
            <w:r>
              <w:rPr>
                <w:rFonts w:hint="eastAsia"/>
                <w:lang w:eastAsia="zh-CN"/>
              </w:rPr>
              <w:t>公区、楼栋</w:t>
            </w:r>
            <w:r>
              <w:rPr>
                <w:rFonts w:hint="eastAsia"/>
              </w:rPr>
              <w:t>巡逻</w:t>
            </w:r>
            <w:r>
              <w:rPr>
                <w:rFonts w:hint="eastAsia"/>
                <w:lang w:eastAsia="zh-CN"/>
              </w:rPr>
              <w:t>、轮岗、换班</w:t>
            </w:r>
          </w:p>
        </w:tc>
      </w:tr>
      <w:tr w14:paraId="7A8C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50FB999B">
            <w:pPr>
              <w:jc w:val="both"/>
              <w:rPr>
                <w:rFonts w:hint="eastAsia"/>
              </w:rPr>
            </w:pPr>
          </w:p>
        </w:tc>
        <w:tc>
          <w:tcPr>
            <w:tcW w:w="0" w:type="auto"/>
            <w:noWrap w:val="0"/>
            <w:vAlign w:val="top"/>
          </w:tcPr>
          <w:p w14:paraId="4E21CC0B">
            <w:pPr>
              <w:ind w:left="0" w:leftChars="0" w:firstLine="0" w:firstLineChars="0"/>
              <w:jc w:val="center"/>
              <w:rPr>
                <w:rFonts w:hint="eastAsia"/>
                <w:lang w:val="en-US" w:eastAsia="zh-CN"/>
              </w:rPr>
            </w:pPr>
            <w:r>
              <w:rPr>
                <w:rFonts w:hint="eastAsia"/>
                <w:lang w:val="en-US" w:eastAsia="zh-CN"/>
              </w:rPr>
              <w:t>3</w:t>
            </w:r>
          </w:p>
        </w:tc>
        <w:tc>
          <w:tcPr>
            <w:tcW w:w="0" w:type="auto"/>
            <w:noWrap w:val="0"/>
            <w:vAlign w:val="top"/>
          </w:tcPr>
          <w:p w14:paraId="68133959">
            <w:pPr>
              <w:jc w:val="both"/>
              <w:rPr>
                <w:rFonts w:hint="eastAsia"/>
                <w:lang w:val="en-US" w:eastAsia="zh-CN"/>
              </w:rPr>
            </w:pPr>
            <w:r>
              <w:rPr>
                <w:rFonts w:hint="eastAsia"/>
                <w:lang w:val="en-US" w:eastAsia="zh-CN"/>
              </w:rPr>
              <w:t>持证保安</w:t>
            </w:r>
          </w:p>
        </w:tc>
        <w:tc>
          <w:tcPr>
            <w:tcW w:w="0" w:type="auto"/>
            <w:noWrap w:val="0"/>
            <w:vAlign w:val="top"/>
          </w:tcPr>
          <w:p w14:paraId="176366DB">
            <w:pPr>
              <w:jc w:val="both"/>
              <w:rPr>
                <w:rFonts w:hint="eastAsia"/>
                <w:lang w:val="en-US" w:eastAsia="zh-CN"/>
              </w:rPr>
            </w:pPr>
            <w:r>
              <w:rPr>
                <w:rFonts w:hint="eastAsia"/>
                <w:lang w:val="en-US" w:eastAsia="zh-CN"/>
              </w:rPr>
              <w:t>2</w:t>
            </w:r>
          </w:p>
        </w:tc>
        <w:tc>
          <w:tcPr>
            <w:tcW w:w="0" w:type="auto"/>
            <w:noWrap w:val="0"/>
            <w:vAlign w:val="top"/>
          </w:tcPr>
          <w:p w14:paraId="5E072984">
            <w:pPr>
              <w:ind w:left="0" w:leftChars="0" w:firstLine="0" w:firstLineChars="0"/>
              <w:jc w:val="both"/>
              <w:rPr>
                <w:rFonts w:hint="eastAsia"/>
                <w:lang w:val="en-US" w:eastAsia="zh-CN"/>
              </w:rPr>
            </w:pPr>
            <w:r>
              <w:rPr>
                <w:rFonts w:hint="eastAsia"/>
              </w:rPr>
              <w:t>消控室</w:t>
            </w:r>
            <w:r>
              <w:rPr>
                <w:rFonts w:hint="eastAsia"/>
                <w:lang w:val="en-US" w:eastAsia="zh-CN"/>
              </w:rPr>
              <w:t>值班</w:t>
            </w:r>
          </w:p>
        </w:tc>
      </w:tr>
      <w:tr w14:paraId="64C6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3B044A99">
            <w:pPr>
              <w:jc w:val="both"/>
              <w:rPr>
                <w:rFonts w:hint="eastAsia"/>
              </w:rPr>
            </w:pPr>
          </w:p>
        </w:tc>
        <w:tc>
          <w:tcPr>
            <w:tcW w:w="0" w:type="auto"/>
            <w:noWrap w:val="0"/>
            <w:vAlign w:val="top"/>
          </w:tcPr>
          <w:p w14:paraId="0B01A8E1">
            <w:pPr>
              <w:ind w:left="0" w:leftChars="0" w:firstLine="0" w:firstLineChars="0"/>
              <w:jc w:val="center"/>
              <w:rPr>
                <w:rFonts w:hint="eastAsia"/>
                <w:lang w:val="en-US" w:eastAsia="zh-CN"/>
              </w:rPr>
            </w:pPr>
            <w:r>
              <w:rPr>
                <w:rFonts w:hint="eastAsia"/>
                <w:lang w:val="en-US" w:eastAsia="zh-CN"/>
              </w:rPr>
              <w:t>4</w:t>
            </w:r>
          </w:p>
        </w:tc>
        <w:tc>
          <w:tcPr>
            <w:tcW w:w="0" w:type="auto"/>
            <w:noWrap w:val="0"/>
            <w:vAlign w:val="top"/>
          </w:tcPr>
          <w:p w14:paraId="320932F4">
            <w:pPr>
              <w:jc w:val="both"/>
              <w:rPr>
                <w:rFonts w:hint="eastAsia"/>
                <w:lang w:val="en-US" w:eastAsia="zh-CN"/>
              </w:rPr>
            </w:pPr>
            <w:r>
              <w:rPr>
                <w:rFonts w:hint="eastAsia"/>
                <w:lang w:val="en-US" w:eastAsia="zh-CN"/>
              </w:rPr>
              <w:t>轮岗</w:t>
            </w:r>
          </w:p>
        </w:tc>
        <w:tc>
          <w:tcPr>
            <w:tcW w:w="0" w:type="auto"/>
            <w:noWrap w:val="0"/>
            <w:vAlign w:val="top"/>
          </w:tcPr>
          <w:p w14:paraId="64BAD4BB">
            <w:pPr>
              <w:jc w:val="both"/>
              <w:rPr>
                <w:rFonts w:hint="eastAsia"/>
                <w:lang w:val="en-US" w:eastAsia="zh-CN"/>
              </w:rPr>
            </w:pPr>
            <w:r>
              <w:rPr>
                <w:rFonts w:hint="eastAsia"/>
                <w:lang w:val="en-US" w:eastAsia="zh-CN"/>
              </w:rPr>
              <w:t>1</w:t>
            </w:r>
          </w:p>
        </w:tc>
        <w:tc>
          <w:tcPr>
            <w:tcW w:w="0" w:type="auto"/>
            <w:noWrap w:val="0"/>
            <w:vAlign w:val="top"/>
          </w:tcPr>
          <w:p w14:paraId="521ABC80">
            <w:pPr>
              <w:jc w:val="both"/>
              <w:rPr>
                <w:rFonts w:hint="eastAsia"/>
                <w:lang w:val="en-US" w:eastAsia="zh-CN"/>
              </w:rPr>
            </w:pPr>
          </w:p>
        </w:tc>
      </w:tr>
      <w:tr w14:paraId="057E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0" w:type="auto"/>
            <w:vMerge w:val="continue"/>
            <w:noWrap w:val="0"/>
            <w:vAlign w:val="top"/>
          </w:tcPr>
          <w:p w14:paraId="0E9A6CC9">
            <w:pPr>
              <w:jc w:val="both"/>
              <w:rPr>
                <w:rFonts w:hint="eastAsia"/>
              </w:rPr>
            </w:pPr>
          </w:p>
        </w:tc>
        <w:tc>
          <w:tcPr>
            <w:tcW w:w="0" w:type="auto"/>
            <w:gridSpan w:val="2"/>
            <w:noWrap w:val="0"/>
            <w:vAlign w:val="top"/>
          </w:tcPr>
          <w:p w14:paraId="103AEE16">
            <w:pPr>
              <w:jc w:val="both"/>
              <w:rPr>
                <w:rFonts w:hint="eastAsia"/>
                <w:b/>
                <w:bCs/>
                <w:lang w:val="zh-CN"/>
              </w:rPr>
            </w:pPr>
            <w:r>
              <w:rPr>
                <w:rFonts w:hint="eastAsia"/>
                <w:b/>
                <w:bCs/>
              </w:rPr>
              <w:t>小计</w:t>
            </w:r>
          </w:p>
        </w:tc>
        <w:tc>
          <w:tcPr>
            <w:tcW w:w="0" w:type="auto"/>
            <w:gridSpan w:val="2"/>
            <w:noWrap w:val="0"/>
            <w:vAlign w:val="top"/>
          </w:tcPr>
          <w:p w14:paraId="412FA615">
            <w:pPr>
              <w:jc w:val="both"/>
              <w:rPr>
                <w:rFonts w:hint="eastAsia"/>
                <w:b/>
                <w:bCs/>
                <w:lang w:val="en-US"/>
              </w:rPr>
            </w:pPr>
            <w:r>
              <w:rPr>
                <w:rFonts w:hint="eastAsia"/>
                <w:b/>
                <w:bCs/>
                <w:lang w:val="en-US" w:eastAsia="zh-CN"/>
              </w:rPr>
              <w:t>7人</w:t>
            </w:r>
          </w:p>
        </w:tc>
      </w:tr>
      <w:tr w14:paraId="3506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4B5DF03F">
            <w:pPr>
              <w:jc w:val="both"/>
              <w:rPr>
                <w:rFonts w:hint="eastAsia"/>
              </w:rPr>
            </w:pPr>
          </w:p>
        </w:tc>
        <w:tc>
          <w:tcPr>
            <w:tcW w:w="0" w:type="auto"/>
            <w:noWrap w:val="0"/>
            <w:vAlign w:val="top"/>
          </w:tcPr>
          <w:p w14:paraId="4D773ABF">
            <w:pPr>
              <w:ind w:left="0" w:leftChars="0" w:firstLine="0" w:firstLineChars="0"/>
              <w:jc w:val="center"/>
              <w:rPr>
                <w:rFonts w:hint="eastAsia"/>
                <w:b/>
                <w:bCs/>
              </w:rPr>
            </w:pPr>
            <w:r>
              <w:rPr>
                <w:rFonts w:hint="eastAsia"/>
                <w:b/>
                <w:bCs/>
              </w:rPr>
              <w:t>序号</w:t>
            </w:r>
          </w:p>
        </w:tc>
        <w:tc>
          <w:tcPr>
            <w:tcW w:w="0" w:type="auto"/>
            <w:noWrap w:val="0"/>
            <w:vAlign w:val="top"/>
          </w:tcPr>
          <w:p w14:paraId="112520D1">
            <w:pPr>
              <w:ind w:left="0" w:leftChars="0" w:firstLine="0" w:firstLineChars="0"/>
              <w:jc w:val="center"/>
              <w:rPr>
                <w:rFonts w:hint="eastAsia"/>
                <w:b/>
                <w:bCs/>
              </w:rPr>
            </w:pPr>
            <w:r>
              <w:rPr>
                <w:rFonts w:hint="eastAsia"/>
                <w:b/>
                <w:bCs/>
              </w:rPr>
              <w:t>职位</w:t>
            </w:r>
          </w:p>
        </w:tc>
        <w:tc>
          <w:tcPr>
            <w:tcW w:w="0" w:type="auto"/>
            <w:noWrap w:val="0"/>
            <w:vAlign w:val="top"/>
          </w:tcPr>
          <w:p w14:paraId="20A70B36">
            <w:pPr>
              <w:ind w:left="0" w:leftChars="0" w:firstLine="0" w:firstLineChars="0"/>
              <w:jc w:val="center"/>
              <w:rPr>
                <w:rFonts w:hint="eastAsia"/>
                <w:b/>
                <w:bCs/>
              </w:rPr>
            </w:pPr>
            <w:r>
              <w:rPr>
                <w:rFonts w:hint="eastAsia"/>
                <w:b/>
                <w:bCs/>
              </w:rPr>
              <w:t>配置人数</w:t>
            </w:r>
          </w:p>
        </w:tc>
        <w:tc>
          <w:tcPr>
            <w:tcW w:w="0" w:type="auto"/>
            <w:noWrap w:val="0"/>
            <w:vAlign w:val="top"/>
          </w:tcPr>
          <w:p w14:paraId="1875DE6A">
            <w:pPr>
              <w:jc w:val="center"/>
              <w:rPr>
                <w:rFonts w:hint="eastAsia"/>
                <w:b/>
                <w:bCs/>
              </w:rPr>
            </w:pPr>
            <w:r>
              <w:rPr>
                <w:rFonts w:hint="eastAsia"/>
                <w:b/>
                <w:bCs/>
              </w:rPr>
              <w:t>工作区域</w:t>
            </w:r>
          </w:p>
        </w:tc>
      </w:tr>
      <w:tr w14:paraId="35A2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0" w:type="auto"/>
            <w:vMerge w:val="continue"/>
            <w:noWrap w:val="0"/>
            <w:vAlign w:val="top"/>
          </w:tcPr>
          <w:p w14:paraId="05F396A3">
            <w:pPr>
              <w:jc w:val="both"/>
              <w:rPr>
                <w:rFonts w:hint="eastAsia"/>
              </w:rPr>
            </w:pPr>
          </w:p>
        </w:tc>
        <w:tc>
          <w:tcPr>
            <w:tcW w:w="0" w:type="auto"/>
            <w:noWrap w:val="0"/>
            <w:vAlign w:val="top"/>
          </w:tcPr>
          <w:p w14:paraId="72A8F9BA">
            <w:pPr>
              <w:ind w:left="0" w:leftChars="0" w:firstLine="0" w:firstLineChars="0"/>
              <w:jc w:val="center"/>
              <w:rPr>
                <w:rFonts w:hint="eastAsia"/>
                <w:lang w:eastAsia="zh-CN"/>
              </w:rPr>
            </w:pPr>
            <w:r>
              <w:rPr>
                <w:rFonts w:hint="eastAsia"/>
                <w:lang w:val="en-US" w:eastAsia="zh-CN"/>
              </w:rPr>
              <w:t>1</w:t>
            </w:r>
          </w:p>
        </w:tc>
        <w:tc>
          <w:tcPr>
            <w:tcW w:w="0" w:type="auto"/>
            <w:noWrap w:val="0"/>
            <w:vAlign w:val="top"/>
          </w:tcPr>
          <w:p w14:paraId="62103AC5">
            <w:pPr>
              <w:jc w:val="both"/>
              <w:rPr>
                <w:rFonts w:hint="eastAsia"/>
              </w:rPr>
            </w:pPr>
            <w:r>
              <w:rPr>
                <w:rFonts w:hint="eastAsia"/>
                <w:lang w:eastAsia="zh-CN"/>
              </w:rPr>
              <w:t>楼栋</w:t>
            </w:r>
            <w:r>
              <w:rPr>
                <w:rFonts w:hint="eastAsia"/>
              </w:rPr>
              <w:t>保洁员</w:t>
            </w:r>
          </w:p>
        </w:tc>
        <w:tc>
          <w:tcPr>
            <w:tcW w:w="0" w:type="auto"/>
            <w:noWrap w:val="0"/>
            <w:vAlign w:val="top"/>
          </w:tcPr>
          <w:p w14:paraId="2881FE45">
            <w:pPr>
              <w:jc w:val="both"/>
              <w:rPr>
                <w:rFonts w:hint="eastAsia"/>
                <w:lang w:val="en-US" w:eastAsia="zh-CN"/>
              </w:rPr>
            </w:pPr>
            <w:r>
              <w:rPr>
                <w:rFonts w:hint="eastAsia"/>
                <w:lang w:val="en-US" w:eastAsia="zh-CN"/>
              </w:rPr>
              <w:t>4</w:t>
            </w:r>
          </w:p>
        </w:tc>
        <w:tc>
          <w:tcPr>
            <w:tcW w:w="0" w:type="auto"/>
            <w:noWrap w:val="0"/>
            <w:vAlign w:val="top"/>
          </w:tcPr>
          <w:p w14:paraId="0FAAFD70">
            <w:pPr>
              <w:ind w:left="0" w:leftChars="0" w:firstLine="0" w:firstLineChars="0"/>
              <w:jc w:val="both"/>
              <w:rPr>
                <w:rFonts w:hint="eastAsia"/>
                <w:lang w:val="en-US" w:eastAsia="zh-CN"/>
              </w:rPr>
            </w:pPr>
            <w:r>
              <w:rPr>
                <w:rFonts w:hint="eastAsia"/>
                <w:lang w:eastAsia="zh-CN"/>
              </w:rPr>
              <w:t>负责楼栋保洁</w:t>
            </w:r>
          </w:p>
        </w:tc>
      </w:tr>
      <w:tr w14:paraId="3EC5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0" w:type="auto"/>
            <w:vMerge w:val="continue"/>
            <w:noWrap w:val="0"/>
            <w:vAlign w:val="top"/>
          </w:tcPr>
          <w:p w14:paraId="34ED2269">
            <w:pPr>
              <w:jc w:val="both"/>
              <w:rPr>
                <w:rFonts w:hint="eastAsia"/>
                <w:lang w:val="en-US" w:eastAsia="zh-CN"/>
              </w:rPr>
            </w:pPr>
          </w:p>
        </w:tc>
        <w:tc>
          <w:tcPr>
            <w:tcW w:w="0" w:type="auto"/>
            <w:noWrap w:val="0"/>
            <w:vAlign w:val="top"/>
          </w:tcPr>
          <w:p w14:paraId="0058ECEF">
            <w:pPr>
              <w:ind w:left="0" w:leftChars="0" w:firstLine="0" w:firstLineChars="0"/>
              <w:jc w:val="center"/>
              <w:rPr>
                <w:rFonts w:hint="eastAsia"/>
                <w:lang w:val="en-US" w:eastAsia="zh-CN"/>
              </w:rPr>
            </w:pPr>
            <w:r>
              <w:rPr>
                <w:rFonts w:hint="eastAsia"/>
                <w:lang w:val="en-US" w:eastAsia="zh-CN"/>
              </w:rPr>
              <w:t>2</w:t>
            </w:r>
          </w:p>
        </w:tc>
        <w:tc>
          <w:tcPr>
            <w:tcW w:w="0" w:type="auto"/>
            <w:noWrap w:val="0"/>
            <w:vAlign w:val="top"/>
          </w:tcPr>
          <w:p w14:paraId="6ADF8A55">
            <w:pPr>
              <w:ind w:left="0" w:leftChars="0" w:firstLine="0" w:firstLineChars="0"/>
              <w:jc w:val="both"/>
              <w:rPr>
                <w:rFonts w:hint="eastAsia"/>
                <w:lang w:val="en-US" w:eastAsia="zh-CN"/>
              </w:rPr>
            </w:pPr>
            <w:r>
              <w:rPr>
                <w:rFonts w:hint="eastAsia"/>
                <w:lang w:eastAsia="zh-CN"/>
              </w:rPr>
              <w:t>公区</w:t>
            </w:r>
            <w:r>
              <w:rPr>
                <w:rFonts w:hint="eastAsia"/>
                <w:lang w:val="en-US" w:eastAsia="zh-CN"/>
              </w:rPr>
              <w:t>/商业</w:t>
            </w:r>
            <w:r>
              <w:rPr>
                <w:rFonts w:hint="eastAsia"/>
                <w:lang w:eastAsia="zh-CN"/>
              </w:rPr>
              <w:t>保洁员</w:t>
            </w:r>
          </w:p>
        </w:tc>
        <w:tc>
          <w:tcPr>
            <w:tcW w:w="0" w:type="auto"/>
            <w:noWrap w:val="0"/>
            <w:vAlign w:val="top"/>
          </w:tcPr>
          <w:p w14:paraId="2D166F50">
            <w:pPr>
              <w:jc w:val="both"/>
              <w:rPr>
                <w:rFonts w:hint="eastAsia"/>
                <w:lang w:val="en-US" w:eastAsia="zh-CN"/>
              </w:rPr>
            </w:pPr>
            <w:r>
              <w:rPr>
                <w:rFonts w:hint="eastAsia"/>
                <w:lang w:val="en-US" w:eastAsia="zh-CN"/>
              </w:rPr>
              <w:t>1</w:t>
            </w:r>
          </w:p>
        </w:tc>
        <w:tc>
          <w:tcPr>
            <w:tcW w:w="0" w:type="auto"/>
            <w:noWrap w:val="0"/>
            <w:vAlign w:val="top"/>
          </w:tcPr>
          <w:p w14:paraId="3169AF33">
            <w:pPr>
              <w:ind w:left="0" w:leftChars="0" w:firstLine="0" w:firstLineChars="0"/>
              <w:jc w:val="both"/>
              <w:rPr>
                <w:rFonts w:hint="eastAsia"/>
                <w:lang w:val="en-US" w:eastAsia="zh-CN"/>
              </w:rPr>
            </w:pPr>
            <w:r>
              <w:rPr>
                <w:rFonts w:hint="eastAsia"/>
                <w:lang w:eastAsia="zh-CN"/>
              </w:rPr>
              <w:t>小区公共区域</w:t>
            </w:r>
            <w:r>
              <w:rPr>
                <w:rFonts w:hint="eastAsia"/>
                <w:lang w:val="en-US" w:eastAsia="zh-CN"/>
              </w:rPr>
              <w:t>及外围数字化处理</w:t>
            </w:r>
          </w:p>
        </w:tc>
      </w:tr>
      <w:tr w14:paraId="0012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0" w:type="auto"/>
            <w:vMerge w:val="continue"/>
            <w:noWrap w:val="0"/>
            <w:vAlign w:val="top"/>
          </w:tcPr>
          <w:p w14:paraId="5E220BFF">
            <w:pPr>
              <w:jc w:val="both"/>
              <w:rPr>
                <w:rFonts w:hint="eastAsia"/>
                <w:lang w:val="en-US" w:eastAsia="zh-CN"/>
              </w:rPr>
            </w:pPr>
          </w:p>
        </w:tc>
        <w:tc>
          <w:tcPr>
            <w:tcW w:w="0" w:type="auto"/>
            <w:noWrap w:val="0"/>
            <w:vAlign w:val="top"/>
          </w:tcPr>
          <w:p w14:paraId="7B0C3528">
            <w:pPr>
              <w:ind w:left="0" w:leftChars="0" w:firstLine="0" w:firstLineChars="0"/>
              <w:jc w:val="center"/>
              <w:rPr>
                <w:rFonts w:hint="eastAsia"/>
                <w:lang w:val="en-US" w:eastAsia="zh-CN"/>
              </w:rPr>
            </w:pPr>
            <w:r>
              <w:rPr>
                <w:rFonts w:hint="eastAsia"/>
                <w:lang w:val="en-US" w:eastAsia="zh-CN"/>
              </w:rPr>
              <w:t>3</w:t>
            </w:r>
          </w:p>
        </w:tc>
        <w:tc>
          <w:tcPr>
            <w:tcW w:w="0" w:type="auto"/>
            <w:noWrap w:val="0"/>
            <w:vAlign w:val="top"/>
          </w:tcPr>
          <w:p w14:paraId="7EA774B6">
            <w:pPr>
              <w:jc w:val="both"/>
              <w:rPr>
                <w:rFonts w:hint="eastAsia"/>
                <w:lang w:val="en-US" w:eastAsia="zh-CN"/>
              </w:rPr>
            </w:pPr>
            <w:r>
              <w:rPr>
                <w:rFonts w:hint="eastAsia"/>
                <w:lang w:val="en-US" w:eastAsia="zh-CN"/>
              </w:rPr>
              <w:t>垃圾清运</w:t>
            </w:r>
          </w:p>
        </w:tc>
        <w:tc>
          <w:tcPr>
            <w:tcW w:w="0" w:type="auto"/>
            <w:noWrap w:val="0"/>
            <w:vAlign w:val="top"/>
          </w:tcPr>
          <w:p w14:paraId="4709B1E9">
            <w:pPr>
              <w:jc w:val="both"/>
              <w:rPr>
                <w:rFonts w:hint="eastAsia"/>
                <w:lang w:val="en-US" w:eastAsia="zh-CN"/>
              </w:rPr>
            </w:pPr>
            <w:r>
              <w:rPr>
                <w:rFonts w:hint="eastAsia"/>
                <w:lang w:val="en-US" w:eastAsia="zh-CN"/>
              </w:rPr>
              <w:t>1</w:t>
            </w:r>
          </w:p>
        </w:tc>
        <w:tc>
          <w:tcPr>
            <w:tcW w:w="0" w:type="auto"/>
            <w:noWrap w:val="0"/>
            <w:vAlign w:val="top"/>
          </w:tcPr>
          <w:p w14:paraId="544CAFA2">
            <w:pPr>
              <w:ind w:left="0" w:leftChars="0" w:firstLine="0" w:firstLineChars="0"/>
              <w:jc w:val="both"/>
              <w:rPr>
                <w:rFonts w:hint="eastAsia"/>
                <w:lang w:val="en-US" w:eastAsia="zh-CN"/>
              </w:rPr>
            </w:pPr>
            <w:r>
              <w:rPr>
                <w:rFonts w:hint="eastAsia"/>
                <w:lang w:val="en-US" w:eastAsia="zh-CN"/>
              </w:rPr>
              <w:t>垃圾分类清运</w:t>
            </w:r>
          </w:p>
        </w:tc>
      </w:tr>
      <w:tr w14:paraId="61A0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0" w:type="auto"/>
            <w:vMerge w:val="continue"/>
            <w:noWrap w:val="0"/>
            <w:vAlign w:val="top"/>
          </w:tcPr>
          <w:p w14:paraId="687CA275">
            <w:pPr>
              <w:jc w:val="both"/>
              <w:rPr>
                <w:rFonts w:hint="eastAsia"/>
              </w:rPr>
            </w:pPr>
          </w:p>
        </w:tc>
        <w:tc>
          <w:tcPr>
            <w:tcW w:w="0" w:type="auto"/>
            <w:gridSpan w:val="2"/>
            <w:noWrap w:val="0"/>
            <w:vAlign w:val="top"/>
          </w:tcPr>
          <w:p w14:paraId="4B8FC9FB">
            <w:pPr>
              <w:jc w:val="both"/>
              <w:rPr>
                <w:rFonts w:hint="eastAsia"/>
                <w:b/>
                <w:bCs/>
              </w:rPr>
            </w:pPr>
            <w:r>
              <w:rPr>
                <w:rFonts w:hint="eastAsia"/>
                <w:b/>
                <w:bCs/>
              </w:rPr>
              <w:t>小计</w:t>
            </w:r>
          </w:p>
        </w:tc>
        <w:tc>
          <w:tcPr>
            <w:tcW w:w="0" w:type="auto"/>
            <w:gridSpan w:val="2"/>
            <w:noWrap w:val="0"/>
            <w:vAlign w:val="top"/>
          </w:tcPr>
          <w:p w14:paraId="7FB6C45D">
            <w:pPr>
              <w:jc w:val="both"/>
              <w:rPr>
                <w:rFonts w:hint="eastAsia"/>
                <w:b/>
                <w:bCs/>
                <w:lang w:val="en-US"/>
              </w:rPr>
            </w:pPr>
            <w:r>
              <w:rPr>
                <w:rFonts w:hint="eastAsia"/>
                <w:b/>
                <w:bCs/>
                <w:lang w:val="en-US" w:eastAsia="zh-CN"/>
              </w:rPr>
              <w:t>6人</w:t>
            </w:r>
          </w:p>
        </w:tc>
      </w:tr>
      <w:tr w14:paraId="191F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0" w:type="auto"/>
            <w:gridSpan w:val="3"/>
            <w:noWrap w:val="0"/>
            <w:vAlign w:val="top"/>
          </w:tcPr>
          <w:p w14:paraId="55FF1D6B">
            <w:pPr>
              <w:ind w:firstLine="843" w:firstLineChars="400"/>
              <w:jc w:val="both"/>
              <w:rPr>
                <w:rFonts w:hint="eastAsia"/>
                <w:b/>
                <w:bCs/>
                <w:lang w:val="en-US" w:eastAsia="zh-CN"/>
              </w:rPr>
            </w:pPr>
            <w:r>
              <w:rPr>
                <w:rFonts w:hint="eastAsia"/>
                <w:b/>
                <w:bCs/>
                <w:lang w:val="en-US" w:eastAsia="zh-CN"/>
              </w:rPr>
              <w:t>荷韵园</w:t>
            </w:r>
            <w:r>
              <w:rPr>
                <w:rFonts w:hint="eastAsia"/>
                <w:b/>
                <w:bCs/>
                <w:lang w:eastAsia="zh-CN"/>
              </w:rPr>
              <w:t>合计</w:t>
            </w:r>
            <w:r>
              <w:rPr>
                <w:rFonts w:hint="eastAsia"/>
                <w:b/>
                <w:bCs/>
                <w:lang w:val="en-US" w:eastAsia="zh-CN"/>
              </w:rPr>
              <w:t>人数</w:t>
            </w:r>
          </w:p>
        </w:tc>
        <w:tc>
          <w:tcPr>
            <w:tcW w:w="0" w:type="auto"/>
            <w:gridSpan w:val="2"/>
            <w:noWrap w:val="0"/>
            <w:vAlign w:val="top"/>
          </w:tcPr>
          <w:p w14:paraId="6CC60C40">
            <w:pPr>
              <w:jc w:val="both"/>
              <w:rPr>
                <w:rFonts w:hint="eastAsia"/>
                <w:b/>
                <w:bCs/>
                <w:lang w:val="en-US" w:eastAsia="zh-CN"/>
              </w:rPr>
            </w:pPr>
            <w:r>
              <w:rPr>
                <w:rFonts w:hint="eastAsia"/>
                <w:b/>
                <w:bCs/>
                <w:lang w:val="en-US" w:eastAsia="zh-CN"/>
              </w:rPr>
              <w:t>14人</w:t>
            </w:r>
          </w:p>
        </w:tc>
      </w:tr>
      <w:tr w14:paraId="094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0" w:type="auto"/>
            <w:noWrap w:val="0"/>
            <w:vAlign w:val="top"/>
          </w:tcPr>
          <w:p w14:paraId="7C2F520F">
            <w:pPr>
              <w:ind w:left="0" w:leftChars="0" w:firstLine="0" w:firstLineChars="0"/>
              <w:jc w:val="center"/>
              <w:rPr>
                <w:rFonts w:hint="eastAsia"/>
                <w:b/>
                <w:bCs/>
                <w:lang w:eastAsia="zh-CN"/>
              </w:rPr>
            </w:pPr>
            <w:r>
              <w:rPr>
                <w:rFonts w:hint="eastAsia"/>
                <w:b/>
                <w:bCs/>
                <w:lang w:eastAsia="zh-CN"/>
              </w:rPr>
              <w:t>项目</w:t>
            </w:r>
          </w:p>
        </w:tc>
        <w:tc>
          <w:tcPr>
            <w:tcW w:w="0" w:type="auto"/>
            <w:noWrap w:val="0"/>
            <w:vAlign w:val="top"/>
          </w:tcPr>
          <w:p w14:paraId="5A618837">
            <w:pPr>
              <w:ind w:left="0" w:leftChars="0" w:firstLine="0" w:firstLineChars="0"/>
              <w:jc w:val="center"/>
              <w:rPr>
                <w:rFonts w:hint="eastAsia"/>
                <w:b/>
                <w:bCs/>
                <w:lang w:val="zh-CN"/>
              </w:rPr>
            </w:pPr>
            <w:r>
              <w:rPr>
                <w:rFonts w:hint="eastAsia"/>
                <w:b/>
                <w:bCs/>
              </w:rPr>
              <w:t>序号</w:t>
            </w:r>
          </w:p>
        </w:tc>
        <w:tc>
          <w:tcPr>
            <w:tcW w:w="0" w:type="auto"/>
            <w:noWrap w:val="0"/>
            <w:vAlign w:val="top"/>
          </w:tcPr>
          <w:p w14:paraId="50F2DD70">
            <w:pPr>
              <w:ind w:left="0" w:leftChars="0" w:firstLine="0" w:firstLineChars="0"/>
              <w:jc w:val="center"/>
              <w:rPr>
                <w:rFonts w:hint="eastAsia"/>
                <w:b/>
                <w:bCs/>
                <w:lang w:val="zh-CN"/>
              </w:rPr>
            </w:pPr>
            <w:r>
              <w:rPr>
                <w:rFonts w:hint="eastAsia"/>
                <w:b/>
                <w:bCs/>
              </w:rPr>
              <w:t>职位</w:t>
            </w:r>
          </w:p>
        </w:tc>
        <w:tc>
          <w:tcPr>
            <w:tcW w:w="0" w:type="auto"/>
            <w:noWrap w:val="0"/>
            <w:vAlign w:val="top"/>
          </w:tcPr>
          <w:p w14:paraId="72D5D98C">
            <w:pPr>
              <w:ind w:left="0" w:leftChars="0" w:firstLine="0" w:firstLineChars="0"/>
              <w:jc w:val="center"/>
              <w:rPr>
                <w:rFonts w:hint="eastAsia"/>
                <w:b/>
                <w:bCs/>
              </w:rPr>
            </w:pPr>
            <w:r>
              <w:rPr>
                <w:rFonts w:hint="eastAsia"/>
                <w:b/>
                <w:bCs/>
              </w:rPr>
              <w:t>配置人数</w:t>
            </w:r>
          </w:p>
        </w:tc>
        <w:tc>
          <w:tcPr>
            <w:tcW w:w="0" w:type="auto"/>
            <w:noWrap w:val="0"/>
            <w:vAlign w:val="top"/>
          </w:tcPr>
          <w:p w14:paraId="73F4A464">
            <w:pPr>
              <w:jc w:val="center"/>
              <w:rPr>
                <w:rFonts w:hint="eastAsia"/>
                <w:b/>
                <w:bCs/>
              </w:rPr>
            </w:pPr>
            <w:r>
              <w:rPr>
                <w:rFonts w:hint="eastAsia"/>
                <w:b/>
                <w:bCs/>
              </w:rPr>
              <w:t>工作区域</w:t>
            </w:r>
          </w:p>
        </w:tc>
      </w:tr>
      <w:tr w14:paraId="5A6E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restart"/>
            <w:noWrap w:val="0"/>
            <w:vAlign w:val="top"/>
          </w:tcPr>
          <w:p w14:paraId="5E61F78E">
            <w:pPr>
              <w:ind w:left="0" w:leftChars="0" w:firstLine="0" w:firstLineChars="0"/>
              <w:jc w:val="both"/>
              <w:rPr>
                <w:rFonts w:hint="eastAsia"/>
                <w:lang w:val="en-US" w:eastAsia="zh-CN"/>
              </w:rPr>
            </w:pPr>
          </w:p>
          <w:p w14:paraId="709D1EC0">
            <w:pPr>
              <w:ind w:left="0" w:leftChars="0" w:firstLine="0" w:firstLineChars="0"/>
              <w:jc w:val="center"/>
              <w:rPr>
                <w:rFonts w:hint="eastAsia"/>
                <w:lang w:val="en-US" w:eastAsia="zh-CN"/>
              </w:rPr>
            </w:pPr>
            <w:r>
              <w:rPr>
                <w:rFonts w:hint="eastAsia"/>
                <w:lang w:val="en-US" w:eastAsia="zh-CN"/>
              </w:rPr>
              <w:t>福</w:t>
            </w:r>
          </w:p>
          <w:p w14:paraId="51DAE963">
            <w:pPr>
              <w:ind w:left="0" w:leftChars="0" w:firstLine="0" w:firstLineChars="0"/>
              <w:jc w:val="center"/>
              <w:rPr>
                <w:rFonts w:hint="eastAsia"/>
                <w:lang w:val="en-US" w:eastAsia="zh-CN"/>
              </w:rPr>
            </w:pPr>
            <w:r>
              <w:rPr>
                <w:rFonts w:hint="eastAsia"/>
                <w:lang w:val="en-US" w:eastAsia="zh-CN"/>
              </w:rPr>
              <w:t>港</w:t>
            </w:r>
          </w:p>
          <w:p w14:paraId="1EF8E33A">
            <w:pPr>
              <w:ind w:left="0" w:leftChars="0" w:firstLine="0" w:firstLineChars="0"/>
              <w:jc w:val="center"/>
              <w:rPr>
                <w:rFonts w:hint="eastAsia"/>
                <w:lang w:val="en-US" w:eastAsia="zh-CN"/>
              </w:rPr>
            </w:pPr>
            <w:r>
              <w:rPr>
                <w:rFonts w:hint="eastAsia"/>
                <w:lang w:val="en-US" w:eastAsia="zh-CN"/>
              </w:rPr>
              <w:t>苑</w:t>
            </w:r>
          </w:p>
          <w:p w14:paraId="1ECF38D3">
            <w:pPr>
              <w:ind w:left="0" w:leftChars="0" w:firstLine="0" w:firstLineChars="0"/>
              <w:jc w:val="center"/>
              <w:rPr>
                <w:rFonts w:hint="eastAsia"/>
                <w:lang w:val="en-US" w:eastAsia="zh-CN"/>
              </w:rPr>
            </w:pPr>
            <w:r>
              <w:rPr>
                <w:rFonts w:hint="eastAsia"/>
                <w:lang w:val="en-US" w:eastAsia="zh-CN"/>
              </w:rPr>
              <w:t>人</w:t>
            </w:r>
          </w:p>
          <w:p w14:paraId="0944CF37">
            <w:pPr>
              <w:ind w:left="0" w:leftChars="0" w:firstLine="0" w:firstLineChars="0"/>
              <w:jc w:val="center"/>
              <w:rPr>
                <w:rFonts w:hint="eastAsia"/>
                <w:lang w:val="en-US" w:eastAsia="zh-CN"/>
              </w:rPr>
            </w:pPr>
            <w:r>
              <w:rPr>
                <w:rFonts w:hint="eastAsia"/>
                <w:lang w:val="en-US" w:eastAsia="zh-CN"/>
              </w:rPr>
              <w:t>员</w:t>
            </w:r>
          </w:p>
          <w:p w14:paraId="74B02107">
            <w:pPr>
              <w:ind w:left="0" w:leftChars="0" w:firstLine="0" w:firstLineChars="0"/>
              <w:jc w:val="center"/>
              <w:rPr>
                <w:rFonts w:hint="eastAsia"/>
                <w:lang w:val="en-US" w:eastAsia="zh-CN"/>
              </w:rPr>
            </w:pPr>
            <w:r>
              <w:rPr>
                <w:rFonts w:hint="eastAsia"/>
                <w:lang w:val="en-US" w:eastAsia="zh-CN"/>
              </w:rPr>
              <w:t>配</w:t>
            </w:r>
          </w:p>
          <w:p w14:paraId="38F573EB">
            <w:pPr>
              <w:ind w:left="0" w:leftChars="0" w:firstLine="0" w:firstLineChars="0"/>
              <w:jc w:val="center"/>
              <w:rPr>
                <w:rFonts w:hint="eastAsia"/>
                <w:lang w:val="en-US" w:eastAsia="zh-CN"/>
              </w:rPr>
            </w:pPr>
            <w:r>
              <w:rPr>
                <w:rFonts w:hint="eastAsia"/>
                <w:lang w:val="en-US" w:eastAsia="zh-CN"/>
              </w:rPr>
              <w:t>备</w:t>
            </w:r>
          </w:p>
          <w:p w14:paraId="3CD10295">
            <w:pPr>
              <w:jc w:val="both"/>
              <w:rPr>
                <w:rFonts w:hint="eastAsia"/>
                <w:lang w:val="en-US" w:eastAsia="zh-CN"/>
              </w:rPr>
            </w:pPr>
          </w:p>
        </w:tc>
        <w:tc>
          <w:tcPr>
            <w:tcW w:w="0" w:type="auto"/>
            <w:noWrap w:val="0"/>
            <w:vAlign w:val="top"/>
          </w:tcPr>
          <w:p w14:paraId="290C073C">
            <w:pPr>
              <w:ind w:left="0" w:leftChars="0" w:firstLine="0" w:firstLineChars="0"/>
              <w:jc w:val="center"/>
              <w:rPr>
                <w:rFonts w:hint="eastAsia"/>
                <w:lang w:val="en-US" w:eastAsia="zh-CN"/>
              </w:rPr>
            </w:pPr>
            <w:r>
              <w:rPr>
                <w:rFonts w:hint="eastAsia"/>
                <w:lang w:val="en-US" w:eastAsia="zh-CN"/>
              </w:rPr>
              <w:t>1</w:t>
            </w:r>
          </w:p>
        </w:tc>
        <w:tc>
          <w:tcPr>
            <w:tcW w:w="0" w:type="auto"/>
            <w:shd w:val="clear" w:color="auto" w:fill="auto"/>
            <w:noWrap w:val="0"/>
            <w:vAlign w:val="top"/>
          </w:tcPr>
          <w:p w14:paraId="3FBC3DC9">
            <w:pPr>
              <w:jc w:val="both"/>
              <w:rPr>
                <w:rFonts w:hint="eastAsia"/>
                <w:lang w:val="en-US" w:eastAsia="zh-CN"/>
              </w:rPr>
            </w:pPr>
            <w:r>
              <w:rPr>
                <w:rFonts w:hint="eastAsia"/>
                <w:lang w:val="en-US" w:eastAsia="zh-CN"/>
              </w:rPr>
              <w:t xml:space="preserve">工程人员 </w:t>
            </w:r>
          </w:p>
        </w:tc>
        <w:tc>
          <w:tcPr>
            <w:tcW w:w="0" w:type="auto"/>
            <w:shd w:val="clear" w:color="auto" w:fill="auto"/>
            <w:noWrap w:val="0"/>
            <w:vAlign w:val="top"/>
          </w:tcPr>
          <w:p w14:paraId="282701A7">
            <w:pPr>
              <w:jc w:val="both"/>
              <w:rPr>
                <w:rFonts w:hint="eastAsia"/>
                <w:lang w:val="en-US" w:eastAsia="zh-CN"/>
              </w:rPr>
            </w:pPr>
            <w:r>
              <w:rPr>
                <w:rFonts w:hint="eastAsia"/>
                <w:lang w:val="en-US" w:eastAsia="zh-CN"/>
              </w:rPr>
              <w:t>1</w:t>
            </w:r>
          </w:p>
        </w:tc>
        <w:tc>
          <w:tcPr>
            <w:tcW w:w="0" w:type="auto"/>
            <w:shd w:val="clear" w:color="auto" w:fill="auto"/>
            <w:noWrap w:val="0"/>
            <w:vAlign w:val="top"/>
          </w:tcPr>
          <w:p w14:paraId="371E34D7">
            <w:pPr>
              <w:ind w:left="0" w:leftChars="0" w:firstLine="0" w:firstLineChars="0"/>
              <w:jc w:val="both"/>
              <w:rPr>
                <w:rFonts w:hint="eastAsia"/>
                <w:lang w:val="en-US" w:eastAsia="zh-CN"/>
              </w:rPr>
            </w:pPr>
            <w:r>
              <w:rPr>
                <w:rFonts w:hint="eastAsia"/>
                <w:lang w:val="en-US" w:eastAsia="zh-CN"/>
              </w:rPr>
              <w:t>对小区提供工程维护</w:t>
            </w:r>
          </w:p>
        </w:tc>
      </w:tr>
      <w:tr w14:paraId="10F7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380F216C">
            <w:pPr>
              <w:jc w:val="both"/>
              <w:rPr>
                <w:rFonts w:hint="eastAsia"/>
                <w:lang w:val="en-US" w:eastAsia="zh-CN"/>
              </w:rPr>
            </w:pPr>
          </w:p>
        </w:tc>
        <w:tc>
          <w:tcPr>
            <w:tcW w:w="0" w:type="auto"/>
            <w:gridSpan w:val="2"/>
            <w:shd w:val="clear" w:color="auto" w:fill="auto"/>
            <w:noWrap w:val="0"/>
            <w:vAlign w:val="top"/>
          </w:tcPr>
          <w:p w14:paraId="5C091C75">
            <w:pPr>
              <w:jc w:val="center"/>
              <w:rPr>
                <w:rFonts w:hint="eastAsia"/>
                <w:b/>
                <w:bCs/>
                <w:lang w:val="en-US" w:eastAsia="zh-CN"/>
              </w:rPr>
            </w:pPr>
            <w:r>
              <w:rPr>
                <w:rFonts w:hint="eastAsia"/>
                <w:b/>
                <w:bCs/>
                <w:lang w:val="en-US" w:eastAsia="zh-CN"/>
              </w:rPr>
              <w:t>小计</w:t>
            </w:r>
          </w:p>
        </w:tc>
        <w:tc>
          <w:tcPr>
            <w:tcW w:w="0" w:type="auto"/>
            <w:gridSpan w:val="2"/>
            <w:shd w:val="clear" w:color="auto" w:fill="auto"/>
            <w:noWrap w:val="0"/>
            <w:vAlign w:val="top"/>
          </w:tcPr>
          <w:p w14:paraId="6CF79D42">
            <w:pPr>
              <w:jc w:val="both"/>
              <w:rPr>
                <w:rFonts w:hint="default"/>
                <w:b/>
                <w:bCs/>
                <w:lang w:val="en-US" w:eastAsia="zh-CN"/>
              </w:rPr>
            </w:pPr>
            <w:r>
              <w:rPr>
                <w:rFonts w:hint="eastAsia"/>
                <w:b/>
                <w:bCs/>
                <w:lang w:val="en-US" w:eastAsia="zh-CN"/>
              </w:rPr>
              <w:t>1人</w:t>
            </w:r>
          </w:p>
        </w:tc>
      </w:tr>
      <w:tr w14:paraId="2B7A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7F909EB7">
            <w:pPr>
              <w:jc w:val="both"/>
              <w:rPr>
                <w:rFonts w:hint="eastAsia"/>
                <w:lang w:val="en-US" w:eastAsia="zh-CN"/>
              </w:rPr>
            </w:pPr>
          </w:p>
        </w:tc>
        <w:tc>
          <w:tcPr>
            <w:tcW w:w="0" w:type="auto"/>
            <w:noWrap w:val="0"/>
            <w:vAlign w:val="top"/>
          </w:tcPr>
          <w:p w14:paraId="1520DF28">
            <w:pPr>
              <w:ind w:left="0" w:leftChars="0" w:firstLine="0" w:firstLineChars="0"/>
              <w:jc w:val="center"/>
              <w:rPr>
                <w:rFonts w:hint="eastAsia"/>
                <w:lang w:eastAsia="zh-CN"/>
              </w:rPr>
            </w:pPr>
            <w:r>
              <w:rPr>
                <w:rFonts w:hint="eastAsia"/>
                <w:lang w:val="en-US" w:eastAsia="zh-CN"/>
              </w:rPr>
              <w:t>1</w:t>
            </w:r>
          </w:p>
        </w:tc>
        <w:tc>
          <w:tcPr>
            <w:tcW w:w="0" w:type="auto"/>
            <w:noWrap w:val="0"/>
            <w:vAlign w:val="top"/>
          </w:tcPr>
          <w:p w14:paraId="221D594A">
            <w:pPr>
              <w:jc w:val="both"/>
              <w:rPr>
                <w:rFonts w:hint="eastAsia"/>
                <w:lang w:val="en-US" w:eastAsia="zh-CN"/>
              </w:rPr>
            </w:pPr>
            <w:r>
              <w:rPr>
                <w:rFonts w:hint="eastAsia"/>
              </w:rPr>
              <w:t>岗亭</w:t>
            </w:r>
            <w:r>
              <w:rPr>
                <w:rFonts w:hint="eastAsia"/>
                <w:lang w:val="en-US" w:eastAsia="zh-CN"/>
              </w:rPr>
              <w:t>/巡逻</w:t>
            </w:r>
          </w:p>
        </w:tc>
        <w:tc>
          <w:tcPr>
            <w:tcW w:w="0" w:type="auto"/>
            <w:noWrap w:val="0"/>
            <w:vAlign w:val="top"/>
          </w:tcPr>
          <w:p w14:paraId="44529F9D">
            <w:pPr>
              <w:jc w:val="both"/>
              <w:rPr>
                <w:rFonts w:hint="eastAsia"/>
                <w:lang w:val="en-US" w:eastAsia="zh-CN"/>
              </w:rPr>
            </w:pPr>
            <w:r>
              <w:rPr>
                <w:rFonts w:hint="eastAsia"/>
                <w:lang w:val="en-US" w:eastAsia="zh-CN"/>
              </w:rPr>
              <w:t>2</w:t>
            </w:r>
          </w:p>
        </w:tc>
        <w:tc>
          <w:tcPr>
            <w:tcW w:w="0" w:type="auto"/>
            <w:noWrap w:val="0"/>
            <w:vAlign w:val="top"/>
          </w:tcPr>
          <w:p w14:paraId="2AD87511">
            <w:pPr>
              <w:ind w:left="0" w:leftChars="0" w:firstLine="0" w:firstLineChars="0"/>
              <w:jc w:val="both"/>
              <w:rPr>
                <w:rFonts w:hint="eastAsia"/>
                <w:lang w:val="en-US" w:eastAsia="zh-CN"/>
              </w:rPr>
            </w:pPr>
            <w:r>
              <w:rPr>
                <w:rFonts w:hint="eastAsia"/>
              </w:rPr>
              <w:t>车辆进出</w:t>
            </w:r>
            <w:r>
              <w:rPr>
                <w:rFonts w:hint="eastAsia"/>
                <w:lang w:eastAsia="zh-CN"/>
              </w:rPr>
              <w:t>、</w:t>
            </w:r>
            <w:r>
              <w:rPr>
                <w:rFonts w:hint="eastAsia"/>
                <w:lang w:val="en-US" w:eastAsia="zh-CN"/>
              </w:rPr>
              <w:t>物品出入登记</w:t>
            </w:r>
            <w:r>
              <w:rPr>
                <w:rFonts w:hint="eastAsia"/>
              </w:rPr>
              <w:t>闸</w:t>
            </w:r>
            <w:r>
              <w:rPr>
                <w:rFonts w:hint="eastAsia"/>
                <w:lang w:eastAsia="zh-CN"/>
              </w:rPr>
              <w:t>，</w:t>
            </w:r>
            <w:r>
              <w:rPr>
                <w:rFonts w:hint="eastAsia"/>
                <w:lang w:val="en-US" w:eastAsia="zh-CN"/>
              </w:rPr>
              <w:t>园区巡逻</w:t>
            </w:r>
          </w:p>
        </w:tc>
      </w:tr>
      <w:tr w14:paraId="1BAA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6EB49F3D">
            <w:pPr>
              <w:jc w:val="both"/>
              <w:rPr>
                <w:rFonts w:hint="eastAsia"/>
              </w:rPr>
            </w:pPr>
          </w:p>
        </w:tc>
        <w:tc>
          <w:tcPr>
            <w:tcW w:w="0" w:type="auto"/>
            <w:noWrap w:val="0"/>
            <w:vAlign w:val="top"/>
          </w:tcPr>
          <w:p w14:paraId="2FD8B67F">
            <w:pPr>
              <w:ind w:left="0" w:leftChars="0" w:firstLine="0" w:firstLineChars="0"/>
              <w:jc w:val="center"/>
              <w:rPr>
                <w:rFonts w:hint="eastAsia"/>
                <w:lang w:val="en-US" w:eastAsia="zh-CN"/>
              </w:rPr>
            </w:pPr>
            <w:r>
              <w:rPr>
                <w:rFonts w:hint="eastAsia"/>
                <w:lang w:val="en-US" w:eastAsia="zh-CN"/>
              </w:rPr>
              <w:t>2</w:t>
            </w:r>
          </w:p>
        </w:tc>
        <w:tc>
          <w:tcPr>
            <w:tcW w:w="0" w:type="auto"/>
            <w:noWrap w:val="0"/>
            <w:vAlign w:val="top"/>
          </w:tcPr>
          <w:p w14:paraId="4F2BD43C">
            <w:pPr>
              <w:jc w:val="both"/>
              <w:rPr>
                <w:rFonts w:hint="eastAsia"/>
                <w:lang w:val="en-US" w:eastAsia="zh-CN"/>
              </w:rPr>
            </w:pPr>
            <w:r>
              <w:rPr>
                <w:rFonts w:hint="eastAsia"/>
                <w:lang w:val="en-US" w:eastAsia="zh-CN"/>
              </w:rPr>
              <w:t>持证保安</w:t>
            </w:r>
          </w:p>
        </w:tc>
        <w:tc>
          <w:tcPr>
            <w:tcW w:w="0" w:type="auto"/>
            <w:noWrap w:val="0"/>
            <w:vAlign w:val="top"/>
          </w:tcPr>
          <w:p w14:paraId="65CF18A7">
            <w:pPr>
              <w:jc w:val="both"/>
              <w:rPr>
                <w:rFonts w:hint="eastAsia"/>
                <w:lang w:val="en-US" w:eastAsia="zh-CN"/>
              </w:rPr>
            </w:pPr>
            <w:r>
              <w:rPr>
                <w:rFonts w:hint="eastAsia"/>
                <w:lang w:val="en-US" w:eastAsia="zh-CN"/>
              </w:rPr>
              <w:t>2</w:t>
            </w:r>
          </w:p>
        </w:tc>
        <w:tc>
          <w:tcPr>
            <w:tcW w:w="0" w:type="auto"/>
            <w:noWrap w:val="0"/>
            <w:vAlign w:val="top"/>
          </w:tcPr>
          <w:p w14:paraId="6AEDF400">
            <w:pPr>
              <w:ind w:left="0" w:leftChars="0" w:firstLine="0" w:firstLineChars="0"/>
              <w:jc w:val="both"/>
              <w:rPr>
                <w:rFonts w:hint="eastAsia"/>
                <w:lang w:val="en-US" w:eastAsia="zh-CN"/>
              </w:rPr>
            </w:pPr>
            <w:r>
              <w:rPr>
                <w:rFonts w:hint="eastAsia"/>
              </w:rPr>
              <w:t>消控室</w:t>
            </w:r>
            <w:r>
              <w:rPr>
                <w:rFonts w:hint="eastAsia"/>
                <w:lang w:val="en-US" w:eastAsia="zh-CN"/>
              </w:rPr>
              <w:t>值班</w:t>
            </w:r>
          </w:p>
        </w:tc>
      </w:tr>
      <w:tr w14:paraId="1954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0" w:type="auto"/>
            <w:vMerge w:val="continue"/>
            <w:noWrap w:val="0"/>
            <w:vAlign w:val="top"/>
          </w:tcPr>
          <w:p w14:paraId="22E34F79">
            <w:pPr>
              <w:jc w:val="both"/>
              <w:rPr>
                <w:rFonts w:hint="eastAsia"/>
              </w:rPr>
            </w:pPr>
          </w:p>
        </w:tc>
        <w:tc>
          <w:tcPr>
            <w:tcW w:w="0" w:type="auto"/>
            <w:gridSpan w:val="2"/>
            <w:noWrap w:val="0"/>
            <w:vAlign w:val="top"/>
          </w:tcPr>
          <w:p w14:paraId="7DCD49E4">
            <w:pPr>
              <w:jc w:val="center"/>
              <w:rPr>
                <w:rFonts w:hint="eastAsia"/>
                <w:b/>
                <w:bCs/>
                <w:lang w:val="zh-CN"/>
              </w:rPr>
            </w:pPr>
            <w:r>
              <w:rPr>
                <w:rFonts w:hint="eastAsia"/>
                <w:b/>
                <w:bCs/>
              </w:rPr>
              <w:t>小计</w:t>
            </w:r>
          </w:p>
        </w:tc>
        <w:tc>
          <w:tcPr>
            <w:tcW w:w="0" w:type="auto"/>
            <w:gridSpan w:val="2"/>
            <w:noWrap w:val="0"/>
            <w:vAlign w:val="top"/>
          </w:tcPr>
          <w:p w14:paraId="52EB7104">
            <w:pPr>
              <w:jc w:val="both"/>
              <w:rPr>
                <w:rFonts w:hint="eastAsia"/>
                <w:b/>
                <w:bCs/>
                <w:lang w:val="en-US"/>
              </w:rPr>
            </w:pPr>
            <w:r>
              <w:rPr>
                <w:rFonts w:hint="eastAsia"/>
                <w:b/>
                <w:bCs/>
                <w:lang w:val="en-US" w:eastAsia="zh-CN"/>
              </w:rPr>
              <w:t>4人</w:t>
            </w:r>
          </w:p>
        </w:tc>
      </w:tr>
      <w:tr w14:paraId="4313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0" w:type="auto"/>
            <w:vMerge w:val="continue"/>
            <w:noWrap w:val="0"/>
            <w:vAlign w:val="top"/>
          </w:tcPr>
          <w:p w14:paraId="63596D07">
            <w:pPr>
              <w:jc w:val="both"/>
              <w:rPr>
                <w:rFonts w:hint="eastAsia"/>
              </w:rPr>
            </w:pPr>
          </w:p>
        </w:tc>
        <w:tc>
          <w:tcPr>
            <w:tcW w:w="0" w:type="auto"/>
            <w:noWrap w:val="0"/>
            <w:vAlign w:val="top"/>
          </w:tcPr>
          <w:p w14:paraId="74F7AB31">
            <w:pPr>
              <w:ind w:left="0" w:leftChars="0" w:firstLine="0" w:firstLineChars="0"/>
              <w:jc w:val="center"/>
              <w:rPr>
                <w:rFonts w:hint="eastAsia"/>
                <w:b/>
                <w:bCs/>
              </w:rPr>
            </w:pPr>
            <w:r>
              <w:rPr>
                <w:rFonts w:hint="eastAsia"/>
                <w:b/>
                <w:bCs/>
              </w:rPr>
              <w:t>序号</w:t>
            </w:r>
          </w:p>
        </w:tc>
        <w:tc>
          <w:tcPr>
            <w:tcW w:w="0" w:type="auto"/>
            <w:noWrap w:val="0"/>
            <w:vAlign w:val="top"/>
          </w:tcPr>
          <w:p w14:paraId="4AD7D137">
            <w:pPr>
              <w:ind w:left="0" w:leftChars="0" w:firstLine="0" w:firstLineChars="0"/>
              <w:jc w:val="both"/>
              <w:rPr>
                <w:rFonts w:hint="eastAsia"/>
                <w:b/>
                <w:bCs/>
              </w:rPr>
            </w:pPr>
            <w:r>
              <w:rPr>
                <w:rFonts w:hint="eastAsia"/>
                <w:b/>
                <w:bCs/>
              </w:rPr>
              <w:t>职位</w:t>
            </w:r>
          </w:p>
        </w:tc>
        <w:tc>
          <w:tcPr>
            <w:tcW w:w="0" w:type="auto"/>
            <w:noWrap w:val="0"/>
            <w:vAlign w:val="top"/>
          </w:tcPr>
          <w:p w14:paraId="333BE8A7">
            <w:pPr>
              <w:ind w:left="0" w:leftChars="0" w:firstLine="0" w:firstLineChars="0"/>
              <w:jc w:val="both"/>
              <w:rPr>
                <w:rFonts w:hint="eastAsia"/>
                <w:b/>
                <w:bCs/>
              </w:rPr>
            </w:pPr>
            <w:r>
              <w:rPr>
                <w:rFonts w:hint="eastAsia"/>
                <w:b/>
                <w:bCs/>
              </w:rPr>
              <w:t>配置人数</w:t>
            </w:r>
          </w:p>
        </w:tc>
        <w:tc>
          <w:tcPr>
            <w:tcW w:w="0" w:type="auto"/>
            <w:noWrap w:val="0"/>
            <w:vAlign w:val="top"/>
          </w:tcPr>
          <w:p w14:paraId="2094E74A">
            <w:pPr>
              <w:ind w:left="0" w:leftChars="0" w:firstLine="0" w:firstLineChars="0"/>
              <w:jc w:val="both"/>
              <w:rPr>
                <w:rFonts w:hint="eastAsia"/>
                <w:b/>
                <w:bCs/>
              </w:rPr>
            </w:pPr>
            <w:r>
              <w:rPr>
                <w:rFonts w:hint="eastAsia"/>
                <w:b/>
                <w:bCs/>
              </w:rPr>
              <w:t>工作区域</w:t>
            </w:r>
          </w:p>
        </w:tc>
      </w:tr>
      <w:tr w14:paraId="5817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0" w:type="auto"/>
            <w:vMerge w:val="continue"/>
            <w:noWrap w:val="0"/>
            <w:vAlign w:val="top"/>
          </w:tcPr>
          <w:p w14:paraId="1054F1B9">
            <w:pPr>
              <w:jc w:val="both"/>
              <w:rPr>
                <w:rFonts w:hint="eastAsia"/>
              </w:rPr>
            </w:pPr>
          </w:p>
        </w:tc>
        <w:tc>
          <w:tcPr>
            <w:tcW w:w="0" w:type="auto"/>
            <w:noWrap w:val="0"/>
            <w:vAlign w:val="top"/>
          </w:tcPr>
          <w:p w14:paraId="52F9D93D">
            <w:pPr>
              <w:ind w:left="0" w:leftChars="0" w:firstLine="0" w:firstLineChars="0"/>
              <w:jc w:val="center"/>
              <w:rPr>
                <w:rFonts w:hint="eastAsia"/>
                <w:lang w:eastAsia="zh-CN"/>
              </w:rPr>
            </w:pPr>
            <w:r>
              <w:rPr>
                <w:rFonts w:hint="eastAsia"/>
                <w:lang w:val="en-US" w:eastAsia="zh-CN"/>
              </w:rPr>
              <w:t>1</w:t>
            </w:r>
          </w:p>
        </w:tc>
        <w:tc>
          <w:tcPr>
            <w:tcW w:w="0" w:type="auto"/>
            <w:noWrap w:val="0"/>
            <w:vAlign w:val="top"/>
          </w:tcPr>
          <w:p w14:paraId="616BBAFF">
            <w:pPr>
              <w:jc w:val="both"/>
              <w:rPr>
                <w:rFonts w:hint="eastAsia"/>
              </w:rPr>
            </w:pPr>
            <w:r>
              <w:rPr>
                <w:rFonts w:hint="eastAsia"/>
                <w:lang w:eastAsia="zh-CN"/>
              </w:rPr>
              <w:t>楼栋</w:t>
            </w:r>
            <w:r>
              <w:rPr>
                <w:rFonts w:hint="eastAsia"/>
                <w:lang w:val="en-US" w:eastAsia="zh-CN"/>
              </w:rPr>
              <w:t>/公区</w:t>
            </w:r>
            <w:r>
              <w:rPr>
                <w:rFonts w:hint="eastAsia"/>
              </w:rPr>
              <w:t>保洁员</w:t>
            </w:r>
          </w:p>
        </w:tc>
        <w:tc>
          <w:tcPr>
            <w:tcW w:w="0" w:type="auto"/>
            <w:noWrap w:val="0"/>
            <w:vAlign w:val="top"/>
          </w:tcPr>
          <w:p w14:paraId="5E02FA2C">
            <w:pPr>
              <w:jc w:val="both"/>
              <w:rPr>
                <w:rFonts w:hint="eastAsia"/>
                <w:lang w:val="en-US" w:eastAsia="zh-CN"/>
              </w:rPr>
            </w:pPr>
            <w:r>
              <w:rPr>
                <w:rFonts w:hint="eastAsia"/>
                <w:lang w:val="en-US" w:eastAsia="zh-CN"/>
              </w:rPr>
              <w:t>2</w:t>
            </w:r>
          </w:p>
        </w:tc>
        <w:tc>
          <w:tcPr>
            <w:tcW w:w="0" w:type="auto"/>
            <w:noWrap w:val="0"/>
            <w:vAlign w:val="top"/>
          </w:tcPr>
          <w:p w14:paraId="2D90EB84">
            <w:pPr>
              <w:ind w:left="0" w:leftChars="0" w:firstLine="0" w:firstLineChars="0"/>
              <w:jc w:val="both"/>
              <w:rPr>
                <w:rFonts w:hint="eastAsia"/>
                <w:lang w:val="en-US" w:eastAsia="zh-CN"/>
              </w:rPr>
            </w:pPr>
            <w:r>
              <w:rPr>
                <w:rFonts w:hint="eastAsia"/>
                <w:lang w:eastAsia="zh-CN"/>
              </w:rPr>
              <w:t>负责楼栋</w:t>
            </w:r>
            <w:r>
              <w:rPr>
                <w:rFonts w:hint="eastAsia"/>
                <w:lang w:val="en-US" w:eastAsia="zh-CN"/>
              </w:rPr>
              <w:t>/公区</w:t>
            </w:r>
            <w:r>
              <w:rPr>
                <w:rFonts w:hint="eastAsia"/>
                <w:lang w:eastAsia="zh-CN"/>
              </w:rPr>
              <w:t>保洁</w:t>
            </w:r>
          </w:p>
        </w:tc>
      </w:tr>
      <w:tr w14:paraId="4A13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0" w:type="auto"/>
            <w:vMerge w:val="continue"/>
            <w:noWrap w:val="0"/>
            <w:vAlign w:val="top"/>
          </w:tcPr>
          <w:p w14:paraId="0ADD2192">
            <w:pPr>
              <w:jc w:val="both"/>
              <w:rPr>
                <w:rFonts w:hint="eastAsia"/>
                <w:lang w:val="en-US" w:eastAsia="zh-CN"/>
              </w:rPr>
            </w:pPr>
          </w:p>
        </w:tc>
        <w:tc>
          <w:tcPr>
            <w:tcW w:w="0" w:type="auto"/>
            <w:noWrap w:val="0"/>
            <w:vAlign w:val="top"/>
          </w:tcPr>
          <w:p w14:paraId="3418364F">
            <w:pPr>
              <w:ind w:left="0" w:leftChars="0" w:firstLine="0" w:firstLineChars="0"/>
              <w:jc w:val="center"/>
              <w:rPr>
                <w:rFonts w:hint="eastAsia"/>
                <w:lang w:val="en-US" w:eastAsia="zh-CN"/>
              </w:rPr>
            </w:pPr>
            <w:r>
              <w:rPr>
                <w:rFonts w:hint="eastAsia"/>
                <w:lang w:val="en-US" w:eastAsia="zh-CN"/>
              </w:rPr>
              <w:t>2</w:t>
            </w:r>
          </w:p>
        </w:tc>
        <w:tc>
          <w:tcPr>
            <w:tcW w:w="0" w:type="auto"/>
            <w:noWrap w:val="0"/>
            <w:vAlign w:val="top"/>
          </w:tcPr>
          <w:p w14:paraId="3F7DEDBC">
            <w:pPr>
              <w:jc w:val="center"/>
              <w:rPr>
                <w:rFonts w:hint="eastAsia"/>
                <w:lang w:val="en-US" w:eastAsia="zh-CN"/>
              </w:rPr>
            </w:pPr>
            <w:r>
              <w:rPr>
                <w:rFonts w:hint="eastAsia"/>
                <w:lang w:val="en-US" w:eastAsia="zh-CN"/>
              </w:rPr>
              <w:t>垃圾清运</w:t>
            </w:r>
          </w:p>
        </w:tc>
        <w:tc>
          <w:tcPr>
            <w:tcW w:w="0" w:type="auto"/>
            <w:noWrap w:val="0"/>
            <w:vAlign w:val="top"/>
          </w:tcPr>
          <w:p w14:paraId="45B1C7D7">
            <w:pPr>
              <w:jc w:val="both"/>
              <w:rPr>
                <w:rFonts w:hint="eastAsia"/>
                <w:lang w:val="en-US" w:eastAsia="zh-CN"/>
              </w:rPr>
            </w:pPr>
            <w:r>
              <w:rPr>
                <w:rFonts w:hint="eastAsia"/>
                <w:lang w:val="en-US" w:eastAsia="zh-CN"/>
              </w:rPr>
              <w:t>1</w:t>
            </w:r>
          </w:p>
        </w:tc>
        <w:tc>
          <w:tcPr>
            <w:tcW w:w="0" w:type="auto"/>
            <w:noWrap w:val="0"/>
            <w:vAlign w:val="top"/>
          </w:tcPr>
          <w:p w14:paraId="1B0687E4">
            <w:pPr>
              <w:ind w:left="0" w:leftChars="0" w:firstLine="0" w:firstLineChars="0"/>
              <w:jc w:val="both"/>
              <w:rPr>
                <w:rFonts w:hint="eastAsia"/>
                <w:lang w:val="en-US" w:eastAsia="zh-CN"/>
              </w:rPr>
            </w:pPr>
            <w:r>
              <w:rPr>
                <w:rFonts w:hint="eastAsia"/>
                <w:lang w:val="en-US" w:eastAsia="zh-CN"/>
              </w:rPr>
              <w:t>垃圾分类清运</w:t>
            </w:r>
          </w:p>
        </w:tc>
      </w:tr>
      <w:tr w14:paraId="74ED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0" w:type="auto"/>
            <w:vMerge w:val="continue"/>
            <w:noWrap w:val="0"/>
            <w:vAlign w:val="top"/>
          </w:tcPr>
          <w:p w14:paraId="70CF22DC">
            <w:pPr>
              <w:jc w:val="both"/>
              <w:rPr>
                <w:rFonts w:hint="eastAsia"/>
              </w:rPr>
            </w:pPr>
          </w:p>
        </w:tc>
        <w:tc>
          <w:tcPr>
            <w:tcW w:w="0" w:type="auto"/>
            <w:gridSpan w:val="2"/>
            <w:noWrap w:val="0"/>
            <w:vAlign w:val="top"/>
          </w:tcPr>
          <w:p w14:paraId="7F4442B5">
            <w:pPr>
              <w:jc w:val="both"/>
              <w:rPr>
                <w:rFonts w:hint="eastAsia"/>
                <w:b/>
                <w:bCs/>
              </w:rPr>
            </w:pPr>
            <w:r>
              <w:rPr>
                <w:rFonts w:hint="eastAsia"/>
                <w:b/>
                <w:bCs/>
              </w:rPr>
              <w:t>小计</w:t>
            </w:r>
          </w:p>
        </w:tc>
        <w:tc>
          <w:tcPr>
            <w:tcW w:w="0" w:type="auto"/>
            <w:gridSpan w:val="2"/>
            <w:noWrap w:val="0"/>
            <w:vAlign w:val="top"/>
          </w:tcPr>
          <w:p w14:paraId="60D2D794">
            <w:pPr>
              <w:jc w:val="both"/>
              <w:rPr>
                <w:rFonts w:hint="eastAsia"/>
                <w:b/>
                <w:bCs/>
                <w:lang w:val="en-US"/>
              </w:rPr>
            </w:pPr>
            <w:r>
              <w:rPr>
                <w:rFonts w:hint="eastAsia"/>
                <w:b/>
                <w:bCs/>
                <w:lang w:val="en-US" w:eastAsia="zh-CN"/>
              </w:rPr>
              <w:t>3人</w:t>
            </w:r>
          </w:p>
        </w:tc>
      </w:tr>
      <w:tr w14:paraId="77E2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0" w:type="auto"/>
            <w:gridSpan w:val="3"/>
            <w:noWrap w:val="0"/>
            <w:vAlign w:val="top"/>
          </w:tcPr>
          <w:p w14:paraId="0B346236">
            <w:pPr>
              <w:ind w:left="0" w:leftChars="0" w:firstLine="0" w:firstLineChars="0"/>
              <w:jc w:val="center"/>
              <w:rPr>
                <w:rFonts w:hint="eastAsia"/>
                <w:b/>
                <w:bCs/>
                <w:lang w:val="en-US" w:eastAsia="zh-CN"/>
              </w:rPr>
            </w:pPr>
            <w:r>
              <w:rPr>
                <w:rFonts w:hint="eastAsia"/>
                <w:b/>
                <w:bCs/>
                <w:lang w:val="en-US" w:eastAsia="zh-CN"/>
              </w:rPr>
              <w:t>福港苑</w:t>
            </w:r>
            <w:r>
              <w:rPr>
                <w:rFonts w:hint="eastAsia"/>
                <w:b/>
                <w:bCs/>
                <w:lang w:eastAsia="zh-CN"/>
              </w:rPr>
              <w:t>合计</w:t>
            </w:r>
            <w:r>
              <w:rPr>
                <w:rFonts w:hint="eastAsia"/>
                <w:b/>
                <w:bCs/>
                <w:lang w:val="en-US" w:eastAsia="zh-CN"/>
              </w:rPr>
              <w:t>人数</w:t>
            </w:r>
          </w:p>
        </w:tc>
        <w:tc>
          <w:tcPr>
            <w:tcW w:w="0" w:type="auto"/>
            <w:gridSpan w:val="2"/>
            <w:noWrap w:val="0"/>
            <w:vAlign w:val="top"/>
          </w:tcPr>
          <w:p w14:paraId="5C0F7509">
            <w:pPr>
              <w:jc w:val="both"/>
              <w:rPr>
                <w:rFonts w:hint="eastAsia"/>
                <w:b/>
                <w:bCs/>
                <w:lang w:val="en-US" w:eastAsia="zh-CN"/>
              </w:rPr>
            </w:pPr>
            <w:r>
              <w:rPr>
                <w:rFonts w:hint="eastAsia"/>
                <w:b/>
                <w:bCs/>
                <w:lang w:val="en-US" w:eastAsia="zh-CN"/>
              </w:rPr>
              <w:t>8人</w:t>
            </w:r>
          </w:p>
        </w:tc>
      </w:tr>
    </w:tbl>
    <w:p w14:paraId="60B0419D">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注：供应商</w:t>
      </w:r>
      <w:r>
        <w:rPr>
          <w:rFonts w:hint="eastAsia" w:ascii="宋体" w:hAnsi="宋体" w:eastAsia="宋体" w:cs="宋体"/>
          <w:b/>
          <w:bCs/>
          <w:sz w:val="21"/>
          <w:szCs w:val="21"/>
        </w:rPr>
        <w:t>所配备人员须满足</w:t>
      </w:r>
      <w:r>
        <w:rPr>
          <w:rFonts w:hint="eastAsia" w:ascii="宋体" w:hAnsi="宋体" w:eastAsia="宋体" w:cs="宋体"/>
          <w:b/>
          <w:bCs/>
          <w:sz w:val="21"/>
          <w:szCs w:val="21"/>
          <w:lang w:eastAsia="zh-CN"/>
        </w:rPr>
        <w:t>甲方</w:t>
      </w:r>
      <w:r>
        <w:rPr>
          <w:rFonts w:hint="eastAsia" w:ascii="宋体" w:hAnsi="宋体" w:eastAsia="宋体" w:cs="宋体"/>
          <w:b/>
          <w:bCs/>
          <w:sz w:val="21"/>
          <w:szCs w:val="21"/>
        </w:rPr>
        <w:t>本需求内所明确的人员配置要求，</w:t>
      </w:r>
      <w:r>
        <w:rPr>
          <w:rFonts w:hint="eastAsia" w:ascii="宋体" w:hAnsi="宋体" w:eastAsia="宋体" w:cs="宋体"/>
          <w:b/>
          <w:bCs/>
          <w:sz w:val="21"/>
          <w:szCs w:val="21"/>
          <w:lang w:eastAsia="zh-CN"/>
        </w:rPr>
        <w:t>如出现缺编情况则根据实际缺编人数扣除相应费用，</w:t>
      </w:r>
      <w:r>
        <w:rPr>
          <w:rFonts w:hint="eastAsia" w:ascii="宋体" w:hAnsi="宋体" w:eastAsia="宋体" w:cs="宋体"/>
          <w:b/>
          <w:bCs/>
          <w:sz w:val="21"/>
          <w:szCs w:val="21"/>
          <w:lang w:val="en-US" w:eastAsia="zh-CN"/>
        </w:rPr>
        <w:t>扣除费用单价标准为：月度服务费/需求总人数。</w:t>
      </w:r>
    </w:p>
    <w:p w14:paraId="6F272FD1">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6、其他要求</w:t>
      </w:r>
    </w:p>
    <w:p w14:paraId="412C4D04">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6.1、成交供应商应保证对保安保洁及工程维护人员进行职业道德、相关劳动政策及法律法规、安全服务的培训，使保安保洁及工程维护人员能够顺利上岗；</w:t>
      </w:r>
    </w:p>
    <w:p w14:paraId="7CE9E292">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6.2、成交供应商应确保及时、准确、妥善的处理员工（含新老员工）的档案管理、薪酬管理、社保办理及个税代扣代缴工作，代办员工有关证件、有关法律法规咨询等，确保和谐、稳妥的处理保安保洁及工程维护员工的劳动纠纷、劳动诉讼及人事仲裁事件，避免妨碍采购人的正常工作或给采购人带来不利社会影响；</w:t>
      </w:r>
    </w:p>
    <w:p w14:paraId="79D60C16">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6.3、成交供应商应具备劳动法律咨询和企业人力资源管理咨询服务的能力；</w:t>
      </w:r>
    </w:p>
    <w:p w14:paraId="7C72CB45">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6.4、在保安保洁及工程维护人员正式上岗前，成交供应商负责对保安保洁及工程维护人员实施岗前培训，培训内容主要有各项规章制度培训，在岗基本职业技能与素质的培训等内容；</w:t>
      </w:r>
    </w:p>
    <w:p w14:paraId="0A79C1FC">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6.5、成交供应商应负责保安保洁及工程维护人员工作服添置，保安工具（对讲机、警棍等）、保洁工具（扫把、垃圾车、各类垃圾桶等）、工程工具（电钻、电锤、测量仪器仪表等）均由成交供应商自行解决。易耗品及日常维护所需更换配件（如：灯泡、螺丝等）由采购负责添置，供应商人员负责安装、更换。</w:t>
      </w:r>
    </w:p>
    <w:p w14:paraId="328B386E">
      <w:pPr>
        <w:widowControl w:val="0"/>
        <w:numPr>
          <w:ilvl w:val="0"/>
          <w:numId w:val="0"/>
        </w:numPr>
        <w:spacing w:beforeLines="50" w:afterLines="50" w:line="360" w:lineRule="auto"/>
        <w:ind w:firstLine="420" w:firstLineChars="20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6.6、成交供应商须在合同签订前或采购人第一次付款前一次性缴纳履约保证金（保证金缴纳标准为1个月度服务费），如在合同履行过程中其保证金产生扣罚情况，供应商须依照扣罚金额，在7日内补足履约保证金。在合同服务届满后2月内且双方均无人员及财产争议，由采购人无息退还。  </w:t>
      </w:r>
    </w:p>
    <w:p w14:paraId="0D6EBD49">
      <w:pPr>
        <w:widowControl w:val="0"/>
        <w:numPr>
          <w:ilvl w:val="0"/>
          <w:numId w:val="0"/>
        </w:numPr>
        <w:spacing w:beforeLines="50" w:afterLines="50" w:line="360" w:lineRule="auto"/>
        <w:ind w:firstLine="420" w:firstLineChars="200"/>
        <w:jc w:val="both"/>
        <w:rPr>
          <w:rFonts w:hint="eastAsia" w:ascii="宋体" w:hAnsi="宋体" w:eastAsia="宋体" w:cs="宋体"/>
          <w:bCs/>
          <w:kern w:val="2"/>
          <w:sz w:val="21"/>
          <w:szCs w:val="21"/>
          <w:lang w:val="en-US" w:eastAsia="zh-CN" w:bidi="ar-SA"/>
        </w:rPr>
      </w:pPr>
      <w:r>
        <w:rPr>
          <w:rFonts w:hint="eastAsia" w:cs="宋体"/>
          <w:b w:val="0"/>
          <w:bCs/>
          <w:kern w:val="2"/>
          <w:sz w:val="21"/>
          <w:szCs w:val="21"/>
          <w:lang w:val="en-US" w:eastAsia="zh-CN" w:bidi="ar-SA"/>
        </w:rPr>
        <w:t>6</w:t>
      </w:r>
      <w:r>
        <w:rPr>
          <w:rFonts w:hint="eastAsia" w:ascii="宋体" w:hAnsi="宋体" w:eastAsia="宋体" w:cs="宋体"/>
          <w:b w:val="0"/>
          <w:bCs/>
          <w:kern w:val="2"/>
          <w:sz w:val="21"/>
          <w:szCs w:val="21"/>
          <w:lang w:val="en-US" w:eastAsia="zh-CN" w:bidi="ar-SA"/>
        </w:rPr>
        <w:t>.7、该项目目前需求人数荷韵园</w:t>
      </w:r>
      <w:r>
        <w:rPr>
          <w:rFonts w:hint="eastAsia" w:ascii="宋体" w:hAnsi="宋体" w:eastAsia="宋体" w:cs="宋体"/>
          <w:b/>
          <w:bCs w:val="0"/>
          <w:kern w:val="2"/>
          <w:sz w:val="21"/>
          <w:szCs w:val="21"/>
          <w:lang w:val="en-US" w:eastAsia="zh-CN" w:bidi="ar-SA"/>
        </w:rPr>
        <w:t>14人</w:t>
      </w:r>
      <w:r>
        <w:rPr>
          <w:rFonts w:hint="eastAsia" w:ascii="宋体" w:hAnsi="宋体" w:eastAsia="宋体" w:cs="宋体"/>
          <w:b w:val="0"/>
          <w:bCs/>
          <w:kern w:val="2"/>
          <w:sz w:val="21"/>
          <w:szCs w:val="21"/>
          <w:lang w:val="en-US" w:eastAsia="zh-CN" w:bidi="ar-SA"/>
        </w:rPr>
        <w:t>、福港苑</w:t>
      </w:r>
      <w:r>
        <w:rPr>
          <w:rFonts w:hint="eastAsia" w:ascii="宋体" w:hAnsi="宋体" w:eastAsia="宋体" w:cs="宋体"/>
          <w:b/>
          <w:bCs w:val="0"/>
          <w:kern w:val="2"/>
          <w:sz w:val="21"/>
          <w:szCs w:val="21"/>
          <w:lang w:val="en-US" w:eastAsia="zh-CN" w:bidi="ar-SA"/>
        </w:rPr>
        <w:t>8人</w:t>
      </w:r>
      <w:r>
        <w:rPr>
          <w:rFonts w:hint="eastAsia" w:ascii="宋体" w:hAnsi="宋体" w:eastAsia="宋体" w:cs="宋体"/>
          <w:b w:val="0"/>
          <w:bCs/>
          <w:kern w:val="2"/>
          <w:sz w:val="21"/>
          <w:szCs w:val="21"/>
          <w:lang w:val="en-US" w:eastAsia="zh-CN" w:bidi="ar-SA"/>
        </w:rPr>
        <w:t>，如后期因服务内容或服务范围有所转变采购人有权对需求人员进行相应核减，其服务费用随人数需求递减（供应商需根据人员配备逐一分项报价）。</w:t>
      </w:r>
      <w:r>
        <w:rPr>
          <w:rFonts w:hint="eastAsia" w:ascii="宋体" w:hAnsi="宋体" w:eastAsia="宋体" w:cs="宋体"/>
          <w:b/>
          <w:bCs w:val="0"/>
          <w:kern w:val="2"/>
          <w:sz w:val="21"/>
          <w:szCs w:val="21"/>
          <w:lang w:val="en-US" w:eastAsia="zh-CN" w:bidi="ar-SA"/>
        </w:rPr>
        <w:t xml:space="preserve">      </w:t>
      </w:r>
      <w:r>
        <w:rPr>
          <w:rFonts w:hint="eastAsia" w:ascii="宋体" w:hAnsi="宋体" w:eastAsia="宋体" w:cs="宋体"/>
          <w:b w:val="0"/>
          <w:bCs/>
          <w:kern w:val="2"/>
          <w:sz w:val="21"/>
          <w:szCs w:val="21"/>
          <w:lang w:val="en-US" w:eastAsia="zh-CN" w:bidi="ar-SA"/>
        </w:rPr>
        <w:t xml:space="preserve">  </w:t>
      </w:r>
      <w:r>
        <w:rPr>
          <w:rFonts w:hint="eastAsia" w:ascii="宋体" w:hAnsi="宋体" w:eastAsia="宋体" w:cs="宋体"/>
          <w:bCs/>
          <w:kern w:val="2"/>
          <w:sz w:val="21"/>
          <w:szCs w:val="21"/>
          <w:lang w:val="en-US" w:eastAsia="zh-CN" w:bidi="ar-SA"/>
        </w:rPr>
        <w:t xml:space="preserve">                                                                                                                                                                                                                                                                                                                                                                                                                                                                                                                                                                                                                                                                                                                                                                                                   </w:t>
      </w:r>
    </w:p>
    <w:p w14:paraId="5F1B7EAF">
      <w:pPr>
        <w:keepNext w:val="0"/>
        <w:keepLines w:val="0"/>
        <w:pageBreakBefore w:val="0"/>
        <w:widowControl/>
        <w:kinsoku/>
        <w:wordWrap/>
        <w:overflowPunct/>
        <w:topLinePunct w:val="0"/>
        <w:autoSpaceDE w:val="0"/>
        <w:bidi w:val="0"/>
        <w:spacing w:line="560" w:lineRule="exact"/>
        <w:ind w:firstLine="422" w:firstLineChars="200"/>
        <w:jc w:val="left"/>
        <w:rPr>
          <w:rFonts w:hint="eastAsia" w:ascii="宋体" w:hAnsi="宋体" w:eastAsia="宋体" w:cs="宋体"/>
          <w:b/>
          <w:bCs/>
          <w:kern w:val="0"/>
          <w:sz w:val="21"/>
          <w:szCs w:val="21"/>
        </w:rPr>
      </w:pPr>
      <w:bookmarkStart w:id="1" w:name="_Toc7599"/>
      <w:bookmarkStart w:id="2" w:name="_Toc502832910"/>
      <w:bookmarkStart w:id="3" w:name="_Toc408599273"/>
      <w:bookmarkStart w:id="4" w:name="_Toc408599854"/>
      <w:bookmarkStart w:id="5" w:name="_Toc396655455"/>
      <w:bookmarkStart w:id="6" w:name="_Toc408429337"/>
      <w:bookmarkStart w:id="7" w:name="_Toc396655080"/>
      <w:bookmarkStart w:id="8" w:name="_Toc396655165"/>
      <w:r>
        <w:rPr>
          <w:rFonts w:hint="eastAsia" w:ascii="宋体" w:hAnsi="宋体" w:eastAsia="宋体" w:cs="宋体"/>
          <w:b/>
          <w:bCs/>
          <w:kern w:val="0"/>
          <w:sz w:val="21"/>
          <w:szCs w:val="21"/>
        </w:rPr>
        <w:t>四、 服务的内容、标准及承诺</w:t>
      </w:r>
      <w:bookmarkEnd w:id="1"/>
      <w:bookmarkEnd w:id="2"/>
    </w:p>
    <w:bookmarkEnd w:id="3"/>
    <w:bookmarkEnd w:id="4"/>
    <w:bookmarkEnd w:id="5"/>
    <w:bookmarkEnd w:id="6"/>
    <w:bookmarkEnd w:id="7"/>
    <w:bookmarkEnd w:id="8"/>
    <w:p w14:paraId="5CB93D3F">
      <w:pPr>
        <w:keepNext w:val="0"/>
        <w:keepLines w:val="0"/>
        <w:pageBreakBefore w:val="0"/>
        <w:kinsoku/>
        <w:wordWrap/>
        <w:overflowPunct/>
        <w:topLinePunct w:val="0"/>
        <w:bidi w:val="0"/>
        <w:adjustRightInd w:val="0"/>
        <w:snapToGrid w:val="0"/>
        <w:spacing w:line="560" w:lineRule="exact"/>
        <w:ind w:firstLine="422" w:firstLineChars="200"/>
        <w:rPr>
          <w:rFonts w:hint="eastAsia" w:ascii="宋体" w:hAnsi="宋体" w:eastAsia="宋体" w:cs="宋体"/>
          <w:b/>
          <w:sz w:val="21"/>
          <w:szCs w:val="21"/>
        </w:rPr>
      </w:pPr>
      <w:bookmarkStart w:id="9" w:name="_Toc408429338"/>
      <w:bookmarkStart w:id="10" w:name="_Toc408599274"/>
      <w:bookmarkStart w:id="11" w:name="_Toc408599855"/>
      <w:r>
        <w:rPr>
          <w:rFonts w:hint="eastAsia" w:ascii="宋体" w:hAnsi="宋体" w:eastAsia="宋体" w:cs="宋体"/>
          <w:b/>
          <w:sz w:val="21"/>
          <w:szCs w:val="21"/>
        </w:rPr>
        <w:t>1、事项及范围</w:t>
      </w:r>
    </w:p>
    <w:p w14:paraId="767CE47C">
      <w:pPr>
        <w:keepNext w:val="0"/>
        <w:keepLines w:val="0"/>
        <w:pageBreakBefore w:val="0"/>
        <w:kinsoku/>
        <w:wordWrap/>
        <w:overflowPunct/>
        <w:topLinePunct w:val="0"/>
        <w:bidi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总范围：长沙市开福区</w:t>
      </w:r>
      <w:r>
        <w:rPr>
          <w:rFonts w:hint="eastAsia" w:ascii="宋体" w:hAnsi="宋体" w:eastAsia="宋体" w:cs="宋体"/>
          <w:sz w:val="21"/>
          <w:szCs w:val="21"/>
          <w:lang w:eastAsia="zh-CN"/>
        </w:rPr>
        <w:t>荷韵园、福港苑</w:t>
      </w:r>
      <w:r>
        <w:rPr>
          <w:rFonts w:hint="eastAsia" w:ascii="宋体" w:hAnsi="宋体" w:eastAsia="宋体" w:cs="宋体"/>
          <w:color w:val="000000"/>
          <w:sz w:val="21"/>
          <w:szCs w:val="21"/>
        </w:rPr>
        <w:t>小区</w:t>
      </w:r>
      <w:r>
        <w:rPr>
          <w:rFonts w:hint="eastAsia" w:ascii="宋体" w:hAnsi="宋体" w:eastAsia="宋体" w:cs="宋体"/>
          <w:sz w:val="21"/>
          <w:szCs w:val="21"/>
        </w:rPr>
        <w:t>范围内的区域。</w:t>
      </w:r>
    </w:p>
    <w:bookmarkEnd w:id="9"/>
    <w:bookmarkEnd w:id="10"/>
    <w:bookmarkEnd w:id="11"/>
    <w:p w14:paraId="6A7D0347">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1.1、所派遣保洁员将负责</w:t>
      </w:r>
      <w:r>
        <w:rPr>
          <w:rFonts w:hint="eastAsia" w:ascii="宋体" w:hAnsi="宋体" w:eastAsia="宋体" w:cs="宋体"/>
          <w:sz w:val="21"/>
          <w:szCs w:val="21"/>
          <w:lang w:val="en-US" w:eastAsia="zh-CN"/>
        </w:rPr>
        <w:t>物业范围内</w:t>
      </w:r>
      <w:r>
        <w:rPr>
          <w:rFonts w:hint="eastAsia" w:ascii="宋体" w:hAnsi="宋体" w:eastAsia="宋体" w:cs="宋体"/>
          <w:sz w:val="21"/>
          <w:szCs w:val="21"/>
        </w:rPr>
        <w:t>公共环境卫生和道路的清扫保洁，包括道路、地下车库、楼道等所有公共区域地面、墙面的清洁卫生，垃圾的收集、倾倒（不含</w:t>
      </w:r>
      <w:r>
        <w:rPr>
          <w:rFonts w:hint="eastAsia" w:ascii="宋体" w:hAnsi="宋体" w:eastAsia="宋体" w:cs="宋体"/>
          <w:sz w:val="21"/>
          <w:szCs w:val="21"/>
          <w:lang w:val="en-US" w:eastAsia="zh-CN"/>
        </w:rPr>
        <w:t>食堂保洁及化油池清掏</w:t>
      </w:r>
      <w:r>
        <w:rPr>
          <w:rFonts w:hint="eastAsia" w:ascii="宋体" w:hAnsi="宋体" w:eastAsia="宋体" w:cs="宋体"/>
          <w:sz w:val="21"/>
          <w:szCs w:val="21"/>
        </w:rPr>
        <w:t>）</w:t>
      </w:r>
      <w:r>
        <w:rPr>
          <w:rFonts w:hint="eastAsia" w:ascii="宋体" w:hAnsi="宋体" w:eastAsia="宋体" w:cs="宋体"/>
          <w:sz w:val="21"/>
          <w:szCs w:val="21"/>
          <w:lang w:eastAsia="zh-CN"/>
        </w:rPr>
        <w:t>；</w:t>
      </w:r>
    </w:p>
    <w:p w14:paraId="21E293F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1.2、所派遣保安将负责秩序维护工作。包括：</w:t>
      </w:r>
      <w:r>
        <w:rPr>
          <w:rFonts w:hint="eastAsia" w:ascii="宋体" w:hAnsi="宋体" w:eastAsia="宋体" w:cs="宋体"/>
          <w:sz w:val="21"/>
          <w:szCs w:val="21"/>
          <w:lang w:val="en-US" w:eastAsia="zh-CN"/>
        </w:rPr>
        <w:t>物业范围</w:t>
      </w:r>
      <w:r>
        <w:rPr>
          <w:rFonts w:hint="eastAsia" w:ascii="宋体" w:hAnsi="宋体" w:eastAsia="宋体" w:cs="宋体"/>
          <w:sz w:val="21"/>
          <w:szCs w:val="21"/>
        </w:rPr>
        <w:t>内全方位全日制安全与消防的监控和巡查；“四防”安全管理；交通与道路管理；消防系统与安全监控系统的管理；区域范围之配套设施监控管理工作等。</w:t>
      </w:r>
    </w:p>
    <w:p w14:paraId="4F087AA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1.3、所派遣工程人员将负责物业范围内的所有日常维护维修及保养工作，并根据项目要求制定工程维护保养工作记录及工作台账。</w:t>
      </w:r>
    </w:p>
    <w:p w14:paraId="6F3EEC1C">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2、具体服务内容及标准</w:t>
      </w:r>
    </w:p>
    <w:p w14:paraId="24866AB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2.1卫生保洁服务内容及服务标准</w:t>
      </w:r>
    </w:p>
    <w:p w14:paraId="200E1DC5">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2.1.1、每天对辖区范围内纳入清扫保洁范围的背街小巷、地面设施、建筑物周边、楼栋间地坪、绿化带进行清扫保洁，并实现常态化保洁。清扫保洁范围内时刻有人保洁，各区域卫生根据所产生垃圾情况不间断维护，确保无垃圾、白色垃圾、堆物（堆物不含进不了垃圾站的大件垃圾及装修垃圾）、积水和油污等</w:t>
      </w:r>
      <w:r>
        <w:rPr>
          <w:rFonts w:hint="eastAsia" w:ascii="宋体" w:hAnsi="宋体" w:eastAsia="宋体" w:cs="宋体"/>
          <w:sz w:val="21"/>
          <w:szCs w:val="21"/>
          <w:lang w:eastAsia="zh-CN"/>
        </w:rPr>
        <w:t>；</w:t>
      </w:r>
    </w:p>
    <w:p w14:paraId="7061A48F">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2.1.2、每天对辖区范围内纳入清扫保洁范围的分类垃圾桶进行清掏每周进行清洗，保证清理及时无垃圾外溢，并保持分类垃圾桶外部清洁卫生，清理后的垃圾桶无异味，保证无过夜垃圾</w:t>
      </w:r>
      <w:r>
        <w:rPr>
          <w:rFonts w:hint="eastAsia" w:ascii="宋体" w:hAnsi="宋体" w:eastAsia="宋体" w:cs="宋体"/>
          <w:sz w:val="21"/>
          <w:szCs w:val="21"/>
          <w:lang w:eastAsia="zh-CN"/>
        </w:rPr>
        <w:t>；</w:t>
      </w:r>
    </w:p>
    <w:p w14:paraId="6DCF739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2.1.3、对辖区范围内纳入清扫保洁范围的公共照明灯杆、宣传栏、消防设施及其他公共设施每周擦拭2次，确保目视无明显灰尘，无污渍（2米以上部位每半月擦拭、除尘1次）</w:t>
      </w:r>
      <w:r>
        <w:rPr>
          <w:rFonts w:hint="eastAsia" w:ascii="宋体" w:hAnsi="宋体" w:eastAsia="宋体" w:cs="宋体"/>
          <w:sz w:val="21"/>
          <w:szCs w:val="21"/>
          <w:lang w:eastAsia="zh-CN"/>
        </w:rPr>
        <w:t>；</w:t>
      </w:r>
    </w:p>
    <w:p w14:paraId="131545BD">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2.1.4、对辖区范围内纳入清扫保洁范围的房屋及公共部位无乱贴、乱画现象，对小区楼栋含一层以下“</w:t>
      </w:r>
      <w:r>
        <w:rPr>
          <w:rFonts w:hint="eastAsia" w:cs="宋体"/>
          <w:sz w:val="21"/>
          <w:szCs w:val="21"/>
          <w:lang w:eastAsia="zh-CN"/>
        </w:rPr>
        <w:t>牛皮癣</w:t>
      </w:r>
      <w:r>
        <w:rPr>
          <w:rFonts w:hint="eastAsia" w:ascii="宋体" w:hAnsi="宋体" w:eastAsia="宋体" w:cs="宋体"/>
          <w:sz w:val="21"/>
          <w:szCs w:val="21"/>
        </w:rPr>
        <w:t>”进行清除；定时定期对绿化带进行清扫，确保无枯枝、落叶、白色垃圾等；</w:t>
      </w:r>
    </w:p>
    <w:p w14:paraId="7885B582">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2.1.5、每天对辖区范围内纳入清扫保洁范围的城管数字化案卷反映的问题（清扫保洁业务范围内）要按时按质处理到位</w:t>
      </w:r>
      <w:r>
        <w:rPr>
          <w:rFonts w:hint="eastAsia" w:ascii="宋体" w:hAnsi="宋体" w:eastAsia="宋体" w:cs="宋体"/>
          <w:sz w:val="21"/>
          <w:szCs w:val="21"/>
          <w:lang w:eastAsia="zh-CN"/>
        </w:rPr>
        <w:t>；</w:t>
      </w:r>
    </w:p>
    <w:p w14:paraId="2E5D1D8B">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2.1.6、每天早、中、晚3次对辖区范围内纳入清扫保洁范围的垃圾清理干净，并</w:t>
      </w:r>
      <w:r>
        <w:rPr>
          <w:rFonts w:hint="eastAsia" w:ascii="宋体" w:hAnsi="宋体" w:eastAsia="宋体" w:cs="宋体"/>
          <w:sz w:val="21"/>
          <w:szCs w:val="21"/>
          <w:lang w:val="zh-CN"/>
        </w:rPr>
        <w:t>按规范要求</w:t>
      </w:r>
      <w:r>
        <w:rPr>
          <w:rFonts w:hint="eastAsia" w:ascii="宋体" w:hAnsi="宋体" w:eastAsia="宋体" w:cs="宋体"/>
          <w:sz w:val="21"/>
          <w:szCs w:val="21"/>
        </w:rPr>
        <w:t>做好垃圾分类收集</w:t>
      </w:r>
      <w:r>
        <w:rPr>
          <w:rFonts w:hint="eastAsia" w:ascii="宋体" w:hAnsi="宋体" w:eastAsia="宋体" w:cs="宋体"/>
          <w:sz w:val="21"/>
          <w:szCs w:val="21"/>
          <w:lang w:val="zh-CN"/>
        </w:rPr>
        <w:t>、包装、储存、运输</w:t>
      </w:r>
      <w:r>
        <w:rPr>
          <w:rFonts w:hint="eastAsia" w:ascii="宋体" w:hAnsi="宋体" w:eastAsia="宋体" w:cs="宋体"/>
          <w:sz w:val="21"/>
          <w:szCs w:val="21"/>
        </w:rPr>
        <w:t>，垃圾做到日产日清，所有分类收集的垃圾集中堆放在堆放点、四周无散放垃圾等</w:t>
      </w:r>
      <w:r>
        <w:rPr>
          <w:rFonts w:hint="eastAsia" w:ascii="宋体" w:hAnsi="宋体" w:eastAsia="宋体" w:cs="宋体"/>
          <w:sz w:val="21"/>
          <w:szCs w:val="21"/>
          <w:lang w:eastAsia="zh-CN"/>
        </w:rPr>
        <w:t>；</w:t>
      </w:r>
    </w:p>
    <w:p w14:paraId="501E6F04">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2.1.7、每天对辖区范围内纳入清扫保洁范围的公共设施进行检查，发现问题及时向采购人汇报</w:t>
      </w:r>
      <w:r>
        <w:rPr>
          <w:rFonts w:hint="eastAsia" w:ascii="宋体" w:hAnsi="宋体" w:eastAsia="宋体" w:cs="宋体"/>
          <w:sz w:val="21"/>
          <w:szCs w:val="21"/>
          <w:lang w:eastAsia="zh-CN"/>
        </w:rPr>
        <w:t>；</w:t>
      </w:r>
    </w:p>
    <w:p w14:paraId="36DBA5B2">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2.1.8、每月定期一次卫生大扫除，除常规卫生清理外，重点清洁各区域卫生死角</w:t>
      </w:r>
      <w:r>
        <w:rPr>
          <w:rFonts w:hint="eastAsia" w:ascii="宋体" w:hAnsi="宋体" w:eastAsia="宋体" w:cs="宋体"/>
          <w:sz w:val="21"/>
          <w:szCs w:val="21"/>
          <w:lang w:eastAsia="zh-CN"/>
        </w:rPr>
        <w:t>；</w:t>
      </w:r>
    </w:p>
    <w:p w14:paraId="34D6E4DB">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2.1.9、每2-3个月（根据季节调整），集中进行消杀工作，灭鼠、蟑螂，达到无蝇、少蚊、少虫</w:t>
      </w:r>
      <w:r>
        <w:rPr>
          <w:rFonts w:hint="eastAsia" w:ascii="宋体" w:hAnsi="宋体" w:eastAsia="宋体" w:cs="宋体"/>
          <w:sz w:val="21"/>
          <w:szCs w:val="21"/>
          <w:lang w:eastAsia="zh-CN"/>
        </w:rPr>
        <w:t>；</w:t>
      </w:r>
    </w:p>
    <w:p w14:paraId="5BD3C51F">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2.1.10、公共卫生间由专人管理，地面无积水、无污渍，纸篓垃圾及时收集，无蚊蝇，空气清新无异味，洁具表面清洁干净，洗手台面无积水，无污渍</w:t>
      </w:r>
      <w:r>
        <w:rPr>
          <w:rFonts w:hint="eastAsia" w:ascii="宋体" w:hAnsi="宋体" w:eastAsia="宋体" w:cs="宋体"/>
          <w:sz w:val="21"/>
          <w:szCs w:val="21"/>
          <w:lang w:eastAsia="zh-CN"/>
        </w:rPr>
        <w:t>；</w:t>
      </w:r>
    </w:p>
    <w:p w14:paraId="2275B15C">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2.1.11、对辖区范围内树木、花草、绿地等进行浇水等日常维护、及时清除散落枯枝及垃圾，无破坏、践踏及随意占用绿地现象</w:t>
      </w:r>
      <w:r>
        <w:rPr>
          <w:rFonts w:hint="eastAsia" w:ascii="宋体" w:hAnsi="宋体" w:eastAsia="宋体" w:cs="宋体"/>
          <w:sz w:val="21"/>
          <w:szCs w:val="21"/>
          <w:lang w:eastAsia="zh-CN"/>
        </w:rPr>
        <w:t>；</w:t>
      </w:r>
    </w:p>
    <w:p w14:paraId="4E70A0A8">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2.1.12、如有重要接待任务、检查活动</w:t>
      </w:r>
      <w:r>
        <w:rPr>
          <w:rFonts w:hint="eastAsia" w:ascii="宋体" w:hAnsi="宋体" w:eastAsia="宋体" w:cs="宋体"/>
          <w:sz w:val="21"/>
          <w:szCs w:val="21"/>
          <w:lang w:eastAsia="zh-CN"/>
        </w:rPr>
        <w:t>，</w:t>
      </w:r>
      <w:r>
        <w:rPr>
          <w:rFonts w:hint="eastAsia" w:ascii="宋体" w:hAnsi="宋体" w:eastAsia="宋体" w:cs="宋体"/>
          <w:sz w:val="21"/>
          <w:szCs w:val="21"/>
        </w:rPr>
        <w:t>要派专人在现场随时清洁；</w:t>
      </w:r>
      <w:r>
        <w:rPr>
          <w:rFonts w:hint="eastAsia" w:ascii="宋体" w:hAnsi="宋体" w:eastAsia="宋体" w:cs="宋体"/>
          <w:sz w:val="21"/>
          <w:szCs w:val="21"/>
          <w:lang w:eastAsia="zh-CN"/>
        </w:rPr>
        <w:t>如采购人要求加派人员成交供应商须即刻根据采购人要求迅速加派相关服务人员到岗履职</w:t>
      </w:r>
      <w:r>
        <w:rPr>
          <w:rFonts w:hint="eastAsia" w:ascii="宋体" w:hAnsi="宋体" w:eastAsia="宋体" w:cs="宋体"/>
          <w:sz w:val="21"/>
          <w:szCs w:val="21"/>
        </w:rPr>
        <w:t>，</w:t>
      </w:r>
      <w:r>
        <w:rPr>
          <w:rFonts w:hint="eastAsia" w:ascii="宋体" w:hAnsi="宋体" w:eastAsia="宋体" w:cs="宋体"/>
          <w:sz w:val="21"/>
          <w:szCs w:val="21"/>
          <w:lang w:eastAsia="zh-CN"/>
        </w:rPr>
        <w:t>加派人员</w:t>
      </w:r>
      <w:r>
        <w:rPr>
          <w:rFonts w:hint="eastAsia" w:ascii="宋体" w:hAnsi="宋体" w:eastAsia="宋体" w:cs="宋体"/>
          <w:sz w:val="21"/>
          <w:szCs w:val="21"/>
        </w:rPr>
        <w:t>费用由采购人承担；且要随时保持街道地面无烟头、纸屑等杂物。</w:t>
      </w:r>
    </w:p>
    <w:p w14:paraId="3406312C">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2.2保安及消防管理服务内容及服务标准</w:t>
      </w:r>
    </w:p>
    <w:p w14:paraId="2D71D757">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2.2.1、所派遣保安将负责小区内的秩序维护工作。包括：小区内全方位全日制安全与消防的监控和巡查；“四防”安全管理；交通与道路管理；消防系统与安全监控系统的管理；区域范围之配套设施监控管理工作等</w:t>
      </w:r>
      <w:r>
        <w:rPr>
          <w:rFonts w:hint="eastAsia" w:ascii="宋体" w:hAnsi="宋体" w:eastAsia="宋体" w:cs="宋体"/>
          <w:sz w:val="21"/>
          <w:szCs w:val="21"/>
          <w:lang w:eastAsia="zh-CN"/>
        </w:rPr>
        <w:t>；</w:t>
      </w:r>
    </w:p>
    <w:p w14:paraId="2EB212F1">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2.2.2职责范围：在岗值守、定时巡逻、维护区域内治安秩序、有效预防偷盗案件发生，做好重点部位的防范工作、消灭事故隐患</w:t>
      </w:r>
      <w:r>
        <w:rPr>
          <w:rFonts w:hint="eastAsia" w:ascii="宋体" w:hAnsi="宋体" w:eastAsia="宋体" w:cs="宋体"/>
          <w:sz w:val="21"/>
          <w:szCs w:val="21"/>
          <w:lang w:eastAsia="zh-CN"/>
        </w:rPr>
        <w:t>；</w:t>
      </w:r>
    </w:p>
    <w:p w14:paraId="4C93924E">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2.2.3、消防及安保监控系统的运用和管理</w:t>
      </w:r>
      <w:r>
        <w:rPr>
          <w:rFonts w:hint="eastAsia" w:ascii="宋体" w:hAnsi="宋体" w:eastAsia="宋体" w:cs="宋体"/>
          <w:sz w:val="21"/>
          <w:szCs w:val="21"/>
          <w:lang w:eastAsia="zh-CN"/>
        </w:rPr>
        <w:t>；</w:t>
      </w:r>
    </w:p>
    <w:p w14:paraId="40D93CBF">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2.2.4、做好安全防范和巡视工作，区域内发生突发事件及时上报，并协助处理</w:t>
      </w:r>
      <w:r>
        <w:rPr>
          <w:rFonts w:hint="eastAsia" w:ascii="宋体" w:hAnsi="宋体" w:eastAsia="宋体" w:cs="宋体"/>
          <w:sz w:val="21"/>
          <w:szCs w:val="21"/>
          <w:lang w:eastAsia="zh-CN"/>
        </w:rPr>
        <w:t>；</w:t>
      </w:r>
    </w:p>
    <w:p w14:paraId="5F3AAA9F">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2.2.5、参与区域内消防安全预防和处置工作</w:t>
      </w:r>
      <w:r>
        <w:rPr>
          <w:rFonts w:hint="eastAsia" w:ascii="宋体" w:hAnsi="宋体" w:eastAsia="宋体" w:cs="宋体"/>
          <w:sz w:val="21"/>
          <w:szCs w:val="21"/>
          <w:lang w:eastAsia="zh-CN"/>
        </w:rPr>
        <w:t>；</w:t>
      </w:r>
    </w:p>
    <w:p w14:paraId="4D59C125">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2.2.6、上班时间必须按要求统一着装，保持制服整洁、穿戴整齐；工作状态好；上班期间不得会友、不得谈工作以外的事情；不得抽烟、吃零食（包括口香糖、槟榔等）；不得与服务对象发生口角、打架等不文明的行为</w:t>
      </w:r>
      <w:r>
        <w:rPr>
          <w:rFonts w:hint="eastAsia" w:ascii="宋体" w:hAnsi="宋体" w:eastAsia="宋体" w:cs="宋体"/>
          <w:sz w:val="21"/>
          <w:szCs w:val="21"/>
          <w:lang w:eastAsia="zh-CN"/>
        </w:rPr>
        <w:t>；</w:t>
      </w:r>
    </w:p>
    <w:p w14:paraId="55775307">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2.2.7、24小时安排人员对公共区域及重点部位进行巡逻、检查，做到巡查到位，有记录，避免偷盗、破坏的事件发生；巡逻记录登记全面详细</w:t>
      </w:r>
      <w:r>
        <w:rPr>
          <w:rFonts w:hint="eastAsia" w:ascii="宋体" w:hAnsi="宋体" w:eastAsia="宋体" w:cs="宋体"/>
          <w:sz w:val="21"/>
          <w:szCs w:val="21"/>
          <w:lang w:eastAsia="zh-CN"/>
        </w:rPr>
        <w:t>；</w:t>
      </w:r>
    </w:p>
    <w:p w14:paraId="09AD9D34">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2.2.8、白班巡逻必须保证每半小时一次，工作重点为维持治安秩序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停车秩序</w:t>
      </w:r>
      <w:r>
        <w:rPr>
          <w:rFonts w:hint="eastAsia" w:ascii="宋体" w:hAnsi="宋体" w:eastAsia="宋体" w:cs="宋体"/>
          <w:sz w:val="21"/>
          <w:szCs w:val="21"/>
        </w:rPr>
        <w:t>，禁止乱贴乱挂广告牌及散发宣传单行为，预防出现偷盗行为及</w:t>
      </w:r>
      <w:r>
        <w:rPr>
          <w:rFonts w:hint="eastAsia" w:ascii="宋体" w:hAnsi="宋体" w:eastAsia="宋体" w:cs="宋体"/>
          <w:sz w:val="21"/>
          <w:szCs w:val="21"/>
          <w:lang w:val="en-US" w:eastAsia="zh-CN"/>
        </w:rPr>
        <w:t>其他</w:t>
      </w:r>
      <w:r>
        <w:rPr>
          <w:rFonts w:hint="eastAsia" w:ascii="宋体" w:hAnsi="宋体" w:eastAsia="宋体" w:cs="宋体"/>
          <w:sz w:val="21"/>
          <w:szCs w:val="21"/>
        </w:rPr>
        <w:t>违反物业管理规定的行为</w:t>
      </w:r>
      <w:r>
        <w:rPr>
          <w:rFonts w:hint="eastAsia" w:ascii="宋体" w:hAnsi="宋体" w:eastAsia="宋体" w:cs="宋体"/>
          <w:sz w:val="21"/>
          <w:szCs w:val="21"/>
          <w:lang w:eastAsia="zh-CN"/>
        </w:rPr>
        <w:t>；</w:t>
      </w:r>
    </w:p>
    <w:p w14:paraId="7182AC7E">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2.2.9、建立消防组织机构，保证消防设施设备到位完好，坚持日常巡查，发现隐患及时排除，确保无火灾事故发生</w:t>
      </w:r>
      <w:r>
        <w:rPr>
          <w:rFonts w:hint="eastAsia" w:ascii="宋体" w:hAnsi="宋体" w:eastAsia="宋体" w:cs="宋体"/>
          <w:sz w:val="21"/>
          <w:szCs w:val="21"/>
          <w:lang w:eastAsia="zh-CN"/>
        </w:rPr>
        <w:t>；</w:t>
      </w:r>
    </w:p>
    <w:p w14:paraId="7DDAFF80">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2.2.10、能够及时上报和处置区域内的治安、刑事、交通等突发事件，有应急处置预案和培训演练记录</w:t>
      </w:r>
      <w:r>
        <w:rPr>
          <w:rFonts w:hint="eastAsia" w:ascii="宋体" w:hAnsi="宋体" w:eastAsia="宋体" w:cs="宋体"/>
          <w:sz w:val="21"/>
          <w:szCs w:val="21"/>
          <w:lang w:eastAsia="zh-CN"/>
        </w:rPr>
        <w:t>；</w:t>
      </w:r>
    </w:p>
    <w:p w14:paraId="1784C7D6">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2.2.11、对</w:t>
      </w:r>
      <w:r>
        <w:rPr>
          <w:rFonts w:hint="eastAsia" w:ascii="宋体" w:hAnsi="宋体" w:eastAsia="宋体" w:cs="宋体"/>
          <w:sz w:val="21"/>
          <w:szCs w:val="21"/>
          <w:lang w:val="en-US" w:eastAsia="zh-CN"/>
        </w:rPr>
        <w:t>辖区</w:t>
      </w:r>
      <w:r>
        <w:rPr>
          <w:rFonts w:hint="eastAsia" w:ascii="宋体" w:hAnsi="宋体" w:eastAsia="宋体" w:cs="宋体"/>
          <w:sz w:val="21"/>
          <w:szCs w:val="21"/>
        </w:rPr>
        <w:t>公共区域安全防火的要求：因成交供应商管理不善，或工作人员失误造成的安全消防事故损失，全部由成交供应商承担</w:t>
      </w:r>
      <w:r>
        <w:rPr>
          <w:rFonts w:hint="eastAsia" w:ascii="宋体" w:hAnsi="宋体" w:eastAsia="宋体" w:cs="宋体"/>
          <w:sz w:val="21"/>
          <w:szCs w:val="21"/>
          <w:lang w:eastAsia="zh-CN"/>
        </w:rPr>
        <w:t>；</w:t>
      </w:r>
    </w:p>
    <w:p w14:paraId="2C0E1B20">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2.2.12、成交供应商应制定严格的保密措施，防止泄密事故发生。</w:t>
      </w:r>
    </w:p>
    <w:p w14:paraId="320C45A8">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2.3、工程维护管理服务内容</w:t>
      </w:r>
    </w:p>
    <w:p w14:paraId="11876A83">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2.3.1、对辖区内的设施设备进行日常维护保养并制定保养制度及维护细则；</w:t>
      </w:r>
    </w:p>
    <w:p w14:paraId="5AFFC838">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2.3.2、对易耗工程设施进行日常更换及维修；</w:t>
      </w:r>
    </w:p>
    <w:p w14:paraId="3A30C94E">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2.3.3、熟悉并能正确使用辖区内各类工程设施设备，按相关要求定时开启或关闭（如：显示屏、风机、电梯风扇、园区路灯等）；</w:t>
      </w:r>
    </w:p>
    <w:p w14:paraId="2F787B66">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2.3.4、制定完善的设施设备定期巡查巡检制度，并予以实施及记录；</w:t>
      </w:r>
    </w:p>
    <w:p w14:paraId="5E7D50A5">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2.3.5、对电梯维保单位进场维保进行监督管理并提出具体要求，确保各类设备的常规维保切实到位；</w:t>
      </w:r>
    </w:p>
    <w:p w14:paraId="274AF928">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2.3.6、专业电工对辖区用电安全全面负责，杜绝出现违规用电及未经允许的外部私自接电现象；</w:t>
      </w:r>
    </w:p>
    <w:p w14:paraId="7383E421">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2.3.7、对辖区内能耗进行全面统计梳理，以数据报表形式予以留存，同时根据用电峰谷对相应大型设备功率予以适当调整；</w:t>
      </w:r>
    </w:p>
    <w:p w14:paraId="407A0232">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2.3.8、对辖区内所有设施设备建立完善的使用保养台账，数据全面详尽；</w:t>
      </w:r>
    </w:p>
    <w:p w14:paraId="66C0B088">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2.3.9、对辖区内的工程问题予以初步排查及时处理，并梳理责权划分及问题原因</w:t>
      </w:r>
      <w:r>
        <w:rPr>
          <w:rFonts w:hint="eastAsia" w:ascii="宋体" w:hAnsi="宋体" w:eastAsia="宋体" w:cs="宋体"/>
          <w:sz w:val="21"/>
          <w:szCs w:val="21"/>
        </w:rPr>
        <w:t>。</w:t>
      </w:r>
    </w:p>
    <w:p w14:paraId="3638C3EA">
      <w:pPr>
        <w:keepNext w:val="0"/>
        <w:keepLines w:val="0"/>
        <w:pageBreakBefore w:val="0"/>
        <w:widowControl/>
        <w:kinsoku/>
        <w:wordWrap/>
        <w:overflowPunct/>
        <w:topLinePunct w:val="0"/>
        <w:autoSpaceDE w:val="0"/>
        <w:bidi w:val="0"/>
        <w:spacing w:line="560" w:lineRule="exact"/>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五、考核标准和考评方法</w:t>
      </w:r>
    </w:p>
    <w:p w14:paraId="5754353A">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考核评分满分为100分。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详见附表</w:t>
      </w:r>
      <w:r>
        <w:rPr>
          <w:rFonts w:hint="eastAsia" w:ascii="宋体" w:hAnsi="宋体" w:eastAsia="宋体" w:cs="宋体"/>
          <w:sz w:val="21"/>
          <w:szCs w:val="21"/>
          <w:lang w:eastAsia="zh-CN"/>
        </w:rPr>
        <w:t>）</w:t>
      </w:r>
    </w:p>
    <w:p w14:paraId="59BB6A7A">
      <w:pPr>
        <w:keepNext w:val="0"/>
        <w:keepLines w:val="0"/>
        <w:pageBreakBefore w:val="0"/>
        <w:kinsoku/>
        <w:wordWrap/>
        <w:overflowPunct/>
        <w:topLinePunct w:val="0"/>
        <w:bidi w:val="0"/>
        <w:adjustRightInd w:val="0"/>
        <w:snapToGrid w:val="0"/>
        <w:spacing w:line="56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2、90分（含）以上为优秀全额支付月度服务费，70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（不含）</w:t>
      </w:r>
      <w:r>
        <w:rPr>
          <w:rFonts w:hint="eastAsia" w:ascii="宋体" w:hAnsi="宋体" w:eastAsia="宋体" w:cs="宋体"/>
          <w:b w:val="0"/>
          <w:bCs w:val="0"/>
          <w:sz w:val="21"/>
          <w:szCs w:val="21"/>
        </w:rPr>
        <w:t>以上为合格，按考核表内累积扣费金额进行按实扣费；</w:t>
      </w:r>
      <w:r>
        <w:rPr>
          <w:rFonts w:hint="eastAsia" w:ascii="宋体" w:hAnsi="宋体" w:eastAsia="宋体" w:cs="宋体"/>
          <w:b w:val="0"/>
          <w:bCs w:val="0"/>
          <w:sz w:val="21"/>
          <w:szCs w:val="21"/>
          <w:lang w:val="en-US" w:eastAsia="zh-CN"/>
        </w:rPr>
        <w:t>70</w:t>
      </w:r>
      <w:r>
        <w:rPr>
          <w:rFonts w:hint="eastAsia" w:ascii="宋体" w:hAnsi="宋体" w:eastAsia="宋体" w:cs="宋体"/>
          <w:b w:val="0"/>
          <w:bCs w:val="0"/>
          <w:sz w:val="21"/>
          <w:szCs w:val="21"/>
        </w:rPr>
        <w:t>分（含）以下为基本合格，扣除10%月度服务费，</w:t>
      </w:r>
      <w:r>
        <w:rPr>
          <w:rFonts w:hint="eastAsia" w:ascii="宋体" w:hAnsi="宋体" w:eastAsia="宋体" w:cs="宋体"/>
          <w:b w:val="0"/>
          <w:bCs w:val="0"/>
          <w:sz w:val="21"/>
          <w:szCs w:val="21"/>
          <w:lang w:val="en-US" w:eastAsia="zh-CN"/>
        </w:rPr>
        <w:t>59</w:t>
      </w:r>
      <w:r>
        <w:rPr>
          <w:rFonts w:hint="eastAsia" w:ascii="宋体" w:hAnsi="宋体" w:eastAsia="宋体" w:cs="宋体"/>
          <w:b w:val="0"/>
          <w:bCs w:val="0"/>
          <w:sz w:val="21"/>
          <w:szCs w:val="21"/>
        </w:rPr>
        <w:t>（含）分以下为不合格，扣除月度服务费50%，</w:t>
      </w:r>
      <w:r>
        <w:rPr>
          <w:rFonts w:hint="eastAsia" w:ascii="宋体" w:hAnsi="宋体" w:eastAsia="宋体" w:cs="宋体"/>
          <w:b w:val="0"/>
          <w:bCs w:val="0"/>
          <w:sz w:val="21"/>
          <w:szCs w:val="21"/>
          <w:lang w:eastAsia="zh-CN"/>
        </w:rPr>
        <w:t>扣除履约保证</w:t>
      </w:r>
      <w:r>
        <w:rPr>
          <w:rFonts w:hint="eastAsia" w:ascii="宋体" w:hAnsi="宋体" w:eastAsia="宋体" w:cs="宋体"/>
          <w:b w:val="0"/>
          <w:bCs w:val="0"/>
          <w:sz w:val="21"/>
          <w:szCs w:val="21"/>
          <w:lang w:val="en-US" w:eastAsia="zh-CN"/>
        </w:rPr>
        <w:t>10000元/次，</w:t>
      </w:r>
      <w:r>
        <w:rPr>
          <w:rFonts w:hint="eastAsia" w:ascii="宋体" w:hAnsi="宋体" w:eastAsia="宋体" w:cs="宋体"/>
          <w:b w:val="0"/>
          <w:bCs w:val="0"/>
          <w:sz w:val="21"/>
          <w:szCs w:val="21"/>
        </w:rPr>
        <w:t>并由甲方进行约谈处理，如连续两个月60分以下则</w:t>
      </w:r>
      <w:r>
        <w:rPr>
          <w:rFonts w:hint="eastAsia" w:ascii="宋体" w:hAnsi="宋体" w:eastAsia="宋体" w:cs="宋体"/>
          <w:b w:val="0"/>
          <w:bCs w:val="0"/>
          <w:sz w:val="21"/>
          <w:szCs w:val="21"/>
          <w:lang w:eastAsia="zh-CN"/>
        </w:rPr>
        <w:t>采购人</w:t>
      </w:r>
      <w:r>
        <w:rPr>
          <w:rFonts w:hint="eastAsia" w:ascii="宋体" w:hAnsi="宋体" w:eastAsia="宋体" w:cs="宋体"/>
          <w:b w:val="0"/>
          <w:bCs w:val="0"/>
          <w:sz w:val="21"/>
          <w:szCs w:val="21"/>
        </w:rPr>
        <w:t>有权当即解除服务合同</w:t>
      </w:r>
      <w:r>
        <w:rPr>
          <w:rFonts w:hint="eastAsia" w:ascii="宋体" w:hAnsi="宋体" w:eastAsia="宋体" w:cs="宋体"/>
          <w:b w:val="0"/>
          <w:bCs w:val="0"/>
          <w:sz w:val="21"/>
          <w:szCs w:val="21"/>
          <w:lang w:eastAsia="zh-CN"/>
        </w:rPr>
        <w:t>，履约保证金不予以退还</w:t>
      </w:r>
      <w:r>
        <w:rPr>
          <w:rFonts w:hint="eastAsia" w:ascii="宋体" w:hAnsi="宋体" w:eastAsia="宋体" w:cs="宋体"/>
          <w:b w:val="0"/>
          <w:bCs w:val="0"/>
          <w:sz w:val="21"/>
          <w:szCs w:val="21"/>
        </w:rPr>
        <w:t>。</w:t>
      </w:r>
    </w:p>
    <w:p w14:paraId="176501A4">
      <w:pPr>
        <w:keepNext w:val="0"/>
        <w:keepLines w:val="0"/>
        <w:pageBreakBefore w:val="0"/>
        <w:kinsoku/>
        <w:wordWrap/>
        <w:overflowPunct/>
        <w:topLinePunct w:val="0"/>
        <w:bidi w:val="0"/>
        <w:adjustRightInd w:val="0"/>
        <w:snapToGrid w:val="0"/>
        <w:spacing w:line="5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3、专项考核</w:t>
      </w:r>
    </w:p>
    <w:p w14:paraId="62B4526E">
      <w:pPr>
        <w:widowControl w:val="0"/>
        <w:numPr>
          <w:ilvl w:val="0"/>
          <w:numId w:val="0"/>
        </w:numPr>
        <w:spacing w:beforeLines="50" w:afterLines="5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3.1、人员服务：供应商所派遣人数必须满足合同约定，如发生人员缺编情况则扣除缺编人员费用（人员扣费单价基数为月度服务费/需求总人数），后另行扣除履约保证金1000元/人/次；</w:t>
      </w:r>
    </w:p>
    <w:p w14:paraId="5399CADF">
      <w:pPr>
        <w:widowControl w:val="0"/>
        <w:numPr>
          <w:ilvl w:val="0"/>
          <w:numId w:val="0"/>
        </w:numPr>
        <w:spacing w:beforeLines="50" w:afterLines="5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3.2、如因供应商原因导致发生安全生产相关安全责任事故，当月考核评定为基本合格，根据安全事故等级划分标准，一般事故扣除保证金50000元，较大及以上事故则全额扣除其履约保证金，并由供应商自行承担相关责任，如造成损失均由供应商自行承担或履行相关赔偿义务；</w:t>
      </w:r>
    </w:p>
    <w:p w14:paraId="25DE0B33">
      <w:pPr>
        <w:widowControl w:val="0"/>
        <w:numPr>
          <w:ilvl w:val="0"/>
          <w:numId w:val="0"/>
        </w:numPr>
        <w:spacing w:beforeLines="50" w:afterLines="5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3.3、消防监控室值班人员必须持证上岗，且人证相符，如出现人证不符情况则扣除当月服务费2000元/次。</w:t>
      </w:r>
    </w:p>
    <w:p w14:paraId="592A8537">
      <w:pPr>
        <w:widowControl w:val="0"/>
        <w:numPr>
          <w:ilvl w:val="0"/>
          <w:numId w:val="0"/>
        </w:numPr>
        <w:spacing w:beforeLines="50" w:afterLines="50" w:line="36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4、本考核最终解释权在采购人。</w:t>
      </w:r>
    </w:p>
    <w:p w14:paraId="45FE00EC">
      <w:pPr>
        <w:keepNext w:val="0"/>
        <w:keepLines w:val="0"/>
        <w:pageBreakBefore w:val="0"/>
        <w:widowControl/>
        <w:kinsoku/>
        <w:wordWrap/>
        <w:overflowPunct/>
        <w:topLinePunct w:val="0"/>
        <w:autoSpaceDE w:val="0"/>
        <w:bidi w:val="0"/>
        <w:spacing w:line="560" w:lineRule="exact"/>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六、项目其他要求及说明</w:t>
      </w:r>
    </w:p>
    <w:p w14:paraId="1ABB473C">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1.实施时间：自合同签订之日起</w:t>
      </w:r>
      <w:r>
        <w:rPr>
          <w:rFonts w:hint="eastAsia" w:ascii="宋体" w:hAnsi="宋体" w:eastAsia="宋体" w:cs="宋体"/>
          <w:sz w:val="21"/>
          <w:szCs w:val="21"/>
          <w:lang w:val="en-US" w:eastAsia="zh-CN"/>
        </w:rPr>
        <w:t>1</w:t>
      </w:r>
      <w:r>
        <w:rPr>
          <w:rFonts w:hint="eastAsia" w:ascii="宋体" w:hAnsi="宋体" w:eastAsia="宋体" w:cs="宋体"/>
          <w:sz w:val="21"/>
          <w:szCs w:val="21"/>
        </w:rPr>
        <w:t>年。</w:t>
      </w:r>
    </w:p>
    <w:p w14:paraId="7F0512C6">
      <w:pPr>
        <w:keepNext w:val="0"/>
        <w:keepLines w:val="0"/>
        <w:pageBreakBefore w:val="0"/>
        <w:kinsoku/>
        <w:wordWrap/>
        <w:overflowPunct/>
        <w:topLinePunct w:val="0"/>
        <w:bidi w:val="0"/>
        <w:spacing w:line="5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实施地点：长沙市北鑫物业管理有限公司指定地点。</w:t>
      </w:r>
    </w:p>
    <w:p w14:paraId="6FAEF130">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2.结算方法：</w:t>
      </w:r>
    </w:p>
    <w:p w14:paraId="4E2B8A43">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rPr>
        <w:t>2.1</w:t>
      </w:r>
      <w:r>
        <w:rPr>
          <w:rFonts w:hint="eastAsia" w:ascii="宋体" w:hAnsi="宋体" w:eastAsia="宋体" w:cs="宋体"/>
          <w:sz w:val="21"/>
          <w:szCs w:val="21"/>
          <w:lang w:eastAsia="zh-CN"/>
        </w:rPr>
        <w:t>、</w:t>
      </w:r>
      <w:r>
        <w:rPr>
          <w:rFonts w:hint="eastAsia" w:ascii="宋体" w:hAnsi="宋体" w:eastAsia="宋体" w:cs="宋体"/>
          <w:sz w:val="21"/>
          <w:szCs w:val="21"/>
        </w:rPr>
        <w:t>付款人：长沙市北鑫物业管理有限公司（单位自行支付）</w:t>
      </w:r>
      <w:r>
        <w:rPr>
          <w:rFonts w:hint="eastAsia" w:ascii="宋体" w:hAnsi="宋体" w:eastAsia="宋体" w:cs="宋体"/>
          <w:sz w:val="21"/>
          <w:szCs w:val="21"/>
          <w:lang w:eastAsia="zh-CN"/>
        </w:rPr>
        <w:t>；</w:t>
      </w:r>
    </w:p>
    <w:p w14:paraId="0EA2BCEB">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color w:val="666666"/>
          <w:sz w:val="21"/>
          <w:szCs w:val="21"/>
          <w:lang w:eastAsia="zh-CN"/>
        </w:rPr>
      </w:pPr>
      <w:r>
        <w:rPr>
          <w:rFonts w:hint="eastAsia" w:ascii="宋体" w:hAnsi="宋体" w:eastAsia="宋体" w:cs="宋体"/>
          <w:sz w:val="21"/>
          <w:szCs w:val="21"/>
        </w:rPr>
        <w:t>2.2</w:t>
      </w:r>
      <w:r>
        <w:rPr>
          <w:rFonts w:hint="eastAsia" w:ascii="宋体" w:hAnsi="宋体" w:eastAsia="宋体" w:cs="宋体"/>
          <w:sz w:val="21"/>
          <w:szCs w:val="21"/>
          <w:lang w:eastAsia="zh-CN"/>
        </w:rPr>
        <w:t>、</w:t>
      </w:r>
      <w:r>
        <w:rPr>
          <w:rFonts w:hint="eastAsia" w:ascii="宋体" w:hAnsi="宋体" w:eastAsia="宋体" w:cs="宋体"/>
          <w:sz w:val="21"/>
          <w:szCs w:val="21"/>
        </w:rPr>
        <w:t>付款方式：按月度支付，每月度工作完成后经采购人考核确认后付款</w:t>
      </w:r>
      <w:r>
        <w:rPr>
          <w:rFonts w:hint="eastAsia" w:ascii="宋体" w:hAnsi="宋体" w:eastAsia="宋体" w:cs="宋体"/>
          <w:sz w:val="21"/>
          <w:szCs w:val="21"/>
          <w:lang w:eastAsia="zh-CN"/>
        </w:rPr>
        <w:t>；</w:t>
      </w:r>
    </w:p>
    <w:p w14:paraId="0858F5C5">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b/>
          <w:bCs/>
          <w:sz w:val="21"/>
          <w:szCs w:val="21"/>
          <w:highlight w:val="yellow"/>
          <w:u w:val="single"/>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本项目由采购人自行组织验收。若项目验收国家有强制性规定的，按国家规定执行，验收费用由成交供应商承担，验收报告作为申请付款的凭证之一</w:t>
      </w:r>
      <w:r>
        <w:rPr>
          <w:rFonts w:hint="eastAsia" w:ascii="宋体" w:hAnsi="宋体" w:eastAsia="宋体" w:cs="宋体"/>
          <w:sz w:val="21"/>
          <w:szCs w:val="21"/>
          <w:lang w:eastAsia="zh-CN"/>
        </w:rPr>
        <w:t>；</w:t>
      </w:r>
    </w:p>
    <w:p w14:paraId="1282CBDE">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供应商或成交供应商在参与本项目的全部过程中，应负责其派出的所有工作人员的人身意外保险以及承担人身意外事故引发的责任、损失和所有费用。采购人不承担供应商或成交供应商工作人员因意外（包括但不限于：在驻场工作中发生的意外以及抵达驻场途中及返程中发生的意外）所致的任何责任</w:t>
      </w:r>
      <w:r>
        <w:rPr>
          <w:rFonts w:hint="eastAsia" w:ascii="宋体" w:hAnsi="宋体" w:eastAsia="宋体" w:cs="宋体"/>
          <w:sz w:val="21"/>
          <w:szCs w:val="21"/>
          <w:lang w:eastAsia="zh-CN"/>
        </w:rPr>
        <w:t>；</w:t>
      </w:r>
    </w:p>
    <w:p w14:paraId="7C21EDE6">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本项目费用按总价包干方式，供应商应根据项目要求、人员工资不能低于长沙市当前最低工资标准（并考虑人工工资上调、物价上涨等风险因素），按照要求给服务人员购买对应的五险，详细列明服务所需的服装、工具、设备及材料购置费（供应商负责配置），以及培训、管理费、税费、合理利润等完成项目所需的其他所有费用，如一旦成交，在项目实施中出现任何遗漏，均由成交供应商负责，采购人不再支付任何费用</w:t>
      </w:r>
      <w:r>
        <w:rPr>
          <w:rFonts w:hint="eastAsia" w:ascii="宋体" w:hAnsi="宋体" w:eastAsia="宋体" w:cs="宋体"/>
          <w:sz w:val="21"/>
          <w:szCs w:val="21"/>
          <w:lang w:eastAsia="zh-CN"/>
        </w:rPr>
        <w:t>；</w:t>
      </w:r>
    </w:p>
    <w:p w14:paraId="23F62AD4">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供应商如须踏勘现场，有关费用自理，踏勘期间发生的意外自负</w:t>
      </w:r>
      <w:r>
        <w:rPr>
          <w:rFonts w:hint="eastAsia" w:ascii="宋体" w:hAnsi="宋体" w:eastAsia="宋体" w:cs="宋体"/>
          <w:sz w:val="21"/>
          <w:szCs w:val="21"/>
          <w:lang w:eastAsia="zh-CN"/>
        </w:rPr>
        <w:t>；</w:t>
      </w:r>
    </w:p>
    <w:p w14:paraId="5E482F8A">
      <w:pPr>
        <w:keepNext w:val="0"/>
        <w:keepLines w:val="0"/>
        <w:pageBreakBefore w:val="0"/>
        <w:tabs>
          <w:tab w:val="left" w:pos="5"/>
        </w:tabs>
        <w:kinsoku/>
        <w:wordWrap/>
        <w:overflowPunct/>
        <w:topLinePunct w:val="0"/>
        <w:bidi w:val="0"/>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对于上述项目要求，供应商应在响应文件中进行回应，作出承诺及说明。</w:t>
      </w:r>
    </w:p>
    <w:p w14:paraId="6906E59D">
      <w:pPr>
        <w:widowControl w:val="0"/>
        <w:spacing w:beforeLines="50" w:afterLines="5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3.本采购需求最终解释权在采购人。</w:t>
      </w:r>
    </w:p>
    <w:p w14:paraId="7D0290B2">
      <w:pPr>
        <w:keepNext w:val="0"/>
        <w:keepLines w:val="0"/>
        <w:pageBreakBefore w:val="0"/>
        <w:widowControl w:val="0"/>
        <w:numPr>
          <w:ilvl w:val="0"/>
          <w:numId w:val="0"/>
        </w:numPr>
        <w:kinsoku/>
        <w:wordWrap/>
        <w:overflowPunct/>
        <w:topLinePunct w:val="0"/>
        <w:autoSpaceDN/>
        <w:bidi w:val="0"/>
        <w:adjustRightInd/>
        <w:snapToGrid/>
        <w:spacing w:beforeLines="50" w:afterLines="50" w:line="500" w:lineRule="exact"/>
        <w:ind w:firstLine="422" w:firstLineChars="200"/>
        <w:jc w:val="both"/>
        <w:textAlignment w:val="auto"/>
        <w:rPr>
          <w:rFonts w:hint="eastAsia" w:ascii="宋体" w:hAnsi="宋体" w:eastAsia="宋体" w:cs="宋体"/>
          <w:b/>
          <w:bCs/>
          <w:sz w:val="21"/>
          <w:szCs w:val="21"/>
          <w:lang w:val="en-US" w:eastAsia="zh-CN"/>
        </w:rPr>
        <w:sectPr>
          <w:footerReference r:id="rId15"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sz w:val="21"/>
          <w:szCs w:val="21"/>
          <w:lang w:val="en-US" w:eastAsia="zh-CN"/>
        </w:rPr>
        <w:t>4.本项目为国有企业的采购活动，属于非政府采购项目，本文件所称政府采购的表述不代表本项目适用政府采购政策规定，由采购人负责所有相关问题的处理</w:t>
      </w:r>
      <w:r>
        <w:rPr>
          <w:rFonts w:hint="eastAsia" w:cs="宋体"/>
          <w:b/>
          <w:bCs/>
          <w:sz w:val="21"/>
          <w:szCs w:val="21"/>
          <w:lang w:val="en-US" w:eastAsia="zh-CN"/>
        </w:rPr>
        <w:t>，，采购人可根据项目实际情况确定商务条款、相关评审办法等</w:t>
      </w:r>
      <w:r>
        <w:rPr>
          <w:rFonts w:hint="eastAsia" w:ascii="宋体" w:hAnsi="宋体" w:eastAsia="宋体" w:cs="宋体"/>
          <w:b/>
          <w:bCs/>
          <w:sz w:val="21"/>
          <w:szCs w:val="21"/>
          <w:lang w:val="en-US" w:eastAsia="zh-CN"/>
        </w:rPr>
        <w:t>。</w:t>
      </w:r>
    </w:p>
    <w:tbl>
      <w:tblPr>
        <w:tblStyle w:val="43"/>
        <w:tblW w:w="15714" w:type="dxa"/>
        <w:tblInd w:w="0" w:type="dxa"/>
        <w:tblLayout w:type="autofit"/>
        <w:tblCellMar>
          <w:top w:w="0" w:type="dxa"/>
          <w:left w:w="0" w:type="dxa"/>
          <w:bottom w:w="0" w:type="dxa"/>
          <w:right w:w="0" w:type="dxa"/>
        </w:tblCellMar>
      </w:tblPr>
      <w:tblGrid>
        <w:gridCol w:w="750"/>
        <w:gridCol w:w="1964"/>
        <w:gridCol w:w="1328"/>
        <w:gridCol w:w="1047"/>
        <w:gridCol w:w="973"/>
        <w:gridCol w:w="1029"/>
        <w:gridCol w:w="4751"/>
        <w:gridCol w:w="2674"/>
        <w:gridCol w:w="1198"/>
      </w:tblGrid>
      <w:tr w14:paraId="15A450E1">
        <w:tblPrEx>
          <w:tblCellMar>
            <w:top w:w="0" w:type="dxa"/>
            <w:left w:w="0" w:type="dxa"/>
            <w:bottom w:w="0" w:type="dxa"/>
            <w:right w:w="0" w:type="dxa"/>
          </w:tblCellMar>
        </w:tblPrEx>
        <w:trPr>
          <w:trHeight w:val="780" w:hRule="atLeast"/>
        </w:trPr>
        <w:tc>
          <w:tcPr>
            <w:tcW w:w="15714" w:type="dxa"/>
            <w:gridSpan w:val="9"/>
            <w:tcBorders>
              <w:top w:val="nil"/>
              <w:left w:val="nil"/>
              <w:bottom w:val="nil"/>
              <w:right w:val="nil"/>
            </w:tcBorders>
            <w:noWrap w:val="0"/>
            <w:tcMar>
              <w:top w:w="15" w:type="dxa"/>
              <w:left w:w="15" w:type="dxa"/>
              <w:right w:w="15" w:type="dxa"/>
            </w:tcMar>
            <w:vAlign w:val="center"/>
          </w:tcPr>
          <w:p w14:paraId="368CB89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eastAsia="zh-CN" w:bidi="ar"/>
              </w:rPr>
              <w:t>保安保洁及工程维护</w:t>
            </w:r>
            <w:r>
              <w:rPr>
                <w:rFonts w:hint="eastAsia" w:ascii="仿宋_GB2312" w:hAnsi="仿宋_GB2312" w:eastAsia="仿宋_GB2312" w:cs="仿宋_GB2312"/>
                <w:b/>
                <w:color w:val="000000"/>
                <w:kern w:val="0"/>
                <w:sz w:val="21"/>
                <w:szCs w:val="21"/>
                <w:lang w:bidi="ar"/>
              </w:rPr>
              <w:t>月度考核表</w:t>
            </w:r>
          </w:p>
        </w:tc>
      </w:tr>
      <w:tr w14:paraId="0420C050">
        <w:tblPrEx>
          <w:tblCellMar>
            <w:top w:w="0" w:type="dxa"/>
            <w:left w:w="0" w:type="dxa"/>
            <w:bottom w:w="0" w:type="dxa"/>
            <w:right w:w="0" w:type="dxa"/>
          </w:tblCellMar>
        </w:tblPrEx>
        <w:trPr>
          <w:trHeight w:val="92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A494C">
            <w:pPr>
              <w:keepNext w:val="0"/>
              <w:keepLines w:val="0"/>
              <w:pageBreakBefore w:val="0"/>
              <w:widowControl/>
              <w:kinsoku/>
              <w:wordWrap/>
              <w:overflowPunct/>
              <w:topLinePunct w:val="0"/>
              <w:bidi w:val="0"/>
              <w:spacing w:line="240" w:lineRule="auto"/>
              <w:ind w:firstLine="0" w:firstLineChars="0"/>
              <w:jc w:val="left"/>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lang w:bidi="ar"/>
              </w:rPr>
              <w:t>一、保安月度考核</w:t>
            </w:r>
            <w:r>
              <w:rPr>
                <w:rFonts w:hint="eastAsia" w:ascii="仿宋_GB2312" w:hAnsi="仿宋_GB2312" w:eastAsia="仿宋_GB2312" w:cs="仿宋_GB2312"/>
                <w:b/>
                <w:color w:val="000000"/>
                <w:kern w:val="0"/>
                <w:sz w:val="21"/>
                <w:szCs w:val="21"/>
                <w:lang w:eastAsia="zh-CN" w:bidi="ar"/>
              </w:rPr>
              <w:t>（</w:t>
            </w:r>
            <w:r>
              <w:rPr>
                <w:rFonts w:hint="eastAsia" w:ascii="仿宋_GB2312" w:hAnsi="仿宋_GB2312" w:eastAsia="仿宋_GB2312" w:cs="仿宋_GB2312"/>
                <w:b/>
                <w:color w:val="000000"/>
                <w:kern w:val="0"/>
                <w:sz w:val="21"/>
                <w:szCs w:val="21"/>
                <w:lang w:val="en-US" w:eastAsia="zh-CN" w:bidi="ar"/>
              </w:rPr>
              <w:t>30分</w:t>
            </w:r>
            <w:r>
              <w:rPr>
                <w:rFonts w:hint="eastAsia" w:ascii="仿宋_GB2312" w:hAnsi="仿宋_GB2312" w:eastAsia="仿宋_GB2312" w:cs="仿宋_GB2312"/>
                <w:b/>
                <w:color w:val="000000"/>
                <w:kern w:val="0"/>
                <w:sz w:val="21"/>
                <w:szCs w:val="21"/>
                <w:lang w:eastAsia="zh-CN" w:bidi="ar"/>
              </w:rPr>
              <w:t>）</w:t>
            </w:r>
          </w:p>
        </w:tc>
      </w:tr>
      <w:tr w14:paraId="15527E52">
        <w:tblPrEx>
          <w:tblCellMar>
            <w:top w:w="0" w:type="dxa"/>
            <w:left w:w="0" w:type="dxa"/>
            <w:bottom w:w="0" w:type="dxa"/>
            <w:right w:w="0" w:type="dxa"/>
          </w:tblCellMar>
        </w:tblPrEx>
        <w:trPr>
          <w:trHeight w:val="740"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F0F6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考核项</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AC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保安服务品质标准</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2A1A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考评标准</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306B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处罚标准（按次累积扣分/扣费）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2444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累积扣分/扣费</w:t>
            </w:r>
          </w:p>
        </w:tc>
      </w:tr>
      <w:tr w14:paraId="2A7B1654">
        <w:tblPrEx>
          <w:tblCellMar>
            <w:top w:w="0" w:type="dxa"/>
            <w:left w:w="0" w:type="dxa"/>
            <w:bottom w:w="0" w:type="dxa"/>
            <w:right w:w="0" w:type="dxa"/>
          </w:tblCellMar>
        </w:tblPrEx>
        <w:trPr>
          <w:trHeight w:val="78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9513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形象</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8</w:t>
            </w:r>
            <w:r>
              <w:rPr>
                <w:rFonts w:hint="eastAsia" w:ascii="仿宋_GB2312" w:hAnsi="仿宋_GB2312" w:eastAsia="仿宋_GB2312" w:cs="仿宋_GB2312"/>
                <w:color w:val="000000"/>
                <w:kern w:val="0"/>
                <w:sz w:val="21"/>
                <w:szCs w:val="21"/>
                <w:lang w:bidi="ar"/>
              </w:rPr>
              <w:t>分)</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0919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按统一规定着装、佩带胸牌、装备</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5101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班前形象检查，未穿统一保安制服，未佩戴工牌的</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1D52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CD4036">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514BC02D">
        <w:tblPrEx>
          <w:tblCellMar>
            <w:top w:w="0" w:type="dxa"/>
            <w:left w:w="0" w:type="dxa"/>
            <w:bottom w:w="0" w:type="dxa"/>
            <w:right w:w="0" w:type="dxa"/>
          </w:tblCellMar>
        </w:tblPrEx>
        <w:trPr>
          <w:trHeight w:val="96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C84E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3F90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内务管理</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039B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宿舍须保持干净、整洁、无异味，宿舍内不得使用大功率电器，不得出</w:t>
            </w:r>
            <w:r>
              <w:rPr>
                <w:rFonts w:hint="eastAsia" w:ascii="仿宋_GB2312" w:hAnsi="仿宋_GB2312" w:eastAsia="仿宋_GB2312" w:cs="仿宋_GB2312"/>
                <w:color w:val="000000"/>
                <w:kern w:val="0"/>
                <w:sz w:val="21"/>
                <w:szCs w:val="21"/>
                <w:lang w:bidi="ar"/>
              </w:rPr>
              <w:t>现私拉乱接现象</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BA08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ADA6D">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9913E32">
        <w:tblPrEx>
          <w:tblCellMar>
            <w:top w:w="0" w:type="dxa"/>
            <w:left w:w="0" w:type="dxa"/>
            <w:bottom w:w="0" w:type="dxa"/>
            <w:right w:w="0" w:type="dxa"/>
          </w:tblCellMar>
        </w:tblPrEx>
        <w:trPr>
          <w:trHeight w:val="96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2AF7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48D6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负责本小区建筑垃圾清运车辆登记、拍照</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FB47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记录清晰、工整，完整</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BC39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68CCA8">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5E6BB01A">
        <w:tblPrEx>
          <w:tblCellMar>
            <w:top w:w="0" w:type="dxa"/>
            <w:left w:w="0" w:type="dxa"/>
            <w:bottom w:w="0" w:type="dxa"/>
            <w:right w:w="0" w:type="dxa"/>
          </w:tblCellMar>
        </w:tblPrEx>
        <w:trPr>
          <w:trHeight w:val="96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6CE0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8959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着装整齐，服装清洁、笔挺，仪表仪容端庄、整洁。</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85E3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着装不整齐、不干净，仪表不整洁，姿态不规范。</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14B1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CD7163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19214D5">
        <w:tblPrEx>
          <w:tblCellMar>
            <w:top w:w="0" w:type="dxa"/>
            <w:left w:w="0" w:type="dxa"/>
            <w:bottom w:w="0" w:type="dxa"/>
            <w:right w:w="0" w:type="dxa"/>
          </w:tblCellMar>
        </w:tblPrEx>
        <w:trPr>
          <w:trHeight w:val="9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7EC3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培训</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分）</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1F98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员工素质培训</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14F3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做好员工礼节礼仪培训，做到文明用语，不能出现打架斗殴行为</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0FDE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200</w:t>
            </w:r>
            <w:r>
              <w:rPr>
                <w:rFonts w:hint="eastAsia" w:ascii="仿宋_GB2312" w:hAnsi="仿宋_GB2312" w:eastAsia="仿宋_GB2312" w:cs="仿宋_GB2312"/>
                <w:color w:val="000000"/>
                <w:kern w:val="0"/>
                <w:sz w:val="21"/>
                <w:szCs w:val="21"/>
                <w:lang w:eastAsia="zh-CN" w:bidi="ar"/>
              </w:rPr>
              <w:t>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949F8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55B5DF0">
        <w:tblPrEx>
          <w:tblCellMar>
            <w:top w:w="0" w:type="dxa"/>
            <w:left w:w="0" w:type="dxa"/>
            <w:bottom w:w="0" w:type="dxa"/>
            <w:right w:w="0"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DB52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3870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员工岗位培训</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EDE2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做好员工作业培训，立岗姿势或巡逻走姿规范、正确，值岗或交接岗位时语言、动作规范、认真。</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ECAC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200</w:t>
            </w:r>
            <w:r>
              <w:rPr>
                <w:rFonts w:hint="eastAsia" w:ascii="仿宋_GB2312" w:hAnsi="仿宋_GB2312" w:eastAsia="仿宋_GB2312" w:cs="仿宋_GB2312"/>
                <w:color w:val="000000"/>
                <w:kern w:val="0"/>
                <w:sz w:val="21"/>
                <w:szCs w:val="21"/>
                <w:lang w:eastAsia="zh-CN" w:bidi="ar"/>
              </w:rPr>
              <w:t>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165AB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3A1B4BC">
        <w:tblPrEx>
          <w:tblCellMar>
            <w:top w:w="0" w:type="dxa"/>
            <w:left w:w="0" w:type="dxa"/>
            <w:bottom w:w="0" w:type="dxa"/>
            <w:right w:w="0" w:type="dxa"/>
          </w:tblCellMar>
        </w:tblPrEx>
        <w:trPr>
          <w:trHeight w:val="87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2F54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岗位</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服务</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10</w:t>
            </w:r>
            <w:r>
              <w:rPr>
                <w:rFonts w:hint="eastAsia" w:ascii="仿宋_GB2312" w:hAnsi="仿宋_GB2312" w:eastAsia="仿宋_GB2312" w:cs="仿宋_GB2312"/>
                <w:color w:val="000000"/>
                <w:kern w:val="0"/>
                <w:sz w:val="21"/>
                <w:szCs w:val="21"/>
                <w:lang w:bidi="ar"/>
              </w:rPr>
              <w:t>分）</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DD62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按岗位要求配置等级人员，保持通讯畅通</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210B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未按合同规定配置相应级别的保安人员，无法与当班现场负责任人取得联系的</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9F66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w:t>
            </w:r>
            <w:r>
              <w:rPr>
                <w:rFonts w:hint="eastAsia" w:ascii="仿宋_GB2312" w:hAnsi="仿宋_GB2312" w:eastAsia="仿宋_GB2312" w:cs="仿宋_GB2312"/>
                <w:color w:val="000000"/>
                <w:kern w:val="0"/>
                <w:sz w:val="21"/>
                <w:szCs w:val="21"/>
                <w:lang w:eastAsia="zh-CN" w:bidi="ar"/>
              </w:rPr>
              <w:t>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1D377C">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70792CB">
        <w:tblPrEx>
          <w:tblCellMar>
            <w:top w:w="0" w:type="dxa"/>
            <w:left w:w="0" w:type="dxa"/>
            <w:bottom w:w="0" w:type="dxa"/>
            <w:right w:w="0" w:type="dxa"/>
          </w:tblCellMar>
        </w:tblPrEx>
        <w:trPr>
          <w:trHeight w:val="93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948B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7839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保安员应严格遵守岗位职责、纪律</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2EF3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当班期间不抽烟、喝酒、玩手机、闲聊、看书报、听广播、大声喧哗或做与工作岗位无关的事，不应散布谣言，避免影响内部团结稳定或造成不良影响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6052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17F55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A6A978A">
        <w:tblPrEx>
          <w:tblCellMar>
            <w:top w:w="0" w:type="dxa"/>
            <w:left w:w="0" w:type="dxa"/>
            <w:bottom w:w="0" w:type="dxa"/>
            <w:right w:w="0" w:type="dxa"/>
          </w:tblCellMar>
        </w:tblPrEx>
        <w:trPr>
          <w:trHeight w:val="8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F218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F32F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对待工作应认真负责</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49DA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当班期间不离岗、不脱岗、不睡岗；不应串岗、聚岗；要确保巡逻到位，不能漏更</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E006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一次不合格，拟扣100</w:t>
            </w:r>
            <w:r>
              <w:rPr>
                <w:rFonts w:hint="eastAsia" w:ascii="仿宋_GB2312" w:hAnsi="仿宋_GB2312" w:eastAsia="仿宋_GB2312" w:cs="仿宋_GB2312"/>
                <w:color w:val="000000"/>
                <w:kern w:val="0"/>
                <w:sz w:val="21"/>
                <w:szCs w:val="21"/>
                <w:lang w:val="en-US" w:eastAsia="zh-CN" w:bidi="ar"/>
              </w:rPr>
              <w:t>0</w:t>
            </w:r>
            <w:r>
              <w:rPr>
                <w:rFonts w:hint="eastAsia" w:ascii="仿宋_GB2312" w:hAnsi="仿宋_GB2312" w:eastAsia="仿宋_GB2312" w:cs="仿宋_GB2312"/>
                <w:color w:val="000000"/>
                <w:kern w:val="0"/>
                <w:sz w:val="21"/>
                <w:szCs w:val="21"/>
                <w:lang w:bidi="ar"/>
              </w:rPr>
              <w:t>元</w:t>
            </w:r>
            <w:r>
              <w:rPr>
                <w:rFonts w:hint="eastAsia" w:ascii="仿宋_GB2312" w:hAnsi="仿宋_GB2312" w:eastAsia="仿宋_GB2312" w:cs="仿宋_GB2312"/>
                <w:color w:val="000000"/>
                <w:kern w:val="0"/>
                <w:sz w:val="21"/>
                <w:szCs w:val="21"/>
                <w:lang w:val="en-US" w:eastAsia="zh-CN" w:bidi="ar"/>
              </w:rPr>
              <w:t>5</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EC022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E29F5D7">
        <w:tblPrEx>
          <w:tblCellMar>
            <w:top w:w="0" w:type="dxa"/>
            <w:left w:w="0" w:type="dxa"/>
            <w:bottom w:w="0" w:type="dxa"/>
            <w:right w:w="0" w:type="dxa"/>
          </w:tblCellMar>
        </w:tblPrEx>
        <w:trPr>
          <w:trHeight w:val="112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1D3D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C666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如实、规范填写各项值班、交接班、巡逻签到记录，按规定检查各设施设备，并主动交回管理处存档</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3E69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未按相关工作质量的要求填写工作记录，交接班不认真，责任不清晰，值班岗位脏乱差，质量记录填写不正确、不规范，工作记录保管失当</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FDBF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w:t>
            </w:r>
            <w:r>
              <w:rPr>
                <w:rFonts w:hint="eastAsia" w:ascii="仿宋_GB2312" w:hAnsi="仿宋_GB2312" w:eastAsia="仿宋_GB2312" w:cs="仿宋_GB2312"/>
                <w:color w:val="000000"/>
                <w:kern w:val="0"/>
                <w:sz w:val="21"/>
                <w:szCs w:val="21"/>
                <w:lang w:eastAsia="zh-CN" w:bidi="ar"/>
              </w:rPr>
              <w:t>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531C9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C789D46">
        <w:tblPrEx>
          <w:tblCellMar>
            <w:top w:w="0" w:type="dxa"/>
            <w:left w:w="0" w:type="dxa"/>
            <w:bottom w:w="0" w:type="dxa"/>
            <w:right w:w="0" w:type="dxa"/>
          </w:tblCellMar>
        </w:tblPrEx>
        <w:trPr>
          <w:trHeight w:val="126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9416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29A7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按规定严格管控外来人员、车辆出入及物品放行，有效引导园区车辆停放，主动为业户提供帮助和服务</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71E8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未按规定做好来访登记，未按规定放行出入车辆，未劝阻制止拾荒、张贴广告、收废品人员进入项目</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51E2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w:t>
            </w:r>
            <w:r>
              <w:rPr>
                <w:rFonts w:hint="eastAsia" w:ascii="仿宋_GB2312" w:hAnsi="仿宋_GB2312" w:eastAsia="仿宋_GB2312" w:cs="仿宋_GB2312"/>
                <w:color w:val="000000"/>
                <w:kern w:val="0"/>
                <w:sz w:val="21"/>
                <w:szCs w:val="21"/>
                <w:lang w:eastAsia="zh-CN" w:bidi="ar"/>
              </w:rPr>
              <w:t>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A617B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AE665BA">
        <w:tblPrEx>
          <w:tblCellMar>
            <w:top w:w="0" w:type="dxa"/>
            <w:left w:w="0" w:type="dxa"/>
            <w:bottom w:w="0" w:type="dxa"/>
            <w:right w:w="0" w:type="dxa"/>
          </w:tblCellMar>
        </w:tblPrEx>
        <w:trPr>
          <w:trHeight w:val="1060"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FD9E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bidi="ar"/>
              </w:rPr>
              <w:t>配合度</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r>
              <w:rPr>
                <w:rFonts w:hint="eastAsia" w:ascii="仿宋_GB2312" w:hAnsi="仿宋_GB2312" w:eastAsia="仿宋_GB2312" w:cs="仿宋_GB2312"/>
                <w:color w:val="000000"/>
                <w:kern w:val="0"/>
                <w:sz w:val="21"/>
                <w:szCs w:val="21"/>
                <w:lang w:val="en-US" w:eastAsia="zh-CN" w:bidi="ar"/>
              </w:rPr>
              <w:t>)</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22EA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服从管理处工作安排，配合项目工作开展，如实上传工作状态图片。</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0277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不服从管理，有违纪现象，工作状态图片不真实</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E6FD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FE8950">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00DA25C">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169E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一般</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投诉</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444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及时处理业主有效投诉（处理时限：2小时内）</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877B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未及时处理或上报业主有效投诉</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8C8C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200</w:t>
            </w:r>
            <w:r>
              <w:rPr>
                <w:rFonts w:hint="eastAsia" w:ascii="仿宋_GB2312" w:hAnsi="仿宋_GB2312" w:eastAsia="仿宋_GB2312" w:cs="仿宋_GB2312"/>
                <w:color w:val="000000"/>
                <w:kern w:val="0"/>
                <w:sz w:val="21"/>
                <w:szCs w:val="21"/>
                <w:lang w:eastAsia="zh-CN" w:bidi="ar"/>
              </w:rPr>
              <w:t>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E8BA50">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C91C505">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3397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5652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文明用语</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C778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服务过程中未使用文明用语，导致投诉且属实</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6BF0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200</w:t>
            </w:r>
            <w:r>
              <w:rPr>
                <w:rFonts w:hint="eastAsia" w:ascii="仿宋_GB2312" w:hAnsi="仿宋_GB2312" w:eastAsia="仿宋_GB2312" w:cs="仿宋_GB2312"/>
                <w:color w:val="000000"/>
                <w:kern w:val="0"/>
                <w:sz w:val="21"/>
                <w:szCs w:val="21"/>
                <w:lang w:eastAsia="zh-CN" w:bidi="ar"/>
              </w:rPr>
              <w:t>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0B9000">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3B43E7C">
        <w:tblPrEx>
          <w:tblCellMar>
            <w:top w:w="0" w:type="dxa"/>
            <w:left w:w="0" w:type="dxa"/>
            <w:bottom w:w="0" w:type="dxa"/>
            <w:right w:w="0" w:type="dxa"/>
          </w:tblCellMar>
        </w:tblPrEx>
        <w:trPr>
          <w:trHeight w:val="1000"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F87D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其他</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分）</w:t>
            </w:r>
          </w:p>
        </w:tc>
        <w:tc>
          <w:tcPr>
            <w:tcW w:w="4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369A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突发事件处理能力</w:t>
            </w:r>
          </w:p>
        </w:tc>
        <w:tc>
          <w:tcPr>
            <w:tcW w:w="67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08F0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影响安全服务质量的突发事件未及时汇报、反馈</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9F1E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40</w:t>
            </w:r>
            <w:r>
              <w:rPr>
                <w:rFonts w:hint="eastAsia" w:ascii="仿宋_GB2312" w:hAnsi="仿宋_GB2312" w:eastAsia="仿宋_GB2312" w:cs="仿宋_GB2312"/>
                <w:color w:val="000000"/>
                <w:kern w:val="0"/>
                <w:sz w:val="21"/>
                <w:szCs w:val="21"/>
                <w:lang w:eastAsia="zh-CN" w:bidi="ar"/>
              </w:rPr>
              <w:t>0元</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99F12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79103D5">
        <w:tblPrEx>
          <w:tblCellMar>
            <w:top w:w="0" w:type="dxa"/>
            <w:left w:w="0" w:type="dxa"/>
            <w:bottom w:w="0" w:type="dxa"/>
            <w:right w:w="0" w:type="dxa"/>
          </w:tblCellMar>
        </w:tblPrEx>
        <w:trPr>
          <w:trHeight w:val="88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65C4A">
            <w:pPr>
              <w:keepNext w:val="0"/>
              <w:keepLines w:val="0"/>
              <w:pageBreakBefore w:val="0"/>
              <w:widowControl/>
              <w:kinsoku/>
              <w:wordWrap/>
              <w:overflowPunct/>
              <w:topLinePunct w:val="0"/>
              <w:bidi w:val="0"/>
              <w:spacing w:line="240" w:lineRule="auto"/>
              <w:ind w:firstLine="0" w:firstLineChars="0"/>
              <w:jc w:val="left"/>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color w:val="000000"/>
                <w:kern w:val="0"/>
                <w:sz w:val="21"/>
                <w:szCs w:val="21"/>
                <w:lang w:bidi="ar"/>
              </w:rPr>
              <w:t>二、保洁月度考核</w:t>
            </w:r>
            <w:r>
              <w:rPr>
                <w:rFonts w:hint="eastAsia" w:ascii="仿宋_GB2312" w:hAnsi="仿宋_GB2312" w:eastAsia="仿宋_GB2312" w:cs="仿宋_GB2312"/>
                <w:b/>
                <w:color w:val="000000"/>
                <w:kern w:val="0"/>
                <w:sz w:val="21"/>
                <w:szCs w:val="21"/>
                <w:lang w:eastAsia="zh-CN" w:bidi="ar"/>
              </w:rPr>
              <w:t>（</w:t>
            </w:r>
            <w:r>
              <w:rPr>
                <w:rFonts w:hint="eastAsia" w:ascii="仿宋_GB2312" w:hAnsi="仿宋_GB2312" w:eastAsia="仿宋_GB2312" w:cs="仿宋_GB2312"/>
                <w:b/>
                <w:color w:val="000000"/>
                <w:kern w:val="0"/>
                <w:sz w:val="21"/>
                <w:szCs w:val="21"/>
                <w:lang w:val="en-US" w:eastAsia="zh-CN" w:bidi="ar"/>
              </w:rPr>
              <w:t>40分</w:t>
            </w:r>
            <w:r>
              <w:rPr>
                <w:rFonts w:hint="eastAsia" w:ascii="仿宋_GB2312" w:hAnsi="仿宋_GB2312" w:eastAsia="仿宋_GB2312" w:cs="仿宋_GB2312"/>
                <w:b/>
                <w:color w:val="000000"/>
                <w:kern w:val="0"/>
                <w:sz w:val="21"/>
                <w:szCs w:val="21"/>
                <w:lang w:eastAsia="zh-CN" w:bidi="ar"/>
              </w:rPr>
              <w:t>）</w:t>
            </w:r>
          </w:p>
        </w:tc>
      </w:tr>
      <w:tr w14:paraId="4919C87F">
        <w:tblPrEx>
          <w:tblCellMar>
            <w:top w:w="0" w:type="dxa"/>
            <w:left w:w="0" w:type="dxa"/>
            <w:bottom w:w="0" w:type="dxa"/>
            <w:right w:w="0" w:type="dxa"/>
          </w:tblCellMar>
        </w:tblPrEx>
        <w:trPr>
          <w:trHeight w:val="100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0218F">
            <w:pPr>
              <w:keepNext w:val="0"/>
              <w:keepLines w:val="0"/>
              <w:pageBreakBefore w:val="0"/>
              <w:widowControl/>
              <w:kinsoku/>
              <w:wordWrap/>
              <w:overflowPunct/>
              <w:topLinePunct w:val="0"/>
              <w:bidi w:val="0"/>
              <w:spacing w:line="240" w:lineRule="auto"/>
              <w:ind w:firstLine="0" w:firstLineChars="0"/>
              <w:jc w:val="left"/>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1、保洁人员管理</w:t>
            </w:r>
          </w:p>
        </w:tc>
      </w:tr>
      <w:tr w14:paraId="2FC8CD13">
        <w:tblPrEx>
          <w:tblCellMar>
            <w:top w:w="0" w:type="dxa"/>
            <w:left w:w="0" w:type="dxa"/>
            <w:bottom w:w="0" w:type="dxa"/>
            <w:right w:w="0" w:type="dxa"/>
          </w:tblCellMar>
        </w:tblPrEx>
        <w:trPr>
          <w:trHeight w:val="880" w:hRule="atLeast"/>
        </w:trPr>
        <w:tc>
          <w:tcPr>
            <w:tcW w:w="271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956D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项目</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74EE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质量标准</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5661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考评标准</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D6AA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处罚标准（按次累积扣分/扣费）</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C51C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累积扣分/扣费</w:t>
            </w:r>
          </w:p>
        </w:tc>
      </w:tr>
      <w:tr w14:paraId="1C678C82">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A0C8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本</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情</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val="en-US" w:eastAsia="zh-CN"/>
              </w:rPr>
              <w:t>)</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A0EA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现场服务人员</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C548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选派素质良好，身体健康的专业人员，服从甲方的监督和指导。保洁公司派遣人员必须保质保量的完成甲方物业项目优质环境清洁运作</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4407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员工超龄现象，身体素质不适合保洁工作，不配合管理处工作，不能保质保量完成保洁工作</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922A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20</w:t>
            </w:r>
            <w:r>
              <w:rPr>
                <w:rFonts w:hint="eastAsia" w:ascii="仿宋_GB2312" w:hAnsi="仿宋_GB2312" w:eastAsia="仿宋_GB2312" w:cs="仿宋_GB2312"/>
                <w:color w:val="000000"/>
                <w:kern w:val="0"/>
                <w:sz w:val="21"/>
                <w:szCs w:val="21"/>
                <w:lang w:eastAsia="zh-CN" w:bidi="ar"/>
              </w:rPr>
              <w:t>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E1080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87D62ED">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E952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AE86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仪表规范</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96CA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工作日必须统一着工作服、佩戴工作证，衣着整齐，合体，头发干净，梳理好</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71E8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未穿统一工作服或工作服不干净，未佩戴工牌，仪容仪表不整洁</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D641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B62E7DC">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E831A3F">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8BB6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84B7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礼貌礼仪</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7398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遵守甲方的各项规章制度，做到文明礼貌，热情服务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56C5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不服从管理，与业主、管理处工作人员冲突的</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AC85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A9C026">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189BD33">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0CF2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ADF9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劳动纪律</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5C56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工作时间脱岗离岗或从事第二职业的</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68F3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随意离岗、聊天、玩手机、无故休息等做与岗位工作无关的事</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1F41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00元1分，按次计分。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9863A2">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EF04EF0">
        <w:tblPrEx>
          <w:tblCellMar>
            <w:top w:w="0" w:type="dxa"/>
            <w:left w:w="0" w:type="dxa"/>
            <w:bottom w:w="0" w:type="dxa"/>
            <w:right w:w="0" w:type="dxa"/>
          </w:tblCellMar>
        </w:tblPrEx>
        <w:trPr>
          <w:trHeight w:val="122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0400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64FC6">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CD10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物业临时性清洁工作</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F57E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当甲方物业发生问题，临时急需清洁人员时，保洁公司保证在接到通知后半小时内到达现场进行清洁处理，其人数应保证在甲方要求时间内完成工作</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353A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9B40B9">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8953E3F">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650B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CC9B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职业道德</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28F6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讲究职业道德，拾金不昧，杜绝挑拨离间，在公共场合注意形象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DF9D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无业主有效投诉，拿用业主物品，未执行客户优先的规定，与客户发生争吵的</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DF2C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223C6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C2A5B4C">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7B43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15CF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工具维护</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D8DB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规范摆放在保洁工具指定地点</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906A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保洁工具摆放整齐，不随便堆放</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EACD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7D1EAF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5732045">
        <w:tblPrEx>
          <w:tblCellMar>
            <w:top w:w="0" w:type="dxa"/>
            <w:left w:w="0" w:type="dxa"/>
            <w:bottom w:w="0" w:type="dxa"/>
            <w:right w:w="0" w:type="dxa"/>
          </w:tblCellMar>
        </w:tblPrEx>
        <w:trPr>
          <w:trHeight w:val="100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B2D71">
            <w:pPr>
              <w:keepNext w:val="0"/>
              <w:keepLines w:val="0"/>
              <w:pageBreakBefore w:val="0"/>
              <w:widowControl/>
              <w:kinsoku/>
              <w:wordWrap/>
              <w:overflowPunct/>
              <w:topLinePunct w:val="0"/>
              <w:bidi w:val="0"/>
              <w:spacing w:line="240" w:lineRule="auto"/>
              <w:ind w:right="4229" w:rightChars="2014" w:firstLine="0" w:firstLineChars="0"/>
              <w:jc w:val="left"/>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2、保洁作业管理</w:t>
            </w:r>
          </w:p>
        </w:tc>
      </w:tr>
      <w:tr w14:paraId="4086BF9D">
        <w:tblPrEx>
          <w:tblCellMar>
            <w:top w:w="0" w:type="dxa"/>
            <w:left w:w="0" w:type="dxa"/>
            <w:bottom w:w="0" w:type="dxa"/>
            <w:right w:w="0" w:type="dxa"/>
          </w:tblCellMar>
        </w:tblPrEx>
        <w:trPr>
          <w:trHeight w:val="620" w:hRule="atLeast"/>
        </w:trPr>
        <w:tc>
          <w:tcPr>
            <w:tcW w:w="271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10C4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项目</w:t>
            </w:r>
          </w:p>
        </w:tc>
        <w:tc>
          <w:tcPr>
            <w:tcW w:w="13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222B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日常作业/每天</w:t>
            </w:r>
          </w:p>
        </w:tc>
        <w:tc>
          <w:tcPr>
            <w:tcW w:w="30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A5F7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定期作业</w:t>
            </w:r>
          </w:p>
        </w:tc>
        <w:tc>
          <w:tcPr>
            <w:tcW w:w="47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FB19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清洁标准</w:t>
            </w:r>
          </w:p>
        </w:tc>
        <w:tc>
          <w:tcPr>
            <w:tcW w:w="26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675B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处罚标准</w:t>
            </w:r>
          </w:p>
        </w:tc>
        <w:tc>
          <w:tcPr>
            <w:tcW w:w="11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3F53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累积扣分/扣费</w:t>
            </w:r>
          </w:p>
        </w:tc>
      </w:tr>
      <w:tr w14:paraId="39E3E4F7">
        <w:tblPrEx>
          <w:tblCellMar>
            <w:top w:w="0" w:type="dxa"/>
            <w:left w:w="0" w:type="dxa"/>
            <w:bottom w:w="0" w:type="dxa"/>
            <w:right w:w="0" w:type="dxa"/>
          </w:tblCellMar>
        </w:tblPrEx>
        <w:trPr>
          <w:trHeight w:val="620" w:hRule="atLeast"/>
        </w:trPr>
        <w:tc>
          <w:tcPr>
            <w:tcW w:w="271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7D64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b/>
                <w:color w:val="000000"/>
                <w:sz w:val="21"/>
                <w:szCs w:val="21"/>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D82A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b/>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4CEF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每周</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4E45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每月</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7B81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每季</w:t>
            </w:r>
          </w:p>
        </w:tc>
        <w:tc>
          <w:tcPr>
            <w:tcW w:w="47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ABBF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b/>
                <w:color w:val="000000"/>
                <w:sz w:val="21"/>
                <w:szCs w:val="21"/>
              </w:rPr>
            </w:pPr>
          </w:p>
        </w:tc>
        <w:tc>
          <w:tcPr>
            <w:tcW w:w="26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3482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b/>
                <w:color w:val="000000"/>
                <w:sz w:val="21"/>
                <w:szCs w:val="21"/>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83D2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b/>
                <w:color w:val="000000"/>
                <w:sz w:val="21"/>
                <w:szCs w:val="21"/>
              </w:rPr>
            </w:pPr>
          </w:p>
        </w:tc>
      </w:tr>
      <w:tr w14:paraId="3EEC1459">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D857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bidi="ar"/>
              </w:rPr>
              <w:t>电</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梯</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内</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分</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bidi="ar"/>
              </w:rPr>
              <w:t>分</w:t>
            </w:r>
            <w:r>
              <w:rPr>
                <w:rFonts w:hint="eastAsia" w:ascii="仿宋_GB2312" w:hAnsi="仿宋_GB2312" w:eastAsia="仿宋_GB2312" w:cs="仿宋_GB2312"/>
                <w:color w:val="000000"/>
                <w:kern w:val="0"/>
                <w:sz w:val="21"/>
                <w:szCs w:val="21"/>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A22C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不锈钢壁面、按钮部分</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5F49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擦抹1次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86D9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6E87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电梯油保养1次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15636">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6155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无灰尘、无手印、无污渍、无牛皮癣，保持不锈钢表面亮丽的金属光泽</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A42D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B5CDEA">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27570150">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A481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6B19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地面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19E0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拖地2次，并随时清除杂物、口痰等</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F7E6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13C6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90B9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1F2E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保持干净、地面无杂物、无污渍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F7D0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8943E4E">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5FBEC4E8">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2CD0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4B24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天花、灯饰及风口</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2E9B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除尘、除蛛网1次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4230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5731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6B29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A0A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无尘、无蛛网、无污渍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7BC2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25D4C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4C689D0">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9260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公共区域</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（10分）</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2255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墙面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F098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205D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A878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清抹灰尘、蛛网</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E4EF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D5DF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保持干净，无污渍、无蛛网、无牛皮癣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DC17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17D5B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8E72DF3">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59A4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9C9D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楼道地面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A44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日清扫一次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75A1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60E6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拖洗一次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3ECB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4C1D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保持干净，无污渍。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1568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A23EDE">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7F68E76">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BD0C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4DD6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楼道扶手</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DECB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18E0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清抹1次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A33F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039E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74DE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保持干净，无污渍。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B7D0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5E0705">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58E0FA5A">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D3AF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F034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门、灯具、开关</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0F55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保洁，清抹门把手1次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E573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0AA7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清抹1次，特别地脚一带注意保洁</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6D01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C4C2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保持干净，无明显积尘、污渍、蜘蛛网</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E6CE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A0A1BA">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6D6BD83">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2E0B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DDF7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消防门</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A69E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3676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清抹1次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3BA0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BA6A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7961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无尘、无污渍，无牛皮癣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78E4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88567E">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F4F3342">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6BB3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E55B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消防栓、报警器开关、铝窗等、灭火器</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1C70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B38E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清抹1次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A0F9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玻璃清洗1次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B818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47FD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无尘、无污渍，无牛皮癣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D1AD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FDC5EA">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285D282B">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091D6">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A2BB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垃圾桶</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80F2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随时保洁，清抹、清捯垃圾2次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029E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CAF4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清洗垃圾桶1次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EAE2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243E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无溢出、无污渍、无杂物，及时清除口痰、烟蒂等杂物，无严重异味</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E0F3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ED2E5D">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20969CF">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9258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F419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外围广场地面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481F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2CD2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冲洗1次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64BC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CAA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7070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无明显烟头、纸屑，无落叶等杂物</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4DCD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AAAEC5">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D7FE582">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D95B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6F3D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散水坡和排水沟</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5ADD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每天不定期保洁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F4B3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9E47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2582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每季清掏1次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63B5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无明显垃圾、污垢、泥沙，无杂物堵塞</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574E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59C5DC">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1AB974C">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5070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61C0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建筑垃圾池</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大件垃圾池</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BFB8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1A3D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E34C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每月清洗1次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9F32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FBF1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无建筑垃圾、生活垃圾、大件垃圾混乱堆放，无垃圾外溢。</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7203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val="en-US" w:eastAsia="zh-CN" w:bidi="ar"/>
              </w:rPr>
              <w:t>4</w:t>
            </w:r>
            <w:r>
              <w:rPr>
                <w:rFonts w:hint="eastAsia" w:ascii="仿宋_GB2312" w:hAnsi="仿宋_GB2312" w:eastAsia="仿宋_GB2312" w:cs="仿宋_GB2312"/>
                <w:color w:val="000000"/>
                <w:kern w:val="0"/>
                <w:sz w:val="21"/>
                <w:szCs w:val="21"/>
                <w:lang w:eastAsia="zh-CN" w:bidi="ar"/>
              </w:rPr>
              <w:t>00元</w:t>
            </w:r>
            <w:r>
              <w:rPr>
                <w:rFonts w:hint="eastAsia" w:ascii="仿宋_GB2312" w:hAnsi="仿宋_GB2312" w:eastAsia="仿宋_GB2312" w:cs="仿宋_GB2312"/>
                <w:color w:val="000000"/>
                <w:kern w:val="0"/>
                <w:sz w:val="21"/>
                <w:szCs w:val="21"/>
                <w:lang w:bidi="ar"/>
              </w:rPr>
              <w:t>2分，按次计分。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7DA160D">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5259FDD3">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44FD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14B6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生活垃圾站</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2C43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日清理1次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F735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4849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每月清洗1次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5761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9430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及时清理保持干净、无严重异味、无污渍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A63E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EF111A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74D1DB7">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B3D9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4691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污水井、沙井</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F5BC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8FC4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376D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FDA2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每季清掏1次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39D2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沙井内无纸屑、烟头，盖上无污垢</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AEE6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44B6C83">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9F8142E">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0EFC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1F39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玻璃雨棚</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EFAF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BEEC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93FA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清洗1次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4D29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D23D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42B1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76830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20C1484">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97B0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2B40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宣传栏、雕饰</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BAF7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每日擦抹1次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B3F5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A6EA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每月清洗保养1次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6F8E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7248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保持干净，无污迹，无明显积尘，无牛皮癣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4B0A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8F039C">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18FA3D9">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C424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C3A7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标识牌、射灯</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F5D8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每日擦抹1次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031F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396C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5981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灯具每季清理一次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13AE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保持干净，无污迹，无明显积尘，无牛皮癣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7C2B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D726D3">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80B5230">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F8E4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bidi="ar"/>
              </w:rPr>
              <w:t>地下车库</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val="en-US" w:eastAsia="zh-CN" w:bidi="ar"/>
              </w:rPr>
              <w:t>(8</w:t>
            </w:r>
            <w:r>
              <w:rPr>
                <w:rFonts w:hint="eastAsia" w:ascii="仿宋_GB2312" w:hAnsi="仿宋_GB2312" w:eastAsia="仿宋_GB2312" w:cs="仿宋_GB2312"/>
                <w:color w:val="000000"/>
                <w:kern w:val="0"/>
                <w:sz w:val="21"/>
                <w:szCs w:val="21"/>
                <w:lang w:bidi="ar"/>
              </w:rPr>
              <w:t>分</w:t>
            </w:r>
            <w:r>
              <w:rPr>
                <w:rFonts w:hint="eastAsia" w:ascii="仿宋_GB2312" w:hAnsi="仿宋_GB2312" w:eastAsia="仿宋_GB2312" w:cs="仿宋_GB2312"/>
                <w:color w:val="000000"/>
                <w:kern w:val="0"/>
                <w:sz w:val="21"/>
                <w:szCs w:val="21"/>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442D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地面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1A80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DA93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5CAB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每月冲洗1次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B558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E4BC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无明显泥沙、石子，无污垢纸屑，无蛛网，无垃圾及杂物堆放</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D33F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3622CC8">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6E0FD95">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0333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FE03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停车位</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3D2B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D52A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0229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25F4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769F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无明显泥沙、石子，无污垢纸屑，无蛛网，无垃圾及杂物堆放</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5A38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5F09E6">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64F7045">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3FA6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CDA9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下水道和排水沟</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D52D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5BC9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4D406">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B4B4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每季清掏1次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28AD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无污渍，无烟头等明显杂物、无积水，无泥沙</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3AFF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5DAEA6">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15B42C7">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23AEF">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649B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停车场出入口地面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5B01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每天清洁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CE8A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CA2A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6912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5FA7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无明显泥沙、石子，无污垢纸屑，无垃圾及杂物堆放，无车辆停放</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6CCD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284D233">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2CAD24F">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D819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3143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停车场出入口的栏杆、墙面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783D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AF00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擦抹1次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CAB3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DDCEF">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7295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光洁明亮，无尘、无蛛网，无牛皮癣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CEDE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A88675">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04121B5">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0B5DF">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67DF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垃圾桶和垃圾箱</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3E42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每日清运次并保持清洁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68CAD">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每周清洗1次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F6F0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DA89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9C87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及时清理，无溢出，无灰尘，无明显污渍，无严重异味</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4D1B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4A645A">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0623891">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63D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2654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天井绿化带</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26F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清理1次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592B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78B5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A676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EB07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保持干净，无明显烟头、纸屑，无落叶等杂物</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81A2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EEAA69">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4490EA0">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EE00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6D37C">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消火栓、反光镜等设施</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A426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A923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擦+抹1次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0D85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A9D0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E25A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保持干净、无尘、无污渍，无牛皮癣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2C3D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02A8E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5DB85B7">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129F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708F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污、雨水井和沙井</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3FFA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每天保洁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B26C6">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2010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153C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每季清掏1次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5ACE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沙井内无纸屑、烟头，盖上无污垢</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399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24153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BFB2FC1">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FB0B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大堂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部分，各层电梯门</w:t>
            </w:r>
          </w:p>
          <w:p w14:paraId="13B0E23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厅</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val="en-US" w:eastAsia="zh-CN" w:bidi="ar"/>
              </w:rPr>
              <w:t>8</w:t>
            </w:r>
            <w:r>
              <w:rPr>
                <w:rFonts w:hint="eastAsia" w:ascii="仿宋_GB2312" w:hAnsi="仿宋_GB2312" w:eastAsia="仿宋_GB2312" w:cs="仿宋_GB2312"/>
                <w:color w:val="000000"/>
                <w:kern w:val="0"/>
                <w:sz w:val="21"/>
                <w:szCs w:val="21"/>
                <w:lang w:bidi="ar"/>
              </w:rPr>
              <w:t>分）</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DE0B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地面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18A8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拖洗2次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C6D7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9545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E96E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保养1次</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2DEC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保持干净、光亮，无痰渍、无污渍，无杂物</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CA7B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val="en-US" w:eastAsia="zh-CN" w:bidi="ar"/>
              </w:rPr>
              <w:t>20</w:t>
            </w:r>
            <w:r>
              <w:rPr>
                <w:rFonts w:hint="eastAsia" w:ascii="仿宋_GB2312" w:hAnsi="仿宋_GB2312" w:eastAsia="仿宋_GB2312" w:cs="仿宋_GB2312"/>
                <w:color w:val="000000"/>
                <w:kern w:val="0"/>
                <w:sz w:val="21"/>
                <w:szCs w:val="21"/>
                <w:lang w:eastAsia="zh-CN" w:bidi="ar"/>
              </w:rPr>
              <w:t>0元</w:t>
            </w:r>
            <w:r>
              <w:rPr>
                <w:rFonts w:hint="eastAsia" w:ascii="仿宋_GB2312" w:hAnsi="仿宋_GB2312" w:eastAsia="仿宋_GB2312" w:cs="仿宋_GB2312"/>
                <w:color w:val="000000"/>
                <w:kern w:val="0"/>
                <w:sz w:val="21"/>
                <w:szCs w:val="21"/>
                <w:lang w:val="en-US" w:eastAsia="zh-CN" w:bidi="ar"/>
              </w:rPr>
              <w:t>1</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8003ADA">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7898C40">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588A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7AB3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墙面</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0004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33A1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69A2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擦抹1次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6DDA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7153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保持干净、无尘、无蛛网，无牛皮癣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1FF0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E5251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2B7EA7E4">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B980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3133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进户玻璃门</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59FD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擦抹2次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8CCD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用清洁剂清洗1次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8685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2AF02">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FBF5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保持干净、明亮，无明显污渍，无牛皮癣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8EFF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C2C08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216F93AF">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8CF3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7BC2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幕墙玻璃</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39AA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保洁</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D883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66F7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用清洁剂清洗1次</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E068D">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FE63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保持干净、明亮，无明显污渍，无牛皮癣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D358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0B47A2">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6493652E">
        <w:tblPrEx>
          <w:tblCellMar>
            <w:top w:w="0" w:type="dxa"/>
            <w:left w:w="0" w:type="dxa"/>
            <w:bottom w:w="0" w:type="dxa"/>
            <w:right w:w="0" w:type="dxa"/>
          </w:tblCellMar>
        </w:tblPrEx>
        <w:trPr>
          <w:trHeight w:val="10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8C9F5">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0C9B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信报箱、消火栓、门禁、开关等设施</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B87D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擦抹1次</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ACAC1">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118A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929D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87A7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保持干净、无尘、无污渍，无牛皮癣</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B5C9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76BA64">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430B594">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5A7848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垃</w:t>
            </w:r>
          </w:p>
          <w:p w14:paraId="5364697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圾</w:t>
            </w:r>
          </w:p>
          <w:p w14:paraId="0161EF0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分</w:t>
            </w:r>
          </w:p>
          <w:p w14:paraId="5411CDD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bidi="ar"/>
              </w:rPr>
              <w:t>类</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val="en-US" w:eastAsia="zh-CN" w:bidi="ar"/>
              </w:rPr>
              <w:t>(5分)</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564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湿垃圾收集</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FC25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日收集</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263F3">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9B454">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4AD0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C4B9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按要求进行湿垃圾收集并达到社区要求重量，形成湿垃圾台账。</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FB12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一日不合格，拟扣</w:t>
            </w:r>
            <w:r>
              <w:rPr>
                <w:rFonts w:hint="eastAsia" w:ascii="仿宋_GB2312" w:hAnsi="仿宋_GB2312" w:eastAsia="仿宋_GB2312" w:cs="仿宋_GB2312"/>
                <w:color w:val="000000"/>
                <w:kern w:val="0"/>
                <w:sz w:val="21"/>
                <w:szCs w:val="21"/>
                <w:lang w:val="en-US" w:eastAsia="zh-CN" w:bidi="ar"/>
              </w:rPr>
              <w:t>400</w:t>
            </w:r>
            <w:r>
              <w:rPr>
                <w:rFonts w:hint="eastAsia" w:ascii="仿宋_GB2312" w:hAnsi="仿宋_GB2312" w:eastAsia="仿宋_GB2312" w:cs="仿宋_GB2312"/>
                <w:color w:val="000000"/>
                <w:kern w:val="0"/>
                <w:sz w:val="21"/>
                <w:szCs w:val="21"/>
                <w:lang w:eastAsia="zh-CN" w:bidi="ar"/>
              </w:rPr>
              <w:t>元</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E0C99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BC0C02B">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6F34A61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4FBF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垃圾分类督导员</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0679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每日按时段值班</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3B20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A406E">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DA30B">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A728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每日上午7:00-9:00；下午17:00-19:00</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2000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一次不合格，拟扣</w:t>
            </w:r>
            <w:r>
              <w:rPr>
                <w:rFonts w:hint="eastAsia" w:ascii="仿宋_GB2312" w:hAnsi="仿宋_GB2312" w:eastAsia="仿宋_GB2312" w:cs="仿宋_GB2312"/>
                <w:color w:val="000000"/>
                <w:kern w:val="0"/>
                <w:sz w:val="21"/>
                <w:szCs w:val="21"/>
                <w:lang w:val="en-US" w:eastAsia="zh-CN" w:bidi="ar"/>
              </w:rPr>
              <w:t>400</w:t>
            </w:r>
            <w:r>
              <w:rPr>
                <w:rFonts w:hint="eastAsia" w:ascii="仿宋_GB2312" w:hAnsi="仿宋_GB2312" w:eastAsia="仿宋_GB2312" w:cs="仿宋_GB2312"/>
                <w:color w:val="000000"/>
                <w:kern w:val="0"/>
                <w:sz w:val="21"/>
                <w:szCs w:val="21"/>
                <w:lang w:eastAsia="zh-CN" w:bidi="ar"/>
              </w:rPr>
              <w:t>元</w:t>
            </w:r>
            <w:r>
              <w:rPr>
                <w:rFonts w:hint="eastAsia" w:ascii="仿宋_GB2312" w:hAnsi="仿宋_GB2312" w:eastAsia="仿宋_GB2312" w:cs="仿宋_GB2312"/>
                <w:color w:val="000000"/>
                <w:kern w:val="0"/>
                <w:sz w:val="21"/>
                <w:szCs w:val="21"/>
                <w:lang w:val="en-US" w:eastAsia="zh-CN" w:bidi="ar"/>
              </w:rPr>
              <w:t>2</w:t>
            </w:r>
            <w:r>
              <w:rPr>
                <w:rFonts w:hint="eastAsia" w:ascii="仿宋_GB2312" w:hAnsi="仿宋_GB2312" w:eastAsia="仿宋_GB2312" w:cs="仿宋_GB2312"/>
                <w:color w:val="000000"/>
                <w:kern w:val="0"/>
                <w:sz w:val="21"/>
                <w:szCs w:val="21"/>
                <w:lang w:bidi="ar"/>
              </w:rPr>
              <w:t>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6A19A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6860108">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0306A22C">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D221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分类垃圾桶清洗</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8D67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ACD4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每周清洗垃圾桶一次</w:t>
            </w: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4C8AA">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B20A9">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85165">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分类垃圾桶要求内外干净，无明显污渍，无异味。</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48EBA">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一处不合格，拟扣</w:t>
            </w:r>
            <w:r>
              <w:rPr>
                <w:rFonts w:hint="eastAsia" w:ascii="仿宋_GB2312" w:hAnsi="仿宋_GB2312" w:eastAsia="仿宋_GB2312" w:cs="仿宋_GB2312"/>
                <w:color w:val="000000"/>
                <w:kern w:val="0"/>
                <w:sz w:val="21"/>
                <w:szCs w:val="21"/>
                <w:lang w:eastAsia="zh-CN" w:bidi="ar"/>
              </w:rPr>
              <w:t>200元</w:t>
            </w:r>
            <w:r>
              <w:rPr>
                <w:rFonts w:hint="eastAsia" w:ascii="仿宋_GB2312" w:hAnsi="仿宋_GB2312" w:eastAsia="仿宋_GB2312" w:cs="仿宋_GB2312"/>
                <w:color w:val="000000"/>
                <w:kern w:val="0"/>
                <w:sz w:val="21"/>
                <w:szCs w:val="21"/>
                <w:lang w:bidi="ar"/>
              </w:rPr>
              <w:t>1分，按次计分。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6F3D7E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B18B08C">
        <w:tblPrEx>
          <w:tblCellMar>
            <w:top w:w="0" w:type="dxa"/>
            <w:left w:w="0" w:type="dxa"/>
            <w:bottom w:w="0" w:type="dxa"/>
            <w:right w:w="0" w:type="dxa"/>
          </w:tblCellMar>
        </w:tblPrEx>
        <w:trPr>
          <w:trHeight w:val="1000" w:hRule="atLeast"/>
        </w:trPr>
        <w:tc>
          <w:tcPr>
            <w:tcW w:w="7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DE9170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475B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综合考评</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98DB8">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E3A40">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0F37">
            <w:pPr>
              <w:keepNext w:val="0"/>
              <w:keepLines w:val="0"/>
              <w:pageBreakBefore w:val="0"/>
              <w:kinsoku/>
              <w:wordWrap/>
              <w:overflowPunct/>
              <w:topLinePunct w:val="0"/>
              <w:bidi w:val="0"/>
              <w:spacing w:line="240" w:lineRule="auto"/>
              <w:ind w:firstLine="0" w:firstLineChars="0"/>
              <w:jc w:val="center"/>
              <w:rPr>
                <w:rFonts w:hint="eastAsia" w:ascii="仿宋_GB2312" w:hAnsi="仿宋_GB2312" w:eastAsia="仿宋_GB2312" w:cs="仿宋_GB2312"/>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C870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AAFE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垃圾分类工作须严格遵照相关指导部门及采购人要求执行。</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9A19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垃圾分类工作不达指导部门及采购人要求，本项不得分，实际扣款5000元</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2F2922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4BE8EAE5">
        <w:tblPrEx>
          <w:tblCellMar>
            <w:top w:w="0" w:type="dxa"/>
            <w:left w:w="0" w:type="dxa"/>
            <w:bottom w:w="0" w:type="dxa"/>
            <w:right w:w="0" w:type="dxa"/>
          </w:tblCellMar>
        </w:tblPrEx>
        <w:trPr>
          <w:trHeight w:val="100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0C78B">
            <w:pPr>
              <w:keepNext w:val="0"/>
              <w:keepLines w:val="0"/>
              <w:pageBreakBefore w:val="0"/>
              <w:widowControl/>
              <w:kinsoku/>
              <w:wordWrap/>
              <w:overflowPunct/>
              <w:topLinePunct w:val="0"/>
              <w:bidi w:val="0"/>
              <w:spacing w:line="240" w:lineRule="auto"/>
              <w:ind w:right="4229" w:rightChars="2014" w:firstLine="0" w:firstLineChars="0"/>
              <w:jc w:val="left"/>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eastAsia="zh-CN" w:bidi="ar"/>
              </w:rPr>
              <w:t>三</w:t>
            </w:r>
            <w:r>
              <w:rPr>
                <w:rFonts w:hint="eastAsia" w:ascii="仿宋_GB2312" w:hAnsi="仿宋_GB2312" w:eastAsia="仿宋_GB2312" w:cs="仿宋_GB2312"/>
                <w:b/>
                <w:color w:val="000000"/>
                <w:kern w:val="0"/>
                <w:sz w:val="21"/>
                <w:szCs w:val="21"/>
                <w:lang w:bidi="ar"/>
              </w:rPr>
              <w:t>、</w:t>
            </w:r>
            <w:r>
              <w:rPr>
                <w:rFonts w:hint="eastAsia" w:ascii="仿宋_GB2312" w:hAnsi="仿宋_GB2312" w:eastAsia="仿宋_GB2312" w:cs="仿宋_GB2312"/>
                <w:b/>
                <w:color w:val="000000"/>
                <w:kern w:val="0"/>
                <w:sz w:val="21"/>
                <w:szCs w:val="21"/>
                <w:lang w:val="en-US" w:eastAsia="zh-CN" w:bidi="ar"/>
              </w:rPr>
              <w:t>工程维护维修考核</w:t>
            </w:r>
            <w:r>
              <w:rPr>
                <w:rFonts w:hint="eastAsia" w:ascii="仿宋_GB2312" w:hAnsi="仿宋_GB2312" w:eastAsia="仿宋_GB2312" w:cs="仿宋_GB2312"/>
                <w:b/>
                <w:color w:val="000000"/>
                <w:kern w:val="0"/>
                <w:sz w:val="21"/>
                <w:szCs w:val="21"/>
                <w:lang w:eastAsia="zh-CN" w:bidi="ar"/>
              </w:rPr>
              <w:t>（</w:t>
            </w:r>
            <w:r>
              <w:rPr>
                <w:rFonts w:hint="eastAsia" w:ascii="仿宋_GB2312" w:hAnsi="仿宋_GB2312" w:eastAsia="仿宋_GB2312" w:cs="仿宋_GB2312"/>
                <w:b/>
                <w:color w:val="000000"/>
                <w:kern w:val="0"/>
                <w:sz w:val="21"/>
                <w:szCs w:val="21"/>
                <w:lang w:val="en-US" w:eastAsia="zh-CN" w:bidi="ar"/>
              </w:rPr>
              <w:t>30分</w:t>
            </w:r>
            <w:r>
              <w:rPr>
                <w:rFonts w:hint="eastAsia" w:ascii="仿宋_GB2312" w:hAnsi="仿宋_GB2312" w:eastAsia="仿宋_GB2312" w:cs="仿宋_GB2312"/>
                <w:b/>
                <w:color w:val="000000"/>
                <w:kern w:val="0"/>
                <w:sz w:val="21"/>
                <w:szCs w:val="21"/>
                <w:lang w:eastAsia="zh-CN" w:bidi="ar"/>
              </w:rPr>
              <w:t>）</w:t>
            </w:r>
          </w:p>
        </w:tc>
      </w:tr>
      <w:tr w14:paraId="01E49416">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6D4929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人</w:t>
            </w:r>
          </w:p>
          <w:p w14:paraId="42FDC9B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员</w:t>
            </w:r>
          </w:p>
          <w:p w14:paraId="735DFDA9">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要</w:t>
            </w:r>
          </w:p>
          <w:p w14:paraId="2090966F">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求</w:t>
            </w:r>
          </w:p>
          <w:p w14:paraId="585A034D">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(10分)</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54A8B">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电工</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34186">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电工必须持有高/低压配电证书</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39B58">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不得出现无证上岗</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F4CB">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出现一次扣2000元/次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853D99">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43AC6DE">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28C2F96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13B45">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其他工程人员</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FDF69">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熟悉设施设备操作流程及安全使用方法</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F84E5">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不得出现对设备不熟悉，不了解情况</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7E0D3">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如发现工程人员不会使用或操作设施设备扣2分，拟扣400元/次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2753687">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DB31FFE">
        <w:tblPrEx>
          <w:tblCellMar>
            <w:top w:w="0" w:type="dxa"/>
            <w:left w:w="0" w:type="dxa"/>
            <w:bottom w:w="0" w:type="dxa"/>
            <w:right w:w="0" w:type="dxa"/>
          </w:tblCellMar>
        </w:tblPrEx>
        <w:trPr>
          <w:trHeight w:val="1000" w:hRule="atLeast"/>
        </w:trPr>
        <w:tc>
          <w:tcPr>
            <w:tcW w:w="7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F582A3">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953C7">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工程基本技能</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030B4">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所有工程须掌握物业工程基本技能</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64259">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不得出现工程人员对基础水、木、泥工常规工作不熟悉现行</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C8098">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发现一次扣2分，拟扣400元/次，并即刻更换人员</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D5C2BB">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A2659A7">
        <w:tblPrEx>
          <w:tblCellMar>
            <w:top w:w="0" w:type="dxa"/>
            <w:left w:w="0" w:type="dxa"/>
            <w:bottom w:w="0" w:type="dxa"/>
            <w:right w:w="0" w:type="dxa"/>
          </w:tblCellMar>
        </w:tblPrEx>
        <w:trPr>
          <w:trHeight w:val="1000" w:hRule="atLeast"/>
        </w:trPr>
        <w:tc>
          <w:tcPr>
            <w:tcW w:w="7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6CA98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日</w:t>
            </w:r>
          </w:p>
          <w:p w14:paraId="2316B12E">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常</w:t>
            </w:r>
          </w:p>
          <w:p w14:paraId="1C51F877">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工</w:t>
            </w:r>
          </w:p>
          <w:p w14:paraId="6D53FB4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作</w:t>
            </w:r>
          </w:p>
          <w:p w14:paraId="775143A6">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(20分)</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4A4ED">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设施设备巡检</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65EE2">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定期对各类设施设备进行巡查巡检</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F8341">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制定完善的巡检制度并予以实施</w:t>
            </w:r>
            <w:r>
              <w:rPr>
                <w:rFonts w:hint="eastAsia" w:ascii="仿宋_GB2312" w:hAnsi="仿宋_GB2312" w:eastAsia="仿宋_GB2312" w:cs="仿宋_GB2312"/>
                <w:color w:val="000000"/>
                <w:kern w:val="0"/>
                <w:sz w:val="21"/>
                <w:szCs w:val="21"/>
                <w:lang w:eastAsia="zh-CN" w:bidi="ar"/>
              </w:rPr>
              <w:t>。</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9CB06">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无制度扣1分，拟扣200元，制度执行不到位不得分。</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4F95A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583B8A4F">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50BA892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02851">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常规设备维修更换</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56D68">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按照项目要求对常规灯具或易耗工程设施进行维修更换</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63CE">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根据项目要求时间进行维修更换</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F74C6">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维修更换不及时扣1分，拟扣200元/次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1529A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4F99BF9">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6855817B">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B05F1">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设备操作</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FC1F0">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对中央空调、电梯、新风根据项目要求定时予以开关</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7B4D7">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每日根据项目要求对设备进行常规操作</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C8BAC">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一次未按要求操作扣1分，拟扣200元/次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3C610E">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37D1FF17">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6BA2D98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C5BBA">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工单执行</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7820D">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对项目下派的工单予以执行</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F62B8">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完成项目对工程工作工单的执行时效性，如对各楼层办公室会议室设备的维护维修等工作</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93B81">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未按时完成，扣1分拟扣200元/次，如服务对象不满意扣2分400元/次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7DBCFF">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119DDE5E">
        <w:tblPrEx>
          <w:tblCellMar>
            <w:top w:w="0" w:type="dxa"/>
            <w:left w:w="0" w:type="dxa"/>
            <w:bottom w:w="0" w:type="dxa"/>
            <w:right w:w="0" w:type="dxa"/>
          </w:tblCellMar>
        </w:tblPrEx>
        <w:trPr>
          <w:trHeight w:val="1000" w:hRule="atLeast"/>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14:paraId="30444050">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DA501">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监督管理</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FBA81">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对维保外包单位工作予以监督</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F526C">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检查监督维保全过程，审核维保操作流程及维保记录</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7B80C">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如出现维保记录缺失扣1分拟扣200元/次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8280C6">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76069B34">
        <w:tblPrEx>
          <w:tblCellMar>
            <w:top w:w="0" w:type="dxa"/>
            <w:left w:w="0" w:type="dxa"/>
            <w:bottom w:w="0" w:type="dxa"/>
            <w:right w:w="0" w:type="dxa"/>
          </w:tblCellMar>
        </w:tblPrEx>
        <w:trPr>
          <w:trHeight w:val="1000" w:hRule="atLeast"/>
        </w:trPr>
        <w:tc>
          <w:tcPr>
            <w:tcW w:w="7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6E97583">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1CFA7">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突发事件</w:t>
            </w:r>
          </w:p>
        </w:tc>
        <w:tc>
          <w:tcPr>
            <w:tcW w:w="437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27680">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对突发事件予以即刻处理</w:t>
            </w:r>
          </w:p>
        </w:tc>
        <w:tc>
          <w:tcPr>
            <w:tcW w:w="4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5E03C">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对工程类突发事件如停电等，及时找到原因排除故障，如无法排除及时上报上级单位</w:t>
            </w:r>
          </w:p>
        </w:tc>
        <w:tc>
          <w:tcPr>
            <w:tcW w:w="2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D251C">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如未及时到岗扣2分拟扣400元/次</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557E355">
            <w:pPr>
              <w:keepNext w:val="0"/>
              <w:keepLines w:val="0"/>
              <w:pageBreakBefore w:val="0"/>
              <w:kinsoku/>
              <w:wordWrap/>
              <w:overflowPunct/>
              <w:topLinePunct w:val="0"/>
              <w:bidi w:val="0"/>
              <w:spacing w:line="240" w:lineRule="auto"/>
              <w:ind w:firstLine="0" w:firstLineChars="0"/>
              <w:jc w:val="left"/>
              <w:rPr>
                <w:rFonts w:hint="eastAsia" w:ascii="仿宋_GB2312" w:hAnsi="仿宋_GB2312" w:eastAsia="仿宋_GB2312" w:cs="仿宋_GB2312"/>
                <w:color w:val="000000"/>
                <w:sz w:val="21"/>
                <w:szCs w:val="21"/>
              </w:rPr>
            </w:pPr>
          </w:p>
        </w:tc>
      </w:tr>
      <w:tr w14:paraId="012CA729">
        <w:tblPrEx>
          <w:tblCellMar>
            <w:top w:w="0" w:type="dxa"/>
            <w:left w:w="0" w:type="dxa"/>
            <w:bottom w:w="0" w:type="dxa"/>
            <w:right w:w="0" w:type="dxa"/>
          </w:tblCellMar>
        </w:tblPrEx>
        <w:trPr>
          <w:trHeight w:val="98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656A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合计得分：      实际扣费：</w:t>
            </w:r>
          </w:p>
        </w:tc>
      </w:tr>
      <w:tr w14:paraId="3E45920D">
        <w:tblPrEx>
          <w:tblCellMar>
            <w:top w:w="0" w:type="dxa"/>
            <w:left w:w="0" w:type="dxa"/>
            <w:bottom w:w="0" w:type="dxa"/>
            <w:right w:w="0" w:type="dxa"/>
          </w:tblCellMar>
        </w:tblPrEx>
        <w:trPr>
          <w:trHeight w:val="83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3D514">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月度考核结果：</w:t>
            </w:r>
          </w:p>
        </w:tc>
      </w:tr>
      <w:tr w14:paraId="0AD56F60">
        <w:tblPrEx>
          <w:tblCellMar>
            <w:top w:w="0" w:type="dxa"/>
            <w:left w:w="0" w:type="dxa"/>
            <w:bottom w:w="0" w:type="dxa"/>
            <w:right w:w="0" w:type="dxa"/>
          </w:tblCellMar>
        </w:tblPrEx>
        <w:trPr>
          <w:trHeight w:val="910" w:hRule="atLeast"/>
        </w:trPr>
        <w:tc>
          <w:tcPr>
            <w:tcW w:w="1571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CD938">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考核人签字：</w:t>
            </w:r>
          </w:p>
        </w:tc>
      </w:tr>
    </w:tbl>
    <w:p w14:paraId="50BCC51D">
      <w:pPr>
        <w:pStyle w:val="58"/>
        <w:ind w:left="0" w:leftChars="0" w:firstLine="0" w:firstLineChars="0"/>
        <w:rPr>
          <w:rFonts w:hint="eastAsia" w:ascii="仿宋_GB2312" w:hAnsi="仿宋_GB2312" w:eastAsia="仿宋_GB2312" w:cs="仿宋_GB2312"/>
          <w:b/>
          <w:bCs/>
          <w:kern w:val="0"/>
          <w:sz w:val="32"/>
          <w:szCs w:val="32"/>
        </w:rPr>
        <w:sectPr>
          <w:footerReference r:id="rId16" w:type="default"/>
          <w:pgSz w:w="16838" w:h="11906" w:orient="landscape"/>
          <w:pgMar w:top="1134" w:right="567" w:bottom="1134" w:left="567" w:header="851" w:footer="992" w:gutter="0"/>
          <w:cols w:space="720" w:num="1"/>
          <w:docGrid w:type="lines" w:linePitch="319" w:charSpace="0"/>
        </w:sectPr>
      </w:pPr>
    </w:p>
    <w:p w14:paraId="694A3C72">
      <w:pPr>
        <w:keepNext w:val="0"/>
        <w:keepLines w:val="0"/>
        <w:pageBreakBefore w:val="0"/>
        <w:kinsoku/>
        <w:wordWrap/>
        <w:overflowPunct/>
        <w:topLinePunct w:val="0"/>
        <w:bidi w:val="0"/>
        <w:spacing w:line="560" w:lineRule="exact"/>
        <w:ind w:firstLine="0" w:firstLineChars="0"/>
        <w:rPr>
          <w:rFonts w:hint="eastAsia" w:ascii="仿宋_GB2312" w:hAnsi="仿宋_GB2312" w:eastAsia="仿宋_GB2312" w:cs="仿宋_GB2312"/>
          <w:sz w:val="32"/>
          <w:szCs w:val="32"/>
        </w:rPr>
      </w:pPr>
    </w:p>
    <w:p w14:paraId="7AAE8BB4">
      <w:pPr>
        <w:spacing w:line="360" w:lineRule="auto"/>
        <w:ind w:firstLine="0" w:firstLineChars="0"/>
        <w:jc w:val="center"/>
        <w:rPr>
          <w:rFonts w:hint="eastAsia" w:ascii="宋体" w:hAnsi="宋体" w:cs="宋体"/>
          <w:b/>
          <w:color w:val="auto"/>
          <w:sz w:val="32"/>
          <w:szCs w:val="32"/>
        </w:rPr>
      </w:pPr>
      <w:r>
        <w:rPr>
          <w:rFonts w:hint="eastAsia" w:ascii="宋体" w:hAnsi="宋体" w:cs="宋体"/>
          <w:b/>
          <w:color w:val="auto"/>
          <w:sz w:val="32"/>
          <w:szCs w:val="32"/>
        </w:rPr>
        <w:t>第五章 响应文件组成</w:t>
      </w:r>
    </w:p>
    <w:p w14:paraId="5A847AA0">
      <w:pPr>
        <w:rPr>
          <w:b/>
          <w:bCs/>
          <w:color w:val="auto"/>
        </w:rPr>
      </w:pPr>
      <w:r>
        <w:rPr>
          <w:rFonts w:hint="eastAsia"/>
          <w:b/>
          <w:bCs/>
          <w:color w:val="auto"/>
        </w:rPr>
        <w:t>供应商的响应文件应包含以下几个部分：</w:t>
      </w:r>
    </w:p>
    <w:p w14:paraId="07F7185E">
      <w:pPr>
        <w:rPr>
          <w:b/>
          <w:bCs/>
          <w:color w:val="auto"/>
        </w:rPr>
      </w:pPr>
      <w:r>
        <w:rPr>
          <w:rFonts w:hint="eastAsia"/>
          <w:b/>
          <w:bCs/>
          <w:color w:val="auto"/>
        </w:rPr>
        <w:t>一、磋商响应声明</w:t>
      </w:r>
    </w:p>
    <w:p w14:paraId="63B0E666">
      <w:pPr>
        <w:rPr>
          <w:color w:val="auto"/>
        </w:rPr>
      </w:pPr>
      <w:r>
        <w:rPr>
          <w:rFonts w:hint="eastAsia"/>
          <w:color w:val="auto"/>
        </w:rPr>
        <w:t>附件1：法定代表人身份证明</w:t>
      </w:r>
    </w:p>
    <w:p w14:paraId="3685D353">
      <w:pPr>
        <w:rPr>
          <w:color w:val="auto"/>
        </w:rPr>
      </w:pPr>
      <w:r>
        <w:rPr>
          <w:rFonts w:hint="eastAsia"/>
          <w:color w:val="auto"/>
        </w:rPr>
        <w:t>附件2：法定代表人授权委托书</w:t>
      </w:r>
    </w:p>
    <w:p w14:paraId="5BD3EEB9">
      <w:pPr>
        <w:rPr>
          <w:b/>
          <w:bCs/>
          <w:color w:val="auto"/>
        </w:rPr>
      </w:pPr>
      <w:r>
        <w:rPr>
          <w:rFonts w:hint="eastAsia"/>
          <w:b/>
          <w:bCs/>
          <w:color w:val="auto"/>
        </w:rPr>
        <w:t>二、供应商的资格证明资料</w:t>
      </w:r>
    </w:p>
    <w:p w14:paraId="2789729A">
      <w:pPr>
        <w:rPr>
          <w:color w:val="auto"/>
        </w:rPr>
      </w:pPr>
      <w:r>
        <w:rPr>
          <w:rFonts w:hint="eastAsia"/>
          <w:color w:val="auto"/>
        </w:rPr>
        <w:t>附件3：供应商基本情况表</w:t>
      </w:r>
    </w:p>
    <w:p w14:paraId="0CF6B96D">
      <w:pPr>
        <w:rPr>
          <w:color w:val="auto"/>
        </w:rPr>
      </w:pPr>
      <w:r>
        <w:rPr>
          <w:rFonts w:hint="eastAsia"/>
          <w:color w:val="auto"/>
        </w:rPr>
        <w:t>附件4：磋商文件规定的基本资格条件证明资料</w:t>
      </w:r>
    </w:p>
    <w:p w14:paraId="4E18ED90">
      <w:pPr>
        <w:rPr>
          <w:rFonts w:hint="eastAsia"/>
          <w:color w:val="auto"/>
        </w:rPr>
      </w:pPr>
      <w:r>
        <w:rPr>
          <w:rFonts w:hint="eastAsia"/>
          <w:color w:val="auto"/>
        </w:rPr>
        <w:t>附件4-1：供应商资格承诺函</w:t>
      </w:r>
    </w:p>
    <w:p w14:paraId="2B106CDC">
      <w:pPr>
        <w:rPr>
          <w:rFonts w:hint="eastAsia"/>
          <w:color w:val="auto"/>
        </w:rPr>
      </w:pPr>
      <w:r>
        <w:rPr>
          <w:rFonts w:hint="eastAsia"/>
          <w:color w:val="auto"/>
        </w:rPr>
        <w:t>附件4-</w:t>
      </w:r>
      <w:r>
        <w:rPr>
          <w:rFonts w:hint="eastAsia"/>
          <w:color w:val="auto"/>
          <w:lang w:val="en-US" w:eastAsia="zh-CN"/>
        </w:rPr>
        <w:t>2</w:t>
      </w:r>
      <w:r>
        <w:rPr>
          <w:rFonts w:hint="eastAsia"/>
          <w:color w:val="auto"/>
        </w:rPr>
        <w:t>：中小企业声明函（</w:t>
      </w:r>
      <w:r>
        <w:rPr>
          <w:rFonts w:hint="eastAsia"/>
          <w:color w:val="auto"/>
          <w:lang w:val="en-US" w:eastAsia="zh-CN"/>
        </w:rPr>
        <w:t>服务</w:t>
      </w:r>
      <w:r>
        <w:rPr>
          <w:rFonts w:hint="eastAsia"/>
          <w:color w:val="auto"/>
        </w:rPr>
        <w:t>)</w:t>
      </w:r>
    </w:p>
    <w:p w14:paraId="1E7FF695">
      <w:pPr>
        <w:rPr>
          <w:color w:val="auto"/>
        </w:rPr>
      </w:pPr>
      <w:r>
        <w:rPr>
          <w:rFonts w:hint="eastAsia"/>
          <w:color w:val="auto"/>
        </w:rPr>
        <w:t>附件5：磋商文件规定的特定资格条件证明资料</w:t>
      </w:r>
    </w:p>
    <w:p w14:paraId="66A17660">
      <w:pPr>
        <w:rPr>
          <w:color w:val="auto"/>
        </w:rPr>
      </w:pPr>
      <w:r>
        <w:rPr>
          <w:rFonts w:hint="eastAsia"/>
          <w:color w:val="auto"/>
        </w:rPr>
        <w:t>附件6：其他说明</w:t>
      </w:r>
    </w:p>
    <w:p w14:paraId="2F9C69C6">
      <w:pPr>
        <w:rPr>
          <w:rFonts w:hint="eastAsia" w:eastAsia="宋体"/>
          <w:b/>
          <w:bCs/>
          <w:color w:val="auto"/>
          <w:lang w:val="en-US" w:eastAsia="zh-CN"/>
        </w:rPr>
      </w:pPr>
      <w:r>
        <w:rPr>
          <w:rFonts w:hint="eastAsia"/>
          <w:b/>
          <w:bCs/>
          <w:color w:val="auto"/>
        </w:rPr>
        <w:t>三、服务方案</w:t>
      </w:r>
      <w:r>
        <w:rPr>
          <w:rFonts w:hint="eastAsia"/>
          <w:b/>
          <w:bCs/>
          <w:color w:val="auto"/>
          <w:lang w:val="en-US" w:eastAsia="zh-CN"/>
        </w:rPr>
        <w:t>说明</w:t>
      </w:r>
    </w:p>
    <w:p w14:paraId="0370D60A">
      <w:pPr>
        <w:rPr>
          <w:color w:val="auto"/>
        </w:rPr>
      </w:pPr>
      <w:r>
        <w:rPr>
          <w:rFonts w:hint="eastAsia"/>
          <w:color w:val="auto"/>
        </w:rPr>
        <w:t>附件7-1：服务方案等</w:t>
      </w:r>
    </w:p>
    <w:p w14:paraId="4135DED4">
      <w:pPr>
        <w:rPr>
          <w:color w:val="auto"/>
        </w:rPr>
      </w:pPr>
      <w:r>
        <w:rPr>
          <w:rFonts w:hint="eastAsia"/>
          <w:color w:val="auto"/>
        </w:rPr>
        <w:t>附件7-2：主要人员简历表</w:t>
      </w:r>
    </w:p>
    <w:p w14:paraId="23544D28">
      <w:pPr>
        <w:rPr>
          <w:color w:val="auto"/>
        </w:rPr>
      </w:pPr>
      <w:r>
        <w:rPr>
          <w:rFonts w:hint="eastAsia"/>
          <w:b/>
          <w:bCs/>
          <w:color w:val="auto"/>
        </w:rPr>
        <w:t>四、技术/商务响应与偏离表</w:t>
      </w:r>
    </w:p>
    <w:p w14:paraId="0F7D5101">
      <w:pPr>
        <w:rPr>
          <w:b/>
          <w:bCs/>
          <w:color w:val="auto"/>
        </w:rPr>
      </w:pPr>
      <w:r>
        <w:rPr>
          <w:rFonts w:hint="eastAsia"/>
          <w:b/>
          <w:bCs/>
          <w:color w:val="auto"/>
        </w:rPr>
        <w:t>五、报价一览表</w:t>
      </w:r>
    </w:p>
    <w:p w14:paraId="09961D55">
      <w:pPr>
        <w:rPr>
          <w:color w:val="auto"/>
        </w:rPr>
      </w:pPr>
      <w:r>
        <w:rPr>
          <w:rFonts w:hint="eastAsia"/>
          <w:color w:val="auto"/>
        </w:rPr>
        <w:t>附件8-1：报价一览表</w:t>
      </w:r>
    </w:p>
    <w:p w14:paraId="3AC05542">
      <w:pPr>
        <w:rPr>
          <w:color w:val="auto"/>
        </w:rPr>
      </w:pPr>
      <w:r>
        <w:rPr>
          <w:rFonts w:hint="eastAsia"/>
          <w:color w:val="auto"/>
        </w:rPr>
        <w:t>附件8-2：分项价格表</w:t>
      </w:r>
    </w:p>
    <w:p w14:paraId="6362564F">
      <w:pPr>
        <w:rPr>
          <w:b/>
          <w:bCs/>
          <w:color w:val="auto"/>
        </w:rPr>
      </w:pPr>
      <w:r>
        <w:rPr>
          <w:rFonts w:hint="eastAsia"/>
          <w:b/>
          <w:bCs/>
          <w:color w:val="auto"/>
        </w:rPr>
        <w:t>六、供应商认为需提供的其他资料</w:t>
      </w:r>
    </w:p>
    <w:p w14:paraId="5FFFEB8B">
      <w:pPr>
        <w:rPr>
          <w:b/>
          <w:bCs/>
          <w:color w:val="auto"/>
        </w:rPr>
      </w:pPr>
      <w:r>
        <w:rPr>
          <w:rFonts w:hint="eastAsia"/>
          <w:b/>
          <w:bCs/>
          <w:color w:val="auto"/>
        </w:rPr>
        <w:t>七、最后报价</w:t>
      </w:r>
    </w:p>
    <w:p w14:paraId="59E82A46">
      <w:pPr>
        <w:pStyle w:val="25"/>
        <w:rPr>
          <w:color w:val="auto"/>
        </w:rPr>
      </w:pPr>
    </w:p>
    <w:p w14:paraId="446A2D9F">
      <w:pPr>
        <w:pStyle w:val="25"/>
        <w:rPr>
          <w:color w:val="auto"/>
        </w:rPr>
      </w:pPr>
    </w:p>
    <w:p w14:paraId="19017E82">
      <w:pPr>
        <w:rPr>
          <w:color w:val="auto"/>
        </w:rPr>
      </w:pPr>
    </w:p>
    <w:p w14:paraId="3E18D8EB">
      <w:pPr>
        <w:rPr>
          <w:color w:val="auto"/>
        </w:rPr>
      </w:pPr>
    </w:p>
    <w:p w14:paraId="43552402">
      <w:pPr>
        <w:rPr>
          <w:color w:val="auto"/>
        </w:rPr>
      </w:pPr>
    </w:p>
    <w:p w14:paraId="79B18224">
      <w:pPr>
        <w:jc w:val="center"/>
        <w:rPr>
          <w:color w:val="auto"/>
        </w:rPr>
      </w:pPr>
      <w:r>
        <w:rPr>
          <w:rFonts w:hint="eastAsia"/>
          <w:color w:val="auto"/>
        </w:rPr>
        <w:br w:type="page"/>
      </w:r>
      <w:r>
        <w:rPr>
          <w:rFonts w:hint="eastAsia" w:ascii="宋体" w:hAnsi="宋体" w:cs="宋体"/>
          <w:b/>
          <w:color w:val="auto"/>
          <w:sz w:val="32"/>
          <w:szCs w:val="32"/>
        </w:rPr>
        <w:t>一、磋商响应声明</w:t>
      </w:r>
    </w:p>
    <w:p w14:paraId="343A9EBA">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致 (采购人或采购代理机构)：</w:t>
      </w:r>
    </w:p>
    <w:p w14:paraId="08C8E8A5">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我方已仔细研究了</w:t>
      </w:r>
      <w:r>
        <w:rPr>
          <w:rFonts w:hint="eastAsia"/>
          <w:color w:val="auto"/>
          <w:u w:val="single"/>
        </w:rPr>
        <w:t xml:space="preserve">                 (</w:t>
      </w:r>
      <w:r>
        <w:rPr>
          <w:rFonts w:hint="eastAsia"/>
          <w:color w:val="auto"/>
        </w:rPr>
        <w:t>项目名称)的竞争性磋商文件（采购编号： ；采购代理编号：）的全部内容，知悉参加竞争性磋商的风险，我方承诺接受磋商文件的全部条款且无任何异议。</w:t>
      </w:r>
    </w:p>
    <w:p w14:paraId="617EA2DD">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一、我方同意在磋商文件中规定的提交首次响应文件截止时间起</w:t>
      </w:r>
      <w:r>
        <w:rPr>
          <w:rFonts w:hint="eastAsia"/>
          <w:color w:val="auto"/>
          <w:u w:val="single"/>
          <w:lang w:val="en-US" w:eastAsia="zh-CN"/>
        </w:rPr>
        <w:t xml:space="preserve">   </w:t>
      </w:r>
      <w:r>
        <w:rPr>
          <w:rFonts w:hint="eastAsia"/>
          <w:color w:val="auto"/>
          <w:u w:val="none"/>
        </w:rPr>
        <w:t>日</w:t>
      </w:r>
      <w:r>
        <w:rPr>
          <w:rFonts w:hint="eastAsia"/>
          <w:color w:val="auto"/>
        </w:rPr>
        <w:t>内(响应文件有效期)遵守本响应文件中的承诺且在此期限期满之前均具有法律约束力。</w:t>
      </w:r>
    </w:p>
    <w:p w14:paraId="351A4841">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二、我方提交响应文件正本一份和副本一式二份，并保证响应文件提供的数据和资料全部内容真实、合法、准确和完整，我们对此负责，并愿承担由此引起的法律责任。</w:t>
      </w:r>
    </w:p>
    <w:p w14:paraId="0D92D09B">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三、我方愿意向贵方提供任何与本项采购有关的数据、情况和技术资料。若贵方需要，我方愿意提供我方作出的一切承诺的证明资料。</w:t>
      </w:r>
    </w:p>
    <w:p w14:paraId="054E022B">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四、我方愿意按磋商文件规定和磋商小组要求重新提交响应文件。</w:t>
      </w:r>
    </w:p>
    <w:p w14:paraId="30A9A621">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五、我方承诺遵守《中华人民共和国政府采购法》的有关规定，保证在获得成交资格后，按照磋商文件确定的事项签订采购合同，履行双方所签订的合同，并承担合同规定的责任和义务。</w:t>
      </w:r>
    </w:p>
    <w:p w14:paraId="298AED0D">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 xml:space="preserve">六、我方在此声明： </w:t>
      </w:r>
    </w:p>
    <w:p w14:paraId="2544E45F">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（一）我方与采购人或采购代理机构不存在隶属关系或者其它利害关系。</w:t>
      </w:r>
    </w:p>
    <w:p w14:paraId="3C6766C7">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（二）我方与参加本项目的其它供应商不存在直接控股、管理关系，或者与其它供应商法定代表人（或者负责人）为同一人。</w:t>
      </w:r>
    </w:p>
    <w:p w14:paraId="3743E6A5">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（三）我方未为本项目前期准备提供设计或咨询服务。</w:t>
      </w:r>
    </w:p>
    <w:p w14:paraId="6121E2B9">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（四）我方承诺（承诺期：成立三年以上的，为提交首次响应文件截止时间前三年内；成立不足三年的，为实际时间）：</w:t>
      </w:r>
    </w:p>
    <w:p w14:paraId="75BC2E8B">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1、我方依法缴纳了各项税费及各项社会保障资金，没有偷税、漏税及欠缴行为。</w:t>
      </w:r>
    </w:p>
    <w:p w14:paraId="4298D8C3">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2、我方在经营活动中没有存在下列重大违法记录：</w:t>
      </w:r>
    </w:p>
    <w:p w14:paraId="1FC801A5">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(1)受到刑事处罚；</w:t>
      </w:r>
    </w:p>
    <w:p w14:paraId="53BF859F">
      <w:pPr>
        <w:pStyle w:val="25"/>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color w:val="auto"/>
        </w:rPr>
        <w:t>(2)受到较大数额的罚款、责令停产停业、在一至三年内禁止参加采购活动、暂扣或者吊销许可证、暂扣或者吊销执照的行政处罚。</w:t>
      </w:r>
    </w:p>
    <w:p w14:paraId="11C41ED4">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bCs/>
          <w:color w:val="auto"/>
        </w:rPr>
        <w:t>附件1：</w:t>
      </w:r>
      <w:r>
        <w:rPr>
          <w:rFonts w:hint="eastAsia"/>
          <w:color w:val="auto"/>
        </w:rPr>
        <w:t>法定代表人身份证明</w:t>
      </w:r>
    </w:p>
    <w:p w14:paraId="4CB53E39">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rPr>
      </w:pPr>
      <w:r>
        <w:rPr>
          <w:rFonts w:hint="eastAsia"/>
          <w:bCs/>
          <w:color w:val="auto"/>
        </w:rPr>
        <w:t>附件2</w:t>
      </w:r>
      <w:r>
        <w:rPr>
          <w:rFonts w:hint="eastAsia"/>
          <w:color w:val="auto"/>
        </w:rPr>
        <w:t>：法定代表人授权书</w:t>
      </w:r>
    </w:p>
    <w:p w14:paraId="421870DB">
      <w:pPr>
        <w:pStyle w:val="25"/>
        <w:rPr>
          <w:color w:val="auto"/>
        </w:rPr>
      </w:pPr>
    </w:p>
    <w:p w14:paraId="294D0E2C">
      <w:pPr>
        <w:pStyle w:val="25"/>
        <w:rPr>
          <w:color w:val="auto"/>
        </w:rPr>
      </w:pPr>
      <w:r>
        <w:rPr>
          <w:rFonts w:hint="eastAsia"/>
          <w:color w:val="auto"/>
        </w:rPr>
        <w:t>供应商名称(盖单位章)：</w:t>
      </w:r>
    </w:p>
    <w:p w14:paraId="409B3739">
      <w:pPr>
        <w:rPr>
          <w:color w:val="auto"/>
        </w:rPr>
      </w:pPr>
      <w:r>
        <w:rPr>
          <w:rFonts w:hint="eastAsia"/>
          <w:color w:val="auto"/>
        </w:rPr>
        <w:t>法定代表人或其委托代理人 (签字)：</w:t>
      </w:r>
    </w:p>
    <w:p w14:paraId="6C2897FF">
      <w:pPr>
        <w:rPr>
          <w:bCs/>
          <w:color w:val="auto"/>
          <w:sz w:val="30"/>
          <w:szCs w:val="30"/>
        </w:rPr>
      </w:pPr>
      <w:r>
        <w:rPr>
          <w:rFonts w:hint="eastAsia"/>
          <w:color w:val="auto"/>
        </w:rPr>
        <w:t>日     期： 年 月 日</w:t>
      </w:r>
    </w:p>
    <w:p w14:paraId="2C4C4A07">
      <w:pPr>
        <w:rPr>
          <w:rFonts w:hint="eastAsia"/>
          <w:color w:val="auto"/>
        </w:rPr>
      </w:pPr>
      <w:r>
        <w:rPr>
          <w:rFonts w:hint="eastAsia"/>
          <w:color w:val="auto"/>
        </w:rPr>
        <w:br w:type="page"/>
      </w:r>
    </w:p>
    <w:p w14:paraId="3837C170">
      <w:pPr>
        <w:adjustRightInd w:val="0"/>
        <w:snapToGrid w:val="0"/>
        <w:spacing w:line="360" w:lineRule="auto"/>
        <w:ind w:right="24" w:firstLine="301" w:firstLineChars="100"/>
        <w:rPr>
          <w:rFonts w:ascii="宋体" w:hAnsi="宋体" w:cs="宋体"/>
          <w:b/>
          <w:color w:val="auto"/>
          <w:sz w:val="30"/>
          <w:szCs w:val="30"/>
        </w:rPr>
      </w:pPr>
      <w:r>
        <w:rPr>
          <w:rFonts w:hint="eastAsia" w:ascii="宋体" w:hAnsi="宋体" w:cs="宋体"/>
          <w:b/>
          <w:color w:val="auto"/>
          <w:sz w:val="30"/>
          <w:szCs w:val="30"/>
        </w:rPr>
        <w:t>附件1</w:t>
      </w:r>
    </w:p>
    <w:p w14:paraId="65869DF6">
      <w:pPr>
        <w:spacing w:line="240" w:lineRule="auto"/>
        <w:ind w:firstLine="0" w:firstLineChars="0"/>
        <w:jc w:val="center"/>
        <w:rPr>
          <w:rFonts w:ascii="宋体" w:hAnsi="宋体" w:cs="宋体"/>
          <w:b/>
          <w:color w:val="auto"/>
          <w:sz w:val="30"/>
          <w:szCs w:val="30"/>
        </w:rPr>
      </w:pPr>
      <w:r>
        <w:rPr>
          <w:rFonts w:hint="eastAsia" w:ascii="宋体" w:hAnsi="宋体" w:cs="宋体"/>
          <w:b/>
          <w:color w:val="auto"/>
          <w:sz w:val="30"/>
          <w:szCs w:val="30"/>
        </w:rPr>
        <w:t>法定代表人身份证明</w:t>
      </w:r>
    </w:p>
    <w:p w14:paraId="056CB309">
      <w:pPr>
        <w:rPr>
          <w:color w:val="auto"/>
        </w:rPr>
      </w:pPr>
    </w:p>
    <w:p w14:paraId="5914EE25">
      <w:pPr>
        <w:rPr>
          <w:color w:val="auto"/>
          <w:kern w:val="0"/>
        </w:rPr>
      </w:pPr>
      <w:r>
        <w:rPr>
          <w:rFonts w:hint="eastAsia"/>
          <w:color w:val="auto"/>
        </w:rPr>
        <w:t>供应商</w:t>
      </w:r>
      <w:r>
        <w:rPr>
          <w:rFonts w:hint="eastAsia"/>
          <w:color w:val="auto"/>
          <w:kern w:val="0"/>
        </w:rPr>
        <w:t>名称：</w:t>
      </w:r>
    </w:p>
    <w:p w14:paraId="28B21F93">
      <w:pPr>
        <w:rPr>
          <w:color w:val="auto"/>
          <w:kern w:val="0"/>
        </w:rPr>
      </w:pPr>
      <w:r>
        <w:rPr>
          <w:rFonts w:hint="eastAsia"/>
          <w:color w:val="auto"/>
          <w:kern w:val="0"/>
        </w:rPr>
        <w:t>注册号：</w:t>
      </w:r>
    </w:p>
    <w:p w14:paraId="0B1FCC6C">
      <w:pPr>
        <w:rPr>
          <w:color w:val="auto"/>
          <w:kern w:val="0"/>
        </w:rPr>
      </w:pPr>
      <w:r>
        <w:rPr>
          <w:rFonts w:hint="eastAsia"/>
          <w:color w:val="auto"/>
          <w:kern w:val="0"/>
        </w:rPr>
        <w:t>注册地址：</w:t>
      </w:r>
    </w:p>
    <w:p w14:paraId="5672A3B0">
      <w:pPr>
        <w:rPr>
          <w:color w:val="auto"/>
          <w:kern w:val="0"/>
        </w:rPr>
      </w:pPr>
      <w:r>
        <w:rPr>
          <w:rFonts w:hint="eastAsia"/>
          <w:color w:val="auto"/>
          <w:kern w:val="0"/>
        </w:rPr>
        <w:t>成立时间： 年 月 日</w:t>
      </w:r>
    </w:p>
    <w:p w14:paraId="25C861AD">
      <w:pPr>
        <w:rPr>
          <w:color w:val="auto"/>
          <w:kern w:val="0"/>
          <w:u w:val="single"/>
        </w:rPr>
      </w:pPr>
      <w:r>
        <w:rPr>
          <w:rFonts w:hint="eastAsia"/>
          <w:color w:val="auto"/>
          <w:kern w:val="0"/>
        </w:rPr>
        <w:t>经营期限：</w:t>
      </w:r>
    </w:p>
    <w:p w14:paraId="0ED53592">
      <w:pPr>
        <w:rPr>
          <w:color w:val="auto"/>
          <w:kern w:val="0"/>
          <w:u w:val="single"/>
        </w:rPr>
      </w:pPr>
      <w:r>
        <w:rPr>
          <w:rFonts w:hint="eastAsia"/>
          <w:color w:val="auto"/>
          <w:kern w:val="0"/>
        </w:rPr>
        <w:t>经营范围：主营： ；兼营：</w:t>
      </w:r>
    </w:p>
    <w:p w14:paraId="02B1D1F9">
      <w:pPr>
        <w:rPr>
          <w:color w:val="auto"/>
          <w:kern w:val="0"/>
        </w:rPr>
      </w:pPr>
      <w:r>
        <w:rPr>
          <w:rFonts w:hint="eastAsia"/>
          <w:color w:val="auto"/>
          <w:kern w:val="0"/>
        </w:rPr>
        <w:t>姓名： 性别： 年龄： 系（</w:t>
      </w:r>
      <w:r>
        <w:rPr>
          <w:rFonts w:hint="eastAsia"/>
          <w:color w:val="auto"/>
        </w:rPr>
        <w:t>供应商</w:t>
      </w:r>
      <w:r>
        <w:rPr>
          <w:rFonts w:hint="eastAsia"/>
          <w:color w:val="auto"/>
          <w:kern w:val="0"/>
        </w:rPr>
        <w:t>名称）的法定代表人。</w:t>
      </w:r>
    </w:p>
    <w:p w14:paraId="2474635B">
      <w:pPr>
        <w:rPr>
          <w:color w:val="auto"/>
          <w:kern w:val="0"/>
        </w:rPr>
      </w:pPr>
      <w:r>
        <w:rPr>
          <w:rFonts w:hint="eastAsia"/>
          <w:color w:val="auto"/>
          <w:kern w:val="0"/>
        </w:rPr>
        <w:t>特此证明。</w:t>
      </w:r>
    </w:p>
    <w:p w14:paraId="1946D8C2">
      <w:pPr>
        <w:rPr>
          <w:color w:val="auto"/>
          <w:kern w:val="0"/>
        </w:rPr>
      </w:pPr>
      <w:r>
        <w:rPr>
          <w:rFonts w:hint="eastAsia"/>
          <w:color w:val="auto"/>
        </w:rPr>
        <w:t>附：法定代表人身份证复印件</w:t>
      </w:r>
    </w:p>
    <w:p w14:paraId="186B9778">
      <w:pPr>
        <w:rPr>
          <w:color w:val="auto"/>
        </w:rPr>
      </w:pPr>
    </w:p>
    <w:p w14:paraId="7A2667F7">
      <w:pPr>
        <w:rPr>
          <w:color w:val="auto"/>
        </w:rPr>
      </w:pPr>
    </w:p>
    <w:p w14:paraId="6A687ECD">
      <w:pPr>
        <w:rPr>
          <w:color w:val="auto"/>
        </w:rPr>
      </w:pPr>
    </w:p>
    <w:p w14:paraId="2F123F2E">
      <w:pPr>
        <w:rPr>
          <w:color w:val="auto"/>
        </w:rPr>
      </w:pPr>
    </w:p>
    <w:p w14:paraId="7FBCB601">
      <w:pPr>
        <w:rPr>
          <w:color w:val="auto"/>
        </w:rPr>
      </w:pPr>
    </w:p>
    <w:p w14:paraId="02997615">
      <w:pPr>
        <w:rPr>
          <w:color w:val="auto"/>
        </w:rPr>
      </w:pPr>
    </w:p>
    <w:p w14:paraId="4ADB9940">
      <w:pPr>
        <w:rPr>
          <w:color w:val="auto"/>
        </w:rPr>
      </w:pPr>
      <w:r>
        <w:rPr>
          <w:rFonts w:hint="eastAsia"/>
          <w:color w:val="auto"/>
        </w:rPr>
        <w:t>供应商名称（盖单位章）：</w:t>
      </w:r>
    </w:p>
    <w:p w14:paraId="009B3A7C">
      <w:pPr>
        <w:rPr>
          <w:color w:val="auto"/>
        </w:rPr>
      </w:pPr>
      <w:r>
        <w:rPr>
          <w:rFonts w:hint="eastAsia"/>
          <w:color w:val="auto"/>
        </w:rPr>
        <w:t xml:space="preserve">日期： 年 月 日      </w:t>
      </w:r>
    </w:p>
    <w:p w14:paraId="4F063172">
      <w:pPr>
        <w:rPr>
          <w:color w:val="auto"/>
        </w:rPr>
      </w:pPr>
    </w:p>
    <w:p w14:paraId="1C9C7799">
      <w:pPr>
        <w:rPr>
          <w:color w:val="auto"/>
        </w:rPr>
      </w:pPr>
    </w:p>
    <w:p w14:paraId="5DB79189">
      <w:pPr>
        <w:rPr>
          <w:color w:val="auto"/>
        </w:rPr>
      </w:pPr>
    </w:p>
    <w:p w14:paraId="7D0EE8E8">
      <w:pPr>
        <w:rPr>
          <w:color w:val="auto"/>
        </w:rPr>
      </w:pPr>
    </w:p>
    <w:p w14:paraId="6C4BC402">
      <w:pPr>
        <w:rPr>
          <w:color w:val="auto"/>
        </w:rPr>
      </w:pPr>
    </w:p>
    <w:p w14:paraId="240452C7">
      <w:pPr>
        <w:rPr>
          <w:b/>
          <w:bCs/>
          <w:color w:val="auto"/>
          <w:szCs w:val="21"/>
        </w:rPr>
      </w:pPr>
      <w:r>
        <w:rPr>
          <w:b/>
          <w:bCs/>
          <w:color w:val="auto"/>
        </w:rPr>
        <w:t>注：</w:t>
      </w:r>
      <w:r>
        <w:rPr>
          <w:rFonts w:hint="eastAsia"/>
          <w:b/>
          <w:bCs/>
          <w:color w:val="auto"/>
        </w:rPr>
        <w:t>（</w:t>
      </w:r>
      <w:r>
        <w:rPr>
          <w:b/>
          <w:bCs/>
          <w:color w:val="auto"/>
        </w:rPr>
        <w:t>此法定代表人身份证明由投标单位加盖单位公章，除投标文件中须提供外，还须另外准备一份，不装入投标文件，与项目的投标文件同时分别递交。）</w:t>
      </w:r>
    </w:p>
    <w:p w14:paraId="3ABD9755">
      <w:pPr>
        <w:adjustRightInd w:val="0"/>
        <w:snapToGrid w:val="0"/>
        <w:spacing w:beforeLines="50" w:line="360" w:lineRule="auto"/>
        <w:ind w:firstLine="0" w:firstLineChars="0"/>
        <w:rPr>
          <w:rFonts w:ascii="宋体" w:hAnsi="宋体" w:cs="宋体"/>
          <w:b/>
          <w:color w:val="auto"/>
          <w:sz w:val="30"/>
          <w:szCs w:val="30"/>
        </w:rPr>
      </w:pPr>
      <w:r>
        <w:rPr>
          <w:rFonts w:hint="eastAsia" w:ascii="宋体" w:hAnsi="宋体" w:cs="宋体"/>
          <w:b/>
          <w:color w:val="auto"/>
          <w:sz w:val="30"/>
          <w:szCs w:val="30"/>
        </w:rPr>
        <w:t>附件2</w:t>
      </w:r>
    </w:p>
    <w:p w14:paraId="24747915">
      <w:pPr>
        <w:jc w:val="center"/>
        <w:rPr>
          <w:color w:val="auto"/>
        </w:rPr>
      </w:pPr>
      <w:r>
        <w:rPr>
          <w:rFonts w:hint="eastAsia" w:ascii="宋体" w:hAnsi="宋体" w:cs="宋体"/>
          <w:b/>
          <w:color w:val="auto"/>
          <w:sz w:val="30"/>
          <w:szCs w:val="30"/>
        </w:rPr>
        <w:t>法定代表人授权委托书</w:t>
      </w:r>
    </w:p>
    <w:p w14:paraId="0B0A6E95">
      <w:pPr>
        <w:rPr>
          <w:color w:val="auto"/>
          <w:kern w:val="0"/>
        </w:rPr>
      </w:pPr>
      <w:r>
        <w:rPr>
          <w:rFonts w:hint="eastAsia"/>
          <w:color w:val="auto"/>
          <w:kern w:val="0"/>
        </w:rPr>
        <w:t>本人</w:t>
      </w:r>
      <w:r>
        <w:rPr>
          <w:rFonts w:hint="eastAsia"/>
          <w:color w:val="auto"/>
          <w:kern w:val="0"/>
          <w:u w:val="single"/>
          <w:lang w:val="en-US" w:eastAsia="zh-CN"/>
        </w:rPr>
        <w:t xml:space="preserve">             </w:t>
      </w:r>
      <w:r>
        <w:rPr>
          <w:rFonts w:hint="eastAsia"/>
          <w:color w:val="auto"/>
          <w:kern w:val="0"/>
        </w:rPr>
        <w:t>（姓名、职务）系</w:t>
      </w:r>
      <w:r>
        <w:rPr>
          <w:rFonts w:hint="eastAsia"/>
          <w:color w:val="auto"/>
          <w:kern w:val="0"/>
          <w:u w:val="single"/>
        </w:rPr>
        <w:t xml:space="preserve"> </w:t>
      </w:r>
      <w:r>
        <w:rPr>
          <w:rFonts w:hint="eastAsia"/>
          <w:color w:val="auto"/>
          <w:kern w:val="0"/>
          <w:u w:val="single"/>
          <w:lang w:val="en-US" w:eastAsia="zh-CN"/>
        </w:rPr>
        <w:t xml:space="preserve">                 </w:t>
      </w:r>
      <w:r>
        <w:rPr>
          <w:rFonts w:hint="eastAsia"/>
          <w:color w:val="auto"/>
          <w:kern w:val="0"/>
        </w:rPr>
        <w:t>（</w:t>
      </w:r>
      <w:r>
        <w:rPr>
          <w:rFonts w:hint="eastAsia"/>
          <w:color w:val="auto"/>
        </w:rPr>
        <w:t>供应商</w:t>
      </w:r>
      <w:r>
        <w:rPr>
          <w:rFonts w:hint="eastAsia"/>
          <w:color w:val="auto"/>
          <w:kern w:val="0"/>
        </w:rPr>
        <w:t>名称）的法定代表人，现授权</w:t>
      </w:r>
      <w:r>
        <w:rPr>
          <w:rFonts w:hint="eastAsia"/>
          <w:color w:val="auto"/>
          <w:kern w:val="0"/>
          <w:u w:val="single"/>
          <w:lang w:val="en-US" w:eastAsia="zh-CN"/>
        </w:rPr>
        <w:t xml:space="preserve">                       </w:t>
      </w:r>
      <w:r>
        <w:rPr>
          <w:rFonts w:hint="eastAsia"/>
          <w:color w:val="auto"/>
          <w:kern w:val="0"/>
        </w:rPr>
        <w:t>（姓名、职务）为我方代理人。代理人根据授权，以我方名义：(1)签署、澄清、补正、修改、撤回、提交</w:t>
      </w:r>
      <w:r>
        <w:rPr>
          <w:rFonts w:hint="eastAsia"/>
          <w:color w:val="auto"/>
          <w:kern w:val="0"/>
          <w:u w:val="single"/>
          <w:lang w:val="en-US" w:eastAsia="zh-CN"/>
        </w:rPr>
        <w:t xml:space="preserve">                        </w:t>
      </w:r>
      <w:r>
        <w:rPr>
          <w:rFonts w:hint="eastAsia"/>
          <w:color w:val="auto"/>
          <w:kern w:val="0"/>
        </w:rPr>
        <w:t>（项目名称、</w:t>
      </w:r>
      <w:r>
        <w:rPr>
          <w:rFonts w:hint="eastAsia"/>
          <w:color w:val="auto"/>
        </w:rPr>
        <w:t>采购编号</w:t>
      </w:r>
      <w:r>
        <w:rPr>
          <w:rFonts w:hint="eastAsia"/>
          <w:color w:val="auto"/>
          <w:kern w:val="0"/>
        </w:rPr>
        <w:t>、采购代理机构编号）响应文件；(2)签署并重新提交响应文件及最后报价；(3)退出谈判；(4)签订合同和处理有关事宜，其法律后果由我方承担；（5）询问、质疑、投诉等相关事项，其法律后果由我方承担。</w:t>
      </w:r>
    </w:p>
    <w:p w14:paraId="24042306">
      <w:pPr>
        <w:rPr>
          <w:color w:val="auto"/>
          <w:kern w:val="0"/>
        </w:rPr>
      </w:pPr>
      <w:r>
        <w:rPr>
          <w:rFonts w:hint="eastAsia"/>
          <w:color w:val="auto"/>
          <w:kern w:val="0"/>
        </w:rPr>
        <w:t>委托期限：</w:t>
      </w:r>
      <w:r>
        <w:rPr>
          <w:rFonts w:hint="eastAsia"/>
          <w:color w:val="auto"/>
          <w:kern w:val="0"/>
          <w:u w:val="single"/>
          <w:lang w:val="en-US" w:eastAsia="zh-CN"/>
        </w:rPr>
        <w:t xml:space="preserve">                    </w:t>
      </w:r>
      <w:r>
        <w:rPr>
          <w:rFonts w:hint="eastAsia"/>
          <w:color w:val="auto"/>
          <w:kern w:val="0"/>
          <w:u w:val="single"/>
        </w:rPr>
        <w:t xml:space="preserve"> </w:t>
      </w:r>
      <w:r>
        <w:rPr>
          <w:rFonts w:hint="eastAsia"/>
          <w:color w:val="auto"/>
          <w:kern w:val="0"/>
        </w:rPr>
        <w:t>。</w:t>
      </w:r>
    </w:p>
    <w:p w14:paraId="49A0EF36">
      <w:pPr>
        <w:rPr>
          <w:color w:val="auto"/>
          <w:kern w:val="0"/>
        </w:rPr>
      </w:pPr>
      <w:r>
        <w:rPr>
          <w:rFonts w:hint="eastAsia"/>
          <w:color w:val="auto"/>
          <w:kern w:val="0"/>
        </w:rPr>
        <w:t>代理人无转委托权。</w:t>
      </w:r>
    </w:p>
    <w:p w14:paraId="691DBD68">
      <w:pPr>
        <w:rPr>
          <w:color w:val="auto"/>
        </w:rPr>
      </w:pPr>
      <w:r>
        <w:rPr>
          <w:rFonts w:hint="eastAsia"/>
          <w:color w:val="auto"/>
        </w:rPr>
        <w:t>本授权书于</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日签字生效，特此声明。</w:t>
      </w:r>
    </w:p>
    <w:p w14:paraId="166A8925">
      <w:pPr>
        <w:rPr>
          <w:color w:val="auto"/>
        </w:rPr>
      </w:pPr>
      <w:r>
        <w:rPr>
          <w:rFonts w:hint="eastAsia"/>
          <w:color w:val="auto"/>
        </w:rPr>
        <w:t>附：委托代理人身份证复印件及法定代表人身份证明(附件1，原件)</w:t>
      </w:r>
    </w:p>
    <w:p w14:paraId="71599D16">
      <w:pPr>
        <w:rPr>
          <w:color w:val="auto"/>
        </w:rPr>
      </w:pPr>
    </w:p>
    <w:p w14:paraId="3D17F712">
      <w:pPr>
        <w:rPr>
          <w:color w:val="auto"/>
        </w:rPr>
      </w:pPr>
    </w:p>
    <w:p w14:paraId="2D201744">
      <w:pPr>
        <w:rPr>
          <w:color w:val="auto"/>
        </w:rPr>
      </w:pPr>
    </w:p>
    <w:p w14:paraId="38D58DB5">
      <w:pPr>
        <w:rPr>
          <w:color w:val="auto"/>
        </w:rPr>
      </w:pPr>
    </w:p>
    <w:p w14:paraId="3E3E035D">
      <w:pPr>
        <w:rPr>
          <w:color w:val="auto"/>
        </w:rPr>
      </w:pPr>
    </w:p>
    <w:p w14:paraId="411749EE">
      <w:pPr>
        <w:rPr>
          <w:rFonts w:hint="default" w:eastAsia="宋体"/>
          <w:color w:val="auto"/>
          <w:u w:val="single"/>
          <w:lang w:val="en-US" w:eastAsia="zh-CN"/>
        </w:rPr>
      </w:pPr>
      <w:r>
        <w:rPr>
          <w:rFonts w:hint="eastAsia"/>
          <w:color w:val="auto"/>
        </w:rPr>
        <w:t>法定代表人（签字）：</w:t>
      </w:r>
      <w:r>
        <w:rPr>
          <w:rFonts w:hint="eastAsia"/>
          <w:color w:val="auto"/>
          <w:u w:val="single"/>
          <w:lang w:val="en-US" w:eastAsia="zh-CN"/>
        </w:rPr>
        <w:t xml:space="preserve">               </w:t>
      </w:r>
    </w:p>
    <w:p w14:paraId="537F7FE2">
      <w:pPr>
        <w:rPr>
          <w:rFonts w:hint="default" w:eastAsia="宋体"/>
          <w:color w:val="auto"/>
          <w:u w:val="single"/>
          <w:lang w:val="en-US" w:eastAsia="zh-CN"/>
        </w:rPr>
      </w:pPr>
      <w:r>
        <w:rPr>
          <w:rFonts w:hint="eastAsia"/>
          <w:color w:val="auto"/>
        </w:rPr>
        <w:t>委托代理人（签字）：</w:t>
      </w:r>
      <w:r>
        <w:rPr>
          <w:rFonts w:hint="eastAsia"/>
          <w:color w:val="auto"/>
          <w:u w:val="single"/>
          <w:lang w:val="en-US" w:eastAsia="zh-CN"/>
        </w:rPr>
        <w:t xml:space="preserve">               </w:t>
      </w:r>
    </w:p>
    <w:p w14:paraId="6DD0702D">
      <w:pPr>
        <w:rPr>
          <w:color w:val="auto"/>
        </w:rPr>
      </w:pPr>
      <w:r>
        <w:rPr>
          <w:rFonts w:hint="eastAsia"/>
          <w:color w:val="auto"/>
        </w:rPr>
        <w:t xml:space="preserve">日期： 年 </w:t>
      </w:r>
      <w:r>
        <w:rPr>
          <w:rFonts w:hint="eastAsia"/>
          <w:color w:val="auto"/>
          <w:lang w:val="en-US" w:eastAsia="zh-CN"/>
        </w:rPr>
        <w:t xml:space="preserve">  </w:t>
      </w:r>
      <w:r>
        <w:rPr>
          <w:rFonts w:hint="eastAsia"/>
          <w:color w:val="auto"/>
        </w:rPr>
        <w:t xml:space="preserve">月 </w:t>
      </w:r>
      <w:r>
        <w:rPr>
          <w:rFonts w:hint="eastAsia"/>
          <w:color w:val="auto"/>
          <w:lang w:val="en-US" w:eastAsia="zh-CN"/>
        </w:rPr>
        <w:t xml:space="preserve">   </w:t>
      </w:r>
      <w:r>
        <w:rPr>
          <w:rFonts w:hint="eastAsia"/>
          <w:color w:val="auto"/>
        </w:rPr>
        <w:t>日</w:t>
      </w:r>
    </w:p>
    <w:p w14:paraId="717ECE2C">
      <w:pPr>
        <w:rPr>
          <w:color w:val="auto"/>
        </w:rPr>
      </w:pPr>
    </w:p>
    <w:p w14:paraId="7E51DAD8">
      <w:pPr>
        <w:rPr>
          <w:color w:val="auto"/>
        </w:rPr>
      </w:pPr>
    </w:p>
    <w:p w14:paraId="48AB7A6E">
      <w:pPr>
        <w:rPr>
          <w:color w:val="auto"/>
        </w:rPr>
      </w:pPr>
    </w:p>
    <w:p w14:paraId="47660F36">
      <w:pPr>
        <w:rPr>
          <w:b/>
          <w:bCs/>
          <w:color w:val="auto"/>
        </w:rPr>
      </w:pPr>
      <w:r>
        <w:rPr>
          <w:b/>
          <w:bCs/>
          <w:color w:val="auto"/>
        </w:rPr>
        <w:t>（注：此法定代表人授权委托书由投标单位法定代表人和委托代理人亲笔签署，并加盖单位公章，除</w:t>
      </w:r>
      <w:r>
        <w:rPr>
          <w:rFonts w:hint="eastAsia"/>
          <w:b/>
          <w:bCs/>
          <w:color w:val="auto"/>
        </w:rPr>
        <w:t>磋商响应</w:t>
      </w:r>
      <w:r>
        <w:rPr>
          <w:b/>
          <w:bCs/>
          <w:color w:val="auto"/>
        </w:rPr>
        <w:t>文件中须提供外，还须另外准备一份，不装入投标文件，与项目的投标文件同时分别递交。如投标单位委托代理人即为法定代表人，可不提供。）</w:t>
      </w:r>
    </w:p>
    <w:p w14:paraId="2C54BF06">
      <w:pPr>
        <w:rPr>
          <w:color w:val="auto"/>
        </w:rPr>
      </w:pPr>
    </w:p>
    <w:p w14:paraId="5F8FB094">
      <w:pPr>
        <w:rPr>
          <w:rFonts w:hint="eastAsia"/>
          <w:color w:val="auto"/>
        </w:rPr>
      </w:pPr>
      <w:r>
        <w:rPr>
          <w:rFonts w:hint="eastAsia"/>
          <w:color w:val="auto"/>
        </w:rPr>
        <w:br w:type="page"/>
      </w:r>
    </w:p>
    <w:p w14:paraId="6C6084CE">
      <w:pPr>
        <w:spacing w:line="240" w:lineRule="auto"/>
        <w:ind w:firstLine="0" w:firstLineChars="0"/>
        <w:jc w:val="center"/>
        <w:rPr>
          <w:rFonts w:ascii="宋体" w:hAnsi="宋体" w:cs="宋体"/>
          <w:b/>
          <w:bCs/>
          <w:color w:val="auto"/>
          <w:sz w:val="32"/>
          <w:szCs w:val="32"/>
        </w:rPr>
      </w:pPr>
      <w:r>
        <w:rPr>
          <w:rFonts w:hint="eastAsia" w:ascii="宋体" w:hAnsi="宋体" w:cs="宋体"/>
          <w:b/>
          <w:color w:val="auto"/>
          <w:sz w:val="32"/>
          <w:szCs w:val="32"/>
        </w:rPr>
        <w:t>二、供应商</w:t>
      </w:r>
      <w:r>
        <w:rPr>
          <w:rFonts w:hint="eastAsia" w:ascii="宋体" w:hAnsi="宋体" w:cs="宋体"/>
          <w:b/>
          <w:bCs/>
          <w:color w:val="auto"/>
          <w:sz w:val="32"/>
          <w:szCs w:val="32"/>
        </w:rPr>
        <w:t>的资格证明资料</w:t>
      </w:r>
    </w:p>
    <w:p w14:paraId="72435B58">
      <w:pPr>
        <w:spacing w:line="480" w:lineRule="exact"/>
        <w:ind w:firstLine="0" w:firstLineChars="0"/>
        <w:rPr>
          <w:rFonts w:ascii="宋体" w:hAnsi="宋体" w:cs="宋体"/>
          <w:color w:val="auto"/>
          <w:sz w:val="30"/>
          <w:szCs w:val="30"/>
        </w:rPr>
      </w:pPr>
      <w:r>
        <w:rPr>
          <w:rFonts w:hint="eastAsia" w:ascii="宋体" w:hAnsi="宋体" w:cs="宋体"/>
          <w:b/>
          <w:bCs/>
          <w:color w:val="auto"/>
          <w:sz w:val="30"/>
          <w:szCs w:val="30"/>
        </w:rPr>
        <w:t>附件3</w:t>
      </w:r>
      <w:r>
        <w:rPr>
          <w:rFonts w:hint="eastAsia" w:cs="宋体"/>
          <w:b/>
          <w:bCs/>
          <w:color w:val="auto"/>
          <w:sz w:val="30"/>
          <w:szCs w:val="30"/>
          <w:lang w:val="en-US" w:eastAsia="zh-CN"/>
        </w:rPr>
        <w:t xml:space="preserve"> </w:t>
      </w:r>
      <w:r>
        <w:rPr>
          <w:rFonts w:hint="eastAsia" w:ascii="宋体" w:hAnsi="宋体" w:cs="宋体"/>
          <w:b/>
          <w:bCs/>
          <w:color w:val="auto"/>
          <w:sz w:val="30"/>
          <w:szCs w:val="30"/>
        </w:rPr>
        <w:t>供应商基本情况表</w:t>
      </w:r>
    </w:p>
    <w:p w14:paraId="5DFDC5A2">
      <w:pPr>
        <w:rPr>
          <w:color w:val="auto"/>
        </w:rPr>
      </w:pPr>
    </w:p>
    <w:p w14:paraId="4EAD6CD6">
      <w:pPr>
        <w:rPr>
          <w:rFonts w:hint="eastAsia"/>
          <w:color w:val="auto"/>
        </w:rPr>
      </w:pPr>
      <w:r>
        <w:rPr>
          <w:rFonts w:hint="eastAsia"/>
          <w:color w:val="auto"/>
        </w:rPr>
        <w:t>盖供应商单位章</w:t>
      </w:r>
    </w:p>
    <w:tbl>
      <w:tblPr>
        <w:tblStyle w:val="43"/>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14:paraId="3F158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14:paraId="455BB0AB">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14:paraId="3A6F873D">
            <w:pPr>
              <w:topLinePunct/>
              <w:spacing w:line="440" w:lineRule="exact"/>
              <w:ind w:firstLine="0" w:firstLineChars="0"/>
              <w:jc w:val="center"/>
              <w:rPr>
                <w:rFonts w:ascii="宋体" w:hAnsi="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14:paraId="7E65E7ED">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14:paraId="43466DFF">
            <w:pPr>
              <w:topLinePunct/>
              <w:spacing w:line="440" w:lineRule="exact"/>
              <w:ind w:firstLine="0" w:firstLineChars="0"/>
              <w:jc w:val="center"/>
              <w:rPr>
                <w:rFonts w:ascii="宋体" w:hAnsi="宋体" w:cs="宋体"/>
                <w:color w:val="auto"/>
                <w:szCs w:val="21"/>
              </w:rPr>
            </w:pPr>
          </w:p>
        </w:tc>
      </w:tr>
      <w:tr w14:paraId="4EC23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4689EE8F">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031625C7">
            <w:pPr>
              <w:topLinePunct/>
              <w:spacing w:line="440" w:lineRule="exact"/>
              <w:ind w:firstLine="0" w:firstLineChars="0"/>
              <w:jc w:val="center"/>
              <w:rPr>
                <w:rFonts w:ascii="宋体" w:hAnsi="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482E3545">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14:paraId="47560FE5">
            <w:pPr>
              <w:topLinePunct/>
              <w:spacing w:line="440" w:lineRule="exact"/>
              <w:ind w:firstLine="0" w:firstLineChars="0"/>
              <w:jc w:val="center"/>
              <w:rPr>
                <w:rFonts w:ascii="宋体" w:hAnsi="宋体" w:cs="宋体"/>
                <w:color w:val="auto"/>
                <w:szCs w:val="21"/>
              </w:rPr>
            </w:pPr>
          </w:p>
        </w:tc>
      </w:tr>
      <w:tr w14:paraId="0030C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2DA65418">
            <w:pPr>
              <w:topLinePunct/>
              <w:spacing w:line="440" w:lineRule="exact"/>
              <w:ind w:firstLine="0" w:firstLineChars="0"/>
              <w:jc w:val="center"/>
              <w:rPr>
                <w:rFonts w:ascii="宋体" w:hAnsi="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08B443C2">
            <w:pPr>
              <w:topLinePunct/>
              <w:spacing w:line="440" w:lineRule="exact"/>
              <w:ind w:firstLine="0" w:firstLineChars="0"/>
              <w:jc w:val="center"/>
              <w:rPr>
                <w:rFonts w:ascii="宋体" w:hAnsi="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6E4E962D">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14:paraId="42E79F39">
            <w:pPr>
              <w:topLinePunct/>
              <w:spacing w:line="440" w:lineRule="exact"/>
              <w:ind w:firstLine="0" w:firstLineChars="0"/>
              <w:jc w:val="center"/>
              <w:rPr>
                <w:rFonts w:ascii="宋体" w:hAnsi="宋体" w:cs="宋体"/>
                <w:color w:val="auto"/>
                <w:szCs w:val="21"/>
              </w:rPr>
            </w:pPr>
          </w:p>
        </w:tc>
      </w:tr>
      <w:tr w14:paraId="31F80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37737122">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3C461C7E">
            <w:pPr>
              <w:topLinePunct/>
              <w:spacing w:line="440" w:lineRule="exact"/>
              <w:ind w:firstLine="0" w:firstLineChars="0"/>
              <w:jc w:val="center"/>
              <w:rPr>
                <w:rFonts w:ascii="宋体" w:hAnsi="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14:paraId="02BF67C6">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14:paraId="7D4D810A">
            <w:pPr>
              <w:topLinePunct/>
              <w:spacing w:line="440" w:lineRule="exact"/>
              <w:ind w:firstLine="0" w:firstLineChars="0"/>
              <w:jc w:val="center"/>
              <w:rPr>
                <w:rFonts w:ascii="宋体" w:hAnsi="宋体" w:cs="宋体"/>
                <w:color w:val="auto"/>
                <w:szCs w:val="21"/>
              </w:rPr>
            </w:pPr>
          </w:p>
        </w:tc>
      </w:tr>
      <w:tr w14:paraId="099E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71696B91">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7C15D6A1">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3F90BEE4">
            <w:pPr>
              <w:topLinePunct/>
              <w:spacing w:line="440" w:lineRule="exact"/>
              <w:ind w:firstLine="0" w:firstLineChars="0"/>
              <w:jc w:val="center"/>
              <w:rPr>
                <w:rFonts w:ascii="宋体" w:hAnsi="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48FDDD53">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750A36B4">
            <w:pPr>
              <w:topLinePunct/>
              <w:spacing w:line="440" w:lineRule="exact"/>
              <w:ind w:firstLine="105" w:firstLineChars="50"/>
              <w:jc w:val="center"/>
              <w:rPr>
                <w:rFonts w:ascii="宋体" w:hAnsi="宋体" w:cs="宋体"/>
                <w:color w:val="auto"/>
                <w:szCs w:val="21"/>
              </w:rPr>
            </w:pPr>
          </w:p>
        </w:tc>
      </w:tr>
      <w:tr w14:paraId="1CF6C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2C85E7F7">
            <w:pPr>
              <w:topLinePunct/>
              <w:spacing w:line="440" w:lineRule="exact"/>
              <w:ind w:firstLine="0" w:firstLineChars="0"/>
              <w:jc w:val="center"/>
              <w:rPr>
                <w:rFonts w:ascii="宋体" w:hAnsi="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3344AB34">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5BBBFF84">
            <w:pPr>
              <w:topLinePunct/>
              <w:spacing w:line="440" w:lineRule="exact"/>
              <w:ind w:firstLine="0" w:firstLineChars="0"/>
              <w:jc w:val="center"/>
              <w:rPr>
                <w:rFonts w:ascii="宋体" w:hAnsi="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7D275A41">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330D00EA">
            <w:pPr>
              <w:topLinePunct/>
              <w:spacing w:line="440" w:lineRule="exact"/>
              <w:ind w:firstLine="105" w:firstLineChars="50"/>
              <w:jc w:val="center"/>
              <w:rPr>
                <w:rFonts w:ascii="宋体" w:hAnsi="宋体" w:cs="宋体"/>
                <w:color w:val="auto"/>
                <w:szCs w:val="21"/>
              </w:rPr>
            </w:pPr>
          </w:p>
        </w:tc>
      </w:tr>
      <w:tr w14:paraId="5419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6D2F91BB">
            <w:pPr>
              <w:topLinePunct/>
              <w:spacing w:line="440" w:lineRule="exact"/>
              <w:ind w:firstLine="0" w:firstLineChars="0"/>
              <w:jc w:val="center"/>
              <w:rPr>
                <w:rFonts w:ascii="宋体" w:hAnsi="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0BC9C01D">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606ACF8B">
            <w:pPr>
              <w:topLinePunct/>
              <w:spacing w:line="440" w:lineRule="exact"/>
              <w:ind w:firstLine="105" w:firstLineChars="50"/>
              <w:jc w:val="center"/>
              <w:rPr>
                <w:rFonts w:ascii="宋体" w:hAnsi="宋体" w:cs="宋体"/>
                <w:color w:val="auto"/>
                <w:szCs w:val="21"/>
              </w:rPr>
            </w:pPr>
          </w:p>
        </w:tc>
      </w:tr>
      <w:tr w14:paraId="380A5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350052D8">
            <w:pPr>
              <w:topLinePunct/>
              <w:spacing w:line="440" w:lineRule="exact"/>
              <w:ind w:firstLine="0" w:firstLineChars="0"/>
              <w:jc w:val="center"/>
              <w:rPr>
                <w:rFonts w:ascii="宋体" w:hAnsi="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30EB6581">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4EAE9E43">
            <w:pPr>
              <w:topLinePunct/>
              <w:spacing w:line="440" w:lineRule="exact"/>
              <w:ind w:firstLine="105" w:firstLineChars="50"/>
              <w:jc w:val="center"/>
              <w:rPr>
                <w:rFonts w:ascii="宋体" w:hAnsi="宋体" w:cs="宋体"/>
                <w:color w:val="auto"/>
                <w:szCs w:val="21"/>
              </w:rPr>
            </w:pPr>
          </w:p>
        </w:tc>
      </w:tr>
      <w:tr w14:paraId="6323E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2906C031">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20307B63">
            <w:pPr>
              <w:topLinePunct/>
              <w:spacing w:line="440" w:lineRule="exact"/>
              <w:ind w:firstLine="0" w:firstLineChars="0"/>
              <w:jc w:val="center"/>
              <w:rPr>
                <w:rFonts w:ascii="宋体" w:hAnsi="宋体" w:cs="宋体"/>
                <w:color w:val="auto"/>
                <w:szCs w:val="21"/>
              </w:rPr>
            </w:pPr>
          </w:p>
        </w:tc>
      </w:tr>
      <w:tr w14:paraId="1071F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7A1D44E8">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5FE1E494">
            <w:pPr>
              <w:topLinePunct/>
              <w:spacing w:line="440" w:lineRule="exact"/>
              <w:ind w:firstLine="0" w:firstLineChars="0"/>
              <w:jc w:val="center"/>
              <w:rPr>
                <w:rFonts w:ascii="宋体" w:hAnsi="宋体" w:cs="宋体"/>
                <w:color w:val="auto"/>
                <w:szCs w:val="21"/>
              </w:rPr>
            </w:pPr>
          </w:p>
        </w:tc>
      </w:tr>
      <w:tr w14:paraId="36B0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EC6D77E">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45734C4B">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268BBA60">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3C44E899">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有效期</w:t>
            </w:r>
          </w:p>
        </w:tc>
      </w:tr>
      <w:tr w14:paraId="7EA43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3D4BAE01">
            <w:pPr>
              <w:topLinePunct/>
              <w:spacing w:line="440" w:lineRule="exact"/>
              <w:ind w:firstLine="0" w:firstLineChars="0"/>
              <w:jc w:val="center"/>
              <w:rPr>
                <w:rFonts w:ascii="宋体" w:hAnsi="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7BEC302">
            <w:pPr>
              <w:topLinePunct/>
              <w:spacing w:line="440" w:lineRule="exact"/>
              <w:ind w:firstLine="0" w:firstLineChars="0"/>
              <w:jc w:val="center"/>
              <w:rPr>
                <w:rFonts w:ascii="宋体" w:hAnsi="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4D76A2A9">
            <w:pPr>
              <w:topLinePunct/>
              <w:spacing w:line="440" w:lineRule="exact"/>
              <w:ind w:firstLine="0" w:firstLineChars="0"/>
              <w:jc w:val="center"/>
              <w:rPr>
                <w:rFonts w:ascii="宋体" w:hAnsi="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416EDF1F">
            <w:pPr>
              <w:topLinePunct/>
              <w:spacing w:line="440" w:lineRule="exact"/>
              <w:ind w:firstLine="0" w:firstLineChars="0"/>
              <w:jc w:val="center"/>
              <w:rPr>
                <w:rFonts w:ascii="宋体" w:hAnsi="宋体" w:cs="宋体"/>
                <w:color w:val="auto"/>
                <w:szCs w:val="21"/>
              </w:rPr>
            </w:pPr>
          </w:p>
        </w:tc>
      </w:tr>
      <w:tr w14:paraId="02766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AA94C6B">
            <w:pPr>
              <w:topLinePunct/>
              <w:spacing w:line="440" w:lineRule="exact"/>
              <w:ind w:firstLine="0" w:firstLineChars="0"/>
              <w:jc w:val="center"/>
              <w:rPr>
                <w:rFonts w:ascii="宋体" w:hAnsi="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AE57785">
            <w:pPr>
              <w:topLinePunct/>
              <w:spacing w:line="440" w:lineRule="exact"/>
              <w:ind w:firstLine="0" w:firstLineChars="0"/>
              <w:jc w:val="center"/>
              <w:rPr>
                <w:rFonts w:ascii="宋体" w:hAnsi="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591AF484">
            <w:pPr>
              <w:topLinePunct/>
              <w:spacing w:line="440" w:lineRule="exact"/>
              <w:ind w:firstLine="0" w:firstLineChars="0"/>
              <w:jc w:val="center"/>
              <w:rPr>
                <w:rFonts w:ascii="宋体" w:hAnsi="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01DCBD4C">
            <w:pPr>
              <w:topLinePunct/>
              <w:spacing w:line="440" w:lineRule="exact"/>
              <w:ind w:firstLine="0" w:firstLineChars="0"/>
              <w:jc w:val="center"/>
              <w:rPr>
                <w:rFonts w:ascii="宋体" w:hAnsi="宋体" w:cs="宋体"/>
                <w:color w:val="auto"/>
                <w:szCs w:val="21"/>
              </w:rPr>
            </w:pPr>
          </w:p>
        </w:tc>
      </w:tr>
      <w:tr w14:paraId="0B642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34889013">
            <w:pPr>
              <w:topLinePunct/>
              <w:spacing w:line="440" w:lineRule="exact"/>
              <w:ind w:firstLine="0" w:firstLineChars="0"/>
              <w:jc w:val="center"/>
              <w:rPr>
                <w:rFonts w:ascii="宋体" w:hAnsi="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77578AA6">
            <w:pPr>
              <w:topLinePunct/>
              <w:spacing w:line="440" w:lineRule="exact"/>
              <w:ind w:firstLine="0" w:firstLineChars="0"/>
              <w:jc w:val="center"/>
              <w:rPr>
                <w:rFonts w:ascii="宋体" w:hAnsi="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14:paraId="6AB529A9">
            <w:pPr>
              <w:topLinePunct/>
              <w:spacing w:line="440" w:lineRule="exact"/>
              <w:ind w:firstLine="0" w:firstLineChars="0"/>
              <w:jc w:val="center"/>
              <w:rPr>
                <w:rFonts w:ascii="宋体" w:hAnsi="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12A46FE4">
            <w:pPr>
              <w:topLinePunct/>
              <w:spacing w:line="440" w:lineRule="exact"/>
              <w:ind w:firstLine="0" w:firstLineChars="0"/>
              <w:jc w:val="center"/>
              <w:rPr>
                <w:rFonts w:ascii="宋体" w:hAnsi="宋体" w:cs="宋体"/>
                <w:color w:val="auto"/>
                <w:szCs w:val="21"/>
              </w:rPr>
            </w:pPr>
          </w:p>
        </w:tc>
      </w:tr>
      <w:tr w14:paraId="64F1D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14:paraId="0C21AF8D">
            <w:pPr>
              <w:topLinePunct/>
              <w:spacing w:line="440" w:lineRule="exact"/>
              <w:ind w:firstLine="0" w:firstLineChars="0"/>
              <w:jc w:val="center"/>
              <w:rPr>
                <w:rFonts w:ascii="宋体" w:hAnsi="宋体" w:cs="宋体"/>
                <w:color w:val="auto"/>
                <w:szCs w:val="21"/>
              </w:rPr>
            </w:pPr>
            <w:r>
              <w:rPr>
                <w:rFonts w:hint="eastAsia" w:ascii="宋体" w:hAnsi="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14:paraId="28B818A5">
            <w:pPr>
              <w:topLinePunct/>
              <w:spacing w:line="440" w:lineRule="exact"/>
              <w:ind w:firstLine="0" w:firstLineChars="0"/>
              <w:rPr>
                <w:rFonts w:ascii="宋体" w:hAnsi="宋体" w:cs="宋体"/>
                <w:color w:val="auto"/>
                <w:szCs w:val="21"/>
              </w:rPr>
            </w:pPr>
            <w:r>
              <w:rPr>
                <w:rFonts w:hint="eastAsia" w:ascii="宋体" w:hAnsi="宋体" w:cs="宋体"/>
                <w:color w:val="auto"/>
                <w:szCs w:val="21"/>
              </w:rPr>
              <w:t>附《登记证书》或《营业执照》（副本）复印件</w:t>
            </w:r>
          </w:p>
        </w:tc>
      </w:tr>
    </w:tbl>
    <w:p w14:paraId="70A0022B">
      <w:pPr>
        <w:rPr>
          <w:rFonts w:hint="eastAsia"/>
          <w:color w:val="auto"/>
        </w:rPr>
      </w:pPr>
    </w:p>
    <w:p w14:paraId="638C5A00">
      <w:pPr>
        <w:rPr>
          <w:color w:val="auto"/>
        </w:rPr>
      </w:pPr>
    </w:p>
    <w:p w14:paraId="68C88C5E">
      <w:pPr>
        <w:rPr>
          <w:rFonts w:ascii="宋体" w:hAnsi="宋体" w:cs="宋体"/>
          <w:b/>
          <w:bCs/>
          <w:color w:val="auto"/>
          <w:sz w:val="30"/>
          <w:szCs w:val="30"/>
        </w:rPr>
      </w:pPr>
      <w:r>
        <w:rPr>
          <w:rFonts w:hint="eastAsia" w:ascii="宋体" w:hAnsi="宋体" w:cs="宋体"/>
          <w:b/>
          <w:bCs/>
          <w:color w:val="auto"/>
          <w:sz w:val="30"/>
          <w:szCs w:val="30"/>
        </w:rPr>
        <w:t>附件4      磋商文件规定的基本资格条件证明资料</w:t>
      </w:r>
    </w:p>
    <w:p w14:paraId="1271388B">
      <w:pPr>
        <w:rPr>
          <w:color w:val="auto"/>
        </w:rPr>
      </w:pPr>
    </w:p>
    <w:p w14:paraId="5C753286">
      <w:pPr>
        <w:rPr>
          <w:color w:val="auto"/>
        </w:rPr>
      </w:pPr>
    </w:p>
    <w:p w14:paraId="7F651A9A">
      <w:pPr>
        <w:rPr>
          <w:color w:val="auto"/>
          <w:sz w:val="30"/>
          <w:szCs w:val="30"/>
        </w:rPr>
      </w:pPr>
      <w:r>
        <w:rPr>
          <w:rFonts w:hint="eastAsia"/>
          <w:color w:val="auto"/>
          <w:szCs w:val="21"/>
        </w:rPr>
        <w:t>备注：</w:t>
      </w:r>
      <w:r>
        <w:rPr>
          <w:rFonts w:hint="eastAsia"/>
          <w:color w:val="auto"/>
        </w:rPr>
        <w:t>提供第二章磋商须知第3.1款供应商基本资格条件证明资料的复印件。</w:t>
      </w:r>
    </w:p>
    <w:p w14:paraId="0FBAE759">
      <w:pPr>
        <w:rPr>
          <w:color w:val="auto"/>
        </w:rPr>
      </w:pPr>
    </w:p>
    <w:p w14:paraId="6802E720">
      <w:pPr>
        <w:rPr>
          <w:color w:val="auto"/>
        </w:rPr>
      </w:pPr>
    </w:p>
    <w:p w14:paraId="3CB33A0B">
      <w:pPr>
        <w:rPr>
          <w:color w:val="auto"/>
        </w:rPr>
      </w:pPr>
    </w:p>
    <w:p w14:paraId="2346F4A5">
      <w:pPr>
        <w:rPr>
          <w:color w:val="auto"/>
        </w:rPr>
      </w:pPr>
    </w:p>
    <w:p w14:paraId="0B454930">
      <w:pPr>
        <w:rPr>
          <w:color w:val="auto"/>
        </w:rPr>
      </w:pPr>
    </w:p>
    <w:p w14:paraId="6A5FCFE5">
      <w:pPr>
        <w:rPr>
          <w:color w:val="auto"/>
        </w:rPr>
      </w:pPr>
    </w:p>
    <w:p w14:paraId="171A083C">
      <w:pPr>
        <w:rPr>
          <w:color w:val="auto"/>
        </w:rPr>
      </w:pPr>
    </w:p>
    <w:p w14:paraId="07F5C863">
      <w:pPr>
        <w:rPr>
          <w:color w:val="auto"/>
        </w:rPr>
      </w:pPr>
    </w:p>
    <w:p w14:paraId="27A64F65">
      <w:pPr>
        <w:ind w:firstLine="0" w:firstLineChars="0"/>
        <w:rPr>
          <w:color w:val="auto"/>
        </w:rPr>
      </w:pPr>
    </w:p>
    <w:p w14:paraId="39D8A7A2">
      <w:pPr>
        <w:rPr>
          <w:rFonts w:hint="eastAsia"/>
          <w:color w:val="auto"/>
        </w:rPr>
      </w:pPr>
      <w:r>
        <w:rPr>
          <w:rFonts w:hint="eastAsia"/>
          <w:color w:val="auto"/>
        </w:rPr>
        <w:br w:type="page"/>
      </w:r>
    </w:p>
    <w:p w14:paraId="4C33C9C9">
      <w:pPr>
        <w:widowControl w:val="0"/>
        <w:spacing w:after="240"/>
        <w:ind w:left="0" w:leftChars="0" w:firstLine="0" w:firstLineChars="0"/>
        <w:jc w:val="both"/>
        <w:rPr>
          <w:rFonts w:ascii="宋体" w:hAnsi="宋体" w:eastAsia="宋体" w:cs="Times New Roman"/>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附件</w:t>
      </w:r>
      <w:r>
        <w:rPr>
          <w:rFonts w:hint="eastAsia" w:ascii="宋体" w:hAnsi="宋体" w:eastAsia="宋体" w:cs="Times New Roman"/>
          <w:b/>
          <w:bCs/>
          <w:color w:val="auto"/>
          <w:kern w:val="2"/>
          <w:sz w:val="30"/>
          <w:szCs w:val="30"/>
          <w:lang w:val="en-US" w:eastAsia="zh-CN" w:bidi="ar-SA"/>
        </w:rPr>
        <w:t>4-1</w:t>
      </w:r>
    </w:p>
    <w:p w14:paraId="32391FD2">
      <w:pPr>
        <w:pStyle w:val="4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供应商资格承诺函</w:t>
      </w:r>
    </w:p>
    <w:p w14:paraId="651806D3">
      <w:pPr>
        <w:pStyle w:val="40"/>
        <w:ind w:firstLine="720" w:firstLineChars="300"/>
        <w:rPr>
          <w:rFonts w:hint="eastAsia" w:ascii="宋体" w:hAnsi="宋体" w:eastAsia="宋体" w:cs="宋体"/>
          <w:color w:val="auto"/>
        </w:rPr>
      </w:pPr>
      <w:r>
        <w:rPr>
          <w:rFonts w:hint="eastAsia" w:ascii="宋体" w:hAnsi="宋体" w:eastAsia="宋体" w:cs="宋体"/>
          <w:color w:val="auto"/>
          <w:shd w:val="clear" w:color="auto" w:fill="FFFFFF"/>
        </w:rPr>
        <w:t>本公司独立承担民事责任、具有良好的商业信誉和健全的财务会计制度、依法缴纳税收和社会保障资金，在前三年的经营活动中无重大违法记录，未列入严重失信行为名单，符合采购供应商的基本资格要求。</w:t>
      </w:r>
    </w:p>
    <w:p w14:paraId="4F681256">
      <w:pPr>
        <w:pStyle w:val="40"/>
        <w:ind w:firstLine="480"/>
        <w:rPr>
          <w:rFonts w:hint="eastAsia" w:ascii="宋体" w:hAnsi="宋体" w:eastAsia="宋体" w:cs="宋体"/>
          <w:color w:val="auto"/>
        </w:rPr>
      </w:pPr>
      <w:r>
        <w:rPr>
          <w:rFonts w:hint="eastAsia" w:ascii="宋体" w:hAnsi="宋体" w:eastAsia="宋体" w:cs="宋体"/>
          <w:color w:val="auto"/>
          <w:shd w:val="clear" w:color="auto" w:fill="FFFFFF"/>
        </w:rPr>
        <w:t>  按照《政府采购促进中小企业发展管理办法》（ 财库〔2020〕46号），本公司企业规模为：大型□  中型□  小型□  微型□</w:t>
      </w:r>
    </w:p>
    <w:p w14:paraId="618BBD08">
      <w:pPr>
        <w:pStyle w:val="40"/>
        <w:ind w:firstLine="480"/>
        <w:rPr>
          <w:color w:val="auto"/>
          <w:shd w:val="clear" w:color="auto" w:fill="FFFFFF"/>
        </w:rPr>
      </w:pPr>
    </w:p>
    <w:p w14:paraId="7CAE35B7">
      <w:pPr>
        <w:pStyle w:val="40"/>
        <w:ind w:firstLine="5520" w:firstLineChars="2300"/>
        <w:rPr>
          <w:color w:val="auto"/>
        </w:rPr>
      </w:pPr>
      <w:r>
        <w:rPr>
          <w:rFonts w:hint="eastAsia"/>
          <w:color w:val="auto"/>
          <w:shd w:val="clear" w:color="auto" w:fill="FFFFFF"/>
        </w:rPr>
        <w:t>公司（单位）名称（盖章）</w:t>
      </w:r>
    </w:p>
    <w:p w14:paraId="234C3C26">
      <w:pPr>
        <w:pStyle w:val="40"/>
        <w:ind w:firstLine="6720" w:firstLineChars="2800"/>
        <w:rPr>
          <w:color w:val="auto"/>
        </w:rPr>
      </w:pPr>
      <w:r>
        <w:rPr>
          <w:rFonts w:hint="eastAsia"/>
          <w:color w:val="auto"/>
          <w:shd w:val="clear" w:color="auto" w:fill="FFFFFF"/>
        </w:rPr>
        <w:t>年  月  日</w:t>
      </w:r>
    </w:p>
    <w:tbl>
      <w:tblPr>
        <w:tblStyle w:val="43"/>
        <w:tblW w:w="87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2"/>
        <w:gridCol w:w="317"/>
        <w:gridCol w:w="1034"/>
        <w:gridCol w:w="1533"/>
        <w:gridCol w:w="1374"/>
        <w:gridCol w:w="1326"/>
        <w:gridCol w:w="1902"/>
      </w:tblGrid>
      <w:tr w14:paraId="76178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2" w:hRule="atLeast"/>
          <w:jc w:val="center"/>
        </w:trPr>
        <w:tc>
          <w:tcPr>
            <w:tcW w:w="1609" w:type="dxa"/>
            <w:gridSpan w:val="2"/>
            <w:tcBorders>
              <w:top w:val="double" w:color="auto" w:sz="4" w:space="0"/>
              <w:left w:val="double" w:color="auto" w:sz="4" w:space="0"/>
              <w:bottom w:val="single" w:color="auto" w:sz="6" w:space="0"/>
              <w:right w:val="single" w:color="auto" w:sz="6" w:space="0"/>
            </w:tcBorders>
            <w:noWrap/>
            <w:vAlign w:val="center"/>
          </w:tcPr>
          <w:p w14:paraId="432EB5FA">
            <w:pPr>
              <w:pStyle w:val="271"/>
              <w:topLinePunct/>
              <w:snapToGrid w:val="0"/>
              <w:jc w:val="center"/>
              <w:rPr>
                <w:rFonts w:ascii="宋体" w:hAnsi="宋体" w:cs="仿宋_GB2312"/>
                <w:color w:val="auto"/>
                <w:sz w:val="21"/>
              </w:rPr>
            </w:pPr>
            <w:r>
              <w:rPr>
                <w:rFonts w:hint="eastAsia" w:ascii="宋体" w:hAnsi="宋体" w:cs="仿宋_GB2312"/>
                <w:color w:val="auto"/>
                <w:sz w:val="21"/>
              </w:rPr>
              <w:t>供应商名称</w:t>
            </w:r>
          </w:p>
        </w:tc>
        <w:tc>
          <w:tcPr>
            <w:tcW w:w="3941" w:type="dxa"/>
            <w:gridSpan w:val="3"/>
            <w:tcBorders>
              <w:top w:val="double" w:color="auto" w:sz="4" w:space="0"/>
              <w:left w:val="single" w:color="auto" w:sz="6" w:space="0"/>
              <w:bottom w:val="single" w:color="auto" w:sz="6" w:space="0"/>
              <w:right w:val="single" w:color="auto" w:sz="6" w:space="0"/>
            </w:tcBorders>
            <w:noWrap/>
            <w:vAlign w:val="center"/>
          </w:tcPr>
          <w:p w14:paraId="423C0C39">
            <w:pPr>
              <w:pStyle w:val="271"/>
              <w:topLinePunct/>
              <w:snapToGrid w:val="0"/>
              <w:jc w:val="center"/>
              <w:rPr>
                <w:rFonts w:ascii="宋体" w:hAnsi="宋体" w:cs="仿宋_GB2312"/>
                <w:color w:val="auto"/>
                <w:sz w:val="21"/>
              </w:rPr>
            </w:pPr>
          </w:p>
        </w:tc>
        <w:tc>
          <w:tcPr>
            <w:tcW w:w="1326" w:type="dxa"/>
            <w:tcBorders>
              <w:top w:val="double" w:color="auto" w:sz="4" w:space="0"/>
              <w:left w:val="single" w:color="auto" w:sz="6" w:space="0"/>
              <w:bottom w:val="single" w:color="auto" w:sz="6" w:space="0"/>
              <w:right w:val="single" w:color="auto" w:sz="6" w:space="0"/>
            </w:tcBorders>
            <w:noWrap/>
            <w:vAlign w:val="center"/>
          </w:tcPr>
          <w:p w14:paraId="7A3724F4">
            <w:pPr>
              <w:pStyle w:val="271"/>
              <w:topLinePunct/>
              <w:snapToGrid w:val="0"/>
              <w:jc w:val="center"/>
              <w:rPr>
                <w:rFonts w:ascii="宋体" w:hAnsi="宋体" w:cs="仿宋_GB2312"/>
                <w:color w:val="auto"/>
                <w:sz w:val="21"/>
              </w:rPr>
            </w:pPr>
            <w:r>
              <w:rPr>
                <w:rFonts w:hint="eastAsia" w:ascii="宋体" w:hAnsi="宋体" w:cs="仿宋_GB2312"/>
                <w:color w:val="auto"/>
                <w:sz w:val="21"/>
              </w:rPr>
              <w:t>机构代码</w:t>
            </w:r>
          </w:p>
        </w:tc>
        <w:tc>
          <w:tcPr>
            <w:tcW w:w="1902" w:type="dxa"/>
            <w:tcBorders>
              <w:top w:val="double" w:color="auto" w:sz="4" w:space="0"/>
              <w:left w:val="single" w:color="auto" w:sz="6" w:space="0"/>
              <w:bottom w:val="single" w:color="auto" w:sz="6" w:space="0"/>
              <w:right w:val="double" w:color="auto" w:sz="4" w:space="0"/>
            </w:tcBorders>
            <w:noWrap/>
            <w:vAlign w:val="center"/>
          </w:tcPr>
          <w:p w14:paraId="295D7E01">
            <w:pPr>
              <w:pStyle w:val="271"/>
              <w:topLinePunct/>
              <w:snapToGrid w:val="0"/>
              <w:jc w:val="center"/>
              <w:rPr>
                <w:rFonts w:ascii="宋体" w:hAnsi="宋体" w:cs="仿宋_GB2312"/>
                <w:color w:val="auto"/>
                <w:sz w:val="21"/>
              </w:rPr>
            </w:pPr>
          </w:p>
        </w:tc>
      </w:tr>
      <w:tr w14:paraId="07589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609" w:type="dxa"/>
            <w:gridSpan w:val="2"/>
            <w:tcBorders>
              <w:top w:val="single" w:color="auto" w:sz="6" w:space="0"/>
              <w:left w:val="double" w:color="auto" w:sz="4" w:space="0"/>
              <w:bottom w:val="single" w:color="auto" w:sz="6" w:space="0"/>
              <w:right w:val="single" w:color="auto" w:sz="6" w:space="0"/>
            </w:tcBorders>
            <w:noWrap/>
            <w:vAlign w:val="center"/>
          </w:tcPr>
          <w:p w14:paraId="64384C8E">
            <w:pPr>
              <w:pStyle w:val="271"/>
              <w:topLinePunct/>
              <w:snapToGrid w:val="0"/>
              <w:jc w:val="center"/>
              <w:rPr>
                <w:rFonts w:ascii="宋体" w:hAnsi="宋体" w:cs="仿宋_GB2312"/>
                <w:color w:val="auto"/>
                <w:sz w:val="21"/>
              </w:rPr>
            </w:pPr>
            <w:r>
              <w:rPr>
                <w:rFonts w:hint="eastAsia" w:ascii="宋体" w:hAnsi="宋体" w:cs="仿宋_GB2312"/>
                <w:color w:val="auto"/>
                <w:sz w:val="21"/>
              </w:rPr>
              <w:t>注册登记机构</w:t>
            </w:r>
          </w:p>
        </w:tc>
        <w:tc>
          <w:tcPr>
            <w:tcW w:w="3941" w:type="dxa"/>
            <w:gridSpan w:val="3"/>
            <w:tcBorders>
              <w:top w:val="single" w:color="auto" w:sz="6" w:space="0"/>
              <w:left w:val="single" w:color="auto" w:sz="6" w:space="0"/>
              <w:bottom w:val="single" w:color="auto" w:sz="6" w:space="0"/>
              <w:right w:val="single" w:color="auto" w:sz="6" w:space="0"/>
            </w:tcBorders>
            <w:noWrap/>
            <w:vAlign w:val="center"/>
          </w:tcPr>
          <w:p w14:paraId="0B4CBE76">
            <w:pPr>
              <w:pStyle w:val="271"/>
              <w:topLinePunct/>
              <w:snapToGrid w:val="0"/>
              <w:jc w:val="center"/>
              <w:rPr>
                <w:rFonts w:ascii="宋体" w:hAnsi="宋体" w:cs="仿宋_GB2312"/>
                <w:color w:val="auto"/>
                <w:sz w:val="21"/>
              </w:rPr>
            </w:pPr>
          </w:p>
        </w:tc>
        <w:tc>
          <w:tcPr>
            <w:tcW w:w="1326" w:type="dxa"/>
            <w:tcBorders>
              <w:top w:val="single" w:color="auto" w:sz="6" w:space="0"/>
              <w:left w:val="single" w:color="auto" w:sz="6" w:space="0"/>
              <w:bottom w:val="single" w:color="auto" w:sz="6" w:space="0"/>
              <w:right w:val="single" w:color="auto" w:sz="6" w:space="0"/>
            </w:tcBorders>
            <w:noWrap/>
            <w:vAlign w:val="center"/>
          </w:tcPr>
          <w:p w14:paraId="73ABF854">
            <w:pPr>
              <w:pStyle w:val="271"/>
              <w:topLinePunct/>
              <w:snapToGrid w:val="0"/>
              <w:jc w:val="center"/>
              <w:rPr>
                <w:rFonts w:ascii="宋体" w:hAnsi="宋体" w:cs="仿宋_GB2312"/>
                <w:color w:val="auto"/>
                <w:sz w:val="21"/>
              </w:rPr>
            </w:pPr>
            <w:r>
              <w:rPr>
                <w:rFonts w:hint="eastAsia" w:ascii="宋体" w:hAnsi="宋体" w:cs="仿宋_GB2312"/>
                <w:color w:val="auto"/>
                <w:sz w:val="21"/>
              </w:rPr>
              <w:t>登记日期</w:t>
            </w:r>
          </w:p>
        </w:tc>
        <w:tc>
          <w:tcPr>
            <w:tcW w:w="1902" w:type="dxa"/>
            <w:tcBorders>
              <w:top w:val="single" w:color="auto" w:sz="6" w:space="0"/>
              <w:left w:val="single" w:color="auto" w:sz="6" w:space="0"/>
              <w:bottom w:val="single" w:color="auto" w:sz="6" w:space="0"/>
              <w:right w:val="double" w:color="auto" w:sz="4" w:space="0"/>
            </w:tcBorders>
            <w:noWrap/>
            <w:vAlign w:val="center"/>
          </w:tcPr>
          <w:p w14:paraId="407EB83F">
            <w:pPr>
              <w:pStyle w:val="271"/>
              <w:topLinePunct/>
              <w:snapToGrid w:val="0"/>
              <w:jc w:val="center"/>
              <w:rPr>
                <w:rFonts w:ascii="宋体" w:hAnsi="宋体" w:cs="仿宋_GB2312"/>
                <w:color w:val="auto"/>
                <w:sz w:val="21"/>
              </w:rPr>
            </w:pPr>
          </w:p>
        </w:tc>
      </w:tr>
      <w:tr w14:paraId="1E296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09" w:type="dxa"/>
            <w:gridSpan w:val="2"/>
            <w:tcBorders>
              <w:top w:val="single" w:color="auto" w:sz="6" w:space="0"/>
              <w:left w:val="double" w:color="auto" w:sz="4" w:space="0"/>
              <w:bottom w:val="single" w:color="auto" w:sz="6" w:space="0"/>
              <w:right w:val="single" w:color="auto" w:sz="6" w:space="0"/>
            </w:tcBorders>
            <w:noWrap/>
            <w:vAlign w:val="center"/>
          </w:tcPr>
          <w:p w14:paraId="0D81D916">
            <w:pPr>
              <w:pStyle w:val="271"/>
              <w:topLinePunct/>
              <w:snapToGrid w:val="0"/>
              <w:jc w:val="center"/>
              <w:rPr>
                <w:rFonts w:ascii="宋体" w:hAnsi="宋体" w:cs="仿宋_GB2312"/>
                <w:color w:val="auto"/>
                <w:sz w:val="21"/>
              </w:rPr>
            </w:pPr>
            <w:r>
              <w:rPr>
                <w:rFonts w:hint="eastAsia" w:ascii="宋体" w:hAnsi="宋体" w:cs="仿宋_GB2312"/>
                <w:color w:val="auto"/>
                <w:sz w:val="21"/>
              </w:rPr>
              <w:t>有效期</w:t>
            </w:r>
          </w:p>
        </w:tc>
        <w:tc>
          <w:tcPr>
            <w:tcW w:w="3941" w:type="dxa"/>
            <w:gridSpan w:val="3"/>
            <w:tcBorders>
              <w:top w:val="single" w:color="auto" w:sz="6" w:space="0"/>
              <w:left w:val="single" w:color="auto" w:sz="6" w:space="0"/>
              <w:bottom w:val="single" w:color="auto" w:sz="6" w:space="0"/>
              <w:right w:val="single" w:color="auto" w:sz="6" w:space="0"/>
            </w:tcBorders>
            <w:noWrap/>
            <w:vAlign w:val="center"/>
          </w:tcPr>
          <w:p w14:paraId="05142F1E">
            <w:pPr>
              <w:pStyle w:val="271"/>
              <w:topLinePunct/>
              <w:snapToGrid w:val="0"/>
              <w:jc w:val="center"/>
              <w:rPr>
                <w:rFonts w:ascii="宋体" w:hAnsi="宋体" w:cs="仿宋_GB2312"/>
                <w:color w:val="auto"/>
                <w:sz w:val="21"/>
              </w:rPr>
            </w:pPr>
          </w:p>
        </w:tc>
        <w:tc>
          <w:tcPr>
            <w:tcW w:w="1326" w:type="dxa"/>
            <w:tcBorders>
              <w:top w:val="single" w:color="auto" w:sz="6" w:space="0"/>
              <w:left w:val="single" w:color="auto" w:sz="6" w:space="0"/>
              <w:bottom w:val="single" w:color="auto" w:sz="6" w:space="0"/>
              <w:right w:val="single" w:color="auto" w:sz="6" w:space="0"/>
            </w:tcBorders>
            <w:noWrap/>
            <w:vAlign w:val="center"/>
          </w:tcPr>
          <w:p w14:paraId="220AC1E5">
            <w:pPr>
              <w:pStyle w:val="271"/>
              <w:topLinePunct/>
              <w:snapToGrid w:val="0"/>
              <w:jc w:val="center"/>
              <w:rPr>
                <w:rFonts w:ascii="宋体" w:hAnsi="宋体" w:cs="仿宋_GB2312"/>
                <w:color w:val="auto"/>
                <w:sz w:val="21"/>
              </w:rPr>
            </w:pPr>
            <w:r>
              <w:rPr>
                <w:rFonts w:hint="eastAsia" w:ascii="宋体" w:hAnsi="宋体" w:cs="仿宋_GB2312"/>
                <w:color w:val="auto"/>
                <w:sz w:val="21"/>
              </w:rPr>
              <w:t>注册资本</w:t>
            </w:r>
          </w:p>
        </w:tc>
        <w:tc>
          <w:tcPr>
            <w:tcW w:w="1902" w:type="dxa"/>
            <w:tcBorders>
              <w:top w:val="single" w:color="auto" w:sz="6" w:space="0"/>
              <w:left w:val="single" w:color="auto" w:sz="6" w:space="0"/>
              <w:bottom w:val="single" w:color="auto" w:sz="6" w:space="0"/>
              <w:right w:val="double" w:color="auto" w:sz="4" w:space="0"/>
            </w:tcBorders>
            <w:noWrap/>
            <w:vAlign w:val="center"/>
          </w:tcPr>
          <w:p w14:paraId="11EE7945">
            <w:pPr>
              <w:pStyle w:val="271"/>
              <w:topLinePunct/>
              <w:snapToGrid w:val="0"/>
              <w:jc w:val="center"/>
              <w:rPr>
                <w:rFonts w:ascii="宋体" w:hAnsi="宋体" w:cs="仿宋_GB2312"/>
                <w:color w:val="auto"/>
                <w:sz w:val="21"/>
              </w:rPr>
            </w:pPr>
          </w:p>
        </w:tc>
      </w:tr>
      <w:tr w14:paraId="5610B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09" w:type="dxa"/>
            <w:gridSpan w:val="2"/>
            <w:tcBorders>
              <w:top w:val="single" w:color="auto" w:sz="6" w:space="0"/>
              <w:left w:val="double" w:color="auto" w:sz="4" w:space="0"/>
              <w:bottom w:val="single" w:color="auto" w:sz="6" w:space="0"/>
              <w:right w:val="single" w:color="auto" w:sz="6" w:space="0"/>
            </w:tcBorders>
            <w:noWrap/>
            <w:vAlign w:val="center"/>
          </w:tcPr>
          <w:p w14:paraId="790F88D3">
            <w:pPr>
              <w:pStyle w:val="271"/>
              <w:topLinePunct/>
              <w:snapToGrid w:val="0"/>
              <w:jc w:val="center"/>
              <w:rPr>
                <w:rFonts w:ascii="宋体" w:hAnsi="宋体" w:cs="仿宋_GB2312"/>
                <w:color w:val="auto"/>
                <w:sz w:val="21"/>
              </w:rPr>
            </w:pPr>
            <w:r>
              <w:rPr>
                <w:rFonts w:hint="eastAsia" w:ascii="宋体" w:hAnsi="宋体" w:cs="仿宋_GB2312"/>
                <w:color w:val="auto"/>
                <w:sz w:val="21"/>
              </w:rPr>
              <w:t>地址</w:t>
            </w:r>
          </w:p>
        </w:tc>
        <w:tc>
          <w:tcPr>
            <w:tcW w:w="7169" w:type="dxa"/>
            <w:gridSpan w:val="5"/>
            <w:tcBorders>
              <w:top w:val="single" w:color="auto" w:sz="6" w:space="0"/>
              <w:left w:val="single" w:color="auto" w:sz="6" w:space="0"/>
              <w:bottom w:val="single" w:color="auto" w:sz="6" w:space="0"/>
              <w:right w:val="double" w:color="auto" w:sz="4" w:space="0"/>
            </w:tcBorders>
            <w:noWrap/>
            <w:vAlign w:val="center"/>
          </w:tcPr>
          <w:p w14:paraId="02054D33">
            <w:pPr>
              <w:pStyle w:val="271"/>
              <w:topLinePunct/>
              <w:snapToGrid w:val="0"/>
              <w:jc w:val="center"/>
              <w:rPr>
                <w:rFonts w:ascii="宋体" w:hAnsi="宋体" w:cs="仿宋_GB2312"/>
                <w:color w:val="auto"/>
                <w:sz w:val="21"/>
              </w:rPr>
            </w:pPr>
          </w:p>
        </w:tc>
      </w:tr>
      <w:tr w14:paraId="7D911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09" w:type="dxa"/>
            <w:gridSpan w:val="2"/>
            <w:tcBorders>
              <w:top w:val="single" w:color="auto" w:sz="6" w:space="0"/>
              <w:left w:val="double" w:color="auto" w:sz="4" w:space="0"/>
              <w:bottom w:val="single" w:color="auto" w:sz="6" w:space="0"/>
              <w:right w:val="single" w:color="auto" w:sz="6" w:space="0"/>
            </w:tcBorders>
            <w:noWrap/>
            <w:vAlign w:val="center"/>
          </w:tcPr>
          <w:p w14:paraId="1A2BEA94">
            <w:pPr>
              <w:pStyle w:val="271"/>
              <w:topLinePunct/>
              <w:snapToGrid w:val="0"/>
              <w:jc w:val="center"/>
              <w:rPr>
                <w:rFonts w:ascii="宋体" w:hAnsi="宋体" w:cs="仿宋_GB2312"/>
                <w:color w:val="auto"/>
                <w:sz w:val="21"/>
              </w:rPr>
            </w:pPr>
            <w:r>
              <w:rPr>
                <w:rFonts w:hint="eastAsia" w:ascii="宋体" w:hAnsi="宋体" w:cs="仿宋_GB2312"/>
                <w:color w:val="auto"/>
                <w:sz w:val="21"/>
              </w:rPr>
              <w:t>经济行业</w:t>
            </w:r>
          </w:p>
        </w:tc>
        <w:tc>
          <w:tcPr>
            <w:tcW w:w="3941" w:type="dxa"/>
            <w:gridSpan w:val="3"/>
            <w:tcBorders>
              <w:top w:val="single" w:color="auto" w:sz="6" w:space="0"/>
              <w:left w:val="single" w:color="auto" w:sz="6" w:space="0"/>
              <w:bottom w:val="single" w:color="auto" w:sz="6" w:space="0"/>
              <w:right w:val="single" w:color="auto" w:sz="6" w:space="0"/>
            </w:tcBorders>
            <w:noWrap/>
            <w:vAlign w:val="center"/>
          </w:tcPr>
          <w:p w14:paraId="7210B58D">
            <w:pPr>
              <w:pStyle w:val="271"/>
              <w:topLinePunct/>
              <w:snapToGrid w:val="0"/>
              <w:jc w:val="center"/>
              <w:rPr>
                <w:rFonts w:ascii="宋体" w:hAnsi="宋体" w:cs="仿宋_GB2312"/>
                <w:color w:val="auto"/>
                <w:sz w:val="21"/>
              </w:rPr>
            </w:pPr>
          </w:p>
        </w:tc>
        <w:tc>
          <w:tcPr>
            <w:tcW w:w="1326" w:type="dxa"/>
            <w:tcBorders>
              <w:top w:val="single" w:color="auto" w:sz="6" w:space="0"/>
              <w:left w:val="single" w:color="auto" w:sz="6" w:space="0"/>
              <w:bottom w:val="single" w:color="auto" w:sz="6" w:space="0"/>
              <w:right w:val="single" w:color="auto" w:sz="6" w:space="0"/>
            </w:tcBorders>
            <w:noWrap/>
            <w:vAlign w:val="center"/>
          </w:tcPr>
          <w:p w14:paraId="4CC25221">
            <w:pPr>
              <w:pStyle w:val="271"/>
              <w:topLinePunct/>
              <w:snapToGrid w:val="0"/>
              <w:jc w:val="center"/>
              <w:rPr>
                <w:rFonts w:ascii="宋体" w:hAnsi="宋体" w:cs="仿宋_GB2312"/>
                <w:color w:val="auto"/>
                <w:sz w:val="21"/>
              </w:rPr>
            </w:pPr>
            <w:r>
              <w:rPr>
                <w:rFonts w:hint="eastAsia" w:ascii="宋体" w:hAnsi="宋体" w:cs="仿宋_GB2312"/>
                <w:color w:val="auto"/>
                <w:sz w:val="21"/>
              </w:rPr>
              <w:t>经济性质</w:t>
            </w:r>
          </w:p>
        </w:tc>
        <w:tc>
          <w:tcPr>
            <w:tcW w:w="1902" w:type="dxa"/>
            <w:tcBorders>
              <w:top w:val="single" w:color="auto" w:sz="6" w:space="0"/>
              <w:left w:val="single" w:color="auto" w:sz="6" w:space="0"/>
              <w:bottom w:val="single" w:color="auto" w:sz="6" w:space="0"/>
              <w:right w:val="double" w:color="auto" w:sz="4" w:space="0"/>
            </w:tcBorders>
            <w:noWrap/>
            <w:vAlign w:val="center"/>
          </w:tcPr>
          <w:p w14:paraId="615DF074">
            <w:pPr>
              <w:pStyle w:val="271"/>
              <w:topLinePunct/>
              <w:snapToGrid w:val="0"/>
              <w:jc w:val="center"/>
              <w:rPr>
                <w:rFonts w:ascii="宋体" w:hAnsi="宋体" w:cs="仿宋_GB2312"/>
                <w:color w:val="auto"/>
                <w:sz w:val="21"/>
              </w:rPr>
            </w:pPr>
          </w:p>
        </w:tc>
      </w:tr>
      <w:tr w14:paraId="1EB93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292" w:type="dxa"/>
            <w:vMerge w:val="restart"/>
            <w:tcBorders>
              <w:top w:val="single" w:color="auto" w:sz="6" w:space="0"/>
              <w:left w:val="double" w:color="auto" w:sz="4" w:space="0"/>
              <w:right w:val="single" w:color="auto" w:sz="6" w:space="0"/>
            </w:tcBorders>
            <w:noWrap/>
            <w:vAlign w:val="center"/>
          </w:tcPr>
          <w:p w14:paraId="0E5545DA">
            <w:pPr>
              <w:pStyle w:val="271"/>
              <w:topLinePunct/>
              <w:snapToGrid w:val="0"/>
              <w:jc w:val="center"/>
              <w:rPr>
                <w:rFonts w:ascii="宋体" w:hAnsi="宋体" w:cs="仿宋_GB2312"/>
                <w:color w:val="auto"/>
                <w:sz w:val="21"/>
              </w:rPr>
            </w:pPr>
            <w:r>
              <w:rPr>
                <w:rFonts w:hint="eastAsia" w:ascii="宋体" w:hAnsi="宋体" w:cs="仿宋_GB2312"/>
                <w:color w:val="auto"/>
                <w:sz w:val="21"/>
              </w:rPr>
              <w:t>法定代表人(负责人)</w:t>
            </w:r>
          </w:p>
        </w:tc>
        <w:tc>
          <w:tcPr>
            <w:tcW w:w="1351" w:type="dxa"/>
            <w:gridSpan w:val="2"/>
            <w:tcBorders>
              <w:top w:val="single" w:color="auto" w:sz="6" w:space="0"/>
              <w:left w:val="single" w:color="auto" w:sz="6" w:space="0"/>
              <w:bottom w:val="single" w:color="auto" w:sz="6" w:space="0"/>
              <w:right w:val="single" w:color="auto" w:sz="6" w:space="0"/>
            </w:tcBorders>
            <w:noWrap/>
            <w:vAlign w:val="center"/>
          </w:tcPr>
          <w:p w14:paraId="1B6271B8">
            <w:pPr>
              <w:pStyle w:val="271"/>
              <w:topLinePunct/>
              <w:snapToGrid w:val="0"/>
              <w:jc w:val="center"/>
              <w:rPr>
                <w:rFonts w:ascii="宋体" w:hAnsi="宋体" w:cs="仿宋_GB2312"/>
                <w:color w:val="auto"/>
                <w:sz w:val="21"/>
              </w:rPr>
            </w:pPr>
            <w:r>
              <w:rPr>
                <w:rFonts w:hint="eastAsia" w:ascii="宋体" w:hAnsi="宋体" w:cs="仿宋_GB2312"/>
                <w:color w:val="auto"/>
                <w:sz w:val="21"/>
              </w:rPr>
              <w:t>姓名</w:t>
            </w:r>
          </w:p>
        </w:tc>
        <w:tc>
          <w:tcPr>
            <w:tcW w:w="1533" w:type="dxa"/>
            <w:tcBorders>
              <w:top w:val="single" w:color="auto" w:sz="6" w:space="0"/>
              <w:left w:val="single" w:color="auto" w:sz="6" w:space="0"/>
              <w:bottom w:val="single" w:color="auto" w:sz="6" w:space="0"/>
              <w:right w:val="single" w:color="auto" w:sz="6" w:space="0"/>
            </w:tcBorders>
            <w:noWrap/>
            <w:vAlign w:val="center"/>
          </w:tcPr>
          <w:p w14:paraId="6725267B">
            <w:pPr>
              <w:pStyle w:val="271"/>
              <w:topLinePunct/>
              <w:snapToGrid w:val="0"/>
              <w:jc w:val="center"/>
              <w:rPr>
                <w:rFonts w:ascii="宋体" w:hAnsi="宋体" w:cs="仿宋_GB2312"/>
                <w:color w:val="auto"/>
                <w:sz w:val="21"/>
              </w:rPr>
            </w:pPr>
          </w:p>
        </w:tc>
        <w:tc>
          <w:tcPr>
            <w:tcW w:w="1374" w:type="dxa"/>
            <w:vMerge w:val="restart"/>
            <w:tcBorders>
              <w:top w:val="single" w:color="auto" w:sz="6" w:space="0"/>
              <w:left w:val="single" w:color="auto" w:sz="6" w:space="0"/>
              <w:right w:val="single" w:color="auto" w:sz="6" w:space="0"/>
            </w:tcBorders>
            <w:noWrap/>
            <w:vAlign w:val="center"/>
          </w:tcPr>
          <w:p w14:paraId="5A62770A">
            <w:pPr>
              <w:pStyle w:val="271"/>
              <w:widowControl/>
              <w:jc w:val="left"/>
              <w:rPr>
                <w:rFonts w:ascii="宋体" w:hAnsi="宋体" w:cs="仿宋_GB2312"/>
                <w:color w:val="auto"/>
                <w:sz w:val="21"/>
              </w:rPr>
            </w:pPr>
            <w:r>
              <w:rPr>
                <w:rFonts w:hint="eastAsia" w:ascii="宋体" w:hAnsi="宋体" w:cs="仿宋_GB2312"/>
                <w:color w:val="auto"/>
                <w:sz w:val="21"/>
              </w:rPr>
              <w:t>授权代表人</w:t>
            </w:r>
          </w:p>
        </w:tc>
        <w:tc>
          <w:tcPr>
            <w:tcW w:w="1326" w:type="dxa"/>
            <w:tcBorders>
              <w:top w:val="single" w:color="auto" w:sz="6" w:space="0"/>
              <w:left w:val="single" w:color="auto" w:sz="6" w:space="0"/>
              <w:bottom w:val="single" w:color="auto" w:sz="6" w:space="0"/>
              <w:right w:val="single" w:color="auto" w:sz="4" w:space="0"/>
            </w:tcBorders>
            <w:noWrap/>
            <w:vAlign w:val="center"/>
          </w:tcPr>
          <w:p w14:paraId="046453D3">
            <w:pPr>
              <w:pStyle w:val="271"/>
              <w:topLinePunct/>
              <w:snapToGrid w:val="0"/>
              <w:ind w:firstLine="105" w:firstLineChars="50"/>
              <w:jc w:val="center"/>
              <w:rPr>
                <w:rFonts w:ascii="宋体" w:hAnsi="宋体" w:cs="仿宋_GB2312"/>
                <w:color w:val="auto"/>
                <w:sz w:val="21"/>
              </w:rPr>
            </w:pPr>
            <w:r>
              <w:rPr>
                <w:rFonts w:hint="eastAsia" w:ascii="宋体" w:hAnsi="宋体" w:cs="仿宋_GB2312"/>
                <w:color w:val="auto"/>
                <w:sz w:val="21"/>
              </w:rPr>
              <w:t>姓名</w:t>
            </w:r>
          </w:p>
        </w:tc>
        <w:tc>
          <w:tcPr>
            <w:tcW w:w="1902" w:type="dxa"/>
            <w:tcBorders>
              <w:top w:val="single" w:color="auto" w:sz="6" w:space="0"/>
              <w:left w:val="single" w:color="auto" w:sz="4" w:space="0"/>
              <w:bottom w:val="single" w:color="auto" w:sz="6" w:space="0"/>
              <w:right w:val="double" w:color="auto" w:sz="4" w:space="0"/>
            </w:tcBorders>
            <w:noWrap/>
            <w:vAlign w:val="center"/>
          </w:tcPr>
          <w:p w14:paraId="34A69E38">
            <w:pPr>
              <w:pStyle w:val="271"/>
              <w:topLinePunct/>
              <w:snapToGrid w:val="0"/>
              <w:ind w:firstLine="105" w:firstLineChars="50"/>
              <w:jc w:val="center"/>
              <w:rPr>
                <w:rFonts w:ascii="宋体" w:hAnsi="宋体" w:cs="仿宋_GB2312"/>
                <w:color w:val="auto"/>
                <w:sz w:val="21"/>
              </w:rPr>
            </w:pPr>
          </w:p>
        </w:tc>
      </w:tr>
      <w:tr w14:paraId="3473F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292" w:type="dxa"/>
            <w:vMerge w:val="continue"/>
            <w:tcBorders>
              <w:left w:val="double" w:color="auto" w:sz="4" w:space="0"/>
              <w:right w:val="single" w:color="auto" w:sz="6" w:space="0"/>
            </w:tcBorders>
            <w:noWrap/>
            <w:vAlign w:val="center"/>
          </w:tcPr>
          <w:p w14:paraId="5ECC4242">
            <w:pPr>
              <w:pStyle w:val="271"/>
              <w:topLinePunct/>
              <w:snapToGrid w:val="0"/>
              <w:jc w:val="center"/>
              <w:rPr>
                <w:rFonts w:ascii="宋体" w:hAnsi="宋体" w:cs="仿宋_GB2312"/>
                <w:color w:val="auto"/>
                <w:sz w:val="21"/>
              </w:rPr>
            </w:pPr>
          </w:p>
        </w:tc>
        <w:tc>
          <w:tcPr>
            <w:tcW w:w="1351" w:type="dxa"/>
            <w:gridSpan w:val="2"/>
            <w:tcBorders>
              <w:top w:val="single" w:color="auto" w:sz="6" w:space="0"/>
              <w:left w:val="single" w:color="auto" w:sz="6" w:space="0"/>
              <w:bottom w:val="single" w:color="auto" w:sz="6" w:space="0"/>
              <w:right w:val="single" w:color="auto" w:sz="6" w:space="0"/>
            </w:tcBorders>
            <w:noWrap/>
            <w:vAlign w:val="center"/>
          </w:tcPr>
          <w:p w14:paraId="0384E93D">
            <w:pPr>
              <w:pStyle w:val="271"/>
              <w:topLinePunct/>
              <w:snapToGrid w:val="0"/>
              <w:jc w:val="center"/>
              <w:rPr>
                <w:rFonts w:ascii="宋体" w:hAnsi="宋体" w:cs="仿宋_GB2312"/>
                <w:color w:val="auto"/>
                <w:sz w:val="21"/>
              </w:rPr>
            </w:pPr>
            <w:r>
              <w:rPr>
                <w:rFonts w:hint="eastAsia" w:ascii="宋体" w:hAnsi="宋体" w:cs="仿宋_GB2312"/>
                <w:color w:val="auto"/>
                <w:sz w:val="21"/>
              </w:rPr>
              <w:t>签字或盖章</w:t>
            </w:r>
          </w:p>
        </w:tc>
        <w:tc>
          <w:tcPr>
            <w:tcW w:w="1533" w:type="dxa"/>
            <w:tcBorders>
              <w:top w:val="single" w:color="auto" w:sz="6" w:space="0"/>
              <w:left w:val="single" w:color="auto" w:sz="6" w:space="0"/>
              <w:bottom w:val="single" w:color="auto" w:sz="6" w:space="0"/>
              <w:right w:val="single" w:color="auto" w:sz="6" w:space="0"/>
            </w:tcBorders>
            <w:noWrap/>
            <w:vAlign w:val="center"/>
          </w:tcPr>
          <w:p w14:paraId="5A7572FC">
            <w:pPr>
              <w:pStyle w:val="271"/>
              <w:topLinePunct/>
              <w:snapToGrid w:val="0"/>
              <w:jc w:val="center"/>
              <w:rPr>
                <w:rFonts w:ascii="宋体" w:hAnsi="宋体" w:cs="仿宋_GB2312"/>
                <w:color w:val="auto"/>
                <w:sz w:val="21"/>
              </w:rPr>
            </w:pPr>
          </w:p>
        </w:tc>
        <w:tc>
          <w:tcPr>
            <w:tcW w:w="1374" w:type="dxa"/>
            <w:vMerge w:val="continue"/>
            <w:tcBorders>
              <w:left w:val="single" w:color="auto" w:sz="6" w:space="0"/>
              <w:right w:val="single" w:color="auto" w:sz="6" w:space="0"/>
            </w:tcBorders>
            <w:noWrap/>
            <w:vAlign w:val="center"/>
          </w:tcPr>
          <w:p w14:paraId="1A5FCDF2">
            <w:pPr>
              <w:pStyle w:val="271"/>
              <w:topLinePunct/>
              <w:snapToGrid w:val="0"/>
              <w:ind w:firstLine="105" w:firstLineChars="50"/>
              <w:jc w:val="center"/>
              <w:rPr>
                <w:rFonts w:ascii="宋体" w:hAnsi="宋体" w:cs="仿宋_GB2312"/>
                <w:color w:val="auto"/>
                <w:sz w:val="21"/>
              </w:rPr>
            </w:pPr>
          </w:p>
        </w:tc>
        <w:tc>
          <w:tcPr>
            <w:tcW w:w="1326" w:type="dxa"/>
            <w:tcBorders>
              <w:top w:val="single" w:color="auto" w:sz="6" w:space="0"/>
              <w:left w:val="single" w:color="auto" w:sz="6" w:space="0"/>
              <w:bottom w:val="single" w:color="auto" w:sz="6" w:space="0"/>
              <w:right w:val="single" w:color="auto" w:sz="4" w:space="0"/>
            </w:tcBorders>
            <w:noWrap/>
            <w:vAlign w:val="center"/>
          </w:tcPr>
          <w:p w14:paraId="7CB4C36B">
            <w:pPr>
              <w:pStyle w:val="271"/>
              <w:topLinePunct/>
              <w:snapToGrid w:val="0"/>
              <w:ind w:firstLine="105" w:firstLineChars="50"/>
              <w:jc w:val="center"/>
              <w:rPr>
                <w:rFonts w:ascii="宋体" w:hAnsi="宋体" w:cs="仿宋_GB2312"/>
                <w:color w:val="auto"/>
                <w:sz w:val="21"/>
              </w:rPr>
            </w:pPr>
            <w:r>
              <w:rPr>
                <w:rFonts w:hint="eastAsia" w:ascii="宋体" w:hAnsi="宋体" w:cs="仿宋_GB2312"/>
                <w:color w:val="auto"/>
                <w:sz w:val="21"/>
              </w:rPr>
              <w:t>签字</w:t>
            </w:r>
          </w:p>
        </w:tc>
        <w:tc>
          <w:tcPr>
            <w:tcW w:w="1902" w:type="dxa"/>
            <w:tcBorders>
              <w:top w:val="single" w:color="auto" w:sz="6" w:space="0"/>
              <w:left w:val="single" w:color="auto" w:sz="4" w:space="0"/>
              <w:bottom w:val="single" w:color="auto" w:sz="6" w:space="0"/>
              <w:right w:val="double" w:color="auto" w:sz="4" w:space="0"/>
            </w:tcBorders>
            <w:noWrap/>
            <w:vAlign w:val="center"/>
          </w:tcPr>
          <w:p w14:paraId="6D7846A4">
            <w:pPr>
              <w:pStyle w:val="271"/>
              <w:topLinePunct/>
              <w:snapToGrid w:val="0"/>
              <w:ind w:firstLine="105" w:firstLineChars="50"/>
              <w:jc w:val="center"/>
              <w:rPr>
                <w:rFonts w:ascii="宋体" w:hAnsi="宋体" w:cs="仿宋_GB2312"/>
                <w:color w:val="auto"/>
                <w:sz w:val="21"/>
              </w:rPr>
            </w:pPr>
          </w:p>
        </w:tc>
      </w:tr>
      <w:tr w14:paraId="10DB6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292" w:type="dxa"/>
            <w:vMerge w:val="continue"/>
            <w:tcBorders>
              <w:left w:val="double" w:color="auto" w:sz="4" w:space="0"/>
              <w:right w:val="single" w:color="auto" w:sz="6" w:space="0"/>
            </w:tcBorders>
            <w:noWrap/>
            <w:vAlign w:val="center"/>
          </w:tcPr>
          <w:p w14:paraId="0A28E61F">
            <w:pPr>
              <w:pStyle w:val="271"/>
              <w:topLinePunct/>
              <w:snapToGrid w:val="0"/>
              <w:jc w:val="center"/>
              <w:rPr>
                <w:rFonts w:ascii="宋体" w:hAnsi="宋体" w:cs="仿宋_GB2312"/>
                <w:color w:val="auto"/>
                <w:sz w:val="21"/>
              </w:rPr>
            </w:pPr>
          </w:p>
        </w:tc>
        <w:tc>
          <w:tcPr>
            <w:tcW w:w="1351" w:type="dxa"/>
            <w:gridSpan w:val="2"/>
            <w:tcBorders>
              <w:top w:val="single" w:color="auto" w:sz="6" w:space="0"/>
              <w:left w:val="single" w:color="auto" w:sz="6" w:space="0"/>
              <w:bottom w:val="single" w:color="auto" w:sz="6" w:space="0"/>
              <w:right w:val="single" w:color="auto" w:sz="6" w:space="0"/>
            </w:tcBorders>
            <w:noWrap/>
            <w:vAlign w:val="center"/>
          </w:tcPr>
          <w:p w14:paraId="6AB4BC3A">
            <w:pPr>
              <w:pStyle w:val="271"/>
              <w:topLinePunct/>
              <w:snapToGrid w:val="0"/>
              <w:jc w:val="center"/>
              <w:rPr>
                <w:rFonts w:ascii="宋体" w:hAnsi="宋体" w:cs="仿宋_GB2312"/>
                <w:color w:val="auto"/>
                <w:sz w:val="21"/>
              </w:rPr>
            </w:pPr>
            <w:r>
              <w:rPr>
                <w:rFonts w:hint="eastAsia" w:ascii="宋体" w:hAnsi="宋体" w:cs="仿宋_GB2312"/>
                <w:color w:val="auto"/>
                <w:sz w:val="21"/>
              </w:rPr>
              <w:t>身份证号</w:t>
            </w:r>
          </w:p>
        </w:tc>
        <w:tc>
          <w:tcPr>
            <w:tcW w:w="1533" w:type="dxa"/>
            <w:tcBorders>
              <w:top w:val="single" w:color="auto" w:sz="6" w:space="0"/>
              <w:left w:val="single" w:color="auto" w:sz="6" w:space="0"/>
              <w:bottom w:val="single" w:color="auto" w:sz="6" w:space="0"/>
              <w:right w:val="single" w:color="auto" w:sz="6" w:space="0"/>
            </w:tcBorders>
            <w:noWrap/>
            <w:vAlign w:val="center"/>
          </w:tcPr>
          <w:p w14:paraId="1901B0D7">
            <w:pPr>
              <w:pStyle w:val="271"/>
              <w:topLinePunct/>
              <w:snapToGrid w:val="0"/>
              <w:ind w:firstLine="105" w:firstLineChars="50"/>
              <w:jc w:val="center"/>
              <w:rPr>
                <w:rFonts w:ascii="宋体" w:hAnsi="宋体" w:cs="仿宋_GB2312"/>
                <w:color w:val="auto"/>
                <w:sz w:val="21"/>
              </w:rPr>
            </w:pPr>
          </w:p>
        </w:tc>
        <w:tc>
          <w:tcPr>
            <w:tcW w:w="1374" w:type="dxa"/>
            <w:vMerge w:val="continue"/>
            <w:tcBorders>
              <w:left w:val="single" w:color="auto" w:sz="6" w:space="0"/>
              <w:right w:val="single" w:color="auto" w:sz="6" w:space="0"/>
            </w:tcBorders>
            <w:noWrap/>
            <w:vAlign w:val="center"/>
          </w:tcPr>
          <w:p w14:paraId="6AC47D48">
            <w:pPr>
              <w:pStyle w:val="271"/>
              <w:topLinePunct/>
              <w:snapToGrid w:val="0"/>
              <w:ind w:firstLine="105" w:firstLineChars="50"/>
              <w:jc w:val="center"/>
              <w:rPr>
                <w:rFonts w:ascii="宋体" w:hAnsi="宋体" w:cs="仿宋_GB2312"/>
                <w:color w:val="auto"/>
                <w:sz w:val="21"/>
              </w:rPr>
            </w:pPr>
          </w:p>
        </w:tc>
        <w:tc>
          <w:tcPr>
            <w:tcW w:w="1326" w:type="dxa"/>
            <w:tcBorders>
              <w:top w:val="single" w:color="auto" w:sz="6" w:space="0"/>
              <w:left w:val="single" w:color="auto" w:sz="6" w:space="0"/>
              <w:bottom w:val="single" w:color="auto" w:sz="6" w:space="0"/>
              <w:right w:val="single" w:color="auto" w:sz="4" w:space="0"/>
            </w:tcBorders>
            <w:noWrap/>
            <w:vAlign w:val="center"/>
          </w:tcPr>
          <w:p w14:paraId="6590A53B">
            <w:pPr>
              <w:pStyle w:val="271"/>
              <w:topLinePunct/>
              <w:snapToGrid w:val="0"/>
              <w:ind w:firstLine="105" w:firstLineChars="50"/>
              <w:jc w:val="center"/>
              <w:rPr>
                <w:rFonts w:ascii="宋体" w:hAnsi="宋体" w:cs="仿宋_GB2312"/>
                <w:color w:val="auto"/>
                <w:sz w:val="21"/>
              </w:rPr>
            </w:pPr>
            <w:r>
              <w:rPr>
                <w:rFonts w:hint="eastAsia" w:ascii="宋体" w:hAnsi="宋体" w:cs="仿宋_GB2312"/>
                <w:color w:val="auto"/>
                <w:sz w:val="21"/>
              </w:rPr>
              <w:t>身份证号</w:t>
            </w:r>
          </w:p>
        </w:tc>
        <w:tc>
          <w:tcPr>
            <w:tcW w:w="1902" w:type="dxa"/>
            <w:tcBorders>
              <w:top w:val="single" w:color="auto" w:sz="6" w:space="0"/>
              <w:left w:val="single" w:color="auto" w:sz="4" w:space="0"/>
              <w:bottom w:val="single" w:color="auto" w:sz="6" w:space="0"/>
              <w:right w:val="double" w:color="auto" w:sz="4" w:space="0"/>
            </w:tcBorders>
            <w:noWrap/>
            <w:vAlign w:val="center"/>
          </w:tcPr>
          <w:p w14:paraId="3E415462">
            <w:pPr>
              <w:pStyle w:val="271"/>
              <w:topLinePunct/>
              <w:snapToGrid w:val="0"/>
              <w:ind w:firstLine="105" w:firstLineChars="50"/>
              <w:jc w:val="center"/>
              <w:rPr>
                <w:rFonts w:ascii="宋体" w:hAnsi="宋体" w:cs="仿宋_GB2312"/>
                <w:color w:val="auto"/>
                <w:sz w:val="21"/>
              </w:rPr>
            </w:pPr>
          </w:p>
        </w:tc>
      </w:tr>
      <w:tr w14:paraId="138F0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92" w:type="dxa"/>
            <w:vMerge w:val="continue"/>
            <w:tcBorders>
              <w:left w:val="double" w:color="auto" w:sz="4" w:space="0"/>
              <w:bottom w:val="single" w:color="auto" w:sz="6" w:space="0"/>
              <w:right w:val="single" w:color="auto" w:sz="6" w:space="0"/>
            </w:tcBorders>
            <w:noWrap/>
            <w:vAlign w:val="center"/>
          </w:tcPr>
          <w:p w14:paraId="2E14D81C">
            <w:pPr>
              <w:pStyle w:val="271"/>
              <w:topLinePunct/>
              <w:snapToGrid w:val="0"/>
              <w:jc w:val="center"/>
              <w:rPr>
                <w:rFonts w:ascii="宋体" w:hAnsi="宋体" w:cs="仿宋_GB2312"/>
                <w:color w:val="auto"/>
                <w:sz w:val="21"/>
              </w:rPr>
            </w:pPr>
          </w:p>
        </w:tc>
        <w:tc>
          <w:tcPr>
            <w:tcW w:w="1351" w:type="dxa"/>
            <w:gridSpan w:val="2"/>
            <w:tcBorders>
              <w:top w:val="single" w:color="auto" w:sz="6" w:space="0"/>
              <w:left w:val="single" w:color="auto" w:sz="6" w:space="0"/>
              <w:bottom w:val="single" w:color="auto" w:sz="6" w:space="0"/>
              <w:right w:val="single" w:color="auto" w:sz="6" w:space="0"/>
            </w:tcBorders>
            <w:noWrap/>
            <w:vAlign w:val="center"/>
          </w:tcPr>
          <w:p w14:paraId="3D2494B2">
            <w:pPr>
              <w:pStyle w:val="271"/>
              <w:topLinePunct/>
              <w:snapToGrid w:val="0"/>
              <w:jc w:val="center"/>
              <w:rPr>
                <w:rFonts w:ascii="宋体" w:hAnsi="宋体" w:cs="仿宋_GB2312"/>
                <w:color w:val="auto"/>
                <w:sz w:val="21"/>
              </w:rPr>
            </w:pPr>
            <w:r>
              <w:rPr>
                <w:rFonts w:hint="eastAsia" w:ascii="宋体" w:hAnsi="宋体" w:cs="仿宋_GB2312"/>
                <w:color w:val="auto"/>
                <w:sz w:val="21"/>
              </w:rPr>
              <w:t>手机号</w:t>
            </w:r>
          </w:p>
        </w:tc>
        <w:tc>
          <w:tcPr>
            <w:tcW w:w="1533" w:type="dxa"/>
            <w:tcBorders>
              <w:top w:val="single" w:color="auto" w:sz="6" w:space="0"/>
              <w:left w:val="single" w:color="auto" w:sz="6" w:space="0"/>
              <w:bottom w:val="single" w:color="auto" w:sz="6" w:space="0"/>
              <w:right w:val="single" w:color="auto" w:sz="6" w:space="0"/>
            </w:tcBorders>
            <w:noWrap/>
            <w:vAlign w:val="center"/>
          </w:tcPr>
          <w:p w14:paraId="32147D4D">
            <w:pPr>
              <w:pStyle w:val="271"/>
              <w:topLinePunct/>
              <w:snapToGrid w:val="0"/>
              <w:ind w:firstLine="105" w:firstLineChars="50"/>
              <w:jc w:val="center"/>
              <w:rPr>
                <w:rFonts w:ascii="宋体" w:hAnsi="宋体" w:cs="仿宋_GB2312"/>
                <w:color w:val="auto"/>
                <w:sz w:val="21"/>
              </w:rPr>
            </w:pPr>
          </w:p>
        </w:tc>
        <w:tc>
          <w:tcPr>
            <w:tcW w:w="1374" w:type="dxa"/>
            <w:vMerge w:val="continue"/>
            <w:tcBorders>
              <w:left w:val="single" w:color="auto" w:sz="6" w:space="0"/>
              <w:bottom w:val="single" w:color="auto" w:sz="6" w:space="0"/>
              <w:right w:val="single" w:color="auto" w:sz="6" w:space="0"/>
            </w:tcBorders>
            <w:noWrap/>
            <w:vAlign w:val="center"/>
          </w:tcPr>
          <w:p w14:paraId="32036955">
            <w:pPr>
              <w:pStyle w:val="271"/>
              <w:topLinePunct/>
              <w:snapToGrid w:val="0"/>
              <w:ind w:firstLine="105" w:firstLineChars="50"/>
              <w:jc w:val="center"/>
              <w:rPr>
                <w:rFonts w:ascii="宋体" w:hAnsi="宋体" w:cs="仿宋_GB2312"/>
                <w:color w:val="auto"/>
                <w:sz w:val="21"/>
              </w:rPr>
            </w:pPr>
          </w:p>
        </w:tc>
        <w:tc>
          <w:tcPr>
            <w:tcW w:w="1326" w:type="dxa"/>
            <w:tcBorders>
              <w:top w:val="single" w:color="auto" w:sz="6" w:space="0"/>
              <w:left w:val="single" w:color="auto" w:sz="6" w:space="0"/>
              <w:bottom w:val="single" w:color="auto" w:sz="6" w:space="0"/>
              <w:right w:val="single" w:color="auto" w:sz="4" w:space="0"/>
            </w:tcBorders>
            <w:noWrap/>
            <w:vAlign w:val="center"/>
          </w:tcPr>
          <w:p w14:paraId="67CCAAAB">
            <w:pPr>
              <w:pStyle w:val="271"/>
              <w:topLinePunct/>
              <w:snapToGrid w:val="0"/>
              <w:ind w:firstLine="105" w:firstLineChars="50"/>
              <w:jc w:val="center"/>
              <w:rPr>
                <w:rFonts w:ascii="宋体" w:hAnsi="宋体" w:cs="仿宋_GB2312"/>
                <w:color w:val="auto"/>
                <w:sz w:val="21"/>
              </w:rPr>
            </w:pPr>
            <w:r>
              <w:rPr>
                <w:rFonts w:hint="eastAsia" w:ascii="宋体" w:hAnsi="宋体" w:cs="仿宋_GB2312"/>
                <w:color w:val="auto"/>
                <w:sz w:val="21"/>
              </w:rPr>
              <w:t>手机号</w:t>
            </w:r>
          </w:p>
        </w:tc>
        <w:tc>
          <w:tcPr>
            <w:tcW w:w="1902" w:type="dxa"/>
            <w:tcBorders>
              <w:top w:val="single" w:color="auto" w:sz="6" w:space="0"/>
              <w:left w:val="single" w:color="auto" w:sz="4" w:space="0"/>
              <w:bottom w:val="single" w:color="auto" w:sz="6" w:space="0"/>
              <w:right w:val="double" w:color="auto" w:sz="4" w:space="0"/>
            </w:tcBorders>
            <w:noWrap/>
            <w:vAlign w:val="center"/>
          </w:tcPr>
          <w:p w14:paraId="7B99879A">
            <w:pPr>
              <w:pStyle w:val="271"/>
              <w:topLinePunct/>
              <w:snapToGrid w:val="0"/>
              <w:ind w:firstLine="105" w:firstLineChars="50"/>
              <w:jc w:val="center"/>
              <w:rPr>
                <w:rFonts w:ascii="宋体" w:hAnsi="宋体" w:cs="仿宋_GB2312"/>
                <w:color w:val="auto"/>
                <w:sz w:val="21"/>
              </w:rPr>
            </w:pPr>
          </w:p>
        </w:tc>
      </w:tr>
    </w:tbl>
    <w:p w14:paraId="7C42200E">
      <w:pPr>
        <w:rPr>
          <w:color w:val="auto"/>
        </w:rPr>
      </w:pPr>
    </w:p>
    <w:p w14:paraId="473B3716">
      <w:pPr>
        <w:rPr>
          <w:color w:val="auto"/>
        </w:rPr>
      </w:pPr>
    </w:p>
    <w:p w14:paraId="71D1933C">
      <w:pPr>
        <w:rPr>
          <w:rFonts w:hint="eastAsia" w:ascii="宋体" w:hAnsi="宋体" w:cs="宋体"/>
          <w:b/>
          <w:bCs/>
          <w:color w:val="auto"/>
          <w:sz w:val="30"/>
          <w:szCs w:val="30"/>
        </w:rPr>
      </w:pPr>
      <w:r>
        <w:rPr>
          <w:rFonts w:hint="eastAsia" w:ascii="宋体" w:hAnsi="宋体" w:cs="宋体"/>
          <w:b/>
          <w:bCs/>
          <w:color w:val="auto"/>
          <w:sz w:val="30"/>
          <w:szCs w:val="30"/>
        </w:rPr>
        <w:br w:type="page"/>
      </w:r>
    </w:p>
    <w:p w14:paraId="65D2A0CE">
      <w:pPr>
        <w:spacing w:line="240" w:lineRule="auto"/>
        <w:ind w:firstLine="0" w:firstLineChars="0"/>
        <w:jc w:val="both"/>
        <w:rPr>
          <w:rFonts w:hint="eastAsia" w:ascii="宋体" w:hAnsi="宋体" w:eastAsia="宋体" w:cs="Times New Roman"/>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附件</w:t>
      </w:r>
      <w:r>
        <w:rPr>
          <w:rFonts w:hint="eastAsia" w:ascii="宋体" w:hAnsi="宋体" w:eastAsia="宋体" w:cs="Times New Roman"/>
          <w:b/>
          <w:bCs/>
          <w:color w:val="auto"/>
          <w:kern w:val="2"/>
          <w:sz w:val="30"/>
          <w:szCs w:val="30"/>
          <w:lang w:val="en-US" w:eastAsia="zh-CN" w:bidi="ar-SA"/>
        </w:rPr>
        <w:t xml:space="preserve">4-2             </w:t>
      </w:r>
    </w:p>
    <w:p w14:paraId="1C5624A1">
      <w:pPr>
        <w:spacing w:line="240" w:lineRule="auto"/>
        <w:ind w:firstLine="0" w:firstLineChars="0"/>
        <w:jc w:val="center"/>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中小企业声明函（</w:t>
      </w:r>
      <w:r>
        <w:rPr>
          <w:rFonts w:hint="eastAsia" w:ascii="宋体" w:hAnsi="宋体" w:eastAsia="宋体" w:cs="Times New Roman"/>
          <w:b/>
          <w:bCs/>
          <w:color w:val="auto"/>
          <w:sz w:val="28"/>
          <w:szCs w:val="28"/>
          <w:lang w:val="en-US" w:eastAsia="zh-CN"/>
        </w:rPr>
        <w:t>服务</w:t>
      </w:r>
      <w:r>
        <w:rPr>
          <w:rFonts w:hint="eastAsia" w:ascii="宋体" w:hAnsi="宋体" w:eastAsia="宋体" w:cs="Times New Roman"/>
          <w:b/>
          <w:bCs/>
          <w:color w:val="auto"/>
          <w:sz w:val="28"/>
          <w:szCs w:val="28"/>
        </w:rPr>
        <w:t>)</w:t>
      </w:r>
    </w:p>
    <w:p w14:paraId="1521E1AF">
      <w:pPr>
        <w:spacing w:line="240" w:lineRule="auto"/>
        <w:ind w:firstLine="0" w:firstLineChars="0"/>
        <w:jc w:val="center"/>
        <w:rPr>
          <w:rFonts w:hint="eastAsia" w:ascii="宋体" w:hAnsi="宋体" w:eastAsia="宋体" w:cs="Times New Roman"/>
          <w:color w:val="auto"/>
          <w:sz w:val="28"/>
          <w:szCs w:val="28"/>
        </w:rPr>
      </w:pPr>
    </w:p>
    <w:p w14:paraId="5591C31F">
      <w:pPr>
        <w:snapToGrid w:val="0"/>
        <w:spacing w:line="48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本公司郑重声明，根据《政府采购促进中小企业发展管理办法》（财库﹝2020﹞46号）的规定，本公司参加</w:t>
      </w:r>
      <w:r>
        <w:rPr>
          <w:rFonts w:hint="eastAsia" w:ascii="宋体" w:hAnsi="宋体" w:eastAsia="宋体" w:cs="Times New Roman"/>
          <w:color w:val="auto"/>
          <w:szCs w:val="21"/>
          <w:u w:val="single"/>
          <w:lang w:val="en-US" w:eastAsia="zh-CN"/>
        </w:rPr>
        <w:t xml:space="preserve"> 长沙市北鑫物业管理有限公司</w:t>
      </w:r>
      <w:r>
        <w:rPr>
          <w:rFonts w:hint="eastAsia" w:ascii="宋体" w:hAnsi="宋体" w:eastAsia="宋体" w:cs="Times New Roman"/>
          <w:color w:val="auto"/>
          <w:szCs w:val="21"/>
        </w:rPr>
        <w:t>的</w:t>
      </w:r>
      <w:r>
        <w:rPr>
          <w:rFonts w:hint="eastAsia" w:cs="Times New Roman"/>
          <w:color w:val="auto"/>
          <w:szCs w:val="21"/>
          <w:u w:val="single"/>
          <w:lang w:eastAsia="zh-CN"/>
        </w:rPr>
        <w:t>荷韵园、福港苑保安保洁及工程维护业务委托服务采购</w:t>
      </w:r>
      <w:r>
        <w:rPr>
          <w:rFonts w:hint="eastAsia" w:ascii="宋体" w:hAnsi="宋体" w:eastAsia="宋体" w:cs="Times New Roman"/>
          <w:color w:val="auto"/>
          <w:szCs w:val="21"/>
        </w:rPr>
        <w:t>采购活动，服务全部由符合政策要求的中小企业承接。相关企业（中小企业、签订分包意向协议的中小企业）的具体情况如下：</w:t>
      </w:r>
    </w:p>
    <w:p w14:paraId="07DA8A6A">
      <w:pPr>
        <w:snapToGrid w:val="0"/>
        <w:spacing w:line="480" w:lineRule="auto"/>
        <w:ind w:firstLine="0" w:firstLineChars="0"/>
        <w:rPr>
          <w:rFonts w:hint="eastAsia" w:ascii="宋体" w:hAnsi="宋体" w:eastAsia="宋体" w:cs="Times New Roman"/>
          <w:color w:val="auto"/>
          <w:szCs w:val="21"/>
        </w:rPr>
      </w:pPr>
      <w:r>
        <w:rPr>
          <w:rFonts w:hint="eastAsia" w:ascii="宋体" w:hAnsi="宋体" w:eastAsia="宋体" w:cs="Times New Roman"/>
          <w:color w:val="auto"/>
          <w:szCs w:val="21"/>
        </w:rPr>
        <w:t xml:space="preserve"> 1.</w:t>
      </w:r>
      <w:r>
        <w:rPr>
          <w:rFonts w:hint="eastAsia" w:cs="Times New Roman"/>
          <w:b/>
          <w:bCs/>
          <w:color w:val="auto"/>
          <w:szCs w:val="21"/>
          <w:u w:val="single"/>
          <w:lang w:eastAsia="zh-CN"/>
        </w:rPr>
        <w:t>荷韵园、福港苑保安保洁及工程维护业务委托服务采购</w:t>
      </w:r>
      <w:r>
        <w:rPr>
          <w:rFonts w:hint="eastAsia" w:ascii="宋体" w:hAnsi="宋体" w:eastAsia="宋体" w:cs="Times New Roman"/>
          <w:color w:val="auto"/>
          <w:szCs w:val="21"/>
          <w:highlight w:val="none"/>
        </w:rPr>
        <w:t>，属于</w:t>
      </w:r>
      <w:r>
        <w:rPr>
          <w:rFonts w:hint="eastAsia" w:ascii="宋体" w:hAnsi="宋体" w:eastAsia="宋体" w:cs="Times New Roman"/>
          <w:b/>
          <w:bCs/>
          <w:color w:val="auto"/>
          <w:szCs w:val="21"/>
          <w:highlight w:val="none"/>
          <w:u w:val="single"/>
          <w:lang w:val="en-US" w:eastAsia="zh-CN"/>
        </w:rPr>
        <w:t>物业管理行业</w:t>
      </w:r>
      <w:r>
        <w:rPr>
          <w:rFonts w:hint="eastAsia" w:ascii="宋体" w:hAnsi="宋体" w:eastAsia="宋体" w:cs="Times New Roman"/>
          <w:color w:val="auto"/>
          <w:szCs w:val="21"/>
          <w:highlight w:val="none"/>
        </w:rPr>
        <w:t>；承接企业</w:t>
      </w:r>
      <w:r>
        <w:rPr>
          <w:rFonts w:hint="eastAsia" w:ascii="宋体" w:hAnsi="宋体" w:eastAsia="宋体" w:cs="Times New Roman"/>
          <w:color w:val="auto"/>
          <w:szCs w:val="21"/>
        </w:rPr>
        <w:t>为</w:t>
      </w:r>
      <w:r>
        <w:rPr>
          <w:rFonts w:hint="eastAsia" w:ascii="宋体" w:hAnsi="宋体" w:eastAsia="宋体" w:cs="Times New Roman"/>
          <w:color w:val="auto"/>
          <w:szCs w:val="21"/>
          <w:u w:val="single"/>
        </w:rPr>
        <w:t>（企业名称）</w:t>
      </w:r>
      <w:r>
        <w:rPr>
          <w:rFonts w:hint="eastAsia" w:ascii="宋体" w:hAnsi="宋体" w:eastAsia="宋体" w:cs="Times New Roman"/>
          <w:color w:val="auto"/>
          <w:szCs w:val="21"/>
        </w:rPr>
        <w:t>，从业人员</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人，营业收入为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万元，资产总额为</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万元，属于（中型企业、小型企业、微型企业）；</w:t>
      </w:r>
    </w:p>
    <w:p w14:paraId="5E9C8B74">
      <w:pPr>
        <w:snapToGrid w:val="0"/>
        <w:spacing w:line="48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以上企业，不属于大企业的分支机构，不存在控股股东为大企业的情形，也不存在与大企业的负责人为同一人的情形。 </w:t>
      </w:r>
    </w:p>
    <w:p w14:paraId="14F71CDE">
      <w:pPr>
        <w:snapToGrid w:val="0"/>
        <w:spacing w:line="480" w:lineRule="auto"/>
        <w:ind w:firstLine="0" w:firstLineChars="0"/>
        <w:rPr>
          <w:rFonts w:hint="eastAsia" w:ascii="宋体" w:hAnsi="宋体" w:eastAsia="宋体" w:cs="Times New Roman"/>
          <w:color w:val="auto"/>
          <w:szCs w:val="21"/>
        </w:rPr>
      </w:pPr>
      <w:r>
        <w:rPr>
          <w:rFonts w:hint="eastAsia" w:ascii="宋体" w:hAnsi="宋体" w:eastAsia="宋体" w:cs="Times New Roman"/>
          <w:color w:val="auto"/>
          <w:szCs w:val="21"/>
        </w:rPr>
        <w:t xml:space="preserve">本企业对上述声明内容的真实性负责。如有虚假，将依法承担相应责任。 </w:t>
      </w:r>
    </w:p>
    <w:p w14:paraId="317A5D9B">
      <w:pPr>
        <w:snapToGrid w:val="0"/>
        <w:spacing w:line="480" w:lineRule="auto"/>
        <w:ind w:firstLine="0" w:firstLineChars="0"/>
        <w:rPr>
          <w:rFonts w:hint="eastAsia" w:ascii="宋体" w:hAnsi="宋体" w:eastAsia="宋体" w:cs="Times New Roman"/>
          <w:color w:val="auto"/>
          <w:szCs w:val="21"/>
        </w:rPr>
      </w:pPr>
    </w:p>
    <w:p w14:paraId="4BAC5547">
      <w:pPr>
        <w:snapToGrid w:val="0"/>
        <w:spacing w:line="480" w:lineRule="auto"/>
        <w:ind w:firstLine="0" w:firstLineChars="0"/>
        <w:rPr>
          <w:rFonts w:hint="eastAsia" w:ascii="宋体" w:hAnsi="宋体" w:eastAsia="宋体" w:cs="Times New Roman"/>
          <w:color w:val="auto"/>
          <w:szCs w:val="21"/>
        </w:rPr>
      </w:pPr>
    </w:p>
    <w:p w14:paraId="257AC27E">
      <w:pPr>
        <w:snapToGrid w:val="0"/>
        <w:spacing w:line="480" w:lineRule="auto"/>
        <w:ind w:firstLine="0" w:firstLineChars="0"/>
        <w:jc w:val="center"/>
        <w:rPr>
          <w:rFonts w:hint="eastAsia" w:ascii="宋体" w:hAnsi="宋体" w:eastAsia="宋体" w:cs="Times New Roman"/>
          <w:color w:val="auto"/>
          <w:szCs w:val="21"/>
        </w:rPr>
      </w:pPr>
      <w:r>
        <w:rPr>
          <w:rFonts w:hint="eastAsia" w:ascii="宋体" w:hAnsi="宋体" w:eastAsia="宋体" w:cs="Times New Roman"/>
          <w:color w:val="auto"/>
          <w:szCs w:val="21"/>
        </w:rPr>
        <w:t xml:space="preserve">                                               企业名称（盖章）： </w:t>
      </w:r>
    </w:p>
    <w:p w14:paraId="6E9A98F0">
      <w:pPr>
        <w:snapToGrid w:val="0"/>
        <w:spacing w:line="480" w:lineRule="auto"/>
        <w:ind w:firstLine="0" w:firstLineChars="0"/>
        <w:jc w:val="center"/>
        <w:rPr>
          <w:rFonts w:hint="eastAsia" w:ascii="宋体" w:hAnsi="宋体" w:eastAsia="宋体" w:cs="Times New Roman"/>
          <w:color w:val="auto"/>
          <w:szCs w:val="21"/>
        </w:rPr>
      </w:pPr>
      <w:r>
        <w:rPr>
          <w:rFonts w:hint="eastAsia" w:ascii="宋体" w:hAnsi="宋体" w:eastAsia="宋体" w:cs="Times New Roman"/>
          <w:color w:val="auto"/>
          <w:szCs w:val="21"/>
        </w:rPr>
        <w:t xml:space="preserve">                                                          日 期：</w:t>
      </w:r>
    </w:p>
    <w:p w14:paraId="0F9CA5C5">
      <w:pPr>
        <w:snapToGrid w:val="0"/>
        <w:spacing w:line="360" w:lineRule="auto"/>
        <w:ind w:firstLine="630" w:firstLineChars="300"/>
        <w:rPr>
          <w:rFonts w:hint="eastAsia" w:ascii="宋体" w:hAnsi="宋体" w:eastAsia="宋体" w:cs="Times New Roman"/>
          <w:bCs/>
          <w:color w:val="auto"/>
          <w:szCs w:val="21"/>
        </w:rPr>
      </w:pPr>
    </w:p>
    <w:p w14:paraId="57B58D54">
      <w:pPr>
        <w:spacing w:line="240" w:lineRule="auto"/>
        <w:ind w:firstLine="0" w:firstLineChars="0"/>
        <w:rPr>
          <w:rFonts w:hint="eastAsia" w:ascii="宋体" w:hAnsi="宋体" w:eastAsia="宋体" w:cs="Times New Roman"/>
          <w:color w:val="auto"/>
          <w:sz w:val="30"/>
          <w:szCs w:val="30"/>
        </w:rPr>
      </w:pPr>
    </w:p>
    <w:p w14:paraId="3AE0F2E1">
      <w:pPr>
        <w:widowControl/>
        <w:kinsoku w:val="0"/>
        <w:autoSpaceDE w:val="0"/>
        <w:autoSpaceDN w:val="0"/>
        <w:adjustRightInd w:val="0"/>
        <w:snapToGrid w:val="0"/>
        <w:spacing w:before="79" w:line="338" w:lineRule="auto"/>
        <w:ind w:right="61" w:firstLine="480" w:firstLineChars="0"/>
        <w:jc w:val="left"/>
        <w:textAlignment w:val="baseline"/>
        <w:rPr>
          <w:rFonts w:hint="eastAsia" w:ascii="宋体" w:hAnsi="宋体" w:eastAsia="宋体" w:cs="宋体"/>
          <w:i w:val="0"/>
          <w:iCs w:val="0"/>
          <w:snapToGrid w:val="0"/>
          <w:color w:val="auto"/>
          <w:kern w:val="0"/>
          <w:sz w:val="21"/>
          <w:szCs w:val="21"/>
          <w:highlight w:val="none"/>
          <w:lang w:eastAsia="en-US"/>
        </w:rPr>
      </w:pPr>
      <w:r>
        <w:rPr>
          <w:rFonts w:hint="eastAsia" w:ascii="宋体" w:hAnsi="宋体" w:cs="Times New Roman"/>
          <w:color w:val="auto"/>
          <w:sz w:val="22"/>
          <w:szCs w:val="22"/>
        </w:rPr>
        <w:t>说明：</w:t>
      </w:r>
      <w:r>
        <w:rPr>
          <w:rFonts w:hint="eastAsia" w:ascii="宋体" w:hAnsi="宋体" w:eastAsia="宋体" w:cs="宋体"/>
          <w:i w:val="0"/>
          <w:iCs w:val="0"/>
          <w:snapToGrid w:val="0"/>
          <w:color w:val="auto"/>
          <w:spacing w:val="-3"/>
          <w:kern w:val="0"/>
          <w:sz w:val="21"/>
          <w:szCs w:val="21"/>
          <w:highlight w:val="none"/>
          <w:lang w:eastAsia="en-US"/>
        </w:rPr>
        <w:t xml:space="preserve"> 1、现行中小企业划分标准行业包括农、林、牧、渔业，工业，批发业，零售业，交通运输</w:t>
      </w:r>
      <w:r>
        <w:rPr>
          <w:rFonts w:hint="eastAsia" w:ascii="宋体" w:hAnsi="宋体" w:eastAsia="宋体" w:cs="宋体"/>
          <w:i w:val="0"/>
          <w:iCs w:val="0"/>
          <w:snapToGrid w:val="0"/>
          <w:color w:val="auto"/>
          <w:kern w:val="0"/>
          <w:sz w:val="21"/>
          <w:szCs w:val="21"/>
          <w:highlight w:val="none"/>
          <w:lang w:eastAsia="en-US"/>
        </w:rPr>
        <w:t xml:space="preserve"> </w:t>
      </w:r>
      <w:r>
        <w:rPr>
          <w:rFonts w:hint="eastAsia" w:ascii="宋体" w:hAnsi="宋体" w:eastAsia="宋体" w:cs="宋体"/>
          <w:i w:val="0"/>
          <w:iCs w:val="0"/>
          <w:snapToGrid w:val="0"/>
          <w:color w:val="auto"/>
          <w:spacing w:val="-20"/>
          <w:kern w:val="0"/>
          <w:sz w:val="21"/>
          <w:szCs w:val="21"/>
          <w:highlight w:val="none"/>
          <w:lang w:eastAsia="en-US"/>
        </w:rPr>
        <w:t>业，</w:t>
      </w:r>
      <w:r>
        <w:rPr>
          <w:rFonts w:hint="eastAsia" w:ascii="宋体" w:hAnsi="宋体" w:eastAsia="宋体" w:cs="宋体"/>
          <w:i w:val="0"/>
          <w:iCs w:val="0"/>
          <w:snapToGrid w:val="0"/>
          <w:color w:val="auto"/>
          <w:spacing w:val="-39"/>
          <w:kern w:val="0"/>
          <w:sz w:val="21"/>
          <w:szCs w:val="21"/>
          <w:highlight w:val="none"/>
          <w:lang w:eastAsia="en-US"/>
        </w:rPr>
        <w:t xml:space="preserve"> </w:t>
      </w:r>
      <w:r>
        <w:rPr>
          <w:rFonts w:hint="eastAsia" w:ascii="宋体" w:hAnsi="宋体" w:eastAsia="宋体" w:cs="宋体"/>
          <w:i w:val="0"/>
          <w:iCs w:val="0"/>
          <w:snapToGrid w:val="0"/>
          <w:color w:val="auto"/>
          <w:spacing w:val="-20"/>
          <w:kern w:val="0"/>
          <w:sz w:val="21"/>
          <w:szCs w:val="21"/>
          <w:highlight w:val="none"/>
          <w:lang w:eastAsia="en-US"/>
        </w:rPr>
        <w:t>仓储业，</w:t>
      </w:r>
      <w:r>
        <w:rPr>
          <w:rFonts w:hint="eastAsia" w:ascii="宋体" w:hAnsi="宋体" w:eastAsia="宋体" w:cs="宋体"/>
          <w:i w:val="0"/>
          <w:iCs w:val="0"/>
          <w:snapToGrid w:val="0"/>
          <w:color w:val="auto"/>
          <w:spacing w:val="26"/>
          <w:kern w:val="0"/>
          <w:sz w:val="21"/>
          <w:szCs w:val="21"/>
          <w:highlight w:val="none"/>
          <w:lang w:eastAsia="en-US"/>
        </w:rPr>
        <w:t xml:space="preserve"> </w:t>
      </w:r>
      <w:r>
        <w:rPr>
          <w:rFonts w:hint="eastAsia" w:ascii="宋体" w:hAnsi="宋体" w:eastAsia="宋体" w:cs="宋体"/>
          <w:i w:val="0"/>
          <w:iCs w:val="0"/>
          <w:snapToGrid w:val="0"/>
          <w:color w:val="auto"/>
          <w:spacing w:val="-20"/>
          <w:kern w:val="0"/>
          <w:sz w:val="21"/>
          <w:szCs w:val="21"/>
          <w:highlight w:val="none"/>
          <w:lang w:eastAsia="en-US"/>
        </w:rPr>
        <w:t>邮政业， 住宿业，餐饮业， 信息运输业，</w:t>
      </w:r>
      <w:r>
        <w:rPr>
          <w:rFonts w:hint="eastAsia" w:ascii="宋体" w:hAnsi="宋体" w:eastAsia="宋体" w:cs="宋体"/>
          <w:i w:val="0"/>
          <w:iCs w:val="0"/>
          <w:snapToGrid w:val="0"/>
          <w:color w:val="auto"/>
          <w:spacing w:val="-21"/>
          <w:kern w:val="0"/>
          <w:sz w:val="21"/>
          <w:szCs w:val="21"/>
          <w:highlight w:val="none"/>
          <w:lang w:eastAsia="en-US"/>
        </w:rPr>
        <w:t xml:space="preserve"> 软件和信息技术服务业，</w:t>
      </w:r>
      <w:r>
        <w:rPr>
          <w:rFonts w:hint="eastAsia" w:ascii="宋体" w:hAnsi="宋体" w:eastAsia="宋体" w:cs="宋体"/>
          <w:i w:val="0"/>
          <w:iCs w:val="0"/>
          <w:snapToGrid w:val="0"/>
          <w:color w:val="auto"/>
          <w:spacing w:val="54"/>
          <w:kern w:val="0"/>
          <w:sz w:val="21"/>
          <w:szCs w:val="21"/>
          <w:highlight w:val="none"/>
          <w:lang w:eastAsia="en-US"/>
        </w:rPr>
        <w:t xml:space="preserve"> </w:t>
      </w:r>
      <w:r>
        <w:rPr>
          <w:rFonts w:hint="eastAsia" w:ascii="宋体" w:hAnsi="宋体" w:eastAsia="宋体" w:cs="宋体"/>
          <w:i w:val="0"/>
          <w:iCs w:val="0"/>
          <w:snapToGrid w:val="0"/>
          <w:color w:val="auto"/>
          <w:spacing w:val="-21"/>
          <w:kern w:val="0"/>
          <w:sz w:val="21"/>
          <w:szCs w:val="21"/>
          <w:highlight w:val="none"/>
          <w:lang w:eastAsia="en-US"/>
        </w:rPr>
        <w:t>房地产开发经营， 物</w:t>
      </w:r>
      <w:r>
        <w:rPr>
          <w:rFonts w:hint="eastAsia" w:ascii="宋体" w:hAnsi="宋体" w:eastAsia="宋体" w:cs="宋体"/>
          <w:i w:val="0"/>
          <w:iCs w:val="0"/>
          <w:snapToGrid w:val="0"/>
          <w:color w:val="auto"/>
          <w:spacing w:val="-2"/>
          <w:kern w:val="0"/>
          <w:sz w:val="21"/>
          <w:szCs w:val="21"/>
          <w:highlight w:val="none"/>
          <w:lang w:eastAsia="en-US"/>
        </w:rPr>
        <w:t>业管理，租赁和商业服务业和其他未列明行业等十六类。</w:t>
      </w:r>
    </w:p>
    <w:p w14:paraId="7D2EAD69">
      <w:pPr>
        <w:rPr>
          <w:rFonts w:hint="eastAsia"/>
          <w:color w:val="auto"/>
          <w:lang w:eastAsia="en-US"/>
        </w:rPr>
      </w:pPr>
      <w:r>
        <w:rPr>
          <w:rFonts w:hint="eastAsia"/>
          <w:color w:val="auto"/>
          <w:lang w:eastAsia="en-US"/>
        </w:rPr>
        <w:t>2、从业人员、营业收入、资产总额填报上一年度数据，无上一年度数据的新成立企业可不填报资产总额。</w:t>
      </w:r>
    </w:p>
    <w:p w14:paraId="6F0DA9A9">
      <w:pPr>
        <w:rPr>
          <w:rFonts w:hint="eastAsia" w:ascii="宋体" w:hAnsi="宋体" w:cs="宋体"/>
          <w:b/>
          <w:bCs/>
          <w:color w:val="auto"/>
          <w:sz w:val="30"/>
          <w:szCs w:val="30"/>
        </w:rPr>
      </w:pPr>
    </w:p>
    <w:p w14:paraId="521E44C1">
      <w:pPr>
        <w:spacing w:line="480" w:lineRule="exact"/>
        <w:ind w:firstLine="301" w:firstLineChars="100"/>
        <w:rPr>
          <w:rFonts w:ascii="宋体" w:hAnsi="宋体" w:cs="宋体"/>
          <w:b/>
          <w:bCs/>
          <w:color w:val="auto"/>
          <w:sz w:val="30"/>
          <w:szCs w:val="30"/>
        </w:rPr>
      </w:pPr>
      <w:r>
        <w:rPr>
          <w:rFonts w:hint="eastAsia" w:ascii="宋体" w:hAnsi="宋体" w:cs="宋体"/>
          <w:b/>
          <w:bCs/>
          <w:color w:val="auto"/>
          <w:sz w:val="30"/>
          <w:szCs w:val="30"/>
        </w:rPr>
        <w:t>附件5  磋商文件规定的特定资格条件证明资料</w:t>
      </w:r>
    </w:p>
    <w:p w14:paraId="5C4693B0">
      <w:pPr>
        <w:spacing w:line="480" w:lineRule="exact"/>
        <w:ind w:firstLine="0" w:firstLineChars="0"/>
        <w:rPr>
          <w:rFonts w:ascii="宋体" w:hAnsi="宋体" w:cs="宋体"/>
          <w:color w:val="auto"/>
          <w:szCs w:val="21"/>
        </w:rPr>
      </w:pPr>
    </w:p>
    <w:p w14:paraId="5266CC1F">
      <w:pPr>
        <w:rPr>
          <w:color w:val="auto"/>
        </w:rPr>
      </w:pPr>
      <w:r>
        <w:rPr>
          <w:rFonts w:hint="eastAsia" w:ascii="宋体" w:hAnsi="宋体" w:cs="宋体"/>
          <w:color w:val="auto"/>
          <w:szCs w:val="21"/>
        </w:rPr>
        <w:t>备注：提供第二章 磋商须知第3.1款供应商特定资格条件证明资料的复印件。</w:t>
      </w:r>
    </w:p>
    <w:p w14:paraId="554C0D28">
      <w:pPr>
        <w:rPr>
          <w:color w:val="auto"/>
        </w:rPr>
      </w:pPr>
    </w:p>
    <w:p w14:paraId="7BF618E0">
      <w:pPr>
        <w:rPr>
          <w:color w:val="auto"/>
        </w:rPr>
      </w:pPr>
    </w:p>
    <w:p w14:paraId="6CE60845">
      <w:pPr>
        <w:rPr>
          <w:color w:val="auto"/>
        </w:rPr>
      </w:pPr>
    </w:p>
    <w:p w14:paraId="588D48A2">
      <w:pPr>
        <w:rPr>
          <w:color w:val="auto"/>
        </w:rPr>
      </w:pPr>
    </w:p>
    <w:p w14:paraId="4B7DB8CE">
      <w:pPr>
        <w:rPr>
          <w:color w:val="auto"/>
        </w:rPr>
      </w:pPr>
    </w:p>
    <w:p w14:paraId="56773418">
      <w:pPr>
        <w:rPr>
          <w:color w:val="auto"/>
        </w:rPr>
      </w:pPr>
    </w:p>
    <w:p w14:paraId="7970DF4F">
      <w:pPr>
        <w:rPr>
          <w:color w:val="auto"/>
        </w:rPr>
      </w:pPr>
    </w:p>
    <w:p w14:paraId="5AB1C787">
      <w:pPr>
        <w:rPr>
          <w:color w:val="auto"/>
        </w:rPr>
      </w:pPr>
    </w:p>
    <w:p w14:paraId="60250F9D">
      <w:pPr>
        <w:rPr>
          <w:color w:val="auto"/>
        </w:rPr>
      </w:pPr>
    </w:p>
    <w:p w14:paraId="622BE979">
      <w:pPr>
        <w:rPr>
          <w:color w:val="auto"/>
        </w:rPr>
      </w:pPr>
    </w:p>
    <w:p w14:paraId="33443DE7">
      <w:pPr>
        <w:rPr>
          <w:color w:val="auto"/>
        </w:rPr>
      </w:pPr>
    </w:p>
    <w:p w14:paraId="7BB207E2">
      <w:pPr>
        <w:rPr>
          <w:color w:val="auto"/>
        </w:rPr>
      </w:pPr>
    </w:p>
    <w:p w14:paraId="7075D88D">
      <w:pPr>
        <w:rPr>
          <w:color w:val="auto"/>
        </w:rPr>
      </w:pPr>
    </w:p>
    <w:p w14:paraId="098BF23E">
      <w:pPr>
        <w:rPr>
          <w:color w:val="auto"/>
        </w:rPr>
      </w:pPr>
    </w:p>
    <w:p w14:paraId="787CB2CB">
      <w:pPr>
        <w:rPr>
          <w:color w:val="auto"/>
        </w:rPr>
      </w:pPr>
    </w:p>
    <w:p w14:paraId="2DF750EC">
      <w:pPr>
        <w:rPr>
          <w:color w:val="auto"/>
        </w:rPr>
      </w:pPr>
    </w:p>
    <w:p w14:paraId="55D636F4">
      <w:pPr>
        <w:rPr>
          <w:color w:val="auto"/>
        </w:rPr>
      </w:pPr>
    </w:p>
    <w:p w14:paraId="4D4D3039">
      <w:pPr>
        <w:rPr>
          <w:color w:val="auto"/>
        </w:rPr>
      </w:pPr>
    </w:p>
    <w:p w14:paraId="76F4A224">
      <w:pPr>
        <w:rPr>
          <w:color w:val="auto"/>
        </w:rPr>
      </w:pPr>
    </w:p>
    <w:p w14:paraId="166A76F1">
      <w:pPr>
        <w:ind w:firstLine="0" w:firstLineChars="0"/>
        <w:rPr>
          <w:color w:val="auto"/>
        </w:rPr>
      </w:pPr>
    </w:p>
    <w:p w14:paraId="6E366A40">
      <w:pPr>
        <w:adjustRightInd w:val="0"/>
        <w:snapToGrid w:val="0"/>
        <w:spacing w:line="360" w:lineRule="auto"/>
        <w:ind w:firstLine="0" w:firstLineChars="0"/>
        <w:rPr>
          <w:rFonts w:ascii="宋体" w:hAnsi="宋体" w:cs="宋体"/>
          <w:b/>
          <w:color w:val="auto"/>
          <w:sz w:val="30"/>
          <w:szCs w:val="30"/>
        </w:rPr>
      </w:pPr>
      <w:r>
        <w:rPr>
          <w:rFonts w:hint="eastAsia"/>
          <w:color w:val="auto"/>
        </w:rPr>
        <w:br w:type="page"/>
      </w:r>
      <w:r>
        <w:rPr>
          <w:rFonts w:hint="eastAsia" w:ascii="宋体" w:hAnsi="宋体" w:cs="宋体"/>
          <w:b/>
          <w:color w:val="auto"/>
          <w:sz w:val="30"/>
          <w:szCs w:val="30"/>
        </w:rPr>
        <w:t xml:space="preserve">附件6           </w:t>
      </w:r>
      <w:r>
        <w:rPr>
          <w:rFonts w:hint="eastAsia" w:cs="宋体"/>
          <w:b/>
          <w:color w:val="auto"/>
          <w:sz w:val="30"/>
          <w:szCs w:val="30"/>
          <w:lang w:val="en-US" w:eastAsia="zh-CN"/>
        </w:rPr>
        <w:t xml:space="preserve">      </w:t>
      </w:r>
      <w:r>
        <w:rPr>
          <w:rFonts w:hint="eastAsia" w:ascii="宋体" w:hAnsi="宋体" w:cs="宋体"/>
          <w:b/>
          <w:color w:val="auto"/>
          <w:sz w:val="30"/>
          <w:szCs w:val="30"/>
        </w:rPr>
        <w:t>其</w:t>
      </w:r>
      <w:r>
        <w:rPr>
          <w:rFonts w:hint="eastAsia" w:ascii="宋体" w:hAnsi="宋体" w:cs="宋体"/>
          <w:b/>
          <w:color w:val="auto"/>
          <w:sz w:val="30"/>
          <w:szCs w:val="30"/>
          <w:lang w:val="en-US" w:eastAsia="zh-CN"/>
        </w:rPr>
        <w:t>他</w:t>
      </w:r>
      <w:r>
        <w:rPr>
          <w:rFonts w:hint="eastAsia" w:ascii="宋体" w:hAnsi="宋体" w:cs="宋体"/>
          <w:b/>
          <w:color w:val="auto"/>
          <w:sz w:val="30"/>
          <w:szCs w:val="30"/>
        </w:rPr>
        <w:t>说明</w:t>
      </w:r>
    </w:p>
    <w:p w14:paraId="30235795">
      <w:pPr>
        <w:rPr>
          <w:color w:val="auto"/>
        </w:rPr>
      </w:pPr>
    </w:p>
    <w:p w14:paraId="30194557">
      <w:pPr>
        <w:rPr>
          <w:color w:val="auto"/>
        </w:rPr>
      </w:pPr>
    </w:p>
    <w:p w14:paraId="227EFC9F">
      <w:pPr>
        <w:ind w:left="0" w:leftChars="0" w:firstLine="0" w:firstLineChars="0"/>
        <w:jc w:val="center"/>
        <w:rPr>
          <w:color w:val="auto"/>
        </w:rPr>
      </w:pPr>
      <w:r>
        <w:rPr>
          <w:rFonts w:hint="eastAsia"/>
          <w:color w:val="auto"/>
        </w:rPr>
        <w:t>提供磋商文件或评分标准需要提供的相关证明文件复印件</w:t>
      </w:r>
    </w:p>
    <w:p w14:paraId="72D63DA9">
      <w:pPr>
        <w:rPr>
          <w:color w:val="auto"/>
        </w:rPr>
      </w:pPr>
    </w:p>
    <w:p w14:paraId="0BD35B69">
      <w:pPr>
        <w:rPr>
          <w:color w:val="auto"/>
        </w:rPr>
      </w:pPr>
    </w:p>
    <w:p w14:paraId="11E52971">
      <w:pPr>
        <w:rPr>
          <w:color w:val="auto"/>
        </w:rPr>
      </w:pPr>
    </w:p>
    <w:p w14:paraId="4334AC77">
      <w:pPr>
        <w:rPr>
          <w:color w:val="auto"/>
        </w:rPr>
      </w:pPr>
    </w:p>
    <w:p w14:paraId="2665A831">
      <w:pPr>
        <w:rPr>
          <w:color w:val="auto"/>
        </w:rPr>
      </w:pPr>
    </w:p>
    <w:p w14:paraId="1E6EB23D">
      <w:pPr>
        <w:rPr>
          <w:color w:val="auto"/>
        </w:rPr>
      </w:pPr>
    </w:p>
    <w:p w14:paraId="73200DE8">
      <w:pPr>
        <w:rPr>
          <w:color w:val="auto"/>
        </w:rPr>
      </w:pPr>
    </w:p>
    <w:p w14:paraId="4714B047">
      <w:pPr>
        <w:rPr>
          <w:color w:val="auto"/>
        </w:rPr>
      </w:pPr>
    </w:p>
    <w:p w14:paraId="3BF06EDB">
      <w:pPr>
        <w:rPr>
          <w:color w:val="auto"/>
        </w:rPr>
      </w:pPr>
    </w:p>
    <w:p w14:paraId="6F463065">
      <w:pPr>
        <w:rPr>
          <w:color w:val="auto"/>
        </w:rPr>
      </w:pPr>
    </w:p>
    <w:p w14:paraId="3CF0B82A">
      <w:pPr>
        <w:rPr>
          <w:color w:val="auto"/>
        </w:rPr>
      </w:pPr>
    </w:p>
    <w:p w14:paraId="28DB6933">
      <w:pPr>
        <w:rPr>
          <w:color w:val="auto"/>
        </w:rPr>
      </w:pPr>
    </w:p>
    <w:p w14:paraId="36952D28">
      <w:pPr>
        <w:rPr>
          <w:color w:val="auto"/>
        </w:rPr>
      </w:pPr>
    </w:p>
    <w:p w14:paraId="3BE5B425">
      <w:pPr>
        <w:rPr>
          <w:color w:val="auto"/>
        </w:rPr>
      </w:pPr>
    </w:p>
    <w:p w14:paraId="0FD5C763">
      <w:pPr>
        <w:rPr>
          <w:color w:val="auto"/>
        </w:rPr>
      </w:pPr>
    </w:p>
    <w:p w14:paraId="61400B4A">
      <w:pPr>
        <w:rPr>
          <w:color w:val="auto"/>
        </w:rPr>
      </w:pPr>
    </w:p>
    <w:p w14:paraId="7BBF2A28">
      <w:pPr>
        <w:rPr>
          <w:color w:val="auto"/>
        </w:rPr>
      </w:pPr>
    </w:p>
    <w:p w14:paraId="2E10806C">
      <w:pPr>
        <w:rPr>
          <w:color w:val="auto"/>
        </w:rPr>
      </w:pPr>
    </w:p>
    <w:p w14:paraId="0C236947">
      <w:pPr>
        <w:rPr>
          <w:color w:val="auto"/>
        </w:rPr>
      </w:pPr>
    </w:p>
    <w:p w14:paraId="2B1947A8">
      <w:pPr>
        <w:rPr>
          <w:rFonts w:hint="eastAsia"/>
          <w:color w:val="auto"/>
        </w:rPr>
      </w:pPr>
    </w:p>
    <w:p w14:paraId="4F50F61E">
      <w:pPr>
        <w:rPr>
          <w:rFonts w:hint="eastAsia"/>
          <w:color w:val="auto"/>
        </w:rPr>
      </w:pPr>
    </w:p>
    <w:p w14:paraId="237FCD7E">
      <w:pPr>
        <w:rPr>
          <w:rFonts w:hint="eastAsia"/>
          <w:color w:val="auto"/>
        </w:rPr>
      </w:pPr>
    </w:p>
    <w:p w14:paraId="7EB2AC99">
      <w:pPr>
        <w:rPr>
          <w:rFonts w:hint="eastAsia"/>
          <w:color w:val="auto"/>
        </w:rPr>
      </w:pPr>
    </w:p>
    <w:p w14:paraId="08E097FF">
      <w:pPr>
        <w:rPr>
          <w:rFonts w:hint="eastAsia"/>
          <w:color w:val="auto"/>
        </w:rPr>
      </w:pPr>
    </w:p>
    <w:p w14:paraId="369E46A7">
      <w:pPr>
        <w:rPr>
          <w:color w:val="auto"/>
        </w:rPr>
      </w:pPr>
    </w:p>
    <w:p w14:paraId="1D457F40">
      <w:pPr>
        <w:adjustRightInd w:val="0"/>
        <w:snapToGrid w:val="0"/>
        <w:spacing w:line="360" w:lineRule="auto"/>
        <w:ind w:firstLine="0" w:firstLineChars="0"/>
        <w:jc w:val="center"/>
        <w:rPr>
          <w:rFonts w:ascii="宋体" w:hAnsi="宋体" w:cs="宋体"/>
          <w:bCs/>
          <w:color w:val="auto"/>
          <w:szCs w:val="21"/>
        </w:rPr>
      </w:pPr>
      <w:r>
        <w:rPr>
          <w:rFonts w:hint="eastAsia" w:ascii="宋体" w:hAnsi="宋体" w:cs="宋体"/>
          <w:b/>
          <w:color w:val="auto"/>
          <w:sz w:val="32"/>
          <w:szCs w:val="32"/>
        </w:rPr>
        <w:t>三、服务方案</w:t>
      </w:r>
    </w:p>
    <w:p w14:paraId="127403EA">
      <w:pPr>
        <w:adjustRightInd w:val="0"/>
        <w:snapToGrid w:val="0"/>
        <w:spacing w:line="240" w:lineRule="auto"/>
        <w:ind w:firstLine="300" w:firstLineChars="100"/>
        <w:rPr>
          <w:rFonts w:hint="default" w:ascii="宋体" w:hAnsi="宋体" w:eastAsia="宋体" w:cs="宋体"/>
          <w:color w:val="auto"/>
          <w:sz w:val="30"/>
          <w:szCs w:val="30"/>
          <w:lang w:val="en-US" w:eastAsia="zh-CN"/>
        </w:rPr>
      </w:pPr>
      <w:r>
        <w:rPr>
          <w:rFonts w:hint="eastAsia" w:ascii="宋体" w:hAnsi="宋体" w:cs="宋体"/>
          <w:color w:val="auto"/>
          <w:sz w:val="30"/>
          <w:szCs w:val="30"/>
        </w:rPr>
        <w:t>附件7-1：</w:t>
      </w:r>
      <w:r>
        <w:rPr>
          <w:rFonts w:hint="eastAsia" w:ascii="宋体" w:hAnsi="宋体" w:cs="宋体"/>
          <w:color w:val="auto"/>
          <w:sz w:val="30"/>
          <w:szCs w:val="30"/>
          <w:lang w:val="en-US" w:eastAsia="zh-CN"/>
        </w:rPr>
        <w:t>服务方案等</w:t>
      </w:r>
    </w:p>
    <w:p w14:paraId="58A2EEF7">
      <w:pPr>
        <w:rPr>
          <w:color w:val="auto"/>
        </w:rPr>
      </w:pPr>
    </w:p>
    <w:p w14:paraId="679C3F20">
      <w:pPr>
        <w:rPr>
          <w:color w:val="auto"/>
        </w:rPr>
      </w:pPr>
      <w:r>
        <w:rPr>
          <w:rFonts w:hint="eastAsia"/>
          <w:color w:val="auto"/>
        </w:rPr>
        <w:t>供应商应根据“评审因素和标准”规定编写，格式自拟。</w:t>
      </w:r>
    </w:p>
    <w:p w14:paraId="6535BC5C">
      <w:pPr>
        <w:rPr>
          <w:color w:val="auto"/>
        </w:rPr>
      </w:pPr>
    </w:p>
    <w:p w14:paraId="345E7B57">
      <w:pPr>
        <w:rPr>
          <w:color w:val="auto"/>
        </w:rPr>
      </w:pPr>
    </w:p>
    <w:p w14:paraId="32AFC54F">
      <w:pPr>
        <w:rPr>
          <w:color w:val="auto"/>
        </w:rPr>
      </w:pPr>
    </w:p>
    <w:p w14:paraId="69A11FA8">
      <w:pPr>
        <w:rPr>
          <w:color w:val="auto"/>
        </w:rPr>
      </w:pPr>
    </w:p>
    <w:p w14:paraId="38CEA003">
      <w:pPr>
        <w:rPr>
          <w:color w:val="auto"/>
        </w:rPr>
      </w:pPr>
    </w:p>
    <w:p w14:paraId="525596E7">
      <w:pPr>
        <w:rPr>
          <w:color w:val="auto"/>
        </w:rPr>
      </w:pPr>
    </w:p>
    <w:p w14:paraId="0E031C04">
      <w:pPr>
        <w:rPr>
          <w:color w:val="auto"/>
        </w:rPr>
      </w:pPr>
    </w:p>
    <w:p w14:paraId="7D356980">
      <w:pPr>
        <w:rPr>
          <w:color w:val="auto"/>
        </w:rPr>
      </w:pPr>
    </w:p>
    <w:p w14:paraId="558415B1">
      <w:pPr>
        <w:rPr>
          <w:color w:val="auto"/>
        </w:rPr>
      </w:pPr>
    </w:p>
    <w:p w14:paraId="65953C00">
      <w:pPr>
        <w:rPr>
          <w:color w:val="auto"/>
        </w:rPr>
      </w:pPr>
    </w:p>
    <w:p w14:paraId="665A763E">
      <w:pPr>
        <w:rPr>
          <w:color w:val="auto"/>
        </w:rPr>
      </w:pPr>
    </w:p>
    <w:p w14:paraId="34EA79AC">
      <w:pPr>
        <w:rPr>
          <w:color w:val="auto"/>
        </w:rPr>
      </w:pPr>
    </w:p>
    <w:p w14:paraId="190F92E3">
      <w:pPr>
        <w:rPr>
          <w:color w:val="auto"/>
        </w:rPr>
      </w:pPr>
    </w:p>
    <w:p w14:paraId="24A73F10">
      <w:pPr>
        <w:rPr>
          <w:color w:val="auto"/>
        </w:rPr>
      </w:pPr>
    </w:p>
    <w:p w14:paraId="2251FEDF">
      <w:pPr>
        <w:rPr>
          <w:color w:val="auto"/>
        </w:rPr>
      </w:pPr>
    </w:p>
    <w:p w14:paraId="086FD368">
      <w:pPr>
        <w:rPr>
          <w:color w:val="auto"/>
        </w:rPr>
      </w:pPr>
    </w:p>
    <w:p w14:paraId="5DC0CC16">
      <w:pPr>
        <w:rPr>
          <w:color w:val="auto"/>
        </w:rPr>
      </w:pPr>
    </w:p>
    <w:p w14:paraId="3FCC1F68">
      <w:pPr>
        <w:rPr>
          <w:color w:val="auto"/>
        </w:rPr>
      </w:pPr>
    </w:p>
    <w:p w14:paraId="327D2566">
      <w:pPr>
        <w:rPr>
          <w:color w:val="auto"/>
        </w:rPr>
      </w:pPr>
    </w:p>
    <w:p w14:paraId="05B4BD8B">
      <w:pPr>
        <w:rPr>
          <w:color w:val="auto"/>
        </w:rPr>
      </w:pPr>
    </w:p>
    <w:p w14:paraId="653DCB69">
      <w:pPr>
        <w:rPr>
          <w:color w:val="auto"/>
        </w:rPr>
      </w:pPr>
    </w:p>
    <w:p w14:paraId="16949860">
      <w:pPr>
        <w:rPr>
          <w:color w:val="auto"/>
        </w:rPr>
      </w:pPr>
    </w:p>
    <w:p w14:paraId="1176D22F">
      <w:pPr>
        <w:rPr>
          <w:color w:val="auto"/>
        </w:rPr>
      </w:pPr>
    </w:p>
    <w:p w14:paraId="15C57BF5">
      <w:pPr>
        <w:rPr>
          <w:color w:val="auto"/>
        </w:rPr>
      </w:pPr>
      <w:r>
        <w:rPr>
          <w:rFonts w:hint="eastAsia" w:ascii="宋体" w:hAnsi="宋体" w:cs="宋体"/>
          <w:color w:val="auto"/>
          <w:sz w:val="30"/>
          <w:szCs w:val="30"/>
        </w:rPr>
        <w:t>附件7-2：</w:t>
      </w:r>
    </w:p>
    <w:p w14:paraId="095AC148">
      <w:pPr>
        <w:spacing w:line="360" w:lineRule="atLeast"/>
        <w:ind w:firstLine="0" w:firstLineChars="0"/>
        <w:jc w:val="center"/>
        <w:rPr>
          <w:rFonts w:ascii="宋体" w:hAnsi="宋体" w:cs="宋体"/>
          <w:b/>
          <w:bCs/>
          <w:color w:val="auto"/>
          <w:sz w:val="30"/>
          <w:szCs w:val="30"/>
        </w:rPr>
      </w:pPr>
      <w:r>
        <w:rPr>
          <w:rFonts w:hint="eastAsia" w:ascii="宋体" w:hAnsi="宋体" w:cs="宋体"/>
          <w:b/>
          <w:bCs/>
          <w:color w:val="auto"/>
          <w:sz w:val="30"/>
          <w:szCs w:val="30"/>
        </w:rPr>
        <w:t>主要人员简历表</w:t>
      </w:r>
    </w:p>
    <w:p w14:paraId="5D406558">
      <w:pPr>
        <w:rPr>
          <w:color w:val="auto"/>
        </w:rPr>
      </w:pPr>
    </w:p>
    <w:tbl>
      <w:tblPr>
        <w:tblStyle w:val="43"/>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14:paraId="0BC1E4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14:paraId="1D9710F4">
            <w:pPr>
              <w:rPr>
                <w:color w:val="auto"/>
              </w:rPr>
            </w:pPr>
            <w:r>
              <w:rPr>
                <w:rFonts w:hint="eastAsia"/>
                <w:color w:val="auto"/>
              </w:rPr>
              <w:t>姓   名</w:t>
            </w:r>
          </w:p>
        </w:tc>
        <w:tc>
          <w:tcPr>
            <w:tcW w:w="2468" w:type="dxa"/>
            <w:vAlign w:val="center"/>
          </w:tcPr>
          <w:p w14:paraId="3F68BCC6">
            <w:pPr>
              <w:rPr>
                <w:color w:val="auto"/>
              </w:rPr>
            </w:pPr>
          </w:p>
        </w:tc>
        <w:tc>
          <w:tcPr>
            <w:tcW w:w="2340" w:type="dxa"/>
            <w:gridSpan w:val="3"/>
            <w:vAlign w:val="center"/>
          </w:tcPr>
          <w:p w14:paraId="1CEF0E48">
            <w:pPr>
              <w:rPr>
                <w:color w:val="auto"/>
              </w:rPr>
            </w:pPr>
            <w:r>
              <w:rPr>
                <w:rFonts w:hint="eastAsia"/>
                <w:color w:val="auto"/>
              </w:rPr>
              <w:t>性  别</w:t>
            </w:r>
          </w:p>
        </w:tc>
        <w:tc>
          <w:tcPr>
            <w:tcW w:w="1663" w:type="dxa"/>
            <w:vAlign w:val="center"/>
          </w:tcPr>
          <w:p w14:paraId="770AF80F">
            <w:pPr>
              <w:rPr>
                <w:color w:val="auto"/>
              </w:rPr>
            </w:pPr>
          </w:p>
        </w:tc>
      </w:tr>
      <w:tr w14:paraId="46E4B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14:paraId="715E5978">
            <w:pPr>
              <w:rPr>
                <w:color w:val="auto"/>
              </w:rPr>
            </w:pPr>
            <w:r>
              <w:rPr>
                <w:rFonts w:hint="eastAsia"/>
                <w:color w:val="auto"/>
              </w:rPr>
              <w:t>职   务</w:t>
            </w:r>
          </w:p>
        </w:tc>
        <w:tc>
          <w:tcPr>
            <w:tcW w:w="2468" w:type="dxa"/>
            <w:vAlign w:val="center"/>
          </w:tcPr>
          <w:p w14:paraId="0A8B0FD4">
            <w:pPr>
              <w:rPr>
                <w:color w:val="auto"/>
              </w:rPr>
            </w:pPr>
          </w:p>
        </w:tc>
        <w:tc>
          <w:tcPr>
            <w:tcW w:w="2340" w:type="dxa"/>
            <w:gridSpan w:val="3"/>
            <w:vAlign w:val="center"/>
          </w:tcPr>
          <w:p w14:paraId="2903902A">
            <w:pPr>
              <w:rPr>
                <w:color w:val="auto"/>
              </w:rPr>
            </w:pPr>
            <w:r>
              <w:rPr>
                <w:rFonts w:hint="eastAsia"/>
                <w:color w:val="auto"/>
              </w:rPr>
              <w:t>职  称</w:t>
            </w:r>
          </w:p>
        </w:tc>
        <w:tc>
          <w:tcPr>
            <w:tcW w:w="1663" w:type="dxa"/>
            <w:vAlign w:val="center"/>
          </w:tcPr>
          <w:p w14:paraId="6652477F">
            <w:pPr>
              <w:rPr>
                <w:color w:val="auto"/>
              </w:rPr>
            </w:pPr>
          </w:p>
        </w:tc>
      </w:tr>
      <w:tr w14:paraId="718C2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14:paraId="73B6C406">
            <w:pPr>
              <w:rPr>
                <w:color w:val="auto"/>
              </w:rPr>
            </w:pPr>
            <w:r>
              <w:rPr>
                <w:rFonts w:hint="eastAsia"/>
                <w:color w:val="auto"/>
              </w:rPr>
              <w:t>毕业学校、专业</w:t>
            </w:r>
          </w:p>
        </w:tc>
        <w:tc>
          <w:tcPr>
            <w:tcW w:w="6471" w:type="dxa"/>
            <w:gridSpan w:val="5"/>
            <w:vAlign w:val="center"/>
          </w:tcPr>
          <w:p w14:paraId="2E7AEAA0">
            <w:pPr>
              <w:rPr>
                <w:color w:val="auto"/>
              </w:rPr>
            </w:pPr>
          </w:p>
        </w:tc>
      </w:tr>
      <w:tr w14:paraId="18060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1B911310">
            <w:pPr>
              <w:rPr>
                <w:color w:val="auto"/>
              </w:rPr>
            </w:pPr>
            <w:r>
              <w:rPr>
                <w:rFonts w:hint="eastAsia"/>
                <w:color w:val="auto"/>
              </w:rPr>
              <w:t>身份证号</w:t>
            </w:r>
          </w:p>
        </w:tc>
        <w:tc>
          <w:tcPr>
            <w:tcW w:w="2468" w:type="dxa"/>
            <w:vAlign w:val="center"/>
          </w:tcPr>
          <w:p w14:paraId="41657692">
            <w:pPr>
              <w:rPr>
                <w:color w:val="auto"/>
              </w:rPr>
            </w:pPr>
          </w:p>
        </w:tc>
        <w:tc>
          <w:tcPr>
            <w:tcW w:w="2340" w:type="dxa"/>
            <w:gridSpan w:val="3"/>
            <w:vAlign w:val="center"/>
          </w:tcPr>
          <w:p w14:paraId="3F6F5EBB">
            <w:pPr>
              <w:rPr>
                <w:color w:val="auto"/>
              </w:rPr>
            </w:pPr>
            <w:r>
              <w:rPr>
                <w:rFonts w:hint="eastAsia"/>
                <w:color w:val="auto"/>
              </w:rPr>
              <w:t>拟在本合同任职</w:t>
            </w:r>
          </w:p>
        </w:tc>
        <w:tc>
          <w:tcPr>
            <w:tcW w:w="1663" w:type="dxa"/>
            <w:vAlign w:val="center"/>
          </w:tcPr>
          <w:p w14:paraId="6FA9B936">
            <w:pPr>
              <w:rPr>
                <w:color w:val="auto"/>
              </w:rPr>
            </w:pPr>
          </w:p>
        </w:tc>
      </w:tr>
      <w:tr w14:paraId="5D354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035565B3">
            <w:pPr>
              <w:rPr>
                <w:color w:val="auto"/>
              </w:rPr>
            </w:pPr>
            <w:r>
              <w:rPr>
                <w:rFonts w:hint="eastAsia"/>
                <w:color w:val="auto"/>
              </w:rPr>
              <w:t>执业资格证</w:t>
            </w:r>
          </w:p>
        </w:tc>
        <w:tc>
          <w:tcPr>
            <w:tcW w:w="2468" w:type="dxa"/>
            <w:vAlign w:val="center"/>
          </w:tcPr>
          <w:p w14:paraId="043EB641">
            <w:pPr>
              <w:rPr>
                <w:color w:val="auto"/>
              </w:rPr>
            </w:pPr>
          </w:p>
        </w:tc>
        <w:tc>
          <w:tcPr>
            <w:tcW w:w="2340" w:type="dxa"/>
            <w:gridSpan w:val="3"/>
            <w:vAlign w:val="center"/>
          </w:tcPr>
          <w:p w14:paraId="33457AC8">
            <w:pPr>
              <w:rPr>
                <w:color w:val="auto"/>
              </w:rPr>
            </w:pPr>
            <w:r>
              <w:rPr>
                <w:rFonts w:hint="eastAsia"/>
                <w:color w:val="auto"/>
              </w:rPr>
              <w:t>执业资格证书号</w:t>
            </w:r>
          </w:p>
        </w:tc>
        <w:tc>
          <w:tcPr>
            <w:tcW w:w="1663" w:type="dxa"/>
            <w:vAlign w:val="center"/>
          </w:tcPr>
          <w:p w14:paraId="31E33849">
            <w:pPr>
              <w:rPr>
                <w:color w:val="auto"/>
              </w:rPr>
            </w:pPr>
          </w:p>
        </w:tc>
      </w:tr>
      <w:tr w14:paraId="4C3FF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14:paraId="728A3E4F">
            <w:pPr>
              <w:ind w:left="0" w:leftChars="0" w:firstLine="0" w:firstLineChars="0"/>
              <w:rPr>
                <w:color w:val="auto"/>
              </w:rPr>
            </w:pPr>
            <w:r>
              <w:rPr>
                <w:rFonts w:hint="eastAsia"/>
                <w:color w:val="auto"/>
              </w:rPr>
              <w:t>近三年承担项目情况</w:t>
            </w:r>
          </w:p>
        </w:tc>
      </w:tr>
      <w:tr w14:paraId="4FDFF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00BA7C9">
            <w:pPr>
              <w:rPr>
                <w:color w:val="auto"/>
              </w:rPr>
            </w:pPr>
            <w:r>
              <w:rPr>
                <w:rFonts w:hint="eastAsia"/>
                <w:color w:val="auto"/>
              </w:rPr>
              <w:t>时间</w:t>
            </w:r>
          </w:p>
        </w:tc>
        <w:tc>
          <w:tcPr>
            <w:tcW w:w="3636" w:type="dxa"/>
            <w:gridSpan w:val="3"/>
            <w:vAlign w:val="center"/>
          </w:tcPr>
          <w:p w14:paraId="22F2BA92">
            <w:pPr>
              <w:rPr>
                <w:color w:val="auto"/>
              </w:rPr>
            </w:pPr>
            <w:r>
              <w:rPr>
                <w:rFonts w:hint="eastAsia"/>
                <w:color w:val="auto"/>
              </w:rPr>
              <w:t>类似项目名称</w:t>
            </w:r>
          </w:p>
        </w:tc>
        <w:tc>
          <w:tcPr>
            <w:tcW w:w="1404" w:type="dxa"/>
            <w:vAlign w:val="center"/>
          </w:tcPr>
          <w:p w14:paraId="62AEED2D">
            <w:pPr>
              <w:rPr>
                <w:color w:val="auto"/>
              </w:rPr>
            </w:pPr>
            <w:r>
              <w:rPr>
                <w:rFonts w:hint="eastAsia"/>
                <w:color w:val="auto"/>
              </w:rPr>
              <w:t>担任职务</w:t>
            </w:r>
          </w:p>
        </w:tc>
        <w:tc>
          <w:tcPr>
            <w:tcW w:w="2203" w:type="dxa"/>
            <w:gridSpan w:val="2"/>
            <w:vAlign w:val="center"/>
          </w:tcPr>
          <w:p w14:paraId="24C897FD">
            <w:pPr>
              <w:rPr>
                <w:color w:val="auto"/>
              </w:rPr>
            </w:pPr>
            <w:r>
              <w:rPr>
                <w:rFonts w:hint="eastAsia"/>
                <w:color w:val="auto"/>
              </w:rPr>
              <w:t>项目单位名称及电话</w:t>
            </w:r>
          </w:p>
        </w:tc>
      </w:tr>
      <w:tr w14:paraId="458DF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2789529F">
            <w:pPr>
              <w:rPr>
                <w:color w:val="auto"/>
              </w:rPr>
            </w:pPr>
          </w:p>
        </w:tc>
        <w:tc>
          <w:tcPr>
            <w:tcW w:w="3636" w:type="dxa"/>
            <w:gridSpan w:val="3"/>
            <w:vAlign w:val="center"/>
          </w:tcPr>
          <w:p w14:paraId="706152EC">
            <w:pPr>
              <w:rPr>
                <w:color w:val="auto"/>
              </w:rPr>
            </w:pPr>
          </w:p>
        </w:tc>
        <w:tc>
          <w:tcPr>
            <w:tcW w:w="1404" w:type="dxa"/>
            <w:vAlign w:val="center"/>
          </w:tcPr>
          <w:p w14:paraId="57FE291F">
            <w:pPr>
              <w:rPr>
                <w:color w:val="auto"/>
              </w:rPr>
            </w:pPr>
          </w:p>
        </w:tc>
        <w:tc>
          <w:tcPr>
            <w:tcW w:w="2203" w:type="dxa"/>
            <w:gridSpan w:val="2"/>
            <w:vAlign w:val="center"/>
          </w:tcPr>
          <w:p w14:paraId="29614E93">
            <w:pPr>
              <w:rPr>
                <w:color w:val="auto"/>
              </w:rPr>
            </w:pPr>
          </w:p>
        </w:tc>
      </w:tr>
      <w:tr w14:paraId="32C74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0252B915">
            <w:pPr>
              <w:rPr>
                <w:color w:val="auto"/>
              </w:rPr>
            </w:pPr>
          </w:p>
        </w:tc>
        <w:tc>
          <w:tcPr>
            <w:tcW w:w="3636" w:type="dxa"/>
            <w:gridSpan w:val="3"/>
            <w:vAlign w:val="center"/>
          </w:tcPr>
          <w:p w14:paraId="3F9E0BF4">
            <w:pPr>
              <w:rPr>
                <w:color w:val="auto"/>
              </w:rPr>
            </w:pPr>
          </w:p>
        </w:tc>
        <w:tc>
          <w:tcPr>
            <w:tcW w:w="1404" w:type="dxa"/>
            <w:vAlign w:val="center"/>
          </w:tcPr>
          <w:p w14:paraId="565BE243">
            <w:pPr>
              <w:rPr>
                <w:color w:val="auto"/>
              </w:rPr>
            </w:pPr>
          </w:p>
        </w:tc>
        <w:tc>
          <w:tcPr>
            <w:tcW w:w="2203" w:type="dxa"/>
            <w:gridSpan w:val="2"/>
            <w:vAlign w:val="center"/>
          </w:tcPr>
          <w:p w14:paraId="0AE12BF9">
            <w:pPr>
              <w:rPr>
                <w:color w:val="auto"/>
              </w:rPr>
            </w:pPr>
          </w:p>
        </w:tc>
      </w:tr>
      <w:tr w14:paraId="5538DE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644C02D3">
            <w:pPr>
              <w:rPr>
                <w:color w:val="auto"/>
              </w:rPr>
            </w:pPr>
          </w:p>
        </w:tc>
        <w:tc>
          <w:tcPr>
            <w:tcW w:w="3636" w:type="dxa"/>
            <w:gridSpan w:val="3"/>
            <w:vAlign w:val="center"/>
          </w:tcPr>
          <w:p w14:paraId="1B362762">
            <w:pPr>
              <w:rPr>
                <w:color w:val="auto"/>
              </w:rPr>
            </w:pPr>
          </w:p>
        </w:tc>
        <w:tc>
          <w:tcPr>
            <w:tcW w:w="1404" w:type="dxa"/>
            <w:vAlign w:val="center"/>
          </w:tcPr>
          <w:p w14:paraId="1527EBBF">
            <w:pPr>
              <w:rPr>
                <w:color w:val="auto"/>
              </w:rPr>
            </w:pPr>
          </w:p>
        </w:tc>
        <w:tc>
          <w:tcPr>
            <w:tcW w:w="2203" w:type="dxa"/>
            <w:gridSpan w:val="2"/>
            <w:vAlign w:val="center"/>
          </w:tcPr>
          <w:p w14:paraId="6BD0A2BF">
            <w:pPr>
              <w:rPr>
                <w:color w:val="auto"/>
              </w:rPr>
            </w:pPr>
          </w:p>
        </w:tc>
      </w:tr>
      <w:tr w14:paraId="0CB59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439970C0">
            <w:pPr>
              <w:rPr>
                <w:color w:val="auto"/>
              </w:rPr>
            </w:pPr>
          </w:p>
        </w:tc>
        <w:tc>
          <w:tcPr>
            <w:tcW w:w="3636" w:type="dxa"/>
            <w:gridSpan w:val="3"/>
            <w:vAlign w:val="center"/>
          </w:tcPr>
          <w:p w14:paraId="0D49001B">
            <w:pPr>
              <w:rPr>
                <w:color w:val="auto"/>
              </w:rPr>
            </w:pPr>
          </w:p>
        </w:tc>
        <w:tc>
          <w:tcPr>
            <w:tcW w:w="1404" w:type="dxa"/>
            <w:vAlign w:val="center"/>
          </w:tcPr>
          <w:p w14:paraId="750CC8A9">
            <w:pPr>
              <w:rPr>
                <w:color w:val="auto"/>
              </w:rPr>
            </w:pPr>
          </w:p>
        </w:tc>
        <w:tc>
          <w:tcPr>
            <w:tcW w:w="2203" w:type="dxa"/>
            <w:gridSpan w:val="2"/>
            <w:vAlign w:val="center"/>
          </w:tcPr>
          <w:p w14:paraId="01A20DF7">
            <w:pPr>
              <w:rPr>
                <w:color w:val="auto"/>
              </w:rPr>
            </w:pPr>
          </w:p>
        </w:tc>
      </w:tr>
      <w:tr w14:paraId="3C36A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32EBFB6">
            <w:pPr>
              <w:rPr>
                <w:color w:val="auto"/>
              </w:rPr>
            </w:pPr>
          </w:p>
        </w:tc>
        <w:tc>
          <w:tcPr>
            <w:tcW w:w="3636" w:type="dxa"/>
            <w:gridSpan w:val="3"/>
            <w:vAlign w:val="center"/>
          </w:tcPr>
          <w:p w14:paraId="44C22F91">
            <w:pPr>
              <w:rPr>
                <w:color w:val="auto"/>
              </w:rPr>
            </w:pPr>
          </w:p>
        </w:tc>
        <w:tc>
          <w:tcPr>
            <w:tcW w:w="1404" w:type="dxa"/>
            <w:vAlign w:val="center"/>
          </w:tcPr>
          <w:p w14:paraId="771E33CB">
            <w:pPr>
              <w:rPr>
                <w:color w:val="auto"/>
              </w:rPr>
            </w:pPr>
          </w:p>
        </w:tc>
        <w:tc>
          <w:tcPr>
            <w:tcW w:w="2203" w:type="dxa"/>
            <w:gridSpan w:val="2"/>
            <w:vAlign w:val="center"/>
          </w:tcPr>
          <w:p w14:paraId="788C771C">
            <w:pPr>
              <w:rPr>
                <w:color w:val="auto"/>
              </w:rPr>
            </w:pPr>
          </w:p>
        </w:tc>
      </w:tr>
      <w:tr w14:paraId="3DCE6D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7EAE17D9">
            <w:pPr>
              <w:rPr>
                <w:color w:val="auto"/>
              </w:rPr>
            </w:pPr>
          </w:p>
        </w:tc>
        <w:tc>
          <w:tcPr>
            <w:tcW w:w="3636" w:type="dxa"/>
            <w:gridSpan w:val="3"/>
            <w:vAlign w:val="center"/>
          </w:tcPr>
          <w:p w14:paraId="41E19AA0">
            <w:pPr>
              <w:rPr>
                <w:color w:val="auto"/>
              </w:rPr>
            </w:pPr>
          </w:p>
        </w:tc>
        <w:tc>
          <w:tcPr>
            <w:tcW w:w="1404" w:type="dxa"/>
            <w:vAlign w:val="center"/>
          </w:tcPr>
          <w:p w14:paraId="061FBC7E">
            <w:pPr>
              <w:rPr>
                <w:color w:val="auto"/>
              </w:rPr>
            </w:pPr>
          </w:p>
        </w:tc>
        <w:tc>
          <w:tcPr>
            <w:tcW w:w="2203" w:type="dxa"/>
            <w:gridSpan w:val="2"/>
            <w:vAlign w:val="center"/>
          </w:tcPr>
          <w:p w14:paraId="3FDAB057">
            <w:pPr>
              <w:rPr>
                <w:color w:val="auto"/>
              </w:rPr>
            </w:pPr>
          </w:p>
        </w:tc>
      </w:tr>
      <w:tr w14:paraId="2DDB0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065AFE4B">
            <w:pPr>
              <w:rPr>
                <w:color w:val="auto"/>
              </w:rPr>
            </w:pPr>
          </w:p>
        </w:tc>
        <w:tc>
          <w:tcPr>
            <w:tcW w:w="3636" w:type="dxa"/>
            <w:gridSpan w:val="3"/>
            <w:vAlign w:val="center"/>
          </w:tcPr>
          <w:p w14:paraId="7D6A817E">
            <w:pPr>
              <w:rPr>
                <w:color w:val="auto"/>
              </w:rPr>
            </w:pPr>
          </w:p>
        </w:tc>
        <w:tc>
          <w:tcPr>
            <w:tcW w:w="1404" w:type="dxa"/>
            <w:vAlign w:val="center"/>
          </w:tcPr>
          <w:p w14:paraId="09AA8069">
            <w:pPr>
              <w:rPr>
                <w:color w:val="auto"/>
              </w:rPr>
            </w:pPr>
          </w:p>
        </w:tc>
        <w:tc>
          <w:tcPr>
            <w:tcW w:w="2203" w:type="dxa"/>
            <w:gridSpan w:val="2"/>
            <w:vAlign w:val="center"/>
          </w:tcPr>
          <w:p w14:paraId="5D5AF3D7">
            <w:pPr>
              <w:rPr>
                <w:color w:val="auto"/>
              </w:rPr>
            </w:pPr>
          </w:p>
        </w:tc>
      </w:tr>
      <w:tr w14:paraId="066005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6E8EE25D">
            <w:pPr>
              <w:rPr>
                <w:color w:val="auto"/>
              </w:rPr>
            </w:pPr>
          </w:p>
        </w:tc>
        <w:tc>
          <w:tcPr>
            <w:tcW w:w="3636" w:type="dxa"/>
            <w:gridSpan w:val="3"/>
            <w:vAlign w:val="center"/>
          </w:tcPr>
          <w:p w14:paraId="46893287">
            <w:pPr>
              <w:rPr>
                <w:color w:val="auto"/>
              </w:rPr>
            </w:pPr>
          </w:p>
        </w:tc>
        <w:tc>
          <w:tcPr>
            <w:tcW w:w="1404" w:type="dxa"/>
            <w:vAlign w:val="center"/>
          </w:tcPr>
          <w:p w14:paraId="008812E6">
            <w:pPr>
              <w:rPr>
                <w:color w:val="auto"/>
              </w:rPr>
            </w:pPr>
          </w:p>
        </w:tc>
        <w:tc>
          <w:tcPr>
            <w:tcW w:w="2203" w:type="dxa"/>
            <w:gridSpan w:val="2"/>
            <w:vAlign w:val="center"/>
          </w:tcPr>
          <w:p w14:paraId="61321D0C">
            <w:pPr>
              <w:rPr>
                <w:color w:val="auto"/>
              </w:rPr>
            </w:pPr>
          </w:p>
        </w:tc>
      </w:tr>
      <w:tr w14:paraId="69F85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07179158">
            <w:pPr>
              <w:rPr>
                <w:color w:val="auto"/>
              </w:rPr>
            </w:pPr>
          </w:p>
        </w:tc>
        <w:tc>
          <w:tcPr>
            <w:tcW w:w="3636" w:type="dxa"/>
            <w:gridSpan w:val="3"/>
            <w:vAlign w:val="center"/>
          </w:tcPr>
          <w:p w14:paraId="249B00E2">
            <w:pPr>
              <w:rPr>
                <w:color w:val="auto"/>
              </w:rPr>
            </w:pPr>
          </w:p>
        </w:tc>
        <w:tc>
          <w:tcPr>
            <w:tcW w:w="1404" w:type="dxa"/>
            <w:vAlign w:val="center"/>
          </w:tcPr>
          <w:p w14:paraId="7A335523">
            <w:pPr>
              <w:rPr>
                <w:color w:val="auto"/>
              </w:rPr>
            </w:pPr>
          </w:p>
        </w:tc>
        <w:tc>
          <w:tcPr>
            <w:tcW w:w="2203" w:type="dxa"/>
            <w:gridSpan w:val="2"/>
            <w:vAlign w:val="center"/>
          </w:tcPr>
          <w:p w14:paraId="57F3470A">
            <w:pPr>
              <w:rPr>
                <w:color w:val="auto"/>
              </w:rPr>
            </w:pPr>
          </w:p>
        </w:tc>
      </w:tr>
    </w:tbl>
    <w:p w14:paraId="6452A758">
      <w:pPr>
        <w:ind w:left="0" w:leftChars="0" w:firstLine="0" w:firstLineChars="0"/>
        <w:rPr>
          <w:color w:val="auto"/>
        </w:rPr>
      </w:pPr>
      <w:r>
        <w:rPr>
          <w:rFonts w:hint="eastAsia"/>
          <w:color w:val="auto"/>
          <w:szCs w:val="21"/>
        </w:rPr>
        <w:t>说明</w:t>
      </w:r>
      <w:r>
        <w:rPr>
          <w:rFonts w:hint="eastAsia"/>
          <w:color w:val="auto"/>
        </w:rPr>
        <w:t>：</w:t>
      </w:r>
      <w:r>
        <w:rPr>
          <w:rFonts w:hint="eastAsia"/>
          <w:color w:val="auto"/>
          <w:szCs w:val="21"/>
        </w:rPr>
        <w:t>主要人员证书、</w:t>
      </w:r>
      <w:r>
        <w:rPr>
          <w:rFonts w:hint="eastAsia"/>
          <w:color w:val="auto"/>
        </w:rPr>
        <w:t>类似项目证明资料等按第二章第42.1款或第四章要求提供。</w:t>
      </w:r>
    </w:p>
    <w:p w14:paraId="3417BB92">
      <w:pPr>
        <w:rPr>
          <w:color w:val="auto"/>
        </w:rPr>
      </w:pPr>
    </w:p>
    <w:p w14:paraId="2E2D7185">
      <w:pPr>
        <w:pStyle w:val="27"/>
        <w:rPr>
          <w:bCs/>
          <w:color w:val="auto"/>
        </w:rPr>
      </w:pPr>
      <w:r>
        <w:rPr>
          <w:rFonts w:hint="eastAsia"/>
          <w:color w:val="auto"/>
        </w:rPr>
        <w:t>供应商名称：</w:t>
      </w:r>
    </w:p>
    <w:p w14:paraId="62865F76">
      <w:pPr>
        <w:rPr>
          <w:color w:val="auto"/>
        </w:rPr>
      </w:pPr>
      <w:r>
        <w:rPr>
          <w:rFonts w:hint="eastAsia"/>
          <w:color w:val="auto"/>
        </w:rPr>
        <w:t>法定代表人或其委托代理人(签字)：_</w:t>
      </w:r>
    </w:p>
    <w:p w14:paraId="56CE67C7">
      <w:pPr>
        <w:rPr>
          <w:color w:val="auto"/>
        </w:rPr>
      </w:pPr>
      <w:r>
        <w:rPr>
          <w:rFonts w:hint="eastAsia"/>
          <w:color w:val="auto"/>
        </w:rPr>
        <w:t>日期：  年  月  日</w:t>
      </w:r>
    </w:p>
    <w:p w14:paraId="1D5A0F32">
      <w:pPr>
        <w:adjustRightInd w:val="0"/>
        <w:snapToGrid w:val="0"/>
        <w:spacing w:line="360" w:lineRule="auto"/>
        <w:ind w:firstLine="0" w:firstLineChars="0"/>
        <w:jc w:val="center"/>
        <w:rPr>
          <w:rFonts w:ascii="宋体" w:hAnsi="宋体" w:cs="宋体"/>
          <w:b/>
          <w:color w:val="auto"/>
          <w:sz w:val="30"/>
          <w:szCs w:val="30"/>
        </w:rPr>
      </w:pPr>
      <w:r>
        <w:rPr>
          <w:rFonts w:hint="eastAsia"/>
          <w:color w:val="auto"/>
        </w:rPr>
        <w:br w:type="page"/>
      </w:r>
      <w:r>
        <w:rPr>
          <w:rFonts w:hint="eastAsia" w:ascii="宋体" w:hAnsi="宋体" w:cs="宋体"/>
          <w:b/>
          <w:color w:val="auto"/>
          <w:sz w:val="30"/>
          <w:szCs w:val="30"/>
        </w:rPr>
        <w:t>四、技术/商务响应与偏离表</w:t>
      </w:r>
    </w:p>
    <w:p w14:paraId="5AA404E1">
      <w:pPr>
        <w:adjustRightInd w:val="0"/>
        <w:snapToGrid w:val="0"/>
        <w:spacing w:line="240" w:lineRule="auto"/>
        <w:ind w:left="-88" w:leftChars="-42" w:firstLine="315" w:firstLineChars="150"/>
        <w:rPr>
          <w:rFonts w:ascii="宋体" w:hAnsi="宋体" w:cs="宋体"/>
          <w:color w:val="auto"/>
          <w:szCs w:val="21"/>
          <w:u w:val="single"/>
        </w:rPr>
      </w:pPr>
    </w:p>
    <w:tbl>
      <w:tblPr>
        <w:tblStyle w:val="43"/>
        <w:tblW w:w="85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22"/>
        <w:gridCol w:w="1653"/>
        <w:gridCol w:w="2232"/>
        <w:gridCol w:w="2232"/>
        <w:gridCol w:w="1190"/>
        <w:gridCol w:w="648"/>
      </w:tblGrid>
      <w:tr w14:paraId="74759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8" w:hRule="atLeast"/>
          <w:jc w:val="center"/>
        </w:trPr>
        <w:tc>
          <w:tcPr>
            <w:tcW w:w="622" w:type="dxa"/>
            <w:vAlign w:val="center"/>
          </w:tcPr>
          <w:p w14:paraId="6142A5CE">
            <w:pPr>
              <w:adjustRightInd w:val="0"/>
              <w:snapToGrid w:val="0"/>
              <w:spacing w:line="240" w:lineRule="auto"/>
              <w:ind w:left="-88" w:leftChars="-42" w:firstLine="0" w:firstLineChars="0"/>
              <w:jc w:val="center"/>
              <w:rPr>
                <w:rFonts w:ascii="宋体" w:hAnsi="宋体" w:cs="宋体"/>
                <w:bCs/>
                <w:color w:val="auto"/>
                <w:szCs w:val="21"/>
              </w:rPr>
            </w:pPr>
            <w:r>
              <w:rPr>
                <w:rFonts w:hint="eastAsia" w:ascii="宋体" w:hAnsi="宋体" w:cs="宋体"/>
                <w:bCs/>
                <w:color w:val="auto"/>
                <w:szCs w:val="21"/>
              </w:rPr>
              <w:t>序号</w:t>
            </w:r>
          </w:p>
        </w:tc>
        <w:tc>
          <w:tcPr>
            <w:tcW w:w="1653" w:type="dxa"/>
            <w:vAlign w:val="center"/>
          </w:tcPr>
          <w:p w14:paraId="78D5BAFA">
            <w:pPr>
              <w:adjustRightInd w:val="0"/>
              <w:snapToGrid w:val="0"/>
              <w:spacing w:line="240" w:lineRule="auto"/>
              <w:ind w:left="-88" w:leftChars="-42" w:firstLine="0" w:firstLineChars="0"/>
              <w:jc w:val="center"/>
              <w:rPr>
                <w:rFonts w:ascii="宋体" w:hAnsi="宋体" w:cs="宋体"/>
                <w:color w:val="auto"/>
                <w:szCs w:val="21"/>
              </w:rPr>
            </w:pPr>
            <w:r>
              <w:rPr>
                <w:rFonts w:hint="eastAsia" w:ascii="宋体" w:hAnsi="宋体" w:cs="宋体"/>
                <w:color w:val="auto"/>
                <w:szCs w:val="21"/>
              </w:rPr>
              <w:t>磋商文件条目号</w:t>
            </w:r>
          </w:p>
        </w:tc>
        <w:tc>
          <w:tcPr>
            <w:tcW w:w="2232" w:type="dxa"/>
            <w:vAlign w:val="center"/>
          </w:tcPr>
          <w:p w14:paraId="65053869">
            <w:pPr>
              <w:adjustRightInd w:val="0"/>
              <w:snapToGrid w:val="0"/>
              <w:spacing w:line="240" w:lineRule="auto"/>
              <w:ind w:left="-88" w:leftChars="-42" w:firstLine="0" w:firstLineChars="0"/>
              <w:jc w:val="center"/>
              <w:rPr>
                <w:rFonts w:ascii="宋体" w:hAnsi="宋体" w:cs="宋体"/>
                <w:color w:val="auto"/>
                <w:szCs w:val="21"/>
              </w:rPr>
            </w:pPr>
            <w:r>
              <w:rPr>
                <w:rFonts w:hint="eastAsia" w:cs="宋体"/>
                <w:color w:val="auto"/>
                <w:szCs w:val="21"/>
                <w:lang w:val="en-US" w:eastAsia="zh-CN"/>
              </w:rPr>
              <w:t>采购文件</w:t>
            </w:r>
            <w:r>
              <w:rPr>
                <w:rFonts w:hint="eastAsia" w:ascii="宋体" w:hAnsi="宋体" w:cs="宋体"/>
                <w:color w:val="auto"/>
                <w:szCs w:val="21"/>
              </w:rPr>
              <w:t>/商务</w:t>
            </w:r>
            <w:r>
              <w:rPr>
                <w:rFonts w:hint="eastAsia" w:cs="宋体"/>
                <w:color w:val="auto"/>
                <w:szCs w:val="21"/>
                <w:lang w:val="en-US" w:eastAsia="zh-CN"/>
              </w:rPr>
              <w:t>技术</w:t>
            </w:r>
            <w:r>
              <w:rPr>
                <w:rFonts w:hint="eastAsia" w:ascii="宋体" w:hAnsi="宋体" w:cs="宋体"/>
                <w:color w:val="auto"/>
                <w:szCs w:val="21"/>
              </w:rPr>
              <w:t>条款</w:t>
            </w:r>
          </w:p>
        </w:tc>
        <w:tc>
          <w:tcPr>
            <w:tcW w:w="2232" w:type="dxa"/>
            <w:vAlign w:val="center"/>
          </w:tcPr>
          <w:p w14:paraId="54EABE9E">
            <w:pPr>
              <w:adjustRightInd w:val="0"/>
              <w:snapToGrid w:val="0"/>
              <w:spacing w:line="240" w:lineRule="auto"/>
              <w:ind w:left="-88" w:leftChars="-42" w:firstLine="0" w:firstLineChars="0"/>
              <w:jc w:val="center"/>
              <w:rPr>
                <w:rFonts w:ascii="宋体" w:hAnsi="宋体" w:cs="宋体"/>
                <w:color w:val="auto"/>
                <w:szCs w:val="21"/>
              </w:rPr>
            </w:pPr>
            <w:r>
              <w:rPr>
                <w:rFonts w:hint="eastAsia" w:cs="宋体"/>
                <w:color w:val="auto"/>
                <w:szCs w:val="21"/>
                <w:lang w:val="en-US" w:eastAsia="zh-CN"/>
              </w:rPr>
              <w:t>投标</w:t>
            </w:r>
            <w:r>
              <w:rPr>
                <w:rFonts w:hint="eastAsia" w:ascii="宋体" w:hAnsi="宋体" w:cs="宋体"/>
                <w:color w:val="auto"/>
                <w:szCs w:val="21"/>
              </w:rPr>
              <w:t>文件/商务</w:t>
            </w:r>
            <w:r>
              <w:rPr>
                <w:rFonts w:hint="eastAsia" w:cs="宋体"/>
                <w:color w:val="auto"/>
                <w:szCs w:val="21"/>
                <w:lang w:val="en-US" w:eastAsia="zh-CN"/>
              </w:rPr>
              <w:t>技术</w:t>
            </w:r>
            <w:r>
              <w:rPr>
                <w:rFonts w:hint="eastAsia" w:ascii="宋体" w:hAnsi="宋体" w:cs="宋体"/>
                <w:color w:val="auto"/>
                <w:szCs w:val="21"/>
              </w:rPr>
              <w:t>条款</w:t>
            </w:r>
          </w:p>
        </w:tc>
        <w:tc>
          <w:tcPr>
            <w:tcW w:w="1190" w:type="dxa"/>
            <w:vAlign w:val="center"/>
          </w:tcPr>
          <w:p w14:paraId="5F55B19F">
            <w:pPr>
              <w:adjustRightInd w:val="0"/>
              <w:snapToGrid w:val="0"/>
              <w:spacing w:line="240" w:lineRule="auto"/>
              <w:ind w:left="-88" w:leftChars="-42" w:firstLine="0" w:firstLineChars="0"/>
              <w:jc w:val="center"/>
              <w:rPr>
                <w:rFonts w:ascii="宋体" w:hAnsi="宋体" w:cs="宋体"/>
                <w:color w:val="auto"/>
                <w:szCs w:val="21"/>
              </w:rPr>
            </w:pPr>
            <w:r>
              <w:rPr>
                <w:rFonts w:hint="eastAsia" w:ascii="宋体" w:hAnsi="宋体" w:cs="宋体"/>
                <w:color w:val="auto"/>
                <w:szCs w:val="21"/>
              </w:rPr>
              <w:t>响应与偏离</w:t>
            </w:r>
          </w:p>
        </w:tc>
        <w:tc>
          <w:tcPr>
            <w:tcW w:w="648" w:type="dxa"/>
            <w:vAlign w:val="center"/>
          </w:tcPr>
          <w:p w14:paraId="7B955806">
            <w:pPr>
              <w:adjustRightInd w:val="0"/>
              <w:snapToGrid w:val="0"/>
              <w:spacing w:line="240" w:lineRule="auto"/>
              <w:ind w:left="-88" w:leftChars="-42" w:firstLine="0" w:firstLineChars="0"/>
              <w:jc w:val="center"/>
              <w:rPr>
                <w:rFonts w:ascii="宋体" w:hAnsi="宋体" w:cs="宋体"/>
                <w:color w:val="auto"/>
                <w:szCs w:val="21"/>
              </w:rPr>
            </w:pPr>
            <w:r>
              <w:rPr>
                <w:rFonts w:hint="eastAsia" w:ascii="宋体" w:hAnsi="宋体" w:cs="宋体"/>
                <w:color w:val="auto"/>
                <w:szCs w:val="21"/>
              </w:rPr>
              <w:t>说明</w:t>
            </w:r>
          </w:p>
        </w:tc>
      </w:tr>
      <w:tr w14:paraId="1934FB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622" w:type="dxa"/>
          </w:tcPr>
          <w:p w14:paraId="10134327">
            <w:pPr>
              <w:adjustRightInd w:val="0"/>
              <w:snapToGrid w:val="0"/>
              <w:spacing w:line="240" w:lineRule="auto"/>
              <w:ind w:left="-88" w:leftChars="-42" w:firstLine="0" w:firstLineChars="0"/>
              <w:jc w:val="center"/>
              <w:rPr>
                <w:rFonts w:ascii="宋体" w:hAnsi="宋体" w:cs="宋体"/>
                <w:color w:val="auto"/>
                <w:szCs w:val="21"/>
              </w:rPr>
            </w:pPr>
          </w:p>
        </w:tc>
        <w:tc>
          <w:tcPr>
            <w:tcW w:w="1653" w:type="dxa"/>
            <w:vAlign w:val="center"/>
          </w:tcPr>
          <w:p w14:paraId="29A263F9">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603F6C8D">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41F0F585">
            <w:pPr>
              <w:adjustRightInd w:val="0"/>
              <w:snapToGrid w:val="0"/>
              <w:spacing w:line="240" w:lineRule="auto"/>
              <w:ind w:left="-88" w:leftChars="-42" w:firstLine="0" w:firstLineChars="0"/>
              <w:jc w:val="center"/>
              <w:rPr>
                <w:rFonts w:ascii="宋体" w:hAnsi="宋体" w:cs="宋体"/>
                <w:color w:val="auto"/>
                <w:szCs w:val="21"/>
              </w:rPr>
            </w:pPr>
          </w:p>
        </w:tc>
        <w:tc>
          <w:tcPr>
            <w:tcW w:w="1190" w:type="dxa"/>
            <w:vAlign w:val="center"/>
          </w:tcPr>
          <w:p w14:paraId="5CB20F16">
            <w:pPr>
              <w:adjustRightInd w:val="0"/>
              <w:snapToGrid w:val="0"/>
              <w:spacing w:line="240" w:lineRule="auto"/>
              <w:ind w:left="-88" w:leftChars="-42" w:firstLine="0" w:firstLineChars="0"/>
              <w:jc w:val="center"/>
              <w:rPr>
                <w:rFonts w:ascii="宋体" w:hAnsi="宋体" w:cs="宋体"/>
                <w:color w:val="auto"/>
                <w:szCs w:val="21"/>
              </w:rPr>
            </w:pPr>
          </w:p>
        </w:tc>
        <w:tc>
          <w:tcPr>
            <w:tcW w:w="648" w:type="dxa"/>
            <w:vAlign w:val="center"/>
          </w:tcPr>
          <w:p w14:paraId="7D75D7FC">
            <w:pPr>
              <w:adjustRightInd w:val="0"/>
              <w:snapToGrid w:val="0"/>
              <w:spacing w:line="240" w:lineRule="auto"/>
              <w:ind w:left="-88" w:leftChars="-42" w:firstLine="0" w:firstLineChars="0"/>
              <w:jc w:val="center"/>
              <w:rPr>
                <w:rFonts w:ascii="宋体" w:hAnsi="宋体" w:cs="宋体"/>
                <w:color w:val="auto"/>
                <w:szCs w:val="21"/>
              </w:rPr>
            </w:pPr>
          </w:p>
        </w:tc>
      </w:tr>
      <w:tr w14:paraId="5FDB8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622" w:type="dxa"/>
          </w:tcPr>
          <w:p w14:paraId="1F80F86F">
            <w:pPr>
              <w:adjustRightInd w:val="0"/>
              <w:snapToGrid w:val="0"/>
              <w:spacing w:line="240" w:lineRule="auto"/>
              <w:ind w:left="-88" w:leftChars="-42" w:firstLine="0" w:firstLineChars="0"/>
              <w:jc w:val="center"/>
              <w:rPr>
                <w:rFonts w:ascii="宋体" w:hAnsi="宋体" w:cs="宋体"/>
                <w:color w:val="auto"/>
                <w:szCs w:val="21"/>
              </w:rPr>
            </w:pPr>
          </w:p>
        </w:tc>
        <w:tc>
          <w:tcPr>
            <w:tcW w:w="1653" w:type="dxa"/>
            <w:vAlign w:val="center"/>
          </w:tcPr>
          <w:p w14:paraId="6BBF327D">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3EDEF888">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79CFF85F">
            <w:pPr>
              <w:adjustRightInd w:val="0"/>
              <w:snapToGrid w:val="0"/>
              <w:spacing w:line="240" w:lineRule="auto"/>
              <w:ind w:left="-88" w:leftChars="-42" w:firstLine="0" w:firstLineChars="0"/>
              <w:jc w:val="center"/>
              <w:rPr>
                <w:rFonts w:ascii="宋体" w:hAnsi="宋体" w:cs="宋体"/>
                <w:color w:val="auto"/>
                <w:szCs w:val="21"/>
              </w:rPr>
            </w:pPr>
          </w:p>
        </w:tc>
        <w:tc>
          <w:tcPr>
            <w:tcW w:w="1190" w:type="dxa"/>
            <w:vAlign w:val="center"/>
          </w:tcPr>
          <w:p w14:paraId="46FEFB27">
            <w:pPr>
              <w:adjustRightInd w:val="0"/>
              <w:snapToGrid w:val="0"/>
              <w:spacing w:line="240" w:lineRule="auto"/>
              <w:ind w:left="-88" w:leftChars="-42" w:firstLine="0" w:firstLineChars="0"/>
              <w:jc w:val="center"/>
              <w:rPr>
                <w:rFonts w:ascii="宋体" w:hAnsi="宋体" w:cs="宋体"/>
                <w:color w:val="auto"/>
                <w:szCs w:val="21"/>
              </w:rPr>
            </w:pPr>
          </w:p>
        </w:tc>
        <w:tc>
          <w:tcPr>
            <w:tcW w:w="648" w:type="dxa"/>
            <w:vAlign w:val="center"/>
          </w:tcPr>
          <w:p w14:paraId="337D62E1">
            <w:pPr>
              <w:adjustRightInd w:val="0"/>
              <w:snapToGrid w:val="0"/>
              <w:spacing w:line="240" w:lineRule="auto"/>
              <w:ind w:left="-88" w:leftChars="-42" w:firstLine="0" w:firstLineChars="0"/>
              <w:jc w:val="center"/>
              <w:rPr>
                <w:rFonts w:ascii="宋体" w:hAnsi="宋体" w:cs="宋体"/>
                <w:color w:val="auto"/>
                <w:szCs w:val="21"/>
              </w:rPr>
            </w:pPr>
          </w:p>
        </w:tc>
      </w:tr>
      <w:tr w14:paraId="3C864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622" w:type="dxa"/>
          </w:tcPr>
          <w:p w14:paraId="3738BDF9">
            <w:pPr>
              <w:adjustRightInd w:val="0"/>
              <w:snapToGrid w:val="0"/>
              <w:spacing w:line="240" w:lineRule="auto"/>
              <w:ind w:left="-88" w:leftChars="-42" w:firstLine="0" w:firstLineChars="0"/>
              <w:jc w:val="center"/>
              <w:rPr>
                <w:rFonts w:ascii="宋体" w:hAnsi="宋体" w:cs="宋体"/>
                <w:color w:val="auto"/>
                <w:szCs w:val="21"/>
              </w:rPr>
            </w:pPr>
          </w:p>
        </w:tc>
        <w:tc>
          <w:tcPr>
            <w:tcW w:w="1653" w:type="dxa"/>
            <w:vAlign w:val="center"/>
          </w:tcPr>
          <w:p w14:paraId="3D894656">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321E0362">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2457114D">
            <w:pPr>
              <w:adjustRightInd w:val="0"/>
              <w:snapToGrid w:val="0"/>
              <w:spacing w:line="240" w:lineRule="auto"/>
              <w:ind w:left="-88" w:leftChars="-42" w:firstLine="0" w:firstLineChars="0"/>
              <w:jc w:val="center"/>
              <w:rPr>
                <w:rFonts w:ascii="宋体" w:hAnsi="宋体" w:cs="宋体"/>
                <w:color w:val="auto"/>
                <w:szCs w:val="21"/>
              </w:rPr>
            </w:pPr>
          </w:p>
        </w:tc>
        <w:tc>
          <w:tcPr>
            <w:tcW w:w="1190" w:type="dxa"/>
            <w:vAlign w:val="center"/>
          </w:tcPr>
          <w:p w14:paraId="72374637">
            <w:pPr>
              <w:adjustRightInd w:val="0"/>
              <w:snapToGrid w:val="0"/>
              <w:spacing w:line="240" w:lineRule="auto"/>
              <w:ind w:left="-88" w:leftChars="-42" w:firstLine="0" w:firstLineChars="0"/>
              <w:jc w:val="center"/>
              <w:rPr>
                <w:rFonts w:ascii="宋体" w:hAnsi="宋体" w:cs="宋体"/>
                <w:color w:val="auto"/>
                <w:szCs w:val="21"/>
              </w:rPr>
            </w:pPr>
          </w:p>
        </w:tc>
        <w:tc>
          <w:tcPr>
            <w:tcW w:w="648" w:type="dxa"/>
            <w:vAlign w:val="center"/>
          </w:tcPr>
          <w:p w14:paraId="3445941D">
            <w:pPr>
              <w:adjustRightInd w:val="0"/>
              <w:snapToGrid w:val="0"/>
              <w:spacing w:line="240" w:lineRule="auto"/>
              <w:ind w:left="-88" w:leftChars="-42" w:firstLine="0" w:firstLineChars="0"/>
              <w:jc w:val="center"/>
              <w:rPr>
                <w:rFonts w:ascii="宋体" w:hAnsi="宋体" w:cs="宋体"/>
                <w:color w:val="auto"/>
                <w:szCs w:val="21"/>
              </w:rPr>
            </w:pPr>
          </w:p>
        </w:tc>
      </w:tr>
      <w:tr w14:paraId="7C63D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622" w:type="dxa"/>
          </w:tcPr>
          <w:p w14:paraId="5C1C4356">
            <w:pPr>
              <w:adjustRightInd w:val="0"/>
              <w:snapToGrid w:val="0"/>
              <w:spacing w:line="240" w:lineRule="auto"/>
              <w:ind w:left="-88" w:leftChars="-42" w:firstLine="0" w:firstLineChars="0"/>
              <w:jc w:val="center"/>
              <w:rPr>
                <w:rFonts w:ascii="宋体" w:hAnsi="宋体" w:cs="宋体"/>
                <w:color w:val="auto"/>
                <w:szCs w:val="21"/>
              </w:rPr>
            </w:pPr>
          </w:p>
        </w:tc>
        <w:tc>
          <w:tcPr>
            <w:tcW w:w="1653" w:type="dxa"/>
            <w:vAlign w:val="center"/>
          </w:tcPr>
          <w:p w14:paraId="001A3534">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669D6237">
            <w:pPr>
              <w:adjustRightInd w:val="0"/>
              <w:snapToGrid w:val="0"/>
              <w:spacing w:line="240" w:lineRule="auto"/>
              <w:ind w:left="-88" w:leftChars="-42" w:firstLine="0" w:firstLineChars="0"/>
              <w:jc w:val="center"/>
              <w:rPr>
                <w:rFonts w:ascii="宋体" w:hAnsi="宋体" w:cs="宋体"/>
                <w:color w:val="auto"/>
                <w:szCs w:val="21"/>
              </w:rPr>
            </w:pPr>
          </w:p>
        </w:tc>
        <w:tc>
          <w:tcPr>
            <w:tcW w:w="2232" w:type="dxa"/>
            <w:vAlign w:val="center"/>
          </w:tcPr>
          <w:p w14:paraId="48FE3BF8">
            <w:pPr>
              <w:adjustRightInd w:val="0"/>
              <w:snapToGrid w:val="0"/>
              <w:spacing w:line="240" w:lineRule="auto"/>
              <w:ind w:left="-88" w:leftChars="-42" w:firstLine="0" w:firstLineChars="0"/>
              <w:jc w:val="center"/>
              <w:rPr>
                <w:rFonts w:ascii="宋体" w:hAnsi="宋体" w:cs="宋体"/>
                <w:color w:val="auto"/>
                <w:szCs w:val="21"/>
              </w:rPr>
            </w:pPr>
          </w:p>
        </w:tc>
        <w:tc>
          <w:tcPr>
            <w:tcW w:w="1190" w:type="dxa"/>
            <w:vAlign w:val="center"/>
          </w:tcPr>
          <w:p w14:paraId="1D2DB36E">
            <w:pPr>
              <w:adjustRightInd w:val="0"/>
              <w:snapToGrid w:val="0"/>
              <w:spacing w:line="240" w:lineRule="auto"/>
              <w:ind w:left="-88" w:leftChars="-42" w:firstLine="0" w:firstLineChars="0"/>
              <w:jc w:val="center"/>
              <w:rPr>
                <w:rFonts w:ascii="宋体" w:hAnsi="宋体" w:cs="宋体"/>
                <w:color w:val="auto"/>
                <w:szCs w:val="21"/>
              </w:rPr>
            </w:pPr>
          </w:p>
        </w:tc>
        <w:tc>
          <w:tcPr>
            <w:tcW w:w="648" w:type="dxa"/>
            <w:vAlign w:val="center"/>
          </w:tcPr>
          <w:p w14:paraId="336B3161">
            <w:pPr>
              <w:adjustRightInd w:val="0"/>
              <w:snapToGrid w:val="0"/>
              <w:spacing w:line="240" w:lineRule="auto"/>
              <w:ind w:left="-88" w:leftChars="-42" w:firstLine="0" w:firstLineChars="0"/>
              <w:jc w:val="center"/>
              <w:rPr>
                <w:rFonts w:ascii="宋体" w:hAnsi="宋体" w:cs="宋体"/>
                <w:color w:val="auto"/>
                <w:szCs w:val="21"/>
              </w:rPr>
            </w:pPr>
          </w:p>
        </w:tc>
      </w:tr>
      <w:tr w14:paraId="674162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69" w:hRule="atLeast"/>
          <w:jc w:val="center"/>
        </w:trPr>
        <w:tc>
          <w:tcPr>
            <w:tcW w:w="8577" w:type="dxa"/>
            <w:gridSpan w:val="6"/>
          </w:tcPr>
          <w:p w14:paraId="5B480DEE">
            <w:pPr>
              <w:adjustRightInd w:val="0"/>
              <w:snapToGrid w:val="0"/>
              <w:spacing w:line="240" w:lineRule="auto"/>
              <w:ind w:left="-88" w:leftChars="-42" w:firstLine="211" w:firstLineChars="100"/>
              <w:rPr>
                <w:rFonts w:ascii="宋体" w:hAnsi="宋体" w:cs="宋体"/>
                <w:color w:val="auto"/>
                <w:szCs w:val="21"/>
              </w:rPr>
            </w:pPr>
            <w:r>
              <w:rPr>
                <w:rFonts w:hint="eastAsia" w:ascii="宋体" w:hAnsi="宋体" w:cs="宋体"/>
                <w:b/>
                <w:bCs/>
                <w:color w:val="auto"/>
                <w:szCs w:val="21"/>
              </w:rPr>
              <w:t>我公司承诺对以上其他未列明的技术或商务条款，均全部响应，无偏离。</w:t>
            </w:r>
          </w:p>
        </w:tc>
      </w:tr>
    </w:tbl>
    <w:p w14:paraId="1C082038">
      <w:pPr>
        <w:adjustRightInd w:val="0"/>
        <w:snapToGrid w:val="0"/>
        <w:spacing w:line="360" w:lineRule="auto"/>
        <w:ind w:left="-88" w:leftChars="-42" w:firstLine="0" w:firstLineChars="0"/>
        <w:rPr>
          <w:rFonts w:hint="eastAsia" w:ascii="宋体" w:hAnsi="宋体" w:cs="宋体"/>
          <w:color w:val="auto"/>
          <w:szCs w:val="21"/>
        </w:rPr>
      </w:pPr>
    </w:p>
    <w:p w14:paraId="51F81B5D">
      <w:pPr>
        <w:adjustRightInd w:val="0"/>
        <w:snapToGrid w:val="0"/>
        <w:spacing w:line="360" w:lineRule="auto"/>
        <w:ind w:left="-88" w:leftChars="-42" w:firstLine="0" w:firstLineChars="0"/>
        <w:rPr>
          <w:rFonts w:ascii="宋体" w:hAnsi="宋体" w:cs="宋体"/>
          <w:color w:val="auto"/>
          <w:szCs w:val="21"/>
        </w:rPr>
      </w:pPr>
      <w:r>
        <w:rPr>
          <w:rFonts w:hint="eastAsia" w:ascii="宋体" w:hAnsi="宋体" w:cs="宋体"/>
          <w:color w:val="auto"/>
          <w:szCs w:val="21"/>
        </w:rPr>
        <w:t>说明：1、“响应与偏离”应注明“响应”或“偏离”。</w:t>
      </w:r>
    </w:p>
    <w:p w14:paraId="1CA52C0D">
      <w:pPr>
        <w:adjustRightInd w:val="0"/>
        <w:snapToGrid w:val="0"/>
        <w:spacing w:line="360" w:lineRule="auto"/>
        <w:ind w:firstLine="0" w:firstLineChars="0"/>
        <w:rPr>
          <w:rFonts w:ascii="宋体" w:hAnsi="宋体" w:cs="宋体"/>
          <w:color w:val="auto"/>
          <w:szCs w:val="21"/>
        </w:rPr>
      </w:pPr>
      <w:r>
        <w:rPr>
          <w:rFonts w:hint="eastAsia" w:ascii="宋体" w:hAnsi="宋体" w:cs="宋体"/>
          <w:color w:val="auto"/>
          <w:szCs w:val="21"/>
        </w:rPr>
        <w:t>2、属磋商文件规定可能变动的内容在“说明”栏中注明。</w:t>
      </w:r>
    </w:p>
    <w:p w14:paraId="097E1FF8">
      <w:pPr>
        <w:rPr>
          <w:color w:val="auto"/>
        </w:rPr>
      </w:pPr>
    </w:p>
    <w:p w14:paraId="5BB31637">
      <w:pPr>
        <w:pStyle w:val="27"/>
        <w:ind w:firstLine="480"/>
        <w:rPr>
          <w:color w:val="auto"/>
        </w:rPr>
      </w:pPr>
    </w:p>
    <w:p w14:paraId="3557BA65">
      <w:pPr>
        <w:rPr>
          <w:color w:val="auto"/>
        </w:rPr>
      </w:pPr>
    </w:p>
    <w:p w14:paraId="62A5FAE9">
      <w:pPr>
        <w:rPr>
          <w:color w:val="auto"/>
        </w:rPr>
      </w:pPr>
    </w:p>
    <w:p w14:paraId="3B537E4D">
      <w:pPr>
        <w:rPr>
          <w:color w:val="auto"/>
        </w:rPr>
      </w:pPr>
    </w:p>
    <w:p w14:paraId="1BEEF69E">
      <w:pPr>
        <w:rPr>
          <w:color w:val="auto"/>
        </w:rPr>
      </w:pPr>
    </w:p>
    <w:p w14:paraId="563DF8D3">
      <w:pPr>
        <w:rPr>
          <w:color w:val="auto"/>
        </w:rPr>
      </w:pPr>
    </w:p>
    <w:p w14:paraId="11CD2E71">
      <w:pPr>
        <w:rPr>
          <w:color w:val="auto"/>
        </w:rPr>
      </w:pPr>
    </w:p>
    <w:p w14:paraId="2133E807">
      <w:pPr>
        <w:pStyle w:val="27"/>
        <w:ind w:firstLine="480"/>
        <w:rPr>
          <w:bCs/>
          <w:color w:val="auto"/>
        </w:rPr>
      </w:pPr>
      <w:r>
        <w:rPr>
          <w:rFonts w:hint="eastAsia"/>
          <w:color w:val="auto"/>
        </w:rPr>
        <w:t>供应商名称：</w:t>
      </w:r>
    </w:p>
    <w:p w14:paraId="560ABEFF">
      <w:pPr>
        <w:rPr>
          <w:color w:val="auto"/>
        </w:rPr>
      </w:pPr>
      <w:r>
        <w:rPr>
          <w:rFonts w:hint="eastAsia"/>
          <w:color w:val="auto"/>
        </w:rPr>
        <w:t>法定代表人或其委托代理人(签字)：</w:t>
      </w:r>
    </w:p>
    <w:p w14:paraId="3914C2D8">
      <w:pPr>
        <w:rPr>
          <w:color w:val="auto"/>
        </w:rPr>
      </w:pPr>
      <w:r>
        <w:rPr>
          <w:rFonts w:hint="eastAsia"/>
          <w:color w:val="auto"/>
        </w:rPr>
        <w:t>日    期：  年  月  日</w:t>
      </w:r>
    </w:p>
    <w:p w14:paraId="73F7CE55">
      <w:pPr>
        <w:rPr>
          <w:color w:val="auto"/>
        </w:rPr>
      </w:pPr>
    </w:p>
    <w:p w14:paraId="5B9C1BC3">
      <w:pPr>
        <w:rPr>
          <w:color w:val="auto"/>
        </w:rPr>
      </w:pPr>
    </w:p>
    <w:p w14:paraId="43EAB10F">
      <w:pPr>
        <w:spacing w:line="240" w:lineRule="auto"/>
        <w:ind w:firstLine="803" w:firstLineChars="0"/>
        <w:jc w:val="center"/>
        <w:rPr>
          <w:rFonts w:ascii="宋体" w:hAnsi="宋体" w:cs="宋体"/>
          <w:b/>
          <w:color w:val="auto"/>
          <w:sz w:val="32"/>
          <w:szCs w:val="32"/>
        </w:rPr>
      </w:pPr>
      <w:r>
        <w:rPr>
          <w:rFonts w:hint="eastAsia" w:ascii="宋体" w:hAnsi="宋体" w:cs="宋体"/>
          <w:b/>
          <w:bCs/>
          <w:color w:val="auto"/>
          <w:sz w:val="32"/>
          <w:szCs w:val="32"/>
        </w:rPr>
        <w:t>五、</w:t>
      </w:r>
      <w:r>
        <w:rPr>
          <w:rFonts w:hint="eastAsia" w:ascii="宋体" w:hAnsi="宋体" w:cs="宋体"/>
          <w:b/>
          <w:color w:val="auto"/>
          <w:sz w:val="32"/>
          <w:szCs w:val="32"/>
        </w:rPr>
        <w:t>报价一览表及报价文件</w:t>
      </w:r>
    </w:p>
    <w:p w14:paraId="2AC6CDD0">
      <w:pPr>
        <w:tabs>
          <w:tab w:val="left" w:pos="1680"/>
        </w:tabs>
        <w:adjustRightInd w:val="0"/>
        <w:snapToGrid w:val="0"/>
        <w:spacing w:line="240" w:lineRule="auto"/>
        <w:ind w:firstLine="0" w:firstLineChars="0"/>
        <w:rPr>
          <w:rFonts w:ascii="宋体" w:hAnsi="宋体" w:cs="宋体"/>
          <w:bCs/>
          <w:color w:val="auto"/>
          <w:sz w:val="30"/>
          <w:szCs w:val="30"/>
        </w:rPr>
      </w:pPr>
      <w:r>
        <w:rPr>
          <w:rFonts w:hint="eastAsia" w:ascii="宋体" w:hAnsi="宋体" w:cs="宋体"/>
          <w:color w:val="auto"/>
          <w:sz w:val="30"/>
          <w:szCs w:val="30"/>
        </w:rPr>
        <w:t>附件8-1</w:t>
      </w:r>
      <w:r>
        <w:rPr>
          <w:rFonts w:hint="eastAsia" w:ascii="宋体" w:hAnsi="宋体" w:cs="宋体"/>
          <w:color w:val="auto"/>
          <w:sz w:val="30"/>
          <w:szCs w:val="30"/>
        </w:rPr>
        <w:tab/>
      </w:r>
    </w:p>
    <w:p w14:paraId="71E71058">
      <w:pPr>
        <w:adjustRightInd w:val="0"/>
        <w:snapToGrid w:val="0"/>
        <w:spacing w:line="240" w:lineRule="auto"/>
        <w:ind w:firstLine="0" w:firstLineChars="0"/>
        <w:jc w:val="center"/>
        <w:rPr>
          <w:rFonts w:hint="eastAsia" w:ascii="宋体" w:hAnsi="宋体" w:cs="宋体"/>
          <w:b/>
          <w:bCs/>
          <w:color w:val="auto"/>
          <w:sz w:val="30"/>
          <w:szCs w:val="30"/>
        </w:rPr>
      </w:pPr>
    </w:p>
    <w:p w14:paraId="5C136162">
      <w:pPr>
        <w:adjustRightInd w:val="0"/>
        <w:snapToGrid w:val="0"/>
        <w:spacing w:line="240" w:lineRule="auto"/>
        <w:ind w:firstLine="0" w:firstLineChars="0"/>
        <w:jc w:val="center"/>
        <w:rPr>
          <w:rFonts w:hint="eastAsia" w:ascii="宋体" w:hAnsi="宋体" w:cs="宋体"/>
          <w:b/>
          <w:bCs/>
          <w:color w:val="auto"/>
          <w:sz w:val="30"/>
          <w:szCs w:val="30"/>
        </w:rPr>
      </w:pPr>
      <w:r>
        <w:rPr>
          <w:rFonts w:hint="eastAsia" w:ascii="宋体" w:hAnsi="宋体" w:cs="宋体"/>
          <w:b/>
          <w:bCs/>
          <w:color w:val="auto"/>
          <w:sz w:val="30"/>
          <w:szCs w:val="30"/>
        </w:rPr>
        <w:t>报价一览表</w:t>
      </w:r>
    </w:p>
    <w:p w14:paraId="3FA5CBCD">
      <w:pPr>
        <w:pStyle w:val="7"/>
        <w:rPr>
          <w:rFonts w:hint="eastAsia"/>
          <w:color w:val="auto"/>
        </w:rPr>
      </w:pPr>
    </w:p>
    <w:tbl>
      <w:tblPr>
        <w:tblStyle w:val="43"/>
        <w:tblW w:w="9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3495"/>
        <w:gridCol w:w="1740"/>
        <w:gridCol w:w="2385"/>
      </w:tblGrid>
      <w:tr w14:paraId="40E8D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17" w:type="dxa"/>
            <w:vMerge w:val="restart"/>
            <w:tcBorders>
              <w:top w:val="double" w:color="auto" w:sz="4" w:space="0"/>
              <w:left w:val="double" w:color="auto" w:sz="4" w:space="0"/>
              <w:bottom w:val="single" w:color="auto" w:sz="6" w:space="0"/>
              <w:right w:val="single" w:color="auto" w:sz="6" w:space="0"/>
            </w:tcBorders>
            <w:noWrap/>
            <w:vAlign w:val="center"/>
          </w:tcPr>
          <w:p w14:paraId="50B1571A">
            <w:pPr>
              <w:ind w:left="0" w:leftChars="0" w:firstLine="0" w:firstLineChars="0"/>
              <w:jc w:val="center"/>
              <w:rPr>
                <w:color w:val="auto"/>
              </w:rPr>
            </w:pPr>
            <w:r>
              <w:rPr>
                <w:rFonts w:hint="eastAsia"/>
                <w:color w:val="auto"/>
              </w:rPr>
              <w:t>项目名称</w:t>
            </w:r>
          </w:p>
        </w:tc>
        <w:tc>
          <w:tcPr>
            <w:tcW w:w="3495" w:type="dxa"/>
            <w:vMerge w:val="restart"/>
            <w:tcBorders>
              <w:top w:val="double" w:color="auto" w:sz="4" w:space="0"/>
              <w:left w:val="single" w:color="auto" w:sz="6" w:space="0"/>
              <w:bottom w:val="single" w:color="auto" w:sz="6" w:space="0"/>
              <w:right w:val="single" w:color="auto" w:sz="6" w:space="0"/>
            </w:tcBorders>
            <w:noWrap/>
            <w:vAlign w:val="center"/>
          </w:tcPr>
          <w:p w14:paraId="259D7CD8">
            <w:pPr>
              <w:rPr>
                <w:color w:val="auto"/>
              </w:rPr>
            </w:pPr>
          </w:p>
        </w:tc>
        <w:tc>
          <w:tcPr>
            <w:tcW w:w="1740" w:type="dxa"/>
            <w:tcBorders>
              <w:top w:val="double" w:color="auto" w:sz="4" w:space="0"/>
              <w:left w:val="single" w:color="auto" w:sz="6" w:space="0"/>
              <w:bottom w:val="single" w:color="auto" w:sz="6" w:space="0"/>
              <w:right w:val="single" w:color="auto" w:sz="6" w:space="0"/>
            </w:tcBorders>
            <w:noWrap/>
            <w:vAlign w:val="center"/>
          </w:tcPr>
          <w:p w14:paraId="57EEB948">
            <w:pPr>
              <w:ind w:left="0" w:leftChars="0" w:firstLine="0" w:firstLineChars="0"/>
              <w:rPr>
                <w:color w:val="auto"/>
              </w:rPr>
            </w:pPr>
            <w:r>
              <w:rPr>
                <w:rFonts w:hint="eastAsia"/>
                <w:color w:val="auto"/>
              </w:rPr>
              <w:t>采购</w:t>
            </w:r>
            <w:r>
              <w:rPr>
                <w:rFonts w:hint="eastAsia"/>
                <w:color w:val="auto"/>
                <w:lang w:eastAsia="zh-CN"/>
              </w:rPr>
              <w:t>项目</w:t>
            </w:r>
            <w:r>
              <w:rPr>
                <w:rFonts w:hint="eastAsia"/>
                <w:color w:val="auto"/>
              </w:rPr>
              <w:t>编号</w:t>
            </w:r>
          </w:p>
        </w:tc>
        <w:tc>
          <w:tcPr>
            <w:tcW w:w="2385" w:type="dxa"/>
            <w:tcBorders>
              <w:top w:val="double" w:color="auto" w:sz="4" w:space="0"/>
              <w:left w:val="single" w:color="auto" w:sz="6" w:space="0"/>
              <w:bottom w:val="single" w:color="auto" w:sz="6" w:space="0"/>
              <w:right w:val="double" w:color="auto" w:sz="4" w:space="0"/>
            </w:tcBorders>
            <w:noWrap/>
            <w:vAlign w:val="center"/>
          </w:tcPr>
          <w:p w14:paraId="3BE69984">
            <w:pPr>
              <w:rPr>
                <w:color w:val="auto"/>
              </w:rPr>
            </w:pPr>
          </w:p>
        </w:tc>
      </w:tr>
      <w:tr w14:paraId="39CA0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17" w:type="dxa"/>
            <w:vMerge w:val="continue"/>
            <w:tcBorders>
              <w:top w:val="single" w:color="auto" w:sz="6" w:space="0"/>
              <w:left w:val="double" w:color="auto" w:sz="4" w:space="0"/>
              <w:bottom w:val="single" w:color="auto" w:sz="6" w:space="0"/>
              <w:right w:val="single" w:color="auto" w:sz="6" w:space="0"/>
            </w:tcBorders>
            <w:noWrap/>
            <w:vAlign w:val="center"/>
          </w:tcPr>
          <w:p w14:paraId="2BD5ECEB">
            <w:pPr>
              <w:jc w:val="center"/>
              <w:rPr>
                <w:color w:val="auto"/>
              </w:rPr>
            </w:pPr>
          </w:p>
        </w:tc>
        <w:tc>
          <w:tcPr>
            <w:tcW w:w="3495" w:type="dxa"/>
            <w:vMerge w:val="continue"/>
            <w:tcBorders>
              <w:top w:val="single" w:color="auto" w:sz="6" w:space="0"/>
              <w:left w:val="single" w:color="auto" w:sz="6" w:space="0"/>
              <w:bottom w:val="single" w:color="auto" w:sz="6" w:space="0"/>
              <w:right w:val="single" w:color="auto" w:sz="6" w:space="0"/>
            </w:tcBorders>
            <w:noWrap/>
            <w:vAlign w:val="center"/>
          </w:tcPr>
          <w:p w14:paraId="47A70BEE">
            <w:pPr>
              <w:rPr>
                <w:color w:val="auto"/>
              </w:rPr>
            </w:pPr>
          </w:p>
        </w:tc>
        <w:tc>
          <w:tcPr>
            <w:tcW w:w="1740" w:type="dxa"/>
            <w:tcBorders>
              <w:top w:val="single" w:color="auto" w:sz="6" w:space="0"/>
              <w:left w:val="single" w:color="auto" w:sz="6" w:space="0"/>
              <w:bottom w:val="single" w:color="auto" w:sz="6" w:space="0"/>
              <w:right w:val="single" w:color="auto" w:sz="6" w:space="0"/>
            </w:tcBorders>
            <w:noWrap/>
            <w:vAlign w:val="center"/>
          </w:tcPr>
          <w:p w14:paraId="5C4AABFB">
            <w:pPr>
              <w:ind w:left="0" w:leftChars="0" w:firstLine="0" w:firstLineChars="0"/>
              <w:rPr>
                <w:color w:val="auto"/>
              </w:rPr>
            </w:pPr>
            <w:r>
              <w:rPr>
                <w:rFonts w:hint="eastAsia"/>
                <w:color w:val="auto"/>
              </w:rPr>
              <w:t>委托代理编号</w:t>
            </w:r>
          </w:p>
        </w:tc>
        <w:tc>
          <w:tcPr>
            <w:tcW w:w="2385" w:type="dxa"/>
            <w:tcBorders>
              <w:top w:val="single" w:color="auto" w:sz="6" w:space="0"/>
              <w:left w:val="single" w:color="auto" w:sz="6" w:space="0"/>
              <w:bottom w:val="single" w:color="auto" w:sz="6" w:space="0"/>
              <w:right w:val="double" w:color="auto" w:sz="4" w:space="0"/>
            </w:tcBorders>
            <w:noWrap/>
            <w:vAlign w:val="center"/>
          </w:tcPr>
          <w:p w14:paraId="71949572">
            <w:pPr>
              <w:rPr>
                <w:color w:val="auto"/>
              </w:rPr>
            </w:pPr>
          </w:p>
        </w:tc>
      </w:tr>
      <w:tr w14:paraId="4C6FF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17" w:type="dxa"/>
            <w:tcBorders>
              <w:top w:val="single" w:color="auto" w:sz="6" w:space="0"/>
              <w:left w:val="double" w:color="auto" w:sz="4" w:space="0"/>
              <w:right w:val="single" w:color="auto" w:sz="6" w:space="0"/>
            </w:tcBorders>
            <w:noWrap/>
            <w:vAlign w:val="center"/>
          </w:tcPr>
          <w:p w14:paraId="7DB369A2">
            <w:pPr>
              <w:ind w:left="0" w:leftChars="0" w:firstLine="0" w:firstLineChars="0"/>
              <w:jc w:val="center"/>
              <w:rPr>
                <w:color w:val="auto"/>
              </w:rPr>
            </w:pPr>
            <w:r>
              <w:rPr>
                <w:rFonts w:hint="eastAsia"/>
                <w:color w:val="auto"/>
              </w:rPr>
              <w:t>服务内容</w:t>
            </w:r>
          </w:p>
        </w:tc>
        <w:tc>
          <w:tcPr>
            <w:tcW w:w="7620" w:type="dxa"/>
            <w:gridSpan w:val="3"/>
            <w:tcBorders>
              <w:top w:val="single" w:color="auto" w:sz="6" w:space="0"/>
              <w:left w:val="single" w:color="auto" w:sz="6" w:space="0"/>
              <w:bottom w:val="single" w:color="auto" w:sz="6" w:space="0"/>
              <w:right w:val="double" w:color="auto" w:sz="4" w:space="0"/>
            </w:tcBorders>
            <w:noWrap/>
            <w:vAlign w:val="center"/>
          </w:tcPr>
          <w:p w14:paraId="39CCCD93">
            <w:pPr>
              <w:rPr>
                <w:color w:val="auto"/>
              </w:rPr>
            </w:pPr>
          </w:p>
        </w:tc>
      </w:tr>
      <w:tr w14:paraId="6C510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517" w:type="dxa"/>
            <w:tcBorders>
              <w:top w:val="single" w:color="auto" w:sz="6" w:space="0"/>
              <w:left w:val="double" w:color="auto" w:sz="4" w:space="0"/>
              <w:right w:val="single" w:color="auto" w:sz="6" w:space="0"/>
            </w:tcBorders>
            <w:noWrap/>
            <w:vAlign w:val="center"/>
          </w:tcPr>
          <w:p w14:paraId="3E210307">
            <w:pPr>
              <w:jc w:val="both"/>
              <w:rPr>
                <w:color w:val="auto"/>
              </w:rPr>
            </w:pPr>
            <w:r>
              <w:rPr>
                <w:rFonts w:hint="eastAsia"/>
                <w:color w:val="auto"/>
              </w:rPr>
              <w:t>总报价</w:t>
            </w:r>
          </w:p>
        </w:tc>
        <w:tc>
          <w:tcPr>
            <w:tcW w:w="7620" w:type="dxa"/>
            <w:gridSpan w:val="3"/>
            <w:tcBorders>
              <w:top w:val="single" w:color="auto" w:sz="6" w:space="0"/>
              <w:left w:val="single" w:color="auto" w:sz="6" w:space="0"/>
              <w:bottom w:val="single" w:color="auto" w:sz="6" w:space="0"/>
              <w:right w:val="double" w:color="auto" w:sz="4" w:space="0"/>
            </w:tcBorders>
            <w:noWrap/>
            <w:vAlign w:val="center"/>
          </w:tcPr>
          <w:p w14:paraId="0A1C4424">
            <w:pPr>
              <w:ind w:left="0" w:leftChars="0" w:firstLine="0" w:firstLineChars="0"/>
              <w:rPr>
                <w:color w:val="auto"/>
              </w:rPr>
            </w:pPr>
            <w:r>
              <w:rPr>
                <w:rFonts w:hint="eastAsia"/>
                <w:color w:val="auto"/>
              </w:rPr>
              <w:t>大写：</w:t>
            </w:r>
          </w:p>
          <w:p w14:paraId="6E909C62">
            <w:pPr>
              <w:ind w:firstLine="0" w:firstLineChars="0"/>
              <w:rPr>
                <w:rFonts w:hint="eastAsia"/>
                <w:color w:val="auto"/>
                <w:lang w:val="en-US" w:eastAsia="zh-CN"/>
              </w:rPr>
            </w:pPr>
            <w:r>
              <w:rPr>
                <w:rFonts w:hint="eastAsia"/>
                <w:color w:val="auto"/>
              </w:rPr>
              <w:t>小写：</w:t>
            </w:r>
            <w:r>
              <w:rPr>
                <w:rFonts w:hint="eastAsia"/>
                <w:color w:val="auto"/>
                <w:lang w:val="en-US" w:eastAsia="zh-CN"/>
              </w:rPr>
              <w:t xml:space="preserve"> </w:t>
            </w:r>
          </w:p>
          <w:p w14:paraId="145EC7D1">
            <w:pPr>
              <w:ind w:firstLine="0" w:firstLineChars="0"/>
              <w:rPr>
                <w:rFonts w:hint="default" w:eastAsia="宋体"/>
                <w:color w:val="auto"/>
                <w:lang w:val="en-US" w:eastAsia="zh-CN"/>
              </w:rPr>
            </w:pPr>
            <w:r>
              <w:rPr>
                <w:rFonts w:hint="eastAsia"/>
                <w:color w:val="auto"/>
                <w:lang w:val="en-US" w:eastAsia="zh-CN"/>
              </w:rPr>
              <w:t>注：其中月度服务费        元/月。</w:t>
            </w:r>
          </w:p>
          <w:p w14:paraId="3F934802">
            <w:pPr>
              <w:ind w:left="0" w:leftChars="0" w:firstLine="0" w:firstLineChars="0"/>
              <w:rPr>
                <w:rFonts w:hint="default" w:eastAsia="宋体"/>
                <w:color w:val="auto"/>
                <w:lang w:val="en-US" w:eastAsia="zh-CN"/>
              </w:rPr>
            </w:pPr>
          </w:p>
        </w:tc>
      </w:tr>
      <w:tr w14:paraId="0DDAE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17" w:type="dxa"/>
            <w:tcBorders>
              <w:top w:val="single" w:color="auto" w:sz="6" w:space="0"/>
              <w:left w:val="double" w:color="auto" w:sz="4" w:space="0"/>
              <w:bottom w:val="single" w:color="auto" w:sz="6" w:space="0"/>
              <w:right w:val="single" w:color="auto" w:sz="6" w:space="0"/>
            </w:tcBorders>
            <w:noWrap/>
            <w:vAlign w:val="center"/>
          </w:tcPr>
          <w:p w14:paraId="235788C5">
            <w:pPr>
              <w:ind w:left="0" w:leftChars="0" w:firstLine="0" w:firstLineChars="0"/>
              <w:jc w:val="center"/>
              <w:rPr>
                <w:rFonts w:hint="eastAsia" w:eastAsia="宋体"/>
                <w:color w:val="auto"/>
                <w:lang w:eastAsia="zh-CN"/>
              </w:rPr>
            </w:pPr>
            <w:r>
              <w:rPr>
                <w:rFonts w:hint="eastAsia"/>
                <w:color w:val="auto"/>
              </w:rPr>
              <w:t>服务</w:t>
            </w:r>
            <w:r>
              <w:rPr>
                <w:rFonts w:hint="eastAsia"/>
                <w:color w:val="auto"/>
                <w:lang w:val="en-US" w:eastAsia="zh-CN"/>
              </w:rPr>
              <w:t>期限</w:t>
            </w:r>
          </w:p>
        </w:tc>
        <w:tc>
          <w:tcPr>
            <w:tcW w:w="7620" w:type="dxa"/>
            <w:gridSpan w:val="3"/>
            <w:tcBorders>
              <w:top w:val="single" w:color="auto" w:sz="6" w:space="0"/>
              <w:left w:val="single" w:color="auto" w:sz="6" w:space="0"/>
              <w:bottom w:val="single" w:color="auto" w:sz="6" w:space="0"/>
              <w:right w:val="double" w:color="auto" w:sz="4" w:space="0"/>
            </w:tcBorders>
            <w:noWrap/>
            <w:vAlign w:val="center"/>
          </w:tcPr>
          <w:p w14:paraId="6E1323AE">
            <w:pPr>
              <w:rPr>
                <w:color w:val="auto"/>
              </w:rPr>
            </w:pPr>
          </w:p>
        </w:tc>
      </w:tr>
      <w:tr w14:paraId="3B83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17" w:type="dxa"/>
            <w:tcBorders>
              <w:top w:val="single" w:color="auto" w:sz="6" w:space="0"/>
              <w:left w:val="double" w:color="auto" w:sz="4" w:space="0"/>
              <w:bottom w:val="single" w:color="auto" w:sz="6" w:space="0"/>
              <w:right w:val="single" w:color="auto" w:sz="6" w:space="0"/>
            </w:tcBorders>
            <w:noWrap/>
            <w:vAlign w:val="center"/>
          </w:tcPr>
          <w:p w14:paraId="5E019F20">
            <w:pPr>
              <w:ind w:left="0" w:leftChars="0" w:firstLine="0" w:firstLineChars="0"/>
              <w:jc w:val="center"/>
              <w:rPr>
                <w:color w:val="auto"/>
              </w:rPr>
            </w:pPr>
            <w:r>
              <w:rPr>
                <w:rFonts w:hint="eastAsia"/>
                <w:color w:val="auto"/>
              </w:rPr>
              <w:t>项目负责人</w:t>
            </w:r>
          </w:p>
        </w:tc>
        <w:tc>
          <w:tcPr>
            <w:tcW w:w="7620" w:type="dxa"/>
            <w:gridSpan w:val="3"/>
            <w:tcBorders>
              <w:top w:val="single" w:color="auto" w:sz="6" w:space="0"/>
              <w:left w:val="single" w:color="auto" w:sz="6" w:space="0"/>
              <w:bottom w:val="single" w:color="auto" w:sz="6" w:space="0"/>
              <w:right w:val="double" w:color="auto" w:sz="4" w:space="0"/>
            </w:tcBorders>
            <w:noWrap/>
            <w:vAlign w:val="center"/>
          </w:tcPr>
          <w:p w14:paraId="6A14C111">
            <w:pPr>
              <w:rPr>
                <w:color w:val="auto"/>
              </w:rPr>
            </w:pPr>
          </w:p>
        </w:tc>
      </w:tr>
      <w:tr w14:paraId="67D39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17" w:type="dxa"/>
            <w:tcBorders>
              <w:top w:val="single" w:color="auto" w:sz="6" w:space="0"/>
              <w:left w:val="double" w:color="auto" w:sz="4" w:space="0"/>
              <w:bottom w:val="double" w:color="auto" w:sz="4" w:space="0"/>
              <w:right w:val="single" w:color="auto" w:sz="6" w:space="0"/>
            </w:tcBorders>
            <w:noWrap/>
            <w:vAlign w:val="center"/>
          </w:tcPr>
          <w:p w14:paraId="760F5CE8">
            <w:pPr>
              <w:jc w:val="both"/>
              <w:rPr>
                <w:color w:val="auto"/>
              </w:rPr>
            </w:pPr>
            <w:r>
              <w:rPr>
                <w:rFonts w:hint="eastAsia"/>
                <w:color w:val="auto"/>
              </w:rPr>
              <w:t>备注</w:t>
            </w:r>
          </w:p>
        </w:tc>
        <w:tc>
          <w:tcPr>
            <w:tcW w:w="7620" w:type="dxa"/>
            <w:gridSpan w:val="3"/>
            <w:tcBorders>
              <w:top w:val="single" w:color="auto" w:sz="6" w:space="0"/>
              <w:left w:val="single" w:color="auto" w:sz="6" w:space="0"/>
              <w:bottom w:val="double" w:color="auto" w:sz="4" w:space="0"/>
              <w:right w:val="double" w:color="auto" w:sz="4" w:space="0"/>
            </w:tcBorders>
            <w:noWrap/>
            <w:vAlign w:val="center"/>
          </w:tcPr>
          <w:p w14:paraId="2CE59023">
            <w:pPr>
              <w:rPr>
                <w:color w:val="auto"/>
              </w:rPr>
            </w:pPr>
          </w:p>
        </w:tc>
      </w:tr>
    </w:tbl>
    <w:p w14:paraId="7F11993E">
      <w:pPr>
        <w:rPr>
          <w:color w:val="auto"/>
        </w:rPr>
      </w:pPr>
    </w:p>
    <w:p w14:paraId="27D09800">
      <w:pPr>
        <w:rPr>
          <w:color w:val="auto"/>
        </w:rPr>
      </w:pPr>
      <w:r>
        <w:rPr>
          <w:rFonts w:hint="eastAsia"/>
          <w:color w:val="auto"/>
        </w:rPr>
        <w:t>供应商（盖单位章）：</w:t>
      </w:r>
    </w:p>
    <w:p w14:paraId="37573437">
      <w:pPr>
        <w:rPr>
          <w:color w:val="auto"/>
        </w:rPr>
      </w:pPr>
      <w:r>
        <w:rPr>
          <w:rFonts w:hint="eastAsia"/>
          <w:color w:val="auto"/>
        </w:rPr>
        <w:t>法定代表人或其委托代理人签字：</w:t>
      </w:r>
    </w:p>
    <w:p w14:paraId="0615574C">
      <w:pPr>
        <w:rPr>
          <w:color w:val="auto"/>
        </w:rPr>
      </w:pPr>
      <w:r>
        <w:rPr>
          <w:rFonts w:hint="eastAsia"/>
          <w:color w:val="auto"/>
        </w:rPr>
        <w:t>日期： 年 月 日</w:t>
      </w:r>
    </w:p>
    <w:p w14:paraId="2DF3FF08">
      <w:pPr>
        <w:rPr>
          <w:color w:val="auto"/>
        </w:rPr>
        <w:sectPr>
          <w:footerReference r:id="rId17" w:type="default"/>
          <w:pgSz w:w="11906" w:h="16838"/>
          <w:pgMar w:top="1474" w:right="1474" w:bottom="232" w:left="1588" w:header="851" w:footer="992" w:gutter="0"/>
          <w:pgNumType w:fmt="decimal"/>
          <w:cols w:space="720" w:num="1"/>
          <w:docGrid w:type="lines" w:linePitch="312" w:charSpace="0"/>
        </w:sectPr>
      </w:pPr>
    </w:p>
    <w:p w14:paraId="1EB38A05">
      <w:pPr>
        <w:adjustRightInd w:val="0"/>
        <w:snapToGrid w:val="0"/>
        <w:spacing w:line="240" w:lineRule="auto"/>
        <w:ind w:firstLine="0" w:firstLineChars="0"/>
        <w:rPr>
          <w:rFonts w:ascii="宋体" w:hAnsi="宋体" w:cs="宋体"/>
          <w:color w:val="auto"/>
          <w:sz w:val="30"/>
          <w:szCs w:val="30"/>
        </w:rPr>
      </w:pPr>
      <w:r>
        <w:rPr>
          <w:rFonts w:hint="eastAsia" w:ascii="宋体" w:hAnsi="宋体" w:cs="宋体"/>
          <w:color w:val="auto"/>
          <w:sz w:val="30"/>
          <w:szCs w:val="30"/>
        </w:rPr>
        <w:t>附件8-2</w:t>
      </w:r>
    </w:p>
    <w:p w14:paraId="4B1D2D8F">
      <w:pPr>
        <w:tabs>
          <w:tab w:val="left" w:pos="3600"/>
        </w:tabs>
        <w:adjustRightInd w:val="0"/>
        <w:snapToGrid w:val="0"/>
        <w:spacing w:line="240" w:lineRule="auto"/>
        <w:ind w:firstLine="0" w:firstLineChars="0"/>
        <w:jc w:val="center"/>
        <w:rPr>
          <w:rFonts w:hint="eastAsia" w:ascii="宋体" w:hAnsi="宋体" w:cs="宋体"/>
          <w:b/>
          <w:bCs/>
          <w:color w:val="auto"/>
          <w:sz w:val="30"/>
          <w:szCs w:val="30"/>
        </w:rPr>
      </w:pPr>
      <w:r>
        <w:rPr>
          <w:rFonts w:hint="eastAsia" w:ascii="宋体" w:hAnsi="宋体" w:cs="宋体"/>
          <w:b/>
          <w:bCs/>
          <w:color w:val="auto"/>
          <w:sz w:val="30"/>
          <w:szCs w:val="30"/>
        </w:rPr>
        <w:t>分项价格表</w:t>
      </w:r>
    </w:p>
    <w:p w14:paraId="3B476D37">
      <w:pPr>
        <w:pStyle w:val="6"/>
        <w:rPr>
          <w:rFonts w:hint="eastAsia"/>
        </w:rPr>
      </w:pPr>
    </w:p>
    <w:p w14:paraId="6DEEA70C">
      <w:pPr>
        <w:keepNext/>
        <w:keepLines/>
        <w:widowControl w:val="0"/>
        <w:spacing w:line="360" w:lineRule="auto"/>
        <w:ind w:firstLine="482" w:firstLineChars="200"/>
        <w:jc w:val="both"/>
        <w:outlineLvl w:val="1"/>
        <w:rPr>
          <w:rFonts w:ascii="Arial" w:hAnsi="Arial" w:eastAsia="宋体" w:cs="宋体"/>
          <w:b/>
          <w:bCs/>
          <w:color w:val="auto"/>
          <w:kern w:val="2"/>
          <w:sz w:val="24"/>
          <w:szCs w:val="32"/>
          <w:lang w:val="en-US" w:eastAsia="zh-CN" w:bidi="ar-SA"/>
        </w:rPr>
      </w:pPr>
      <w:r>
        <w:rPr>
          <w:rFonts w:hint="eastAsia" w:ascii="Arial" w:hAnsi="Arial" w:cs="宋体"/>
          <w:b/>
          <w:bCs/>
          <w:color w:val="auto"/>
          <w:kern w:val="2"/>
          <w:sz w:val="24"/>
          <w:szCs w:val="32"/>
          <w:u w:val="single"/>
          <w:lang w:val="en-US" w:eastAsia="zh-CN" w:bidi="ar-SA"/>
        </w:rPr>
        <w:t>福港苑小区</w:t>
      </w:r>
      <w:r>
        <w:rPr>
          <w:rFonts w:hint="eastAsia" w:ascii="Arial" w:hAnsi="Arial" w:eastAsia="宋体" w:cs="宋体"/>
          <w:b/>
          <w:bCs/>
          <w:color w:val="auto"/>
          <w:kern w:val="2"/>
          <w:sz w:val="24"/>
          <w:szCs w:val="32"/>
          <w:u w:val="single"/>
          <w:lang w:val="en-US" w:eastAsia="zh-CN" w:bidi="ar-SA"/>
        </w:rPr>
        <w:t>：</w:t>
      </w:r>
    </w:p>
    <w:tbl>
      <w:tblPr>
        <w:tblStyle w:val="43"/>
        <w:tblW w:w="8790" w:type="dxa"/>
        <w:tblInd w:w="100" w:type="dxa"/>
        <w:tblLayout w:type="fixed"/>
        <w:tblCellMar>
          <w:top w:w="0" w:type="dxa"/>
          <w:left w:w="0" w:type="dxa"/>
          <w:bottom w:w="0" w:type="dxa"/>
          <w:right w:w="0" w:type="dxa"/>
        </w:tblCellMar>
      </w:tblPr>
      <w:tblGrid>
        <w:gridCol w:w="708"/>
        <w:gridCol w:w="1560"/>
        <w:gridCol w:w="994"/>
        <w:gridCol w:w="1133"/>
        <w:gridCol w:w="1419"/>
        <w:gridCol w:w="1699"/>
        <w:gridCol w:w="1277"/>
      </w:tblGrid>
      <w:tr w14:paraId="61065EC0">
        <w:tblPrEx>
          <w:tblCellMar>
            <w:top w:w="0" w:type="dxa"/>
            <w:left w:w="0" w:type="dxa"/>
            <w:bottom w:w="0" w:type="dxa"/>
            <w:right w:w="0" w:type="dxa"/>
          </w:tblCellMar>
        </w:tblPrEx>
        <w:trPr>
          <w:trHeight w:val="415" w:hRule="exact"/>
        </w:trPr>
        <w:tc>
          <w:tcPr>
            <w:tcW w:w="708" w:type="dxa"/>
            <w:tcBorders>
              <w:top w:val="double" w:color="000000" w:sz="4" w:space="0"/>
              <w:left w:val="double" w:color="000000" w:sz="4" w:space="0"/>
              <w:bottom w:val="single" w:color="000000" w:sz="6" w:space="0"/>
              <w:right w:val="single" w:color="000000" w:sz="6" w:space="0"/>
            </w:tcBorders>
            <w:noWrap w:val="0"/>
            <w:vAlign w:val="top"/>
          </w:tcPr>
          <w:p w14:paraId="6E356DAA">
            <w:pPr>
              <w:autoSpaceDE w:val="0"/>
              <w:autoSpaceDN w:val="0"/>
              <w:snapToGrid w:val="0"/>
              <w:spacing w:line="360" w:lineRule="auto"/>
              <w:ind w:left="136"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序号</w:t>
            </w:r>
          </w:p>
        </w:tc>
        <w:tc>
          <w:tcPr>
            <w:tcW w:w="1560" w:type="dxa"/>
            <w:tcBorders>
              <w:top w:val="double" w:color="000000" w:sz="4" w:space="0"/>
              <w:left w:val="single" w:color="000000" w:sz="6" w:space="0"/>
              <w:bottom w:val="single" w:color="000000" w:sz="6" w:space="0"/>
              <w:right w:val="single" w:color="000000" w:sz="6" w:space="0"/>
            </w:tcBorders>
            <w:noWrap w:val="0"/>
            <w:vAlign w:val="center"/>
          </w:tcPr>
          <w:p w14:paraId="7A6F50EE">
            <w:pPr>
              <w:adjustRightInd w:val="0"/>
              <w:snapToGrid w:val="0"/>
              <w:spacing w:line="360" w:lineRule="auto"/>
              <w:ind w:left="0" w:leftChars="0" w:firstLine="0" w:firstLineChars="0"/>
              <w:jc w:val="center"/>
              <w:rPr>
                <w:rFonts w:hint="eastAsia" w:ascii="宋体" w:hAnsi="宋体" w:eastAsia="宋体" w:cs="Times New Roman"/>
                <w:color w:val="auto"/>
                <w:kern w:val="0"/>
                <w:position w:val="-1"/>
                <w:szCs w:val="21"/>
              </w:rPr>
            </w:pPr>
            <w:r>
              <w:rPr>
                <w:rFonts w:hint="eastAsia" w:ascii="宋体" w:hAnsi="宋体" w:eastAsia="宋体" w:cs="宋体"/>
                <w:color w:val="auto"/>
                <w:szCs w:val="21"/>
              </w:rPr>
              <w:t>服务名称</w:t>
            </w:r>
          </w:p>
        </w:tc>
        <w:tc>
          <w:tcPr>
            <w:tcW w:w="994" w:type="dxa"/>
            <w:tcBorders>
              <w:top w:val="double" w:color="000000" w:sz="4" w:space="0"/>
              <w:left w:val="single" w:color="000000" w:sz="6" w:space="0"/>
              <w:bottom w:val="single" w:color="000000" w:sz="6" w:space="0"/>
              <w:right w:val="single" w:color="000000" w:sz="6" w:space="0"/>
            </w:tcBorders>
            <w:noWrap w:val="0"/>
            <w:vAlign w:val="center"/>
          </w:tcPr>
          <w:p w14:paraId="1BD33AC7">
            <w:pPr>
              <w:adjustRightInd w:val="0"/>
              <w:snapToGrid w:val="0"/>
              <w:spacing w:line="360" w:lineRule="auto"/>
              <w:ind w:left="0" w:leftChars="0" w:firstLine="0" w:firstLineChars="0"/>
              <w:jc w:val="center"/>
              <w:rPr>
                <w:rFonts w:hint="eastAsia" w:ascii="宋体" w:hAnsi="宋体" w:eastAsia="宋体" w:cs="Times New Roman"/>
                <w:color w:val="auto"/>
                <w:kern w:val="0"/>
                <w:position w:val="-1"/>
                <w:szCs w:val="21"/>
              </w:rPr>
            </w:pPr>
            <w:r>
              <w:rPr>
                <w:rFonts w:hint="eastAsia" w:ascii="宋体" w:hAnsi="宋体" w:eastAsia="宋体" w:cs="宋体"/>
                <w:color w:val="auto"/>
                <w:szCs w:val="21"/>
              </w:rPr>
              <w:t>计量单位</w:t>
            </w:r>
          </w:p>
        </w:tc>
        <w:tc>
          <w:tcPr>
            <w:tcW w:w="1133" w:type="dxa"/>
            <w:tcBorders>
              <w:top w:val="double" w:color="000000" w:sz="4" w:space="0"/>
              <w:left w:val="single" w:color="000000" w:sz="6" w:space="0"/>
              <w:bottom w:val="single" w:color="000000" w:sz="6" w:space="0"/>
              <w:right w:val="single" w:color="000000" w:sz="6" w:space="0"/>
            </w:tcBorders>
            <w:noWrap w:val="0"/>
            <w:vAlign w:val="top"/>
          </w:tcPr>
          <w:p w14:paraId="1EBD15D7">
            <w:pPr>
              <w:autoSpaceDE w:val="0"/>
              <w:autoSpaceDN w:val="0"/>
              <w:snapToGrid w:val="0"/>
              <w:spacing w:line="360" w:lineRule="auto"/>
              <w:ind w:left="349"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数量</w:t>
            </w:r>
          </w:p>
        </w:tc>
        <w:tc>
          <w:tcPr>
            <w:tcW w:w="1419" w:type="dxa"/>
            <w:tcBorders>
              <w:top w:val="double" w:color="000000" w:sz="4" w:space="0"/>
              <w:left w:val="single" w:color="000000" w:sz="6" w:space="0"/>
              <w:bottom w:val="single" w:color="000000" w:sz="6" w:space="0"/>
              <w:right w:val="single" w:color="000000" w:sz="6" w:space="0"/>
            </w:tcBorders>
            <w:noWrap w:val="0"/>
            <w:vAlign w:val="top"/>
          </w:tcPr>
          <w:p w14:paraId="390C8288">
            <w:pPr>
              <w:autoSpaceDE w:val="0"/>
              <w:autoSpaceDN w:val="0"/>
              <w:snapToGrid w:val="0"/>
              <w:spacing w:line="360" w:lineRule="auto"/>
              <w:ind w:left="174"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单价（元）</w:t>
            </w:r>
          </w:p>
        </w:tc>
        <w:tc>
          <w:tcPr>
            <w:tcW w:w="1699" w:type="dxa"/>
            <w:tcBorders>
              <w:top w:val="double" w:color="000000" w:sz="4" w:space="0"/>
              <w:left w:val="single" w:color="000000" w:sz="6" w:space="0"/>
              <w:bottom w:val="single" w:color="000000" w:sz="6" w:space="0"/>
              <w:right w:val="single" w:color="000000" w:sz="6" w:space="0"/>
            </w:tcBorders>
            <w:noWrap w:val="0"/>
            <w:vAlign w:val="top"/>
          </w:tcPr>
          <w:p w14:paraId="261B26CD">
            <w:pPr>
              <w:autoSpaceDE w:val="0"/>
              <w:autoSpaceDN w:val="0"/>
              <w:snapToGrid w:val="0"/>
              <w:spacing w:line="360" w:lineRule="auto"/>
              <w:ind w:left="318"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总价（元）</w:t>
            </w:r>
          </w:p>
        </w:tc>
        <w:tc>
          <w:tcPr>
            <w:tcW w:w="1277" w:type="dxa"/>
            <w:tcBorders>
              <w:top w:val="double" w:color="000000" w:sz="4" w:space="0"/>
              <w:left w:val="single" w:color="000000" w:sz="6" w:space="0"/>
              <w:bottom w:val="single" w:color="000000" w:sz="6" w:space="0"/>
              <w:right w:val="double" w:color="000000" w:sz="4" w:space="0"/>
            </w:tcBorders>
            <w:noWrap w:val="0"/>
            <w:vAlign w:val="top"/>
          </w:tcPr>
          <w:p w14:paraId="46024B36">
            <w:pPr>
              <w:autoSpaceDE w:val="0"/>
              <w:autoSpaceDN w:val="0"/>
              <w:snapToGrid w:val="0"/>
              <w:spacing w:line="360" w:lineRule="auto"/>
              <w:ind w:left="422"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备注</w:t>
            </w:r>
          </w:p>
        </w:tc>
      </w:tr>
      <w:tr w14:paraId="66B33890">
        <w:tblPrEx>
          <w:tblCellMar>
            <w:top w:w="0" w:type="dxa"/>
            <w:left w:w="0" w:type="dxa"/>
            <w:bottom w:w="0" w:type="dxa"/>
            <w:right w:w="0" w:type="dxa"/>
          </w:tblCellMar>
        </w:tblPrEx>
        <w:trPr>
          <w:trHeight w:val="416"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1ED16961">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1</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7C2DA009">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7451A48C">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06F33F2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61E18609">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39007CA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restart"/>
            <w:tcBorders>
              <w:top w:val="single" w:color="000000" w:sz="6" w:space="0"/>
              <w:left w:val="single" w:color="000000" w:sz="6" w:space="0"/>
              <w:right w:val="double" w:color="000000" w:sz="4" w:space="0"/>
            </w:tcBorders>
            <w:noWrap w:val="0"/>
            <w:vAlign w:val="top"/>
          </w:tcPr>
          <w:p w14:paraId="2554BA12">
            <w:pPr>
              <w:autoSpaceDE w:val="0"/>
              <w:autoSpaceDN w:val="0"/>
              <w:snapToGrid w:val="0"/>
              <w:spacing w:line="360" w:lineRule="auto"/>
              <w:ind w:firstLine="0" w:firstLineChars="0"/>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价格含税费、人员工资、社会保险费、利润、管理费等完成项目所需的其他所有费用。</w:t>
            </w:r>
          </w:p>
        </w:tc>
      </w:tr>
      <w:tr w14:paraId="7D3E119E">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5F6C9819">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2</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26EEB08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7E3DF59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1A5C5222">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2C825C6D">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4D6375B6">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14A6C450">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604924D2">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5F258EFF">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3</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4A9C976C">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274B1E75">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3F5DED16">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3E6C610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1A2AC01F">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2500AB69">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073ECCFF">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75A164BB">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4</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2FFCCE96">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4C03A1E2">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6F8E3DFB">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6EBF60DF">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27752E0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27365553">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0F1E72E3">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1CDC8A66">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5</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31F58E9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564DBAF3">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23DB64C">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68F4C1D1">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60E0BC98">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3C008691">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4B2A6C5D">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55524625">
            <w:pPr>
              <w:autoSpaceDE w:val="0"/>
              <w:autoSpaceDN w:val="0"/>
              <w:snapToGrid w:val="0"/>
              <w:spacing w:line="360" w:lineRule="auto"/>
              <w:ind w:left="138" w:right="-20" w:firstLine="0" w:firstLineChars="0"/>
              <w:jc w:val="left"/>
              <w:rPr>
                <w:rFonts w:ascii="宋体" w:hAnsi="宋体" w:eastAsia="宋体" w:cs="Times New Roman"/>
                <w:color w:val="auto"/>
                <w:kern w:val="0"/>
                <w:szCs w:val="21"/>
              </w:rPr>
            </w:pPr>
            <w:r>
              <w:rPr>
                <w:rFonts w:ascii="宋体" w:hAnsi="宋体" w:eastAsia="宋体" w:cs="Times New Roman"/>
                <w:color w:val="auto"/>
                <w:kern w:val="0"/>
                <w:szCs w:val="21"/>
              </w:rPr>
              <w:t>……</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1EC7F89F">
            <w:pPr>
              <w:autoSpaceDE w:val="0"/>
              <w:autoSpaceDN w:val="0"/>
              <w:snapToGrid w:val="0"/>
              <w:spacing w:line="360" w:lineRule="auto"/>
              <w:ind w:left="527" w:right="507"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w:t>
            </w: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78192EF1">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6359DDF">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F77990C">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542B8B67">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62990B58">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3374EC70">
        <w:tblPrEx>
          <w:tblCellMar>
            <w:top w:w="0" w:type="dxa"/>
            <w:left w:w="0" w:type="dxa"/>
            <w:bottom w:w="0" w:type="dxa"/>
            <w:right w:w="0" w:type="dxa"/>
          </w:tblCellMar>
        </w:tblPrEx>
        <w:trPr>
          <w:trHeight w:val="415" w:hRule="exact"/>
        </w:trPr>
        <w:tc>
          <w:tcPr>
            <w:tcW w:w="5814" w:type="dxa"/>
            <w:gridSpan w:val="5"/>
            <w:tcBorders>
              <w:top w:val="single" w:color="000000" w:sz="6" w:space="0"/>
              <w:left w:val="double" w:color="000000" w:sz="4" w:space="0"/>
              <w:bottom w:val="double" w:color="000000" w:sz="4" w:space="0"/>
              <w:right w:val="single" w:color="000000" w:sz="6" w:space="0"/>
            </w:tcBorders>
            <w:noWrap w:val="0"/>
            <w:vAlign w:val="top"/>
          </w:tcPr>
          <w:p w14:paraId="161B6957">
            <w:pPr>
              <w:autoSpaceDE w:val="0"/>
              <w:autoSpaceDN w:val="0"/>
              <w:snapToGrid w:val="0"/>
              <w:spacing w:line="360" w:lineRule="auto"/>
              <w:ind w:left="2443" w:right="2423" w:firstLine="0" w:firstLineChars="0"/>
              <w:jc w:val="center"/>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合计报价</w:t>
            </w:r>
          </w:p>
        </w:tc>
        <w:tc>
          <w:tcPr>
            <w:tcW w:w="1699" w:type="dxa"/>
            <w:tcBorders>
              <w:top w:val="single" w:color="000000" w:sz="6" w:space="0"/>
              <w:left w:val="single" w:color="000000" w:sz="6" w:space="0"/>
              <w:bottom w:val="double" w:color="000000" w:sz="4" w:space="0"/>
              <w:right w:val="single" w:color="000000" w:sz="6" w:space="0"/>
            </w:tcBorders>
            <w:noWrap w:val="0"/>
            <w:vAlign w:val="top"/>
          </w:tcPr>
          <w:p w14:paraId="57EB116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bottom w:val="double" w:color="000000" w:sz="4" w:space="0"/>
              <w:right w:val="double" w:color="000000" w:sz="4" w:space="0"/>
            </w:tcBorders>
            <w:noWrap w:val="0"/>
            <w:vAlign w:val="top"/>
          </w:tcPr>
          <w:p w14:paraId="7ADC1E94">
            <w:pPr>
              <w:autoSpaceDE w:val="0"/>
              <w:autoSpaceDN w:val="0"/>
              <w:snapToGrid w:val="0"/>
              <w:spacing w:line="360" w:lineRule="auto"/>
              <w:ind w:firstLine="0" w:firstLineChars="0"/>
              <w:jc w:val="left"/>
              <w:rPr>
                <w:rFonts w:ascii="宋体" w:hAnsi="宋体" w:eastAsia="宋体" w:cs="Times New Roman"/>
                <w:color w:val="auto"/>
                <w:kern w:val="0"/>
                <w:szCs w:val="21"/>
              </w:rPr>
            </w:pPr>
          </w:p>
        </w:tc>
      </w:tr>
    </w:tbl>
    <w:p w14:paraId="381DE3E6">
      <w:pPr>
        <w:spacing w:line="360" w:lineRule="exact"/>
        <w:ind w:firstLine="211" w:firstLineChars="100"/>
        <w:rPr>
          <w:rFonts w:hint="eastAsia" w:ascii="宋体" w:hAnsi="宋体" w:eastAsia="宋体" w:cs="宋体"/>
          <w:b/>
          <w:bCs/>
          <w:color w:val="auto"/>
          <w:u w:val="single"/>
          <w:lang w:eastAsia="zh-CN"/>
        </w:rPr>
      </w:pPr>
    </w:p>
    <w:p w14:paraId="428C82FA">
      <w:pPr>
        <w:spacing w:line="360" w:lineRule="exact"/>
        <w:ind w:firstLine="241" w:firstLineChars="100"/>
        <w:rPr>
          <w:rFonts w:hint="eastAsia" w:ascii="宋体" w:hAnsi="宋体" w:eastAsia="宋体" w:cs="宋体"/>
          <w:b/>
          <w:bCs/>
          <w:color w:val="auto"/>
          <w:sz w:val="24"/>
        </w:rPr>
      </w:pPr>
      <w:r>
        <w:rPr>
          <w:rFonts w:hint="eastAsia" w:cs="宋体"/>
          <w:b/>
          <w:bCs/>
          <w:color w:val="auto"/>
          <w:sz w:val="24"/>
          <w:u w:val="single"/>
          <w:lang w:val="en-US" w:eastAsia="zh-CN"/>
        </w:rPr>
        <w:t>荷韵园小区</w:t>
      </w:r>
      <w:r>
        <w:rPr>
          <w:rFonts w:hint="eastAsia" w:ascii="宋体" w:hAnsi="宋体" w:eastAsia="宋体" w:cs="宋体"/>
          <w:b/>
          <w:bCs/>
          <w:color w:val="auto"/>
          <w:sz w:val="24"/>
          <w:u w:val="single"/>
          <w:lang w:val="en-US" w:eastAsia="zh-CN"/>
        </w:rPr>
        <w:t>:</w:t>
      </w:r>
      <w:r>
        <w:rPr>
          <w:rFonts w:hint="eastAsia" w:ascii="宋体" w:hAnsi="宋体" w:eastAsia="宋体" w:cs="宋体"/>
          <w:b/>
          <w:bCs/>
          <w:color w:val="auto"/>
          <w:sz w:val="24"/>
        </w:rPr>
        <w:t xml:space="preserve"> </w:t>
      </w:r>
    </w:p>
    <w:tbl>
      <w:tblPr>
        <w:tblStyle w:val="43"/>
        <w:tblW w:w="8790" w:type="dxa"/>
        <w:tblInd w:w="100" w:type="dxa"/>
        <w:tblLayout w:type="fixed"/>
        <w:tblCellMar>
          <w:top w:w="0" w:type="dxa"/>
          <w:left w:w="0" w:type="dxa"/>
          <w:bottom w:w="0" w:type="dxa"/>
          <w:right w:w="0" w:type="dxa"/>
        </w:tblCellMar>
      </w:tblPr>
      <w:tblGrid>
        <w:gridCol w:w="708"/>
        <w:gridCol w:w="1560"/>
        <w:gridCol w:w="994"/>
        <w:gridCol w:w="1133"/>
        <w:gridCol w:w="1419"/>
        <w:gridCol w:w="1699"/>
        <w:gridCol w:w="1277"/>
      </w:tblGrid>
      <w:tr w14:paraId="0C60F70A">
        <w:tblPrEx>
          <w:tblCellMar>
            <w:top w:w="0" w:type="dxa"/>
            <w:left w:w="0" w:type="dxa"/>
            <w:bottom w:w="0" w:type="dxa"/>
            <w:right w:w="0" w:type="dxa"/>
          </w:tblCellMar>
        </w:tblPrEx>
        <w:trPr>
          <w:trHeight w:val="415" w:hRule="exact"/>
        </w:trPr>
        <w:tc>
          <w:tcPr>
            <w:tcW w:w="708" w:type="dxa"/>
            <w:tcBorders>
              <w:top w:val="double" w:color="000000" w:sz="4" w:space="0"/>
              <w:left w:val="double" w:color="000000" w:sz="4" w:space="0"/>
              <w:bottom w:val="single" w:color="000000" w:sz="6" w:space="0"/>
              <w:right w:val="single" w:color="000000" w:sz="6" w:space="0"/>
            </w:tcBorders>
            <w:noWrap w:val="0"/>
            <w:vAlign w:val="top"/>
          </w:tcPr>
          <w:p w14:paraId="79D3A48E">
            <w:pPr>
              <w:autoSpaceDE w:val="0"/>
              <w:autoSpaceDN w:val="0"/>
              <w:snapToGrid w:val="0"/>
              <w:spacing w:line="360" w:lineRule="auto"/>
              <w:ind w:left="136"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序号</w:t>
            </w:r>
          </w:p>
        </w:tc>
        <w:tc>
          <w:tcPr>
            <w:tcW w:w="1560" w:type="dxa"/>
            <w:tcBorders>
              <w:top w:val="double" w:color="000000" w:sz="4" w:space="0"/>
              <w:left w:val="single" w:color="000000" w:sz="6" w:space="0"/>
              <w:bottom w:val="single" w:color="000000" w:sz="6" w:space="0"/>
              <w:right w:val="single" w:color="000000" w:sz="6" w:space="0"/>
            </w:tcBorders>
            <w:noWrap w:val="0"/>
            <w:vAlign w:val="center"/>
          </w:tcPr>
          <w:p w14:paraId="6719C193">
            <w:pPr>
              <w:adjustRightInd w:val="0"/>
              <w:snapToGrid w:val="0"/>
              <w:spacing w:line="360" w:lineRule="auto"/>
              <w:ind w:left="0" w:leftChars="0" w:firstLine="0" w:firstLineChars="0"/>
              <w:jc w:val="center"/>
              <w:rPr>
                <w:rFonts w:hint="eastAsia" w:ascii="宋体" w:hAnsi="宋体" w:eastAsia="宋体" w:cs="Times New Roman"/>
                <w:color w:val="auto"/>
                <w:kern w:val="0"/>
                <w:position w:val="-1"/>
                <w:szCs w:val="21"/>
              </w:rPr>
            </w:pPr>
            <w:r>
              <w:rPr>
                <w:rFonts w:hint="eastAsia" w:ascii="宋体" w:hAnsi="宋体" w:eastAsia="宋体" w:cs="宋体"/>
                <w:color w:val="auto"/>
                <w:szCs w:val="21"/>
              </w:rPr>
              <w:t>服务名称</w:t>
            </w:r>
          </w:p>
        </w:tc>
        <w:tc>
          <w:tcPr>
            <w:tcW w:w="994" w:type="dxa"/>
            <w:tcBorders>
              <w:top w:val="double" w:color="000000" w:sz="4" w:space="0"/>
              <w:left w:val="single" w:color="000000" w:sz="6" w:space="0"/>
              <w:bottom w:val="single" w:color="000000" w:sz="6" w:space="0"/>
              <w:right w:val="single" w:color="000000" w:sz="6" w:space="0"/>
            </w:tcBorders>
            <w:noWrap w:val="0"/>
            <w:vAlign w:val="center"/>
          </w:tcPr>
          <w:p w14:paraId="62A54B62">
            <w:pPr>
              <w:adjustRightInd w:val="0"/>
              <w:snapToGrid w:val="0"/>
              <w:spacing w:line="360" w:lineRule="auto"/>
              <w:ind w:left="0" w:leftChars="0" w:firstLine="0" w:firstLineChars="0"/>
              <w:jc w:val="center"/>
              <w:rPr>
                <w:rFonts w:hint="eastAsia" w:ascii="宋体" w:hAnsi="宋体" w:eastAsia="宋体" w:cs="Times New Roman"/>
                <w:color w:val="auto"/>
                <w:kern w:val="0"/>
                <w:position w:val="-1"/>
                <w:szCs w:val="21"/>
              </w:rPr>
            </w:pPr>
            <w:r>
              <w:rPr>
                <w:rFonts w:hint="eastAsia" w:ascii="宋体" w:hAnsi="宋体" w:eastAsia="宋体" w:cs="宋体"/>
                <w:color w:val="auto"/>
                <w:szCs w:val="21"/>
              </w:rPr>
              <w:t>计量单位</w:t>
            </w:r>
          </w:p>
        </w:tc>
        <w:tc>
          <w:tcPr>
            <w:tcW w:w="1133" w:type="dxa"/>
            <w:tcBorders>
              <w:top w:val="double" w:color="000000" w:sz="4" w:space="0"/>
              <w:left w:val="single" w:color="000000" w:sz="6" w:space="0"/>
              <w:bottom w:val="single" w:color="000000" w:sz="6" w:space="0"/>
              <w:right w:val="single" w:color="000000" w:sz="6" w:space="0"/>
            </w:tcBorders>
            <w:noWrap w:val="0"/>
            <w:vAlign w:val="top"/>
          </w:tcPr>
          <w:p w14:paraId="7CE10673">
            <w:pPr>
              <w:autoSpaceDE w:val="0"/>
              <w:autoSpaceDN w:val="0"/>
              <w:snapToGrid w:val="0"/>
              <w:spacing w:line="360" w:lineRule="auto"/>
              <w:ind w:left="349"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数量</w:t>
            </w:r>
          </w:p>
        </w:tc>
        <w:tc>
          <w:tcPr>
            <w:tcW w:w="1419" w:type="dxa"/>
            <w:tcBorders>
              <w:top w:val="double" w:color="000000" w:sz="4" w:space="0"/>
              <w:left w:val="single" w:color="000000" w:sz="6" w:space="0"/>
              <w:bottom w:val="single" w:color="000000" w:sz="6" w:space="0"/>
              <w:right w:val="single" w:color="000000" w:sz="6" w:space="0"/>
            </w:tcBorders>
            <w:noWrap w:val="0"/>
            <w:vAlign w:val="top"/>
          </w:tcPr>
          <w:p w14:paraId="5CC1DDCD">
            <w:pPr>
              <w:autoSpaceDE w:val="0"/>
              <w:autoSpaceDN w:val="0"/>
              <w:snapToGrid w:val="0"/>
              <w:spacing w:line="360" w:lineRule="auto"/>
              <w:ind w:left="174"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单价（元）</w:t>
            </w:r>
          </w:p>
        </w:tc>
        <w:tc>
          <w:tcPr>
            <w:tcW w:w="1699" w:type="dxa"/>
            <w:tcBorders>
              <w:top w:val="double" w:color="000000" w:sz="4" w:space="0"/>
              <w:left w:val="single" w:color="000000" w:sz="6" w:space="0"/>
              <w:bottom w:val="single" w:color="000000" w:sz="6" w:space="0"/>
              <w:right w:val="single" w:color="000000" w:sz="6" w:space="0"/>
            </w:tcBorders>
            <w:noWrap w:val="0"/>
            <w:vAlign w:val="top"/>
          </w:tcPr>
          <w:p w14:paraId="7FC09768">
            <w:pPr>
              <w:autoSpaceDE w:val="0"/>
              <w:autoSpaceDN w:val="0"/>
              <w:snapToGrid w:val="0"/>
              <w:spacing w:line="360" w:lineRule="auto"/>
              <w:ind w:left="318"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总价（元）</w:t>
            </w:r>
          </w:p>
        </w:tc>
        <w:tc>
          <w:tcPr>
            <w:tcW w:w="1277" w:type="dxa"/>
            <w:tcBorders>
              <w:top w:val="double" w:color="000000" w:sz="4" w:space="0"/>
              <w:left w:val="single" w:color="000000" w:sz="6" w:space="0"/>
              <w:bottom w:val="single" w:color="000000" w:sz="6" w:space="0"/>
              <w:right w:val="double" w:color="000000" w:sz="4" w:space="0"/>
            </w:tcBorders>
            <w:noWrap w:val="0"/>
            <w:vAlign w:val="top"/>
          </w:tcPr>
          <w:p w14:paraId="1B22337F">
            <w:pPr>
              <w:autoSpaceDE w:val="0"/>
              <w:autoSpaceDN w:val="0"/>
              <w:snapToGrid w:val="0"/>
              <w:spacing w:line="360" w:lineRule="auto"/>
              <w:ind w:left="422" w:right="-20" w:firstLine="0" w:firstLineChars="0"/>
              <w:jc w:val="left"/>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备注</w:t>
            </w:r>
          </w:p>
        </w:tc>
      </w:tr>
      <w:tr w14:paraId="3F0EE10A">
        <w:tblPrEx>
          <w:tblCellMar>
            <w:top w:w="0" w:type="dxa"/>
            <w:left w:w="0" w:type="dxa"/>
            <w:bottom w:w="0" w:type="dxa"/>
            <w:right w:w="0" w:type="dxa"/>
          </w:tblCellMar>
        </w:tblPrEx>
        <w:trPr>
          <w:trHeight w:val="416"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6957AE04">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1</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1DD14150">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0036DDF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6743EF6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6BA57D46">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11C365B6">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restart"/>
            <w:tcBorders>
              <w:top w:val="single" w:color="000000" w:sz="6" w:space="0"/>
              <w:left w:val="single" w:color="000000" w:sz="6" w:space="0"/>
              <w:right w:val="double" w:color="000000" w:sz="4" w:space="0"/>
            </w:tcBorders>
            <w:noWrap w:val="0"/>
            <w:vAlign w:val="top"/>
          </w:tcPr>
          <w:p w14:paraId="6FB0E342">
            <w:pPr>
              <w:autoSpaceDE w:val="0"/>
              <w:autoSpaceDN w:val="0"/>
              <w:snapToGrid w:val="0"/>
              <w:spacing w:line="360" w:lineRule="auto"/>
              <w:ind w:firstLine="0" w:firstLineChars="0"/>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价格含税费、人员工资、社会保险费、利润、管理费等完成项目所需的其他所有费用。</w:t>
            </w:r>
          </w:p>
        </w:tc>
      </w:tr>
      <w:tr w14:paraId="05B6615A">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6425B0D3">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2</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34D69473">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653B52A7">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6037649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1CA60876">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2C2492BC">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362156AF">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68A45930">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3C5B46CD">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3</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2BABF7A1">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7D12CD1F">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4CA52FCF">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775504FD">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70470A8E">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62F587DF">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514EEE03">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237A5E58">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4</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731B88AF">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20B6443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2D2F8B81">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0E23327E">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2A71D19B">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3657E488">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0523A710">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15108CCD">
            <w:pPr>
              <w:autoSpaceDE w:val="0"/>
              <w:autoSpaceDN w:val="0"/>
              <w:snapToGrid w:val="0"/>
              <w:spacing w:line="360" w:lineRule="auto"/>
              <w:ind w:left="258" w:right="241"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5</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6905DB75">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4F7FC02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5DC49565">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F54AE80">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26FE33B8">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40E48E8E">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66862578">
        <w:tblPrEx>
          <w:tblCellMar>
            <w:top w:w="0" w:type="dxa"/>
            <w:left w:w="0" w:type="dxa"/>
            <w:bottom w:w="0" w:type="dxa"/>
            <w:right w:w="0" w:type="dxa"/>
          </w:tblCellMar>
        </w:tblPrEx>
        <w:trPr>
          <w:trHeight w:val="415" w:hRule="exact"/>
        </w:trPr>
        <w:tc>
          <w:tcPr>
            <w:tcW w:w="708" w:type="dxa"/>
            <w:tcBorders>
              <w:top w:val="single" w:color="000000" w:sz="6" w:space="0"/>
              <w:left w:val="double" w:color="000000" w:sz="4" w:space="0"/>
              <w:bottom w:val="single" w:color="000000" w:sz="6" w:space="0"/>
              <w:right w:val="single" w:color="000000" w:sz="6" w:space="0"/>
            </w:tcBorders>
            <w:noWrap w:val="0"/>
            <w:vAlign w:val="top"/>
          </w:tcPr>
          <w:p w14:paraId="0ACB4B70">
            <w:pPr>
              <w:autoSpaceDE w:val="0"/>
              <w:autoSpaceDN w:val="0"/>
              <w:snapToGrid w:val="0"/>
              <w:spacing w:line="360" w:lineRule="auto"/>
              <w:ind w:left="138" w:right="-20" w:firstLine="0" w:firstLineChars="0"/>
              <w:jc w:val="left"/>
              <w:rPr>
                <w:rFonts w:ascii="宋体" w:hAnsi="宋体" w:eastAsia="宋体" w:cs="Times New Roman"/>
                <w:color w:val="auto"/>
                <w:kern w:val="0"/>
                <w:szCs w:val="21"/>
              </w:rPr>
            </w:pPr>
            <w:r>
              <w:rPr>
                <w:rFonts w:ascii="宋体" w:hAnsi="宋体" w:eastAsia="宋体" w:cs="Times New Roman"/>
                <w:color w:val="auto"/>
                <w:kern w:val="0"/>
                <w:szCs w:val="21"/>
              </w:rPr>
              <w:t>……</w:t>
            </w:r>
          </w:p>
        </w:tc>
        <w:tc>
          <w:tcPr>
            <w:tcW w:w="1560" w:type="dxa"/>
            <w:tcBorders>
              <w:top w:val="single" w:color="000000" w:sz="6" w:space="0"/>
              <w:left w:val="single" w:color="000000" w:sz="6" w:space="0"/>
              <w:bottom w:val="single" w:color="000000" w:sz="6" w:space="0"/>
              <w:right w:val="single" w:color="000000" w:sz="6" w:space="0"/>
            </w:tcBorders>
            <w:noWrap w:val="0"/>
            <w:vAlign w:val="top"/>
          </w:tcPr>
          <w:p w14:paraId="31078A47">
            <w:pPr>
              <w:autoSpaceDE w:val="0"/>
              <w:autoSpaceDN w:val="0"/>
              <w:snapToGrid w:val="0"/>
              <w:spacing w:line="360" w:lineRule="auto"/>
              <w:ind w:left="527" w:right="507" w:firstLine="0" w:firstLineChars="0"/>
              <w:jc w:val="center"/>
              <w:rPr>
                <w:rFonts w:ascii="宋体" w:hAnsi="宋体" w:eastAsia="宋体" w:cs="Times New Roman"/>
                <w:color w:val="auto"/>
                <w:kern w:val="0"/>
                <w:szCs w:val="21"/>
              </w:rPr>
            </w:pPr>
            <w:r>
              <w:rPr>
                <w:rFonts w:ascii="宋体" w:hAnsi="宋体" w:eastAsia="宋体" w:cs="Times New Roman"/>
                <w:color w:val="auto"/>
                <w:kern w:val="0"/>
                <w:szCs w:val="21"/>
              </w:rPr>
              <w:t>……</w:t>
            </w: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7B46EBF4">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0D172EA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54BC9A83">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699" w:type="dxa"/>
            <w:tcBorders>
              <w:top w:val="single" w:color="000000" w:sz="6" w:space="0"/>
              <w:left w:val="single" w:color="000000" w:sz="6" w:space="0"/>
              <w:bottom w:val="single" w:color="000000" w:sz="6" w:space="0"/>
              <w:right w:val="single" w:color="000000" w:sz="6" w:space="0"/>
            </w:tcBorders>
            <w:noWrap w:val="0"/>
            <w:vAlign w:val="top"/>
          </w:tcPr>
          <w:p w14:paraId="6C89DFC9">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right w:val="double" w:color="000000" w:sz="4" w:space="0"/>
            </w:tcBorders>
            <w:noWrap w:val="0"/>
            <w:vAlign w:val="top"/>
          </w:tcPr>
          <w:p w14:paraId="3DAE4785">
            <w:pPr>
              <w:autoSpaceDE w:val="0"/>
              <w:autoSpaceDN w:val="0"/>
              <w:snapToGrid w:val="0"/>
              <w:spacing w:line="360" w:lineRule="auto"/>
              <w:ind w:firstLine="0" w:firstLineChars="0"/>
              <w:jc w:val="left"/>
              <w:rPr>
                <w:rFonts w:ascii="宋体" w:hAnsi="宋体" w:eastAsia="宋体" w:cs="Times New Roman"/>
                <w:color w:val="auto"/>
                <w:kern w:val="0"/>
                <w:szCs w:val="21"/>
              </w:rPr>
            </w:pPr>
          </w:p>
        </w:tc>
      </w:tr>
      <w:tr w14:paraId="574A697D">
        <w:tblPrEx>
          <w:tblCellMar>
            <w:top w:w="0" w:type="dxa"/>
            <w:left w:w="0" w:type="dxa"/>
            <w:bottom w:w="0" w:type="dxa"/>
            <w:right w:w="0" w:type="dxa"/>
          </w:tblCellMar>
        </w:tblPrEx>
        <w:trPr>
          <w:trHeight w:val="415" w:hRule="exact"/>
        </w:trPr>
        <w:tc>
          <w:tcPr>
            <w:tcW w:w="5814" w:type="dxa"/>
            <w:gridSpan w:val="5"/>
            <w:tcBorders>
              <w:top w:val="single" w:color="000000" w:sz="6" w:space="0"/>
              <w:left w:val="double" w:color="000000" w:sz="4" w:space="0"/>
              <w:bottom w:val="double" w:color="000000" w:sz="4" w:space="0"/>
              <w:right w:val="single" w:color="000000" w:sz="6" w:space="0"/>
            </w:tcBorders>
            <w:noWrap w:val="0"/>
            <w:vAlign w:val="top"/>
          </w:tcPr>
          <w:p w14:paraId="122D56F8">
            <w:pPr>
              <w:autoSpaceDE w:val="0"/>
              <w:autoSpaceDN w:val="0"/>
              <w:snapToGrid w:val="0"/>
              <w:spacing w:line="360" w:lineRule="auto"/>
              <w:ind w:left="2443" w:right="2423" w:firstLine="0" w:firstLineChars="0"/>
              <w:jc w:val="center"/>
              <w:rPr>
                <w:rFonts w:hint="eastAsia" w:ascii="宋体" w:hAnsi="宋体" w:eastAsia="宋体" w:cs="Times New Roman"/>
                <w:color w:val="auto"/>
                <w:kern w:val="0"/>
                <w:position w:val="-1"/>
                <w:szCs w:val="21"/>
              </w:rPr>
            </w:pPr>
            <w:r>
              <w:rPr>
                <w:rFonts w:hint="eastAsia" w:ascii="宋体" w:hAnsi="宋体" w:eastAsia="宋体" w:cs="Times New Roman"/>
                <w:color w:val="auto"/>
                <w:kern w:val="0"/>
                <w:position w:val="-1"/>
                <w:szCs w:val="21"/>
              </w:rPr>
              <w:t>合计报价</w:t>
            </w:r>
          </w:p>
        </w:tc>
        <w:tc>
          <w:tcPr>
            <w:tcW w:w="1699" w:type="dxa"/>
            <w:tcBorders>
              <w:top w:val="single" w:color="000000" w:sz="6" w:space="0"/>
              <w:left w:val="single" w:color="000000" w:sz="6" w:space="0"/>
              <w:bottom w:val="double" w:color="000000" w:sz="4" w:space="0"/>
              <w:right w:val="single" w:color="000000" w:sz="6" w:space="0"/>
            </w:tcBorders>
            <w:noWrap w:val="0"/>
            <w:vAlign w:val="top"/>
          </w:tcPr>
          <w:p w14:paraId="4CFE8CCA">
            <w:pPr>
              <w:autoSpaceDE w:val="0"/>
              <w:autoSpaceDN w:val="0"/>
              <w:snapToGrid w:val="0"/>
              <w:spacing w:line="360" w:lineRule="auto"/>
              <w:ind w:firstLine="0" w:firstLineChars="0"/>
              <w:jc w:val="left"/>
              <w:rPr>
                <w:rFonts w:ascii="宋体" w:hAnsi="宋体" w:eastAsia="宋体" w:cs="Times New Roman"/>
                <w:color w:val="auto"/>
                <w:kern w:val="0"/>
                <w:szCs w:val="21"/>
              </w:rPr>
            </w:pPr>
          </w:p>
        </w:tc>
        <w:tc>
          <w:tcPr>
            <w:tcW w:w="1277" w:type="dxa"/>
            <w:vMerge w:val="continue"/>
            <w:tcBorders>
              <w:left w:val="single" w:color="000000" w:sz="6" w:space="0"/>
              <w:bottom w:val="double" w:color="000000" w:sz="4" w:space="0"/>
              <w:right w:val="double" w:color="000000" w:sz="4" w:space="0"/>
            </w:tcBorders>
            <w:noWrap w:val="0"/>
            <w:vAlign w:val="top"/>
          </w:tcPr>
          <w:p w14:paraId="102A67AC">
            <w:pPr>
              <w:autoSpaceDE w:val="0"/>
              <w:autoSpaceDN w:val="0"/>
              <w:snapToGrid w:val="0"/>
              <w:spacing w:line="360" w:lineRule="auto"/>
              <w:ind w:firstLine="0" w:firstLineChars="0"/>
              <w:jc w:val="left"/>
              <w:rPr>
                <w:rFonts w:ascii="宋体" w:hAnsi="宋体" w:eastAsia="宋体" w:cs="Times New Roman"/>
                <w:color w:val="auto"/>
                <w:kern w:val="0"/>
                <w:szCs w:val="21"/>
              </w:rPr>
            </w:pPr>
          </w:p>
        </w:tc>
      </w:tr>
    </w:tbl>
    <w:p w14:paraId="7FAE76A4">
      <w:pPr>
        <w:spacing w:line="360" w:lineRule="exact"/>
        <w:ind w:firstLine="210" w:firstLineChars="100"/>
        <w:rPr>
          <w:color w:val="auto"/>
        </w:rPr>
      </w:pPr>
      <w:r>
        <w:rPr>
          <w:rFonts w:hint="eastAsia"/>
          <w:color w:val="auto"/>
        </w:rPr>
        <w:t xml:space="preserve">                                             </w:t>
      </w:r>
    </w:p>
    <w:p w14:paraId="5ED81ACE">
      <w:pPr>
        <w:adjustRightInd w:val="0"/>
        <w:snapToGrid w:val="0"/>
        <w:spacing w:line="360" w:lineRule="auto"/>
        <w:ind w:firstLine="0" w:firstLineChars="0"/>
        <w:rPr>
          <w:color w:val="auto"/>
          <w:u w:val="single"/>
        </w:rPr>
      </w:pPr>
      <w:r>
        <w:rPr>
          <w:rFonts w:hint="eastAsia"/>
          <w:color w:val="auto"/>
        </w:rPr>
        <w:t>报价金额合计：</w:t>
      </w:r>
      <w:r>
        <w:rPr>
          <w:rFonts w:hint="eastAsia" w:ascii="宋体" w:hAnsi="宋体" w:eastAsia="宋体" w:cs="宋体"/>
          <w:color w:val="auto"/>
          <w:szCs w:val="21"/>
        </w:rPr>
        <w:t>小写：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58056AA3">
      <w:pPr>
        <w:rPr>
          <w:rFonts w:hint="default" w:ascii="宋体" w:hAnsi="宋体" w:eastAsia="宋体" w:cs="宋体"/>
          <w:b/>
          <w:bCs/>
          <w:color w:val="auto"/>
          <w:kern w:val="0"/>
          <w:lang w:val="en-US" w:eastAsia="zh-CN"/>
        </w:rPr>
      </w:pPr>
      <w:r>
        <w:rPr>
          <w:rFonts w:hint="eastAsia" w:ascii="宋体" w:hAnsi="宋体" w:eastAsia="宋体" w:cs="宋体"/>
          <w:b/>
          <w:bCs/>
          <w:color w:val="auto"/>
        </w:rPr>
        <w:t>说明：</w:t>
      </w:r>
      <w:r>
        <w:rPr>
          <w:rFonts w:hint="eastAsia" w:ascii="宋体" w:hAnsi="宋体" w:eastAsia="宋体" w:cs="宋体"/>
          <w:b/>
          <w:bCs/>
          <w:color w:val="auto"/>
          <w:kern w:val="0"/>
        </w:rPr>
        <w:t>1、</w:t>
      </w:r>
      <w:r>
        <w:rPr>
          <w:rFonts w:hint="eastAsia" w:ascii="宋体" w:hAnsi="宋体" w:eastAsia="宋体" w:cs="宋体"/>
          <w:b/>
          <w:bCs/>
          <w:color w:val="auto"/>
          <w:kern w:val="0"/>
          <w:lang w:val="en-US" w:eastAsia="zh-CN"/>
        </w:rPr>
        <w:t>应按第四章采购需求规定的《人员配备表》进行分项报价，如未按该要求报价，供应商应在第二轮报价时无条件进行调整，按《人员配备表》进行分项报价。</w:t>
      </w:r>
    </w:p>
    <w:p w14:paraId="3BDF019A">
      <w:pPr>
        <w:rPr>
          <w:color w:val="auto"/>
          <w:kern w:val="0"/>
        </w:rPr>
      </w:pPr>
      <w:r>
        <w:rPr>
          <w:rFonts w:hint="eastAsia" w:ascii="宋体" w:hAnsi="宋体" w:eastAsia="宋体" w:cs="宋体"/>
          <w:color w:val="auto"/>
          <w:lang w:val="en-US" w:eastAsia="zh-CN"/>
        </w:rPr>
        <w:t>2</w:t>
      </w:r>
      <w:r>
        <w:rPr>
          <w:rFonts w:hint="eastAsia" w:ascii="宋体" w:hAnsi="宋体" w:eastAsia="宋体" w:cs="宋体"/>
          <w:color w:val="auto"/>
          <w:kern w:val="0"/>
        </w:rPr>
        <w:t>、本表包含磋商文件第四章《采购需求》或其他部分对该项目所有要求的详细报价。“合计”及“报价金额合计”应与附件8《报价一览表》“报价”一致；栏目“单价”为综合单价，应包含所有隐含的管理费、税金和利润等其他费用，并在“具体要求说明”中注明分类项取费标准和其他费用的计费率和金额</w:t>
      </w:r>
      <w:r>
        <w:rPr>
          <w:rFonts w:hint="eastAsia"/>
          <w:color w:val="auto"/>
          <w:kern w:val="0"/>
        </w:rPr>
        <w:t>。</w:t>
      </w:r>
    </w:p>
    <w:p w14:paraId="7CC3B264">
      <w:pPr>
        <w:rPr>
          <w:color w:val="auto"/>
        </w:rPr>
      </w:pPr>
    </w:p>
    <w:p w14:paraId="21AD6151">
      <w:pPr>
        <w:rPr>
          <w:rFonts w:hint="eastAsia" w:ascii="宋体" w:hAnsi="宋体" w:cs="宋体"/>
          <w:b/>
          <w:color w:val="auto"/>
          <w:sz w:val="32"/>
          <w:szCs w:val="32"/>
        </w:rPr>
      </w:pPr>
      <w:r>
        <w:rPr>
          <w:rFonts w:hint="eastAsia" w:ascii="宋体" w:hAnsi="宋体" w:cs="宋体"/>
          <w:b/>
          <w:color w:val="auto"/>
          <w:sz w:val="32"/>
          <w:szCs w:val="32"/>
        </w:rPr>
        <w:br w:type="page"/>
      </w:r>
    </w:p>
    <w:p w14:paraId="76F27207">
      <w:pPr>
        <w:adjustRightInd w:val="0"/>
        <w:snapToGrid w:val="0"/>
        <w:spacing w:line="360" w:lineRule="auto"/>
        <w:ind w:left="-88" w:leftChars="-42" w:firstLine="0" w:firstLineChars="0"/>
        <w:jc w:val="center"/>
        <w:rPr>
          <w:rFonts w:hint="eastAsia" w:ascii="宋体" w:hAnsi="宋体" w:cs="宋体"/>
          <w:b/>
          <w:color w:val="auto"/>
          <w:sz w:val="32"/>
          <w:szCs w:val="32"/>
        </w:rPr>
      </w:pPr>
    </w:p>
    <w:p w14:paraId="1D7A20BB">
      <w:pPr>
        <w:adjustRightInd w:val="0"/>
        <w:snapToGrid w:val="0"/>
        <w:spacing w:line="360" w:lineRule="auto"/>
        <w:ind w:left="-88" w:leftChars="-42" w:firstLine="0" w:firstLineChars="0"/>
        <w:jc w:val="center"/>
        <w:rPr>
          <w:rFonts w:ascii="宋体" w:hAnsi="宋体" w:cs="宋体"/>
          <w:color w:val="auto"/>
          <w:sz w:val="28"/>
          <w:szCs w:val="28"/>
        </w:rPr>
      </w:pPr>
      <w:r>
        <w:rPr>
          <w:rFonts w:hint="eastAsia" w:ascii="宋体" w:hAnsi="宋体" w:cs="宋体"/>
          <w:b/>
          <w:color w:val="auto"/>
          <w:sz w:val="32"/>
          <w:szCs w:val="32"/>
        </w:rPr>
        <w:t>六</w:t>
      </w:r>
      <w:r>
        <w:rPr>
          <w:rFonts w:hint="eastAsia" w:ascii="宋体" w:hAnsi="宋体" w:cs="宋体"/>
          <w:b/>
          <w:bCs/>
          <w:color w:val="auto"/>
          <w:sz w:val="32"/>
          <w:szCs w:val="32"/>
        </w:rPr>
        <w:t>、供应商认为需要提供的其</w:t>
      </w:r>
      <w:r>
        <w:rPr>
          <w:rFonts w:hint="eastAsia" w:ascii="宋体" w:hAnsi="宋体" w:cs="宋体"/>
          <w:b/>
          <w:bCs/>
          <w:color w:val="auto"/>
          <w:sz w:val="32"/>
          <w:szCs w:val="32"/>
          <w:lang w:val="en-US" w:eastAsia="zh-CN"/>
        </w:rPr>
        <w:t>他</w:t>
      </w:r>
      <w:r>
        <w:rPr>
          <w:rFonts w:hint="eastAsia" w:ascii="宋体" w:hAnsi="宋体" w:cs="宋体"/>
          <w:b/>
          <w:bCs/>
          <w:color w:val="auto"/>
          <w:sz w:val="32"/>
          <w:szCs w:val="32"/>
        </w:rPr>
        <w:t>资料</w:t>
      </w:r>
    </w:p>
    <w:p w14:paraId="638C1FCA">
      <w:pPr>
        <w:adjustRightInd w:val="0"/>
        <w:snapToGrid w:val="0"/>
        <w:spacing w:line="360" w:lineRule="auto"/>
        <w:ind w:firstLine="420" w:firstLineChars="200"/>
        <w:rPr>
          <w:rFonts w:ascii="宋体" w:hAnsi="宋体" w:cs="宋体"/>
          <w:color w:val="auto"/>
        </w:rPr>
      </w:pPr>
    </w:p>
    <w:p w14:paraId="6FDE0CF4">
      <w:pPr>
        <w:rPr>
          <w:color w:val="auto"/>
        </w:rPr>
      </w:pPr>
    </w:p>
    <w:p w14:paraId="6D2FF282">
      <w:pPr>
        <w:rPr>
          <w:color w:val="auto"/>
        </w:rPr>
      </w:pPr>
    </w:p>
    <w:p w14:paraId="246CE644">
      <w:pPr>
        <w:rPr>
          <w:color w:val="auto"/>
        </w:rPr>
      </w:pPr>
    </w:p>
    <w:p w14:paraId="2DDF9186">
      <w:pPr>
        <w:rPr>
          <w:color w:val="auto"/>
        </w:rPr>
      </w:pPr>
    </w:p>
    <w:p w14:paraId="55940EC8">
      <w:pPr>
        <w:rPr>
          <w:color w:val="auto"/>
        </w:rPr>
      </w:pPr>
    </w:p>
    <w:p w14:paraId="7C82BEDD">
      <w:pPr>
        <w:rPr>
          <w:color w:val="auto"/>
        </w:rPr>
      </w:pPr>
    </w:p>
    <w:p w14:paraId="5791BA9D">
      <w:pPr>
        <w:rPr>
          <w:color w:val="auto"/>
        </w:rPr>
      </w:pPr>
    </w:p>
    <w:p w14:paraId="71CB8A1D">
      <w:pPr>
        <w:rPr>
          <w:color w:val="auto"/>
        </w:rPr>
      </w:pPr>
    </w:p>
    <w:p w14:paraId="7C19E436">
      <w:pPr>
        <w:rPr>
          <w:color w:val="auto"/>
        </w:rPr>
      </w:pPr>
    </w:p>
    <w:p w14:paraId="65B4AD86">
      <w:pPr>
        <w:rPr>
          <w:color w:val="auto"/>
        </w:rPr>
      </w:pPr>
    </w:p>
    <w:p w14:paraId="205E3EA8">
      <w:pPr>
        <w:rPr>
          <w:color w:val="auto"/>
        </w:rPr>
      </w:pPr>
    </w:p>
    <w:p w14:paraId="35931A61">
      <w:pPr>
        <w:rPr>
          <w:color w:val="auto"/>
        </w:rPr>
      </w:pPr>
    </w:p>
    <w:p w14:paraId="520699B1">
      <w:pPr>
        <w:rPr>
          <w:color w:val="auto"/>
        </w:rPr>
      </w:pPr>
    </w:p>
    <w:p w14:paraId="3A0B8C17">
      <w:pPr>
        <w:rPr>
          <w:color w:val="auto"/>
        </w:rPr>
      </w:pPr>
    </w:p>
    <w:p w14:paraId="4DE02529">
      <w:pPr>
        <w:rPr>
          <w:color w:val="auto"/>
        </w:rPr>
      </w:pPr>
    </w:p>
    <w:p w14:paraId="268AD0CF">
      <w:pPr>
        <w:rPr>
          <w:color w:val="auto"/>
        </w:rPr>
      </w:pPr>
    </w:p>
    <w:p w14:paraId="2A8AC5E4">
      <w:pPr>
        <w:rPr>
          <w:color w:val="auto"/>
        </w:rPr>
      </w:pPr>
    </w:p>
    <w:p w14:paraId="62300F4E">
      <w:pPr>
        <w:rPr>
          <w:color w:val="auto"/>
        </w:rPr>
      </w:pPr>
    </w:p>
    <w:p w14:paraId="593A9D14">
      <w:pPr>
        <w:rPr>
          <w:color w:val="auto"/>
        </w:rPr>
      </w:pPr>
    </w:p>
    <w:p w14:paraId="007CEEA2">
      <w:pPr>
        <w:rPr>
          <w:color w:val="auto"/>
        </w:rPr>
      </w:pPr>
    </w:p>
    <w:p w14:paraId="54F28511">
      <w:pPr>
        <w:rPr>
          <w:color w:val="auto"/>
        </w:rPr>
      </w:pPr>
    </w:p>
    <w:p w14:paraId="372A3968">
      <w:pPr>
        <w:rPr>
          <w:color w:val="auto"/>
        </w:rPr>
      </w:pPr>
    </w:p>
    <w:p w14:paraId="2574712F">
      <w:pPr>
        <w:rPr>
          <w:color w:val="auto"/>
        </w:rPr>
      </w:pPr>
    </w:p>
    <w:p w14:paraId="74738C93">
      <w:pPr>
        <w:adjustRightInd w:val="0"/>
        <w:snapToGrid w:val="0"/>
        <w:spacing w:beforeLines="50" w:line="360" w:lineRule="auto"/>
        <w:ind w:firstLine="0" w:firstLineChars="0"/>
        <w:jc w:val="center"/>
        <w:rPr>
          <w:rFonts w:ascii="宋体" w:hAnsi="宋体" w:cs="宋体"/>
          <w:b/>
          <w:color w:val="auto"/>
          <w:sz w:val="32"/>
          <w:szCs w:val="32"/>
        </w:rPr>
      </w:pPr>
      <w:r>
        <w:rPr>
          <w:rFonts w:hint="eastAsia"/>
          <w:bCs/>
          <w:color w:val="auto"/>
          <w:szCs w:val="21"/>
        </w:rPr>
        <w:br w:type="page"/>
      </w:r>
      <w:r>
        <w:rPr>
          <w:rFonts w:hint="eastAsia" w:ascii="宋体" w:hAnsi="宋体" w:cs="宋体"/>
          <w:b/>
          <w:color w:val="auto"/>
          <w:sz w:val="32"/>
          <w:szCs w:val="32"/>
        </w:rPr>
        <w:t>七、最后报价</w:t>
      </w:r>
    </w:p>
    <w:p w14:paraId="6E3827B8">
      <w:pPr>
        <w:adjustRightInd w:val="0"/>
        <w:snapToGrid w:val="0"/>
        <w:spacing w:line="240" w:lineRule="auto"/>
        <w:ind w:left="-88" w:leftChars="-42" w:firstLine="0" w:firstLineChars="0"/>
        <w:rPr>
          <w:rFonts w:ascii="宋体" w:hAnsi="宋体" w:cs="宋体"/>
          <w:color w:val="auto"/>
          <w:szCs w:val="21"/>
        </w:rPr>
      </w:pPr>
    </w:p>
    <w:p w14:paraId="09C6ABCD">
      <w:pPr>
        <w:adjustRightInd w:val="0"/>
        <w:snapToGrid w:val="0"/>
        <w:spacing w:line="360" w:lineRule="auto"/>
        <w:ind w:firstLine="0" w:firstLineChars="0"/>
        <w:rPr>
          <w:rFonts w:ascii="宋体" w:hAnsi="宋体" w:cs="宋体"/>
          <w:color w:val="auto"/>
          <w:szCs w:val="21"/>
        </w:rPr>
      </w:pPr>
      <w:r>
        <w:rPr>
          <w:rFonts w:hint="eastAsia" w:ascii="宋体" w:hAnsi="宋体" w:cs="宋体"/>
          <w:color w:val="auto"/>
          <w:szCs w:val="21"/>
        </w:rPr>
        <w:t>说明：</w:t>
      </w:r>
    </w:p>
    <w:p w14:paraId="0CBDF4B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1、最后报价按第二章磋商须知第30条规定提供，格式按附件8-1、8-2提供，自行准备。</w:t>
      </w:r>
    </w:p>
    <w:p w14:paraId="28153B0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2、不装入文件、现场递交。进行最后报价时由供应商法定代表人或其委托代理人填写并签字确认。</w:t>
      </w:r>
    </w:p>
    <w:p w14:paraId="620AE521">
      <w:pPr>
        <w:widowControl/>
        <w:spacing w:before="100" w:beforeAutospacing="1" w:after="100" w:afterAutospacing="1" w:line="408"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Cs w:val="21"/>
          <w:lang w:val="en-US" w:eastAsia="zh-CN"/>
        </w:rPr>
        <w:t>(最后报价待评标小组要求进行报价时现场提供，应当提前准备已签字盖章的最后报价</w:t>
      </w:r>
      <w:r>
        <w:rPr>
          <w:rFonts w:hint="eastAsia" w:ascii="宋体" w:hAnsi="宋体" w:eastAsia="宋体" w:cs="宋体"/>
          <w:color w:val="auto"/>
          <w:szCs w:val="21"/>
        </w:rPr>
        <w:t>一览表和分项价格表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不得装入投标文件内。</w:t>
      </w:r>
      <w:r>
        <w:rPr>
          <w:rFonts w:hint="eastAsia" w:ascii="宋体" w:hAnsi="宋体" w:eastAsia="宋体" w:cs="宋体"/>
          <w:b/>
          <w:bCs/>
          <w:color w:val="auto"/>
          <w:szCs w:val="21"/>
        </w:rPr>
        <w:t>不与响应文件一起递交</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w:t>
      </w:r>
    </w:p>
    <w:p w14:paraId="50CC5500">
      <w:pPr>
        <w:rPr>
          <w:color w:val="auto"/>
        </w:rPr>
      </w:pPr>
    </w:p>
    <w:p w14:paraId="1B175474">
      <w:pPr>
        <w:pStyle w:val="60"/>
        <w:rPr>
          <w:color w:val="auto"/>
        </w:rPr>
      </w:pPr>
    </w:p>
    <w:p w14:paraId="247C7AF4">
      <w:pPr>
        <w:rPr>
          <w:color w:val="auto"/>
        </w:rPr>
      </w:pPr>
    </w:p>
    <w:p w14:paraId="25D32565">
      <w:pPr>
        <w:rPr>
          <w:color w:val="auto"/>
        </w:rPr>
      </w:pPr>
    </w:p>
    <w:p w14:paraId="5D278000">
      <w:pPr>
        <w:rPr>
          <w:color w:val="auto"/>
        </w:rPr>
      </w:pPr>
    </w:p>
    <w:sectPr>
      <w:pgSz w:w="11906" w:h="16838"/>
      <w:pgMar w:top="1474" w:right="1474" w:bottom="232"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C37C9F3A-1C08-466B-BA1B-4C90B5373B13}"/>
  </w:font>
  <w:font w:name="黑体">
    <w:panose1 w:val="02010609060101010101"/>
    <w:charset w:val="86"/>
    <w:family w:val="auto"/>
    <w:pitch w:val="default"/>
    <w:sig w:usb0="800002BF" w:usb1="38CF7CFA" w:usb2="00000016" w:usb3="00000000" w:csb0="00040001" w:csb1="00000000"/>
    <w:embedRegular r:id="rId2" w:fontKey="{9EC7E653-B6ED-4C19-9A77-FE27BC9246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507BC457-F764-4BC9-BBF0-D19BA1995447}"/>
  </w:font>
  <w:font w:name="仿宋_GB2312">
    <w:panose1 w:val="02010609030101010101"/>
    <w:charset w:val="86"/>
    <w:family w:val="modern"/>
    <w:pitch w:val="default"/>
    <w:sig w:usb0="00000001" w:usb1="080E0000" w:usb2="00000000" w:usb3="00000000" w:csb0="00040000" w:csb1="00000000"/>
    <w:embedRegular r:id="rId4" w:fontKey="{65B22D61-CB2C-419D-8484-3A4057904CFC}"/>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820F5110-48F7-4303-AC06-1A34DDE3747D}"/>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6" w:fontKey="{E19A22F6-EB37-4234-ABB2-4699CA4BE866}"/>
  </w:font>
  <w:font w:name="MS Sans Serif">
    <w:altName w:val="Arial"/>
    <w:panose1 w:val="020B0500000000000000"/>
    <w:charset w:val="00"/>
    <w:family w:val="swiss"/>
    <w:pitch w:val="default"/>
    <w:sig w:usb0="00000000" w:usb1="00000000" w:usb2="00000000" w:usb3="00000000" w:csb0="00000001" w:csb1="00000000"/>
  </w:font>
  <w:font w:name="Arail">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Wingdings 2">
    <w:panose1 w:val="05020102010507070707"/>
    <w:charset w:val="00"/>
    <w:family w:val="auto"/>
    <w:pitch w:val="default"/>
    <w:sig w:usb0="00000000" w:usb1="00000000" w:usb2="00000000" w:usb3="00000000" w:csb0="80000000" w:csb1="00000000"/>
    <w:embedRegular r:id="rId7" w:fontKey="{E3AD09D5-29B0-4263-8693-5EB7742F419F}"/>
  </w:font>
  <w:font w:name="华文中宋">
    <w:panose1 w:val="02010600040101010101"/>
    <w:charset w:val="86"/>
    <w:family w:val="auto"/>
    <w:pitch w:val="default"/>
    <w:sig w:usb0="00000287" w:usb1="080F0000" w:usb2="00000000" w:usb3="00000000" w:csb0="0004009F" w:csb1="DFD70000"/>
    <w:embedRegular r:id="rId8" w:fontKey="{E956E737-172F-44FD-944A-59074832BD1D}"/>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395C">
    <w:pPr>
      <w:pStyle w:val="31"/>
      <w:ind w:firstLine="360"/>
      <w:rPr>
        <w:rStyle w:val="47"/>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6221C">
                          <w:pPr>
                            <w:pStyle w:val="31"/>
                            <w:ind w:firstLine="360"/>
                          </w:pPr>
                          <w:r>
                            <w:fldChar w:fldCharType="begin"/>
                          </w:r>
                          <w:r>
                            <w:rPr>
                              <w:rStyle w:val="47"/>
                            </w:rPr>
                            <w:instrText xml:space="preserve">PAGE  </w:instrText>
                          </w:r>
                          <w:r>
                            <w:fldChar w:fldCharType="separate"/>
                          </w:r>
                          <w:r>
                            <w:rPr>
                              <w:rStyle w:val="47"/>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86221C">
                    <w:pPr>
                      <w:pStyle w:val="31"/>
                      <w:ind w:firstLine="360"/>
                    </w:pPr>
                    <w:r>
                      <w:fldChar w:fldCharType="begin"/>
                    </w:r>
                    <w:r>
                      <w:rPr>
                        <w:rStyle w:val="47"/>
                      </w:rPr>
                      <w:instrText xml:space="preserve">PAGE  </w:instrText>
                    </w:r>
                    <w:r>
                      <w:fldChar w:fldCharType="separate"/>
                    </w:r>
                    <w:r>
                      <w:rPr>
                        <w:rStyle w:val="47"/>
                      </w:rPr>
                      <w:t>15</w:t>
                    </w:r>
                    <w:r>
                      <w:fldChar w:fldCharType="end"/>
                    </w:r>
                  </w:p>
                </w:txbxContent>
              </v:textbox>
            </v:shape>
          </w:pict>
        </mc:Fallback>
      </mc:AlternateContent>
    </w:r>
  </w:p>
  <w:p w14:paraId="1E1353E2">
    <w:pPr>
      <w:pStyle w:val="3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E1BE">
    <w:pPr>
      <w:pStyle w:val="31"/>
      <w:ind w:firstLine="360"/>
      <w:rPr>
        <w:rStyle w:val="47"/>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0EE48">
                          <w:pPr>
                            <w:pStyle w:val="31"/>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E00EE48">
                    <w:pPr>
                      <w:pStyle w:val="31"/>
                    </w:pPr>
                    <w:r>
                      <w:fldChar w:fldCharType="begin"/>
                    </w:r>
                    <w:r>
                      <w:instrText xml:space="preserve"> PAGE  \* MERGEFORMAT </w:instrText>
                    </w:r>
                    <w:r>
                      <w:fldChar w:fldCharType="separate"/>
                    </w:r>
                    <w:r>
                      <w:t>14</w:t>
                    </w:r>
                    <w:r>
                      <w:fldChar w:fldCharType="end"/>
                    </w:r>
                  </w:p>
                </w:txbxContent>
              </v:textbox>
            </v:shape>
          </w:pict>
        </mc:Fallback>
      </mc:AlternateContent>
    </w:r>
  </w:p>
  <w:p w14:paraId="209F25B2">
    <w:pPr>
      <w:pStyle w:val="31"/>
      <w:ind w:firstLine="360"/>
    </w:pPr>
  </w:p>
  <w:p w14:paraId="6546DE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FCA1">
    <w:pPr>
      <w:pStyle w:val="31"/>
      <w:ind w:firstLine="360"/>
      <w:rPr>
        <w:rStyle w:val="47"/>
      </w:rPr>
    </w:pPr>
    <w:r>
      <w:fldChar w:fldCharType="begin"/>
    </w:r>
    <w:r>
      <w:rPr>
        <w:rStyle w:val="47"/>
      </w:rPr>
      <w:instrText xml:space="preserve">PAGE  </w:instrText>
    </w:r>
    <w:r>
      <w:fldChar w:fldCharType="end"/>
    </w:r>
  </w:p>
  <w:p w14:paraId="3DBFA683">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23576">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BE66">
    <w:pPr>
      <w:pStyle w:val="31"/>
      <w:ind w:firstLine="360"/>
      <w:rPr>
        <w:rStyle w:val="47"/>
      </w:rPr>
    </w:pPr>
  </w:p>
  <w:p w14:paraId="74BF6F5B">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52EF3">
    <w:pPr>
      <w:pStyle w:val="3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D367">
    <w:pPr>
      <w:pStyle w:val="31"/>
      <w:ind w:firstLine="360"/>
      <w:rPr>
        <w:rStyle w:val="47"/>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58081">
                          <w:pPr>
                            <w:pStyle w:val="3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71758081">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5DD27AEC">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AB2B">
    <w:pPr>
      <w:pStyle w:val="3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DB04A">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6DADB04A">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77AA">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478C9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A478C9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30F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B6257">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3B6257">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hint="eastAsia"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7F5FB">
    <w:pPr>
      <w:pStyle w:val="32"/>
      <w:pBdr>
        <w:bottom w:val="thinThickSmallGap" w:color="auto" w:sz="12" w:space="1"/>
      </w:pBdr>
      <w:spacing w:line="240" w:lineRule="auto"/>
      <w:ind w:left="0" w:leftChars="0" w:firstLine="0" w:firstLineChars="0"/>
      <w:jc w:val="both"/>
    </w:pPr>
    <w:r>
      <w:rPr>
        <w:rFonts w:hint="eastAsia" w:cs="宋体"/>
        <w:b/>
        <w:iCs/>
        <w:lang w:eastAsia="zh-CN"/>
      </w:rPr>
      <w:t>荷韵园、福港苑保安保洁及工程维护业务委托服务采购</w:t>
    </w:r>
    <w:r>
      <w:rPr>
        <w:rFonts w:hint="eastAsia" w:ascii="宋体" w:hAnsi="宋体" w:cs="宋体"/>
        <w:b/>
        <w:iCs/>
      </w:rPr>
      <w:t xml:space="preserve"> </w:t>
    </w:r>
    <w:r>
      <w:rPr>
        <w:rFonts w:hint="eastAsia" w:ascii="仿宋" w:hAnsi="仿宋" w:eastAsia="仿宋"/>
        <w:b/>
        <w:i/>
        <w:lang w:val="en-US" w:eastAsia="zh-CN"/>
      </w:rPr>
      <w:t xml:space="preserve">        </w:t>
    </w:r>
    <w:r>
      <w:rPr>
        <w:rFonts w:hint="eastAsia" w:ascii="仿宋" w:hAnsi="仿宋" w:eastAsia="仿宋"/>
        <w:b/>
        <w:i/>
      </w:rPr>
      <w:t xml:space="preserve">  </w:t>
    </w:r>
    <w:r>
      <w:rPr>
        <w:rFonts w:hint="eastAsia" w:ascii="仿宋" w:hAnsi="仿宋" w:eastAsia="仿宋"/>
        <w:b/>
        <w:i/>
        <w:lang w:val="en-US" w:eastAsia="zh-CN"/>
      </w:rPr>
      <w:t xml:space="preserve">    </w:t>
    </w:r>
    <w:r>
      <w:rPr>
        <w:rFonts w:hint="eastAsia" w:ascii="仿宋" w:hAnsi="仿宋" w:eastAsia="仿宋"/>
        <w:b/>
        <w:i/>
      </w:rPr>
      <w:t xml:space="preserve">  </w:t>
    </w:r>
    <w:r>
      <w:rPr>
        <w:rFonts w:hint="eastAsia" w:ascii="仿宋" w:hAnsi="仿宋" w:eastAsia="仿宋"/>
        <w:b/>
        <w:i/>
        <w:lang w:val="en-US" w:eastAsia="zh-CN"/>
      </w:rPr>
      <w:t xml:space="preserve"> </w:t>
    </w:r>
    <w:r>
      <w:rPr>
        <w:rFonts w:hint="eastAsia" w:cs="宋体"/>
        <w:b/>
        <w:iCs/>
        <w:lang w:val="en-US" w:eastAsia="zh-CN"/>
      </w:rPr>
      <w:t xml:space="preserve">            </w:t>
    </w:r>
    <w:r>
      <w:rPr>
        <w:rFonts w:hint="eastAsia" w:ascii="宋体" w:hAnsi="宋体" w:cs="宋体"/>
        <w:b/>
        <w:iCs/>
      </w:rPr>
      <w:t xml:space="preserve">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0B637">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DCF4">
    <w:pPr>
      <w:pStyle w:val="32"/>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jVjYzkyZDNkN2FkMTA1MmI2NmZmOWU3MTM5YjkifQ=="/>
  </w:docVars>
  <w:rsids>
    <w:rsidRoot w:val="00496D5A"/>
    <w:rsid w:val="000015BC"/>
    <w:rsid w:val="00004A7C"/>
    <w:rsid w:val="00013371"/>
    <w:rsid w:val="000156E2"/>
    <w:rsid w:val="000177D6"/>
    <w:rsid w:val="00022CB8"/>
    <w:rsid w:val="00024344"/>
    <w:rsid w:val="00025986"/>
    <w:rsid w:val="00026B4C"/>
    <w:rsid w:val="00026FD7"/>
    <w:rsid w:val="00027406"/>
    <w:rsid w:val="0002779F"/>
    <w:rsid w:val="00027D5B"/>
    <w:rsid w:val="000313EC"/>
    <w:rsid w:val="00031A91"/>
    <w:rsid w:val="00034641"/>
    <w:rsid w:val="0003465E"/>
    <w:rsid w:val="00035387"/>
    <w:rsid w:val="000358C7"/>
    <w:rsid w:val="00035DCB"/>
    <w:rsid w:val="00037E98"/>
    <w:rsid w:val="00040D86"/>
    <w:rsid w:val="00041065"/>
    <w:rsid w:val="000441C7"/>
    <w:rsid w:val="00045C7A"/>
    <w:rsid w:val="000470C6"/>
    <w:rsid w:val="00047730"/>
    <w:rsid w:val="00051361"/>
    <w:rsid w:val="00051E2A"/>
    <w:rsid w:val="000524CC"/>
    <w:rsid w:val="00053BA6"/>
    <w:rsid w:val="00053DE3"/>
    <w:rsid w:val="000640EC"/>
    <w:rsid w:val="000641A5"/>
    <w:rsid w:val="000716AB"/>
    <w:rsid w:val="00075DCA"/>
    <w:rsid w:val="00077022"/>
    <w:rsid w:val="000809E1"/>
    <w:rsid w:val="000818D8"/>
    <w:rsid w:val="00081FA6"/>
    <w:rsid w:val="00082276"/>
    <w:rsid w:val="00083C6E"/>
    <w:rsid w:val="00086A97"/>
    <w:rsid w:val="000911F1"/>
    <w:rsid w:val="00092509"/>
    <w:rsid w:val="000952E7"/>
    <w:rsid w:val="000A2941"/>
    <w:rsid w:val="000A3E58"/>
    <w:rsid w:val="000A604E"/>
    <w:rsid w:val="000B422C"/>
    <w:rsid w:val="000B49A7"/>
    <w:rsid w:val="000B6963"/>
    <w:rsid w:val="000C10CD"/>
    <w:rsid w:val="000C2ACC"/>
    <w:rsid w:val="000C2B71"/>
    <w:rsid w:val="000C3661"/>
    <w:rsid w:val="000C5109"/>
    <w:rsid w:val="000C575C"/>
    <w:rsid w:val="000C5BDA"/>
    <w:rsid w:val="000D7C1B"/>
    <w:rsid w:val="000E1E33"/>
    <w:rsid w:val="000E430C"/>
    <w:rsid w:val="000E4DBE"/>
    <w:rsid w:val="000E5498"/>
    <w:rsid w:val="000E6182"/>
    <w:rsid w:val="000E6F8F"/>
    <w:rsid w:val="000F23B9"/>
    <w:rsid w:val="000F48CA"/>
    <w:rsid w:val="000F533F"/>
    <w:rsid w:val="000F5645"/>
    <w:rsid w:val="000F59D5"/>
    <w:rsid w:val="000F5C1E"/>
    <w:rsid w:val="00100878"/>
    <w:rsid w:val="00101B94"/>
    <w:rsid w:val="00106340"/>
    <w:rsid w:val="00106CB3"/>
    <w:rsid w:val="00107232"/>
    <w:rsid w:val="001103EE"/>
    <w:rsid w:val="00114407"/>
    <w:rsid w:val="0011494C"/>
    <w:rsid w:val="00117E73"/>
    <w:rsid w:val="001256EF"/>
    <w:rsid w:val="00127819"/>
    <w:rsid w:val="001324C6"/>
    <w:rsid w:val="00132F66"/>
    <w:rsid w:val="001344E3"/>
    <w:rsid w:val="00136079"/>
    <w:rsid w:val="001364C1"/>
    <w:rsid w:val="001409DD"/>
    <w:rsid w:val="001416D5"/>
    <w:rsid w:val="00141EA9"/>
    <w:rsid w:val="001423F6"/>
    <w:rsid w:val="0014593E"/>
    <w:rsid w:val="00147E27"/>
    <w:rsid w:val="00154ED0"/>
    <w:rsid w:val="00160437"/>
    <w:rsid w:val="001652A3"/>
    <w:rsid w:val="00167D4D"/>
    <w:rsid w:val="00167E36"/>
    <w:rsid w:val="00170ABA"/>
    <w:rsid w:val="0017108F"/>
    <w:rsid w:val="00172007"/>
    <w:rsid w:val="00172683"/>
    <w:rsid w:val="00172AC1"/>
    <w:rsid w:val="00174093"/>
    <w:rsid w:val="00174AD2"/>
    <w:rsid w:val="00174AF5"/>
    <w:rsid w:val="0017639C"/>
    <w:rsid w:val="00176925"/>
    <w:rsid w:val="0018787D"/>
    <w:rsid w:val="00187EA5"/>
    <w:rsid w:val="00190F87"/>
    <w:rsid w:val="001930CA"/>
    <w:rsid w:val="00193F22"/>
    <w:rsid w:val="00194E27"/>
    <w:rsid w:val="0019582D"/>
    <w:rsid w:val="00197DB3"/>
    <w:rsid w:val="001A0051"/>
    <w:rsid w:val="001A27C7"/>
    <w:rsid w:val="001A57C2"/>
    <w:rsid w:val="001B229F"/>
    <w:rsid w:val="001B266B"/>
    <w:rsid w:val="001B4B37"/>
    <w:rsid w:val="001B56C9"/>
    <w:rsid w:val="001B5D41"/>
    <w:rsid w:val="001B6E2A"/>
    <w:rsid w:val="001B7F3D"/>
    <w:rsid w:val="001B7F8A"/>
    <w:rsid w:val="001C30E6"/>
    <w:rsid w:val="001C598A"/>
    <w:rsid w:val="001C6863"/>
    <w:rsid w:val="001C7DB0"/>
    <w:rsid w:val="001C7EEC"/>
    <w:rsid w:val="001D1504"/>
    <w:rsid w:val="001D1FFB"/>
    <w:rsid w:val="001D23F4"/>
    <w:rsid w:val="001D5C4A"/>
    <w:rsid w:val="001D6192"/>
    <w:rsid w:val="001D6DC2"/>
    <w:rsid w:val="001D7D62"/>
    <w:rsid w:val="001E0AF2"/>
    <w:rsid w:val="001E16C0"/>
    <w:rsid w:val="001E2798"/>
    <w:rsid w:val="001E35D4"/>
    <w:rsid w:val="001E7E5B"/>
    <w:rsid w:val="001F3061"/>
    <w:rsid w:val="001F7515"/>
    <w:rsid w:val="00200EA4"/>
    <w:rsid w:val="002037B4"/>
    <w:rsid w:val="002037DB"/>
    <w:rsid w:val="00205190"/>
    <w:rsid w:val="00206968"/>
    <w:rsid w:val="00206FCE"/>
    <w:rsid w:val="00207162"/>
    <w:rsid w:val="00211C0E"/>
    <w:rsid w:val="00212642"/>
    <w:rsid w:val="002131F5"/>
    <w:rsid w:val="00214C2C"/>
    <w:rsid w:val="002159AF"/>
    <w:rsid w:val="0021675C"/>
    <w:rsid w:val="002223E0"/>
    <w:rsid w:val="00222899"/>
    <w:rsid w:val="00223AAF"/>
    <w:rsid w:val="002240ED"/>
    <w:rsid w:val="00225629"/>
    <w:rsid w:val="00226977"/>
    <w:rsid w:val="002270C6"/>
    <w:rsid w:val="0022782B"/>
    <w:rsid w:val="002314CA"/>
    <w:rsid w:val="0023455F"/>
    <w:rsid w:val="00234E98"/>
    <w:rsid w:val="002355BB"/>
    <w:rsid w:val="002356DF"/>
    <w:rsid w:val="00242EFF"/>
    <w:rsid w:val="002436C2"/>
    <w:rsid w:val="00243709"/>
    <w:rsid w:val="002440C4"/>
    <w:rsid w:val="002446EA"/>
    <w:rsid w:val="00244C86"/>
    <w:rsid w:val="002457F9"/>
    <w:rsid w:val="00245A92"/>
    <w:rsid w:val="002502DD"/>
    <w:rsid w:val="002541B3"/>
    <w:rsid w:val="00260239"/>
    <w:rsid w:val="00260E96"/>
    <w:rsid w:val="00263C15"/>
    <w:rsid w:val="00264B86"/>
    <w:rsid w:val="00266E91"/>
    <w:rsid w:val="00271DF1"/>
    <w:rsid w:val="00276A9C"/>
    <w:rsid w:val="00276E33"/>
    <w:rsid w:val="00277934"/>
    <w:rsid w:val="002809C3"/>
    <w:rsid w:val="00281493"/>
    <w:rsid w:val="00281AFB"/>
    <w:rsid w:val="00285665"/>
    <w:rsid w:val="002859F6"/>
    <w:rsid w:val="002879A0"/>
    <w:rsid w:val="00290F35"/>
    <w:rsid w:val="00291C33"/>
    <w:rsid w:val="002942E2"/>
    <w:rsid w:val="00295E49"/>
    <w:rsid w:val="002A03CB"/>
    <w:rsid w:val="002A41F5"/>
    <w:rsid w:val="002A6ED0"/>
    <w:rsid w:val="002A7115"/>
    <w:rsid w:val="002B4521"/>
    <w:rsid w:val="002B5F66"/>
    <w:rsid w:val="002B6A3B"/>
    <w:rsid w:val="002B6DC1"/>
    <w:rsid w:val="002B7325"/>
    <w:rsid w:val="002C2ECD"/>
    <w:rsid w:val="002C4B46"/>
    <w:rsid w:val="002D54FC"/>
    <w:rsid w:val="002E2AB7"/>
    <w:rsid w:val="002E2BB7"/>
    <w:rsid w:val="002E356B"/>
    <w:rsid w:val="002E5234"/>
    <w:rsid w:val="002E6042"/>
    <w:rsid w:val="002F098F"/>
    <w:rsid w:val="002F0EFC"/>
    <w:rsid w:val="002F1257"/>
    <w:rsid w:val="002F42D5"/>
    <w:rsid w:val="00301894"/>
    <w:rsid w:val="00301B5A"/>
    <w:rsid w:val="0030510F"/>
    <w:rsid w:val="0030672A"/>
    <w:rsid w:val="003070FD"/>
    <w:rsid w:val="003072D6"/>
    <w:rsid w:val="00311078"/>
    <w:rsid w:val="003136E5"/>
    <w:rsid w:val="00313BC8"/>
    <w:rsid w:val="0031417B"/>
    <w:rsid w:val="0031751F"/>
    <w:rsid w:val="00317CD3"/>
    <w:rsid w:val="00321C75"/>
    <w:rsid w:val="0032756E"/>
    <w:rsid w:val="003303DC"/>
    <w:rsid w:val="00331A2E"/>
    <w:rsid w:val="00332937"/>
    <w:rsid w:val="00332C10"/>
    <w:rsid w:val="003333D7"/>
    <w:rsid w:val="00333943"/>
    <w:rsid w:val="0033509E"/>
    <w:rsid w:val="00336E8A"/>
    <w:rsid w:val="00340105"/>
    <w:rsid w:val="003412D4"/>
    <w:rsid w:val="00342089"/>
    <w:rsid w:val="0034404B"/>
    <w:rsid w:val="0034572F"/>
    <w:rsid w:val="003469E4"/>
    <w:rsid w:val="0035131B"/>
    <w:rsid w:val="003524DF"/>
    <w:rsid w:val="0035276C"/>
    <w:rsid w:val="0035331E"/>
    <w:rsid w:val="0035551F"/>
    <w:rsid w:val="003610D2"/>
    <w:rsid w:val="0036567D"/>
    <w:rsid w:val="0037058A"/>
    <w:rsid w:val="00373945"/>
    <w:rsid w:val="00374E53"/>
    <w:rsid w:val="00376191"/>
    <w:rsid w:val="00382ACA"/>
    <w:rsid w:val="00387693"/>
    <w:rsid w:val="003914B4"/>
    <w:rsid w:val="00391A73"/>
    <w:rsid w:val="003948FD"/>
    <w:rsid w:val="003A6117"/>
    <w:rsid w:val="003B0AFE"/>
    <w:rsid w:val="003B1744"/>
    <w:rsid w:val="003B6A76"/>
    <w:rsid w:val="003B780B"/>
    <w:rsid w:val="003B7F78"/>
    <w:rsid w:val="003C1C58"/>
    <w:rsid w:val="003C3A5C"/>
    <w:rsid w:val="003C3EAB"/>
    <w:rsid w:val="003C6100"/>
    <w:rsid w:val="003C7959"/>
    <w:rsid w:val="003D1521"/>
    <w:rsid w:val="003D23D1"/>
    <w:rsid w:val="003D334C"/>
    <w:rsid w:val="003D76C6"/>
    <w:rsid w:val="003E18E1"/>
    <w:rsid w:val="003E1EFA"/>
    <w:rsid w:val="003E7B33"/>
    <w:rsid w:val="003F06C8"/>
    <w:rsid w:val="003F472F"/>
    <w:rsid w:val="003F4843"/>
    <w:rsid w:val="003F498D"/>
    <w:rsid w:val="003F4E1C"/>
    <w:rsid w:val="003F6A20"/>
    <w:rsid w:val="003F7D02"/>
    <w:rsid w:val="004018F9"/>
    <w:rsid w:val="00407B66"/>
    <w:rsid w:val="00410033"/>
    <w:rsid w:val="0041158C"/>
    <w:rsid w:val="004117F0"/>
    <w:rsid w:val="00411C9F"/>
    <w:rsid w:val="004132DE"/>
    <w:rsid w:val="00417100"/>
    <w:rsid w:val="00422A05"/>
    <w:rsid w:val="004233B4"/>
    <w:rsid w:val="00426945"/>
    <w:rsid w:val="00427983"/>
    <w:rsid w:val="00430191"/>
    <w:rsid w:val="00431725"/>
    <w:rsid w:val="00432850"/>
    <w:rsid w:val="004409B2"/>
    <w:rsid w:val="00441209"/>
    <w:rsid w:val="00450009"/>
    <w:rsid w:val="00453134"/>
    <w:rsid w:val="00454BE4"/>
    <w:rsid w:val="00463088"/>
    <w:rsid w:val="0047047A"/>
    <w:rsid w:val="004728ED"/>
    <w:rsid w:val="00472DF6"/>
    <w:rsid w:val="004748B6"/>
    <w:rsid w:val="00475521"/>
    <w:rsid w:val="00475654"/>
    <w:rsid w:val="004807DF"/>
    <w:rsid w:val="004836CC"/>
    <w:rsid w:val="00483D0A"/>
    <w:rsid w:val="004847D2"/>
    <w:rsid w:val="00485338"/>
    <w:rsid w:val="00485915"/>
    <w:rsid w:val="00485D13"/>
    <w:rsid w:val="0048677F"/>
    <w:rsid w:val="00491260"/>
    <w:rsid w:val="00491AE4"/>
    <w:rsid w:val="004923B6"/>
    <w:rsid w:val="0049391F"/>
    <w:rsid w:val="0049529F"/>
    <w:rsid w:val="00496D5A"/>
    <w:rsid w:val="004A0502"/>
    <w:rsid w:val="004A2C62"/>
    <w:rsid w:val="004A5608"/>
    <w:rsid w:val="004A6058"/>
    <w:rsid w:val="004A7B3D"/>
    <w:rsid w:val="004B27C0"/>
    <w:rsid w:val="004B3FB6"/>
    <w:rsid w:val="004B44CF"/>
    <w:rsid w:val="004B55A5"/>
    <w:rsid w:val="004B7380"/>
    <w:rsid w:val="004C2F23"/>
    <w:rsid w:val="004C3F73"/>
    <w:rsid w:val="004D1DC5"/>
    <w:rsid w:val="004E142C"/>
    <w:rsid w:val="004E1AF9"/>
    <w:rsid w:val="004F07EF"/>
    <w:rsid w:val="004F197F"/>
    <w:rsid w:val="004F46DF"/>
    <w:rsid w:val="004F6493"/>
    <w:rsid w:val="00504192"/>
    <w:rsid w:val="00504385"/>
    <w:rsid w:val="005109DB"/>
    <w:rsid w:val="00515059"/>
    <w:rsid w:val="00515594"/>
    <w:rsid w:val="00522A24"/>
    <w:rsid w:val="00523BED"/>
    <w:rsid w:val="005255EB"/>
    <w:rsid w:val="00526D70"/>
    <w:rsid w:val="0052705B"/>
    <w:rsid w:val="0052793A"/>
    <w:rsid w:val="00527F93"/>
    <w:rsid w:val="00530025"/>
    <w:rsid w:val="00531683"/>
    <w:rsid w:val="00531D6B"/>
    <w:rsid w:val="005325DA"/>
    <w:rsid w:val="005327B1"/>
    <w:rsid w:val="00532F95"/>
    <w:rsid w:val="00535E7A"/>
    <w:rsid w:val="00543765"/>
    <w:rsid w:val="00544918"/>
    <w:rsid w:val="00546417"/>
    <w:rsid w:val="00546A6D"/>
    <w:rsid w:val="00546ABF"/>
    <w:rsid w:val="00546F0D"/>
    <w:rsid w:val="00550DB2"/>
    <w:rsid w:val="00553640"/>
    <w:rsid w:val="00554044"/>
    <w:rsid w:val="00554C89"/>
    <w:rsid w:val="0056147B"/>
    <w:rsid w:val="0056199A"/>
    <w:rsid w:val="00563F1D"/>
    <w:rsid w:val="00566DDF"/>
    <w:rsid w:val="00570CBE"/>
    <w:rsid w:val="00572CB9"/>
    <w:rsid w:val="00575ADE"/>
    <w:rsid w:val="00575F19"/>
    <w:rsid w:val="005770DF"/>
    <w:rsid w:val="00580A65"/>
    <w:rsid w:val="00580D9F"/>
    <w:rsid w:val="00582329"/>
    <w:rsid w:val="00583097"/>
    <w:rsid w:val="00586507"/>
    <w:rsid w:val="0059291C"/>
    <w:rsid w:val="00595909"/>
    <w:rsid w:val="00596362"/>
    <w:rsid w:val="00596918"/>
    <w:rsid w:val="00597073"/>
    <w:rsid w:val="005A14F5"/>
    <w:rsid w:val="005A1532"/>
    <w:rsid w:val="005A22A2"/>
    <w:rsid w:val="005A2A0F"/>
    <w:rsid w:val="005A3292"/>
    <w:rsid w:val="005A3897"/>
    <w:rsid w:val="005A4189"/>
    <w:rsid w:val="005B1852"/>
    <w:rsid w:val="005B1A4E"/>
    <w:rsid w:val="005B38E7"/>
    <w:rsid w:val="005B4969"/>
    <w:rsid w:val="005B534C"/>
    <w:rsid w:val="005B6E25"/>
    <w:rsid w:val="005C02DC"/>
    <w:rsid w:val="005C088A"/>
    <w:rsid w:val="005C23A1"/>
    <w:rsid w:val="005D1128"/>
    <w:rsid w:val="005D3F38"/>
    <w:rsid w:val="005D447C"/>
    <w:rsid w:val="005D6FAF"/>
    <w:rsid w:val="005D7ECA"/>
    <w:rsid w:val="005F23F3"/>
    <w:rsid w:val="005F5575"/>
    <w:rsid w:val="005F5EE7"/>
    <w:rsid w:val="00601F43"/>
    <w:rsid w:val="00602FF0"/>
    <w:rsid w:val="00604017"/>
    <w:rsid w:val="00605A59"/>
    <w:rsid w:val="006077FC"/>
    <w:rsid w:val="006108C2"/>
    <w:rsid w:val="0061139C"/>
    <w:rsid w:val="00612E59"/>
    <w:rsid w:val="006140F3"/>
    <w:rsid w:val="006149C5"/>
    <w:rsid w:val="00615D25"/>
    <w:rsid w:val="00621D98"/>
    <w:rsid w:val="00621E4F"/>
    <w:rsid w:val="006229A8"/>
    <w:rsid w:val="006246A7"/>
    <w:rsid w:val="00626E4B"/>
    <w:rsid w:val="00627302"/>
    <w:rsid w:val="006307FF"/>
    <w:rsid w:val="0063170F"/>
    <w:rsid w:val="006328FF"/>
    <w:rsid w:val="00633421"/>
    <w:rsid w:val="0063686A"/>
    <w:rsid w:val="00636A24"/>
    <w:rsid w:val="0064250B"/>
    <w:rsid w:val="00642761"/>
    <w:rsid w:val="00650AFD"/>
    <w:rsid w:val="0065196E"/>
    <w:rsid w:val="00652A0E"/>
    <w:rsid w:val="00654F84"/>
    <w:rsid w:val="006564CF"/>
    <w:rsid w:val="00657A60"/>
    <w:rsid w:val="00657D26"/>
    <w:rsid w:val="00660C14"/>
    <w:rsid w:val="006627D5"/>
    <w:rsid w:val="0066300B"/>
    <w:rsid w:val="00667A88"/>
    <w:rsid w:val="00672F09"/>
    <w:rsid w:val="00673AC8"/>
    <w:rsid w:val="006751BE"/>
    <w:rsid w:val="00676F7B"/>
    <w:rsid w:val="00677930"/>
    <w:rsid w:val="00682715"/>
    <w:rsid w:val="00682EB1"/>
    <w:rsid w:val="00685F9F"/>
    <w:rsid w:val="00687880"/>
    <w:rsid w:val="00687C90"/>
    <w:rsid w:val="00691C00"/>
    <w:rsid w:val="00692FA7"/>
    <w:rsid w:val="006931C3"/>
    <w:rsid w:val="006932C9"/>
    <w:rsid w:val="00693615"/>
    <w:rsid w:val="00693CB4"/>
    <w:rsid w:val="00695533"/>
    <w:rsid w:val="006956F6"/>
    <w:rsid w:val="006957FF"/>
    <w:rsid w:val="00697422"/>
    <w:rsid w:val="006A1FCD"/>
    <w:rsid w:val="006A4B81"/>
    <w:rsid w:val="006A783B"/>
    <w:rsid w:val="006A797D"/>
    <w:rsid w:val="006B04CA"/>
    <w:rsid w:val="006B0A67"/>
    <w:rsid w:val="006B1413"/>
    <w:rsid w:val="006B7490"/>
    <w:rsid w:val="006C1E31"/>
    <w:rsid w:val="006C5863"/>
    <w:rsid w:val="006C5BCC"/>
    <w:rsid w:val="006C6DB0"/>
    <w:rsid w:val="006D1534"/>
    <w:rsid w:val="006D2B6F"/>
    <w:rsid w:val="006D6A88"/>
    <w:rsid w:val="006D7616"/>
    <w:rsid w:val="006E316E"/>
    <w:rsid w:val="006E5A2C"/>
    <w:rsid w:val="006E64AF"/>
    <w:rsid w:val="006E7B01"/>
    <w:rsid w:val="006F1072"/>
    <w:rsid w:val="006F1452"/>
    <w:rsid w:val="006F6654"/>
    <w:rsid w:val="00705812"/>
    <w:rsid w:val="0071222D"/>
    <w:rsid w:val="007145A9"/>
    <w:rsid w:val="007145DE"/>
    <w:rsid w:val="00714811"/>
    <w:rsid w:val="007155A9"/>
    <w:rsid w:val="00715886"/>
    <w:rsid w:val="00715921"/>
    <w:rsid w:val="00723028"/>
    <w:rsid w:val="0072365F"/>
    <w:rsid w:val="00725169"/>
    <w:rsid w:val="00725B82"/>
    <w:rsid w:val="00727075"/>
    <w:rsid w:val="00731CE2"/>
    <w:rsid w:val="0073326B"/>
    <w:rsid w:val="007352B2"/>
    <w:rsid w:val="007410F1"/>
    <w:rsid w:val="00741768"/>
    <w:rsid w:val="007425AA"/>
    <w:rsid w:val="0074301E"/>
    <w:rsid w:val="00745F3E"/>
    <w:rsid w:val="007466A2"/>
    <w:rsid w:val="0075074F"/>
    <w:rsid w:val="00750B61"/>
    <w:rsid w:val="00750B94"/>
    <w:rsid w:val="00752992"/>
    <w:rsid w:val="00754BFA"/>
    <w:rsid w:val="00754D46"/>
    <w:rsid w:val="00756884"/>
    <w:rsid w:val="007576C6"/>
    <w:rsid w:val="00763EBE"/>
    <w:rsid w:val="00763F0D"/>
    <w:rsid w:val="00767A67"/>
    <w:rsid w:val="0077024A"/>
    <w:rsid w:val="007708C1"/>
    <w:rsid w:val="007708D1"/>
    <w:rsid w:val="00771233"/>
    <w:rsid w:val="0077473E"/>
    <w:rsid w:val="007749B5"/>
    <w:rsid w:val="007756C4"/>
    <w:rsid w:val="00776B96"/>
    <w:rsid w:val="007856CC"/>
    <w:rsid w:val="00786EE8"/>
    <w:rsid w:val="00790D09"/>
    <w:rsid w:val="00793F05"/>
    <w:rsid w:val="007940D5"/>
    <w:rsid w:val="00794207"/>
    <w:rsid w:val="00794980"/>
    <w:rsid w:val="007970D6"/>
    <w:rsid w:val="007A2780"/>
    <w:rsid w:val="007A27C1"/>
    <w:rsid w:val="007A49E7"/>
    <w:rsid w:val="007A5CF1"/>
    <w:rsid w:val="007A6607"/>
    <w:rsid w:val="007A780F"/>
    <w:rsid w:val="007B0B37"/>
    <w:rsid w:val="007B2440"/>
    <w:rsid w:val="007B5392"/>
    <w:rsid w:val="007B6F0E"/>
    <w:rsid w:val="007C01D7"/>
    <w:rsid w:val="007C0604"/>
    <w:rsid w:val="007C0A90"/>
    <w:rsid w:val="007C1379"/>
    <w:rsid w:val="007C504D"/>
    <w:rsid w:val="007C666F"/>
    <w:rsid w:val="007D35CF"/>
    <w:rsid w:val="007D4A43"/>
    <w:rsid w:val="007D6AEC"/>
    <w:rsid w:val="007E397C"/>
    <w:rsid w:val="007E5028"/>
    <w:rsid w:val="007E5C36"/>
    <w:rsid w:val="007E6442"/>
    <w:rsid w:val="007E72DD"/>
    <w:rsid w:val="007F34A8"/>
    <w:rsid w:val="007F769F"/>
    <w:rsid w:val="00800C3F"/>
    <w:rsid w:val="008019EE"/>
    <w:rsid w:val="00801BA0"/>
    <w:rsid w:val="0080209E"/>
    <w:rsid w:val="00803C70"/>
    <w:rsid w:val="00805DF3"/>
    <w:rsid w:val="00805FC3"/>
    <w:rsid w:val="00806A48"/>
    <w:rsid w:val="00807CE3"/>
    <w:rsid w:val="008109A2"/>
    <w:rsid w:val="00812F20"/>
    <w:rsid w:val="00816297"/>
    <w:rsid w:val="0081720C"/>
    <w:rsid w:val="00817C22"/>
    <w:rsid w:val="00820B50"/>
    <w:rsid w:val="008262E8"/>
    <w:rsid w:val="00826DB3"/>
    <w:rsid w:val="00831D28"/>
    <w:rsid w:val="00833F9F"/>
    <w:rsid w:val="008358F5"/>
    <w:rsid w:val="0084068C"/>
    <w:rsid w:val="008420B3"/>
    <w:rsid w:val="00842ACB"/>
    <w:rsid w:val="00845C9E"/>
    <w:rsid w:val="00846472"/>
    <w:rsid w:val="008466B4"/>
    <w:rsid w:val="00852A20"/>
    <w:rsid w:val="00855284"/>
    <w:rsid w:val="008565B6"/>
    <w:rsid w:val="008572CB"/>
    <w:rsid w:val="0085748B"/>
    <w:rsid w:val="008610EC"/>
    <w:rsid w:val="00861C90"/>
    <w:rsid w:val="00862398"/>
    <w:rsid w:val="00862DCA"/>
    <w:rsid w:val="008632AC"/>
    <w:rsid w:val="008644CB"/>
    <w:rsid w:val="008708E7"/>
    <w:rsid w:val="00870E11"/>
    <w:rsid w:val="008717C0"/>
    <w:rsid w:val="00875E1D"/>
    <w:rsid w:val="00880173"/>
    <w:rsid w:val="00880FC5"/>
    <w:rsid w:val="008827A6"/>
    <w:rsid w:val="008842E6"/>
    <w:rsid w:val="0089267A"/>
    <w:rsid w:val="00892D76"/>
    <w:rsid w:val="00893F22"/>
    <w:rsid w:val="00893F57"/>
    <w:rsid w:val="00894431"/>
    <w:rsid w:val="00895459"/>
    <w:rsid w:val="00897135"/>
    <w:rsid w:val="008A393D"/>
    <w:rsid w:val="008A4DF5"/>
    <w:rsid w:val="008A6CE8"/>
    <w:rsid w:val="008A7546"/>
    <w:rsid w:val="008A7CC6"/>
    <w:rsid w:val="008A7E9B"/>
    <w:rsid w:val="008B6DC9"/>
    <w:rsid w:val="008C53E1"/>
    <w:rsid w:val="008C594B"/>
    <w:rsid w:val="008C6AF4"/>
    <w:rsid w:val="008C7858"/>
    <w:rsid w:val="008D0766"/>
    <w:rsid w:val="008D6322"/>
    <w:rsid w:val="008D73EB"/>
    <w:rsid w:val="008E0FD8"/>
    <w:rsid w:val="008E1DA1"/>
    <w:rsid w:val="008E65B3"/>
    <w:rsid w:val="008E6CAA"/>
    <w:rsid w:val="008F07F0"/>
    <w:rsid w:val="008F0AD3"/>
    <w:rsid w:val="008F15D3"/>
    <w:rsid w:val="008F4153"/>
    <w:rsid w:val="008F588B"/>
    <w:rsid w:val="00902444"/>
    <w:rsid w:val="00904ED1"/>
    <w:rsid w:val="00905608"/>
    <w:rsid w:val="00907F19"/>
    <w:rsid w:val="0091105C"/>
    <w:rsid w:val="009115DA"/>
    <w:rsid w:val="00914B0C"/>
    <w:rsid w:val="009214D1"/>
    <w:rsid w:val="00923B59"/>
    <w:rsid w:val="009244D3"/>
    <w:rsid w:val="00927AE0"/>
    <w:rsid w:val="00933FE2"/>
    <w:rsid w:val="00935D10"/>
    <w:rsid w:val="00937E6E"/>
    <w:rsid w:val="00941224"/>
    <w:rsid w:val="009440B5"/>
    <w:rsid w:val="00945FD8"/>
    <w:rsid w:val="009513CD"/>
    <w:rsid w:val="009523FD"/>
    <w:rsid w:val="009532D2"/>
    <w:rsid w:val="00955E56"/>
    <w:rsid w:val="009562F0"/>
    <w:rsid w:val="00956A8A"/>
    <w:rsid w:val="00957320"/>
    <w:rsid w:val="00962DA0"/>
    <w:rsid w:val="009646B8"/>
    <w:rsid w:val="009716B0"/>
    <w:rsid w:val="00976258"/>
    <w:rsid w:val="00981256"/>
    <w:rsid w:val="00984D12"/>
    <w:rsid w:val="0098612B"/>
    <w:rsid w:val="009864CB"/>
    <w:rsid w:val="009874F9"/>
    <w:rsid w:val="00987EA0"/>
    <w:rsid w:val="00990CEB"/>
    <w:rsid w:val="009914BD"/>
    <w:rsid w:val="00993169"/>
    <w:rsid w:val="0099340D"/>
    <w:rsid w:val="009A13E7"/>
    <w:rsid w:val="009A1AE6"/>
    <w:rsid w:val="009A5828"/>
    <w:rsid w:val="009A590C"/>
    <w:rsid w:val="009A5BF8"/>
    <w:rsid w:val="009A751B"/>
    <w:rsid w:val="009B1053"/>
    <w:rsid w:val="009B129A"/>
    <w:rsid w:val="009B4D48"/>
    <w:rsid w:val="009B630B"/>
    <w:rsid w:val="009C0915"/>
    <w:rsid w:val="009C15CF"/>
    <w:rsid w:val="009C1C6C"/>
    <w:rsid w:val="009C2C09"/>
    <w:rsid w:val="009C45D4"/>
    <w:rsid w:val="009C50E0"/>
    <w:rsid w:val="009C5C4E"/>
    <w:rsid w:val="009D36C2"/>
    <w:rsid w:val="009D38EA"/>
    <w:rsid w:val="009D52D1"/>
    <w:rsid w:val="009E51AA"/>
    <w:rsid w:val="009E5EEB"/>
    <w:rsid w:val="009F2A1B"/>
    <w:rsid w:val="009F2B85"/>
    <w:rsid w:val="009F3049"/>
    <w:rsid w:val="009F376F"/>
    <w:rsid w:val="009F4D1A"/>
    <w:rsid w:val="009F588C"/>
    <w:rsid w:val="009F6488"/>
    <w:rsid w:val="009F64B9"/>
    <w:rsid w:val="00A026F0"/>
    <w:rsid w:val="00A03045"/>
    <w:rsid w:val="00A1044A"/>
    <w:rsid w:val="00A11037"/>
    <w:rsid w:val="00A125C0"/>
    <w:rsid w:val="00A12AB5"/>
    <w:rsid w:val="00A16084"/>
    <w:rsid w:val="00A1719A"/>
    <w:rsid w:val="00A210A8"/>
    <w:rsid w:val="00A220CD"/>
    <w:rsid w:val="00A23A01"/>
    <w:rsid w:val="00A23CB7"/>
    <w:rsid w:val="00A27EAB"/>
    <w:rsid w:val="00A316DA"/>
    <w:rsid w:val="00A332E1"/>
    <w:rsid w:val="00A375C1"/>
    <w:rsid w:val="00A40014"/>
    <w:rsid w:val="00A40CB1"/>
    <w:rsid w:val="00A42E55"/>
    <w:rsid w:val="00A4677E"/>
    <w:rsid w:val="00A47F15"/>
    <w:rsid w:val="00A60535"/>
    <w:rsid w:val="00A62BE8"/>
    <w:rsid w:val="00A64DD9"/>
    <w:rsid w:val="00A6737B"/>
    <w:rsid w:val="00A73333"/>
    <w:rsid w:val="00A7460A"/>
    <w:rsid w:val="00A74A2F"/>
    <w:rsid w:val="00A74A9F"/>
    <w:rsid w:val="00A75E32"/>
    <w:rsid w:val="00A76091"/>
    <w:rsid w:val="00A84EB2"/>
    <w:rsid w:val="00A91454"/>
    <w:rsid w:val="00A952D4"/>
    <w:rsid w:val="00A97BF2"/>
    <w:rsid w:val="00AA1061"/>
    <w:rsid w:val="00AA149C"/>
    <w:rsid w:val="00AA232A"/>
    <w:rsid w:val="00AA3B30"/>
    <w:rsid w:val="00AA5262"/>
    <w:rsid w:val="00AA5C6A"/>
    <w:rsid w:val="00AA63F2"/>
    <w:rsid w:val="00AA6A1E"/>
    <w:rsid w:val="00AB0586"/>
    <w:rsid w:val="00AB10B3"/>
    <w:rsid w:val="00AB22F3"/>
    <w:rsid w:val="00AB2C4F"/>
    <w:rsid w:val="00AB4824"/>
    <w:rsid w:val="00AB6907"/>
    <w:rsid w:val="00AB7D38"/>
    <w:rsid w:val="00AC06D6"/>
    <w:rsid w:val="00AC29C0"/>
    <w:rsid w:val="00AC3E7C"/>
    <w:rsid w:val="00AC4FB4"/>
    <w:rsid w:val="00AC542B"/>
    <w:rsid w:val="00AC7D43"/>
    <w:rsid w:val="00AC7D59"/>
    <w:rsid w:val="00AD02C0"/>
    <w:rsid w:val="00AD0E2F"/>
    <w:rsid w:val="00AE3743"/>
    <w:rsid w:val="00AE3EBF"/>
    <w:rsid w:val="00AE5B04"/>
    <w:rsid w:val="00AE77E6"/>
    <w:rsid w:val="00AE7FA6"/>
    <w:rsid w:val="00AF46B3"/>
    <w:rsid w:val="00AF4888"/>
    <w:rsid w:val="00B051BE"/>
    <w:rsid w:val="00B06187"/>
    <w:rsid w:val="00B06AFD"/>
    <w:rsid w:val="00B10E7A"/>
    <w:rsid w:val="00B11E3E"/>
    <w:rsid w:val="00B14AB5"/>
    <w:rsid w:val="00B158CD"/>
    <w:rsid w:val="00B15ACE"/>
    <w:rsid w:val="00B17CED"/>
    <w:rsid w:val="00B22BA0"/>
    <w:rsid w:val="00B23F43"/>
    <w:rsid w:val="00B2517F"/>
    <w:rsid w:val="00B26B9C"/>
    <w:rsid w:val="00B273FE"/>
    <w:rsid w:val="00B3052D"/>
    <w:rsid w:val="00B308C9"/>
    <w:rsid w:val="00B30C84"/>
    <w:rsid w:val="00B3186A"/>
    <w:rsid w:val="00B3336F"/>
    <w:rsid w:val="00B34456"/>
    <w:rsid w:val="00B369DC"/>
    <w:rsid w:val="00B40087"/>
    <w:rsid w:val="00B40FD8"/>
    <w:rsid w:val="00B428A4"/>
    <w:rsid w:val="00B4372B"/>
    <w:rsid w:val="00B45DB4"/>
    <w:rsid w:val="00B501C0"/>
    <w:rsid w:val="00B536BC"/>
    <w:rsid w:val="00B53D20"/>
    <w:rsid w:val="00B547CD"/>
    <w:rsid w:val="00B57BDF"/>
    <w:rsid w:val="00B619A2"/>
    <w:rsid w:val="00B61E66"/>
    <w:rsid w:val="00B63832"/>
    <w:rsid w:val="00B66457"/>
    <w:rsid w:val="00B728A0"/>
    <w:rsid w:val="00B729A4"/>
    <w:rsid w:val="00B740BD"/>
    <w:rsid w:val="00B812C2"/>
    <w:rsid w:val="00B82290"/>
    <w:rsid w:val="00B841F8"/>
    <w:rsid w:val="00B8429F"/>
    <w:rsid w:val="00B93134"/>
    <w:rsid w:val="00B94CEC"/>
    <w:rsid w:val="00BA0304"/>
    <w:rsid w:val="00BA0F16"/>
    <w:rsid w:val="00BA0F1F"/>
    <w:rsid w:val="00BA217E"/>
    <w:rsid w:val="00BA4D09"/>
    <w:rsid w:val="00BA4F58"/>
    <w:rsid w:val="00BA5EB4"/>
    <w:rsid w:val="00BB1202"/>
    <w:rsid w:val="00BB3881"/>
    <w:rsid w:val="00BB3D55"/>
    <w:rsid w:val="00BB403C"/>
    <w:rsid w:val="00BB4140"/>
    <w:rsid w:val="00BB4701"/>
    <w:rsid w:val="00BB5DAC"/>
    <w:rsid w:val="00BB75B7"/>
    <w:rsid w:val="00BB7EA0"/>
    <w:rsid w:val="00BC0183"/>
    <w:rsid w:val="00BC21EC"/>
    <w:rsid w:val="00BC55C8"/>
    <w:rsid w:val="00BC55F7"/>
    <w:rsid w:val="00BC6FB5"/>
    <w:rsid w:val="00BD4483"/>
    <w:rsid w:val="00BD4AA2"/>
    <w:rsid w:val="00BD4E66"/>
    <w:rsid w:val="00BD6233"/>
    <w:rsid w:val="00BD79AE"/>
    <w:rsid w:val="00BE2D5E"/>
    <w:rsid w:val="00BE3D6A"/>
    <w:rsid w:val="00BE43D4"/>
    <w:rsid w:val="00BE55E4"/>
    <w:rsid w:val="00BE6F2A"/>
    <w:rsid w:val="00BE73B0"/>
    <w:rsid w:val="00BE7979"/>
    <w:rsid w:val="00BF2EA9"/>
    <w:rsid w:val="00BF61CD"/>
    <w:rsid w:val="00C0044D"/>
    <w:rsid w:val="00C056A2"/>
    <w:rsid w:val="00C060F5"/>
    <w:rsid w:val="00C06B4D"/>
    <w:rsid w:val="00C1200E"/>
    <w:rsid w:val="00C1377A"/>
    <w:rsid w:val="00C13B20"/>
    <w:rsid w:val="00C15122"/>
    <w:rsid w:val="00C20BD1"/>
    <w:rsid w:val="00C20C6E"/>
    <w:rsid w:val="00C217E4"/>
    <w:rsid w:val="00C21AFB"/>
    <w:rsid w:val="00C2392D"/>
    <w:rsid w:val="00C25F04"/>
    <w:rsid w:val="00C26045"/>
    <w:rsid w:val="00C260B7"/>
    <w:rsid w:val="00C262E5"/>
    <w:rsid w:val="00C41F91"/>
    <w:rsid w:val="00C467E2"/>
    <w:rsid w:val="00C522DF"/>
    <w:rsid w:val="00C57C3C"/>
    <w:rsid w:val="00C61119"/>
    <w:rsid w:val="00C61250"/>
    <w:rsid w:val="00C62431"/>
    <w:rsid w:val="00C62B21"/>
    <w:rsid w:val="00C65B62"/>
    <w:rsid w:val="00C6683C"/>
    <w:rsid w:val="00C67780"/>
    <w:rsid w:val="00C72BF8"/>
    <w:rsid w:val="00C7679B"/>
    <w:rsid w:val="00C778B3"/>
    <w:rsid w:val="00C81ABB"/>
    <w:rsid w:val="00C81FAF"/>
    <w:rsid w:val="00C83DF9"/>
    <w:rsid w:val="00C852BE"/>
    <w:rsid w:val="00C8675B"/>
    <w:rsid w:val="00C90541"/>
    <w:rsid w:val="00C936FD"/>
    <w:rsid w:val="00C93C3C"/>
    <w:rsid w:val="00C9607A"/>
    <w:rsid w:val="00C961D2"/>
    <w:rsid w:val="00CA1109"/>
    <w:rsid w:val="00CA41FC"/>
    <w:rsid w:val="00CA455D"/>
    <w:rsid w:val="00CA46B8"/>
    <w:rsid w:val="00CB1EB4"/>
    <w:rsid w:val="00CB3B65"/>
    <w:rsid w:val="00CB46B9"/>
    <w:rsid w:val="00CB6984"/>
    <w:rsid w:val="00CC06A4"/>
    <w:rsid w:val="00CC248F"/>
    <w:rsid w:val="00CC315C"/>
    <w:rsid w:val="00CC3BE6"/>
    <w:rsid w:val="00CC4D47"/>
    <w:rsid w:val="00CC575C"/>
    <w:rsid w:val="00CC6642"/>
    <w:rsid w:val="00CD0E59"/>
    <w:rsid w:val="00CD4F21"/>
    <w:rsid w:val="00CD588A"/>
    <w:rsid w:val="00CD79EC"/>
    <w:rsid w:val="00CE14C1"/>
    <w:rsid w:val="00CF2A74"/>
    <w:rsid w:val="00CF349B"/>
    <w:rsid w:val="00CF6AD7"/>
    <w:rsid w:val="00D013F6"/>
    <w:rsid w:val="00D01C2F"/>
    <w:rsid w:val="00D05F96"/>
    <w:rsid w:val="00D06BB5"/>
    <w:rsid w:val="00D112A9"/>
    <w:rsid w:val="00D13454"/>
    <w:rsid w:val="00D208D1"/>
    <w:rsid w:val="00D20F37"/>
    <w:rsid w:val="00D23CD8"/>
    <w:rsid w:val="00D24208"/>
    <w:rsid w:val="00D25042"/>
    <w:rsid w:val="00D252B3"/>
    <w:rsid w:val="00D25840"/>
    <w:rsid w:val="00D31906"/>
    <w:rsid w:val="00D352E7"/>
    <w:rsid w:val="00D363F3"/>
    <w:rsid w:val="00D4038E"/>
    <w:rsid w:val="00D41589"/>
    <w:rsid w:val="00D47185"/>
    <w:rsid w:val="00D501B5"/>
    <w:rsid w:val="00D57AE7"/>
    <w:rsid w:val="00D57E32"/>
    <w:rsid w:val="00D62886"/>
    <w:rsid w:val="00D64D31"/>
    <w:rsid w:val="00D65CF3"/>
    <w:rsid w:val="00D65D0D"/>
    <w:rsid w:val="00D65F4C"/>
    <w:rsid w:val="00D660DE"/>
    <w:rsid w:val="00D67805"/>
    <w:rsid w:val="00D67C45"/>
    <w:rsid w:val="00D72DDF"/>
    <w:rsid w:val="00D734A0"/>
    <w:rsid w:val="00D739BE"/>
    <w:rsid w:val="00D762A5"/>
    <w:rsid w:val="00D8155D"/>
    <w:rsid w:val="00D81E99"/>
    <w:rsid w:val="00D83578"/>
    <w:rsid w:val="00D87130"/>
    <w:rsid w:val="00D90BFB"/>
    <w:rsid w:val="00D97374"/>
    <w:rsid w:val="00D97FB8"/>
    <w:rsid w:val="00DA07E9"/>
    <w:rsid w:val="00DA257E"/>
    <w:rsid w:val="00DA468B"/>
    <w:rsid w:val="00DA5406"/>
    <w:rsid w:val="00DA5ED4"/>
    <w:rsid w:val="00DB4FC9"/>
    <w:rsid w:val="00DB591E"/>
    <w:rsid w:val="00DB603C"/>
    <w:rsid w:val="00DC13FF"/>
    <w:rsid w:val="00DC35CA"/>
    <w:rsid w:val="00DC3616"/>
    <w:rsid w:val="00DC3754"/>
    <w:rsid w:val="00DC4295"/>
    <w:rsid w:val="00DC448F"/>
    <w:rsid w:val="00DC4F72"/>
    <w:rsid w:val="00DC5D3F"/>
    <w:rsid w:val="00DC5D94"/>
    <w:rsid w:val="00DC612D"/>
    <w:rsid w:val="00DD07D9"/>
    <w:rsid w:val="00DD2ACC"/>
    <w:rsid w:val="00DD534A"/>
    <w:rsid w:val="00DD62B6"/>
    <w:rsid w:val="00DD713C"/>
    <w:rsid w:val="00DD7955"/>
    <w:rsid w:val="00DD7982"/>
    <w:rsid w:val="00DE2A57"/>
    <w:rsid w:val="00DE3DE8"/>
    <w:rsid w:val="00DE70C9"/>
    <w:rsid w:val="00DF1A93"/>
    <w:rsid w:val="00DF331D"/>
    <w:rsid w:val="00DF5F93"/>
    <w:rsid w:val="00DF6442"/>
    <w:rsid w:val="00E01C23"/>
    <w:rsid w:val="00E01D63"/>
    <w:rsid w:val="00E04B90"/>
    <w:rsid w:val="00E06434"/>
    <w:rsid w:val="00E07344"/>
    <w:rsid w:val="00E11B41"/>
    <w:rsid w:val="00E15F46"/>
    <w:rsid w:val="00E17874"/>
    <w:rsid w:val="00E237A4"/>
    <w:rsid w:val="00E2441B"/>
    <w:rsid w:val="00E25A4D"/>
    <w:rsid w:val="00E266D6"/>
    <w:rsid w:val="00E30E6B"/>
    <w:rsid w:val="00E31374"/>
    <w:rsid w:val="00E33411"/>
    <w:rsid w:val="00E34011"/>
    <w:rsid w:val="00E3428B"/>
    <w:rsid w:val="00E37E2E"/>
    <w:rsid w:val="00E401C6"/>
    <w:rsid w:val="00E407B4"/>
    <w:rsid w:val="00E408B8"/>
    <w:rsid w:val="00E429CE"/>
    <w:rsid w:val="00E4489A"/>
    <w:rsid w:val="00E4608F"/>
    <w:rsid w:val="00E46306"/>
    <w:rsid w:val="00E46FE9"/>
    <w:rsid w:val="00E50550"/>
    <w:rsid w:val="00E5511A"/>
    <w:rsid w:val="00E6289C"/>
    <w:rsid w:val="00E6361B"/>
    <w:rsid w:val="00E6799F"/>
    <w:rsid w:val="00E67FDD"/>
    <w:rsid w:val="00E71D13"/>
    <w:rsid w:val="00E75528"/>
    <w:rsid w:val="00E80736"/>
    <w:rsid w:val="00E8533D"/>
    <w:rsid w:val="00E868D0"/>
    <w:rsid w:val="00E8777E"/>
    <w:rsid w:val="00E92426"/>
    <w:rsid w:val="00E95E80"/>
    <w:rsid w:val="00EA1530"/>
    <w:rsid w:val="00EA3A50"/>
    <w:rsid w:val="00EA5668"/>
    <w:rsid w:val="00EA5F90"/>
    <w:rsid w:val="00EA7928"/>
    <w:rsid w:val="00EB6998"/>
    <w:rsid w:val="00EB6A3C"/>
    <w:rsid w:val="00EB7DE7"/>
    <w:rsid w:val="00EC73E2"/>
    <w:rsid w:val="00ED0F8F"/>
    <w:rsid w:val="00ED2ED6"/>
    <w:rsid w:val="00ED3E23"/>
    <w:rsid w:val="00EE04A0"/>
    <w:rsid w:val="00EE1CAC"/>
    <w:rsid w:val="00EE48CF"/>
    <w:rsid w:val="00EE5FF0"/>
    <w:rsid w:val="00EE6864"/>
    <w:rsid w:val="00EF0DCF"/>
    <w:rsid w:val="00EF221B"/>
    <w:rsid w:val="00EF3179"/>
    <w:rsid w:val="00EF40C6"/>
    <w:rsid w:val="00F00186"/>
    <w:rsid w:val="00F06092"/>
    <w:rsid w:val="00F06D4E"/>
    <w:rsid w:val="00F0732F"/>
    <w:rsid w:val="00F076A2"/>
    <w:rsid w:val="00F11A54"/>
    <w:rsid w:val="00F12723"/>
    <w:rsid w:val="00F12843"/>
    <w:rsid w:val="00F13095"/>
    <w:rsid w:val="00F1423F"/>
    <w:rsid w:val="00F146A1"/>
    <w:rsid w:val="00F156A1"/>
    <w:rsid w:val="00F15E3A"/>
    <w:rsid w:val="00F20769"/>
    <w:rsid w:val="00F20AF0"/>
    <w:rsid w:val="00F220F4"/>
    <w:rsid w:val="00F22952"/>
    <w:rsid w:val="00F22CF7"/>
    <w:rsid w:val="00F24C96"/>
    <w:rsid w:val="00F27C91"/>
    <w:rsid w:val="00F307A7"/>
    <w:rsid w:val="00F3191D"/>
    <w:rsid w:val="00F32116"/>
    <w:rsid w:val="00F32D01"/>
    <w:rsid w:val="00F34FC3"/>
    <w:rsid w:val="00F3683E"/>
    <w:rsid w:val="00F40707"/>
    <w:rsid w:val="00F4072F"/>
    <w:rsid w:val="00F4215A"/>
    <w:rsid w:val="00F4629B"/>
    <w:rsid w:val="00F51202"/>
    <w:rsid w:val="00F51BC7"/>
    <w:rsid w:val="00F52E4A"/>
    <w:rsid w:val="00F52EF3"/>
    <w:rsid w:val="00F57737"/>
    <w:rsid w:val="00F57B52"/>
    <w:rsid w:val="00F6138C"/>
    <w:rsid w:val="00F620DD"/>
    <w:rsid w:val="00F70AAC"/>
    <w:rsid w:val="00F715AF"/>
    <w:rsid w:val="00F71C06"/>
    <w:rsid w:val="00F724DF"/>
    <w:rsid w:val="00F735A7"/>
    <w:rsid w:val="00F75F80"/>
    <w:rsid w:val="00F76615"/>
    <w:rsid w:val="00F77D8A"/>
    <w:rsid w:val="00F8028F"/>
    <w:rsid w:val="00F8285E"/>
    <w:rsid w:val="00F841D9"/>
    <w:rsid w:val="00F85688"/>
    <w:rsid w:val="00F857EE"/>
    <w:rsid w:val="00F85C55"/>
    <w:rsid w:val="00F86E90"/>
    <w:rsid w:val="00F901DE"/>
    <w:rsid w:val="00F902AA"/>
    <w:rsid w:val="00F942F9"/>
    <w:rsid w:val="00F95A48"/>
    <w:rsid w:val="00FA1877"/>
    <w:rsid w:val="00FA21E5"/>
    <w:rsid w:val="00FA39B0"/>
    <w:rsid w:val="00FA58BB"/>
    <w:rsid w:val="00FA7BE7"/>
    <w:rsid w:val="00FB3A4E"/>
    <w:rsid w:val="00FB45AE"/>
    <w:rsid w:val="00FB747D"/>
    <w:rsid w:val="00FB7B9F"/>
    <w:rsid w:val="00FC1DFE"/>
    <w:rsid w:val="00FC250B"/>
    <w:rsid w:val="00FC3CE7"/>
    <w:rsid w:val="00FC6B39"/>
    <w:rsid w:val="00FD04F4"/>
    <w:rsid w:val="00FD1C2B"/>
    <w:rsid w:val="00FD32CD"/>
    <w:rsid w:val="00FD7765"/>
    <w:rsid w:val="00FE05AD"/>
    <w:rsid w:val="00FE0768"/>
    <w:rsid w:val="00FE1CF8"/>
    <w:rsid w:val="00FE2A2C"/>
    <w:rsid w:val="00FE397A"/>
    <w:rsid w:val="00FE6392"/>
    <w:rsid w:val="00FE752A"/>
    <w:rsid w:val="00FE7C7F"/>
    <w:rsid w:val="00FE7F23"/>
    <w:rsid w:val="00FF56B6"/>
    <w:rsid w:val="01017684"/>
    <w:rsid w:val="010B405F"/>
    <w:rsid w:val="011A7806"/>
    <w:rsid w:val="0123040E"/>
    <w:rsid w:val="01282E62"/>
    <w:rsid w:val="012D51E7"/>
    <w:rsid w:val="01334359"/>
    <w:rsid w:val="01373E09"/>
    <w:rsid w:val="01386E7E"/>
    <w:rsid w:val="013E13DB"/>
    <w:rsid w:val="01403843"/>
    <w:rsid w:val="014447F2"/>
    <w:rsid w:val="01552611"/>
    <w:rsid w:val="01654D38"/>
    <w:rsid w:val="017A5D01"/>
    <w:rsid w:val="017C2492"/>
    <w:rsid w:val="017D6791"/>
    <w:rsid w:val="017E37FC"/>
    <w:rsid w:val="017E72C4"/>
    <w:rsid w:val="01852A00"/>
    <w:rsid w:val="01862B98"/>
    <w:rsid w:val="018A58CB"/>
    <w:rsid w:val="01957389"/>
    <w:rsid w:val="019B3634"/>
    <w:rsid w:val="019E4ED3"/>
    <w:rsid w:val="019E7BB5"/>
    <w:rsid w:val="01A1276C"/>
    <w:rsid w:val="01A31748"/>
    <w:rsid w:val="01A470BD"/>
    <w:rsid w:val="01A85548"/>
    <w:rsid w:val="01A91652"/>
    <w:rsid w:val="01AC486D"/>
    <w:rsid w:val="01AF3299"/>
    <w:rsid w:val="01B06269"/>
    <w:rsid w:val="01B2236C"/>
    <w:rsid w:val="01B841E6"/>
    <w:rsid w:val="01BF67F2"/>
    <w:rsid w:val="01C40DDD"/>
    <w:rsid w:val="01CC5EE4"/>
    <w:rsid w:val="01CE75F6"/>
    <w:rsid w:val="01D03418"/>
    <w:rsid w:val="01D2116D"/>
    <w:rsid w:val="01EC5C3E"/>
    <w:rsid w:val="01ED0F76"/>
    <w:rsid w:val="01EE3AD9"/>
    <w:rsid w:val="01F13C9C"/>
    <w:rsid w:val="01F24850"/>
    <w:rsid w:val="01F410E0"/>
    <w:rsid w:val="01FB1AE1"/>
    <w:rsid w:val="02033EA0"/>
    <w:rsid w:val="02060C6E"/>
    <w:rsid w:val="02073812"/>
    <w:rsid w:val="020B07BA"/>
    <w:rsid w:val="02104A4D"/>
    <w:rsid w:val="02122125"/>
    <w:rsid w:val="0223750F"/>
    <w:rsid w:val="02246CF6"/>
    <w:rsid w:val="022950E4"/>
    <w:rsid w:val="022F44B3"/>
    <w:rsid w:val="023044BD"/>
    <w:rsid w:val="0231625E"/>
    <w:rsid w:val="02317AF5"/>
    <w:rsid w:val="023C3CD4"/>
    <w:rsid w:val="02445A7A"/>
    <w:rsid w:val="0248264E"/>
    <w:rsid w:val="02496A1F"/>
    <w:rsid w:val="02497534"/>
    <w:rsid w:val="024E1A9B"/>
    <w:rsid w:val="025601B3"/>
    <w:rsid w:val="027C45B4"/>
    <w:rsid w:val="027E3729"/>
    <w:rsid w:val="02813092"/>
    <w:rsid w:val="028300FA"/>
    <w:rsid w:val="02874ABD"/>
    <w:rsid w:val="0288607E"/>
    <w:rsid w:val="029608F7"/>
    <w:rsid w:val="02965BFE"/>
    <w:rsid w:val="02987CE1"/>
    <w:rsid w:val="029C5509"/>
    <w:rsid w:val="02A150FC"/>
    <w:rsid w:val="02AE1145"/>
    <w:rsid w:val="02B43496"/>
    <w:rsid w:val="02C86475"/>
    <w:rsid w:val="02CC4B77"/>
    <w:rsid w:val="02D13AA8"/>
    <w:rsid w:val="02D14991"/>
    <w:rsid w:val="02D218D4"/>
    <w:rsid w:val="02D46524"/>
    <w:rsid w:val="02D86CA3"/>
    <w:rsid w:val="02DE573B"/>
    <w:rsid w:val="02DE7C7D"/>
    <w:rsid w:val="02E04CB1"/>
    <w:rsid w:val="02E35293"/>
    <w:rsid w:val="02E42DB9"/>
    <w:rsid w:val="02E800F1"/>
    <w:rsid w:val="02EE2EDC"/>
    <w:rsid w:val="02FA4EF4"/>
    <w:rsid w:val="02FD1EB2"/>
    <w:rsid w:val="030D0562"/>
    <w:rsid w:val="03103491"/>
    <w:rsid w:val="0311132D"/>
    <w:rsid w:val="031641FB"/>
    <w:rsid w:val="03194BE0"/>
    <w:rsid w:val="031C69F7"/>
    <w:rsid w:val="03265FAC"/>
    <w:rsid w:val="032A28DB"/>
    <w:rsid w:val="03337753"/>
    <w:rsid w:val="03353E7F"/>
    <w:rsid w:val="03394EB3"/>
    <w:rsid w:val="03401043"/>
    <w:rsid w:val="0341020B"/>
    <w:rsid w:val="03421FB9"/>
    <w:rsid w:val="03433F84"/>
    <w:rsid w:val="034C4306"/>
    <w:rsid w:val="03525F75"/>
    <w:rsid w:val="0355587D"/>
    <w:rsid w:val="035C78AC"/>
    <w:rsid w:val="03602489"/>
    <w:rsid w:val="036A0B7E"/>
    <w:rsid w:val="036A50B9"/>
    <w:rsid w:val="036A6A01"/>
    <w:rsid w:val="036E5632"/>
    <w:rsid w:val="037E6D55"/>
    <w:rsid w:val="03833A15"/>
    <w:rsid w:val="03855C6A"/>
    <w:rsid w:val="038773F5"/>
    <w:rsid w:val="038819EA"/>
    <w:rsid w:val="038D7B81"/>
    <w:rsid w:val="038F1BB8"/>
    <w:rsid w:val="03960B25"/>
    <w:rsid w:val="039B5B6E"/>
    <w:rsid w:val="039D71A8"/>
    <w:rsid w:val="03A10CAA"/>
    <w:rsid w:val="03B05BF4"/>
    <w:rsid w:val="03B06D23"/>
    <w:rsid w:val="03B517B6"/>
    <w:rsid w:val="03BC6F9C"/>
    <w:rsid w:val="03C632AF"/>
    <w:rsid w:val="03C651DC"/>
    <w:rsid w:val="03C70711"/>
    <w:rsid w:val="03CD1A9F"/>
    <w:rsid w:val="03DD3A68"/>
    <w:rsid w:val="03E20D51"/>
    <w:rsid w:val="03E312C3"/>
    <w:rsid w:val="03E955D4"/>
    <w:rsid w:val="03EF0EE3"/>
    <w:rsid w:val="03F163EC"/>
    <w:rsid w:val="03F42E47"/>
    <w:rsid w:val="03F62DA4"/>
    <w:rsid w:val="03F8365C"/>
    <w:rsid w:val="03FF434E"/>
    <w:rsid w:val="04022837"/>
    <w:rsid w:val="04030C7B"/>
    <w:rsid w:val="040919E9"/>
    <w:rsid w:val="040A684F"/>
    <w:rsid w:val="040D443B"/>
    <w:rsid w:val="040F1963"/>
    <w:rsid w:val="04163446"/>
    <w:rsid w:val="041A1188"/>
    <w:rsid w:val="04247911"/>
    <w:rsid w:val="04273514"/>
    <w:rsid w:val="042D124C"/>
    <w:rsid w:val="042E253E"/>
    <w:rsid w:val="042E6617"/>
    <w:rsid w:val="043149DF"/>
    <w:rsid w:val="043E10D2"/>
    <w:rsid w:val="04447FB3"/>
    <w:rsid w:val="04492CA8"/>
    <w:rsid w:val="044A59C2"/>
    <w:rsid w:val="044C1C35"/>
    <w:rsid w:val="044D6431"/>
    <w:rsid w:val="04532F0B"/>
    <w:rsid w:val="04542801"/>
    <w:rsid w:val="045521C0"/>
    <w:rsid w:val="0459599E"/>
    <w:rsid w:val="046028E7"/>
    <w:rsid w:val="046043C4"/>
    <w:rsid w:val="04604A16"/>
    <w:rsid w:val="04676AFE"/>
    <w:rsid w:val="04754611"/>
    <w:rsid w:val="0481450D"/>
    <w:rsid w:val="04855E56"/>
    <w:rsid w:val="04877EA0"/>
    <w:rsid w:val="04927770"/>
    <w:rsid w:val="049522A4"/>
    <w:rsid w:val="049566B6"/>
    <w:rsid w:val="049824BD"/>
    <w:rsid w:val="04983E5B"/>
    <w:rsid w:val="049A4077"/>
    <w:rsid w:val="04A95831"/>
    <w:rsid w:val="04AC7914"/>
    <w:rsid w:val="04B14B6F"/>
    <w:rsid w:val="04B34F3C"/>
    <w:rsid w:val="04B435CF"/>
    <w:rsid w:val="04BF1AB7"/>
    <w:rsid w:val="04C05950"/>
    <w:rsid w:val="04C4405A"/>
    <w:rsid w:val="04C96F25"/>
    <w:rsid w:val="04DF5F2E"/>
    <w:rsid w:val="04E066C9"/>
    <w:rsid w:val="04E248B7"/>
    <w:rsid w:val="04E56A82"/>
    <w:rsid w:val="04EB48D3"/>
    <w:rsid w:val="04F27C74"/>
    <w:rsid w:val="04F548E2"/>
    <w:rsid w:val="04F63980"/>
    <w:rsid w:val="04F86147"/>
    <w:rsid w:val="05016A76"/>
    <w:rsid w:val="05053468"/>
    <w:rsid w:val="050C0CC9"/>
    <w:rsid w:val="050E12CF"/>
    <w:rsid w:val="051150C2"/>
    <w:rsid w:val="051F668B"/>
    <w:rsid w:val="05216654"/>
    <w:rsid w:val="05264D6F"/>
    <w:rsid w:val="05276DC4"/>
    <w:rsid w:val="052826BE"/>
    <w:rsid w:val="052A5AE1"/>
    <w:rsid w:val="052D163B"/>
    <w:rsid w:val="052D6C99"/>
    <w:rsid w:val="0532605E"/>
    <w:rsid w:val="053B632C"/>
    <w:rsid w:val="05401155"/>
    <w:rsid w:val="054431E4"/>
    <w:rsid w:val="054E5D63"/>
    <w:rsid w:val="05527F43"/>
    <w:rsid w:val="05555E8B"/>
    <w:rsid w:val="05556477"/>
    <w:rsid w:val="0557593B"/>
    <w:rsid w:val="05586355"/>
    <w:rsid w:val="055916E8"/>
    <w:rsid w:val="055B1FFB"/>
    <w:rsid w:val="055D6AC8"/>
    <w:rsid w:val="0567338B"/>
    <w:rsid w:val="05680B67"/>
    <w:rsid w:val="056A38C4"/>
    <w:rsid w:val="05740FF4"/>
    <w:rsid w:val="05750F2D"/>
    <w:rsid w:val="05787AF6"/>
    <w:rsid w:val="057A2E2A"/>
    <w:rsid w:val="05862499"/>
    <w:rsid w:val="05960020"/>
    <w:rsid w:val="0596121B"/>
    <w:rsid w:val="05972A06"/>
    <w:rsid w:val="059960DD"/>
    <w:rsid w:val="059D0677"/>
    <w:rsid w:val="059D6C35"/>
    <w:rsid w:val="05A30D9B"/>
    <w:rsid w:val="05B5502D"/>
    <w:rsid w:val="05B9052D"/>
    <w:rsid w:val="05C12EE4"/>
    <w:rsid w:val="05CA098C"/>
    <w:rsid w:val="05D45002"/>
    <w:rsid w:val="05D9297D"/>
    <w:rsid w:val="05DA2574"/>
    <w:rsid w:val="05DF2BC2"/>
    <w:rsid w:val="05E84714"/>
    <w:rsid w:val="05EA4B8A"/>
    <w:rsid w:val="05F15631"/>
    <w:rsid w:val="05F2227F"/>
    <w:rsid w:val="05FD41D0"/>
    <w:rsid w:val="06010FCA"/>
    <w:rsid w:val="060B4CAD"/>
    <w:rsid w:val="060B69B9"/>
    <w:rsid w:val="0617527B"/>
    <w:rsid w:val="061B6BD1"/>
    <w:rsid w:val="061E0466"/>
    <w:rsid w:val="061F2A86"/>
    <w:rsid w:val="062064F4"/>
    <w:rsid w:val="0623569B"/>
    <w:rsid w:val="06244CD9"/>
    <w:rsid w:val="06285032"/>
    <w:rsid w:val="062B52E1"/>
    <w:rsid w:val="062F7892"/>
    <w:rsid w:val="063310DF"/>
    <w:rsid w:val="06337FF0"/>
    <w:rsid w:val="063571A8"/>
    <w:rsid w:val="063D6724"/>
    <w:rsid w:val="06411762"/>
    <w:rsid w:val="064222D0"/>
    <w:rsid w:val="06471FDD"/>
    <w:rsid w:val="06473D8B"/>
    <w:rsid w:val="064D309B"/>
    <w:rsid w:val="064E2CC4"/>
    <w:rsid w:val="06532730"/>
    <w:rsid w:val="06546B64"/>
    <w:rsid w:val="065D535C"/>
    <w:rsid w:val="06635046"/>
    <w:rsid w:val="0666522F"/>
    <w:rsid w:val="066977FE"/>
    <w:rsid w:val="066C3CA0"/>
    <w:rsid w:val="0679468C"/>
    <w:rsid w:val="067B7D25"/>
    <w:rsid w:val="067D2D9B"/>
    <w:rsid w:val="0682106B"/>
    <w:rsid w:val="068833D4"/>
    <w:rsid w:val="068A0F7C"/>
    <w:rsid w:val="068B4D4A"/>
    <w:rsid w:val="068E3768"/>
    <w:rsid w:val="069460C6"/>
    <w:rsid w:val="06957362"/>
    <w:rsid w:val="069A47C4"/>
    <w:rsid w:val="06A237FE"/>
    <w:rsid w:val="06A24B28"/>
    <w:rsid w:val="06A50AB1"/>
    <w:rsid w:val="06A66D03"/>
    <w:rsid w:val="06B27DCD"/>
    <w:rsid w:val="06CC46B0"/>
    <w:rsid w:val="06CF771E"/>
    <w:rsid w:val="06D46631"/>
    <w:rsid w:val="06EB30D0"/>
    <w:rsid w:val="06EE4206"/>
    <w:rsid w:val="06F537E7"/>
    <w:rsid w:val="06FC2783"/>
    <w:rsid w:val="070954E4"/>
    <w:rsid w:val="07097309"/>
    <w:rsid w:val="070A3A1C"/>
    <w:rsid w:val="070C0BB8"/>
    <w:rsid w:val="070E58EA"/>
    <w:rsid w:val="07117EF5"/>
    <w:rsid w:val="07125D3C"/>
    <w:rsid w:val="0716069A"/>
    <w:rsid w:val="07181EA1"/>
    <w:rsid w:val="071C222A"/>
    <w:rsid w:val="0724261A"/>
    <w:rsid w:val="072E0781"/>
    <w:rsid w:val="0730481F"/>
    <w:rsid w:val="07314CF6"/>
    <w:rsid w:val="0744651C"/>
    <w:rsid w:val="07446845"/>
    <w:rsid w:val="0753050D"/>
    <w:rsid w:val="076051E0"/>
    <w:rsid w:val="07605FE9"/>
    <w:rsid w:val="07666493"/>
    <w:rsid w:val="07670D27"/>
    <w:rsid w:val="076C0E17"/>
    <w:rsid w:val="076D15CF"/>
    <w:rsid w:val="077229B4"/>
    <w:rsid w:val="07764D53"/>
    <w:rsid w:val="07882C70"/>
    <w:rsid w:val="078C0A24"/>
    <w:rsid w:val="07A5642F"/>
    <w:rsid w:val="07A9367F"/>
    <w:rsid w:val="07B12683"/>
    <w:rsid w:val="07B23E70"/>
    <w:rsid w:val="07B30527"/>
    <w:rsid w:val="07C136C9"/>
    <w:rsid w:val="07C5284A"/>
    <w:rsid w:val="07C54D29"/>
    <w:rsid w:val="07C54DAB"/>
    <w:rsid w:val="07CA07CF"/>
    <w:rsid w:val="07DB590A"/>
    <w:rsid w:val="07DB7C2E"/>
    <w:rsid w:val="07E61381"/>
    <w:rsid w:val="07EE2B88"/>
    <w:rsid w:val="07F65A68"/>
    <w:rsid w:val="07F93902"/>
    <w:rsid w:val="07FF0EBB"/>
    <w:rsid w:val="08057A5A"/>
    <w:rsid w:val="08083BEE"/>
    <w:rsid w:val="080B0CF2"/>
    <w:rsid w:val="080B388B"/>
    <w:rsid w:val="080C703A"/>
    <w:rsid w:val="081D1257"/>
    <w:rsid w:val="081E733C"/>
    <w:rsid w:val="081F3B6D"/>
    <w:rsid w:val="0820074F"/>
    <w:rsid w:val="0838502B"/>
    <w:rsid w:val="08407824"/>
    <w:rsid w:val="08424D5F"/>
    <w:rsid w:val="08507FCF"/>
    <w:rsid w:val="08585DDB"/>
    <w:rsid w:val="08593FE2"/>
    <w:rsid w:val="085B7D8C"/>
    <w:rsid w:val="08663C1A"/>
    <w:rsid w:val="08676EA6"/>
    <w:rsid w:val="08744BDF"/>
    <w:rsid w:val="087543D2"/>
    <w:rsid w:val="08771DCD"/>
    <w:rsid w:val="087A47BC"/>
    <w:rsid w:val="087D3BD3"/>
    <w:rsid w:val="088265ED"/>
    <w:rsid w:val="08892E50"/>
    <w:rsid w:val="088A61B1"/>
    <w:rsid w:val="088B07CC"/>
    <w:rsid w:val="08911AF8"/>
    <w:rsid w:val="0895702F"/>
    <w:rsid w:val="089808CE"/>
    <w:rsid w:val="08A43DB9"/>
    <w:rsid w:val="08A85932"/>
    <w:rsid w:val="08B865A0"/>
    <w:rsid w:val="08CA6C4D"/>
    <w:rsid w:val="08CB1C34"/>
    <w:rsid w:val="08DA606E"/>
    <w:rsid w:val="08E93C1C"/>
    <w:rsid w:val="08E9737B"/>
    <w:rsid w:val="08EE04EE"/>
    <w:rsid w:val="08F17FDE"/>
    <w:rsid w:val="08FC5A70"/>
    <w:rsid w:val="09031159"/>
    <w:rsid w:val="09046C0D"/>
    <w:rsid w:val="09087694"/>
    <w:rsid w:val="09095F83"/>
    <w:rsid w:val="09175715"/>
    <w:rsid w:val="0926237D"/>
    <w:rsid w:val="0928234C"/>
    <w:rsid w:val="092B2685"/>
    <w:rsid w:val="09336848"/>
    <w:rsid w:val="093E1D59"/>
    <w:rsid w:val="09441633"/>
    <w:rsid w:val="09497E1A"/>
    <w:rsid w:val="09510329"/>
    <w:rsid w:val="0955056D"/>
    <w:rsid w:val="0959426D"/>
    <w:rsid w:val="09644C54"/>
    <w:rsid w:val="09697373"/>
    <w:rsid w:val="096B1B3E"/>
    <w:rsid w:val="09727371"/>
    <w:rsid w:val="09727714"/>
    <w:rsid w:val="09823D0D"/>
    <w:rsid w:val="098350DA"/>
    <w:rsid w:val="098552F6"/>
    <w:rsid w:val="098A1B87"/>
    <w:rsid w:val="098C0913"/>
    <w:rsid w:val="09970B85"/>
    <w:rsid w:val="099C43EE"/>
    <w:rsid w:val="09B70AB0"/>
    <w:rsid w:val="09B907C2"/>
    <w:rsid w:val="09C474A0"/>
    <w:rsid w:val="09C851E3"/>
    <w:rsid w:val="09CA0BB9"/>
    <w:rsid w:val="09D12CDB"/>
    <w:rsid w:val="09D21BBD"/>
    <w:rsid w:val="09DB70C8"/>
    <w:rsid w:val="09DF7E44"/>
    <w:rsid w:val="09E35B78"/>
    <w:rsid w:val="09E45ABA"/>
    <w:rsid w:val="09EB0873"/>
    <w:rsid w:val="09F02578"/>
    <w:rsid w:val="09F40358"/>
    <w:rsid w:val="09FE6CC0"/>
    <w:rsid w:val="0A071642"/>
    <w:rsid w:val="0A0C672F"/>
    <w:rsid w:val="0A0D52EB"/>
    <w:rsid w:val="0A0F06E0"/>
    <w:rsid w:val="0A215262"/>
    <w:rsid w:val="0A2166A1"/>
    <w:rsid w:val="0A264F10"/>
    <w:rsid w:val="0A2B6077"/>
    <w:rsid w:val="0A2D0E99"/>
    <w:rsid w:val="0A3C51EE"/>
    <w:rsid w:val="0A47319F"/>
    <w:rsid w:val="0A4D5C46"/>
    <w:rsid w:val="0A4E1F38"/>
    <w:rsid w:val="0A4E45AD"/>
    <w:rsid w:val="0A570853"/>
    <w:rsid w:val="0A59012B"/>
    <w:rsid w:val="0A5B101A"/>
    <w:rsid w:val="0A60541B"/>
    <w:rsid w:val="0A755328"/>
    <w:rsid w:val="0A780FD3"/>
    <w:rsid w:val="0A8358A7"/>
    <w:rsid w:val="0A8607B2"/>
    <w:rsid w:val="0A870BFA"/>
    <w:rsid w:val="0A8E48B3"/>
    <w:rsid w:val="0A941F77"/>
    <w:rsid w:val="0A99246F"/>
    <w:rsid w:val="0A9A4817"/>
    <w:rsid w:val="0AA11D51"/>
    <w:rsid w:val="0ABC55A0"/>
    <w:rsid w:val="0AC06EDD"/>
    <w:rsid w:val="0AC736EC"/>
    <w:rsid w:val="0AD007F3"/>
    <w:rsid w:val="0ADB48C2"/>
    <w:rsid w:val="0ADC01E9"/>
    <w:rsid w:val="0ADC2C50"/>
    <w:rsid w:val="0ADE42CC"/>
    <w:rsid w:val="0ADF776B"/>
    <w:rsid w:val="0AE903B4"/>
    <w:rsid w:val="0AED51D2"/>
    <w:rsid w:val="0AFD49C0"/>
    <w:rsid w:val="0AFD5355"/>
    <w:rsid w:val="0AFD6777"/>
    <w:rsid w:val="0B050901"/>
    <w:rsid w:val="0B0A2923"/>
    <w:rsid w:val="0B0D72E0"/>
    <w:rsid w:val="0B0D7A54"/>
    <w:rsid w:val="0B0E2502"/>
    <w:rsid w:val="0B0F6290"/>
    <w:rsid w:val="0B13521F"/>
    <w:rsid w:val="0B1A376D"/>
    <w:rsid w:val="0B1A7CC0"/>
    <w:rsid w:val="0B1B00A6"/>
    <w:rsid w:val="0B1F756D"/>
    <w:rsid w:val="0B2621C1"/>
    <w:rsid w:val="0B277E6C"/>
    <w:rsid w:val="0B2A2E0E"/>
    <w:rsid w:val="0B3C466A"/>
    <w:rsid w:val="0B426947"/>
    <w:rsid w:val="0B484314"/>
    <w:rsid w:val="0B4A598E"/>
    <w:rsid w:val="0B506174"/>
    <w:rsid w:val="0B53335E"/>
    <w:rsid w:val="0B601773"/>
    <w:rsid w:val="0B6727D9"/>
    <w:rsid w:val="0B696551"/>
    <w:rsid w:val="0B6C3DE8"/>
    <w:rsid w:val="0B6E0FC1"/>
    <w:rsid w:val="0B750C80"/>
    <w:rsid w:val="0B753691"/>
    <w:rsid w:val="0B783628"/>
    <w:rsid w:val="0B7C0B28"/>
    <w:rsid w:val="0B7C2086"/>
    <w:rsid w:val="0B892750"/>
    <w:rsid w:val="0B8A68D5"/>
    <w:rsid w:val="0B8D0099"/>
    <w:rsid w:val="0B9271DB"/>
    <w:rsid w:val="0BA453A4"/>
    <w:rsid w:val="0BA725DD"/>
    <w:rsid w:val="0BB04180"/>
    <w:rsid w:val="0BB43C70"/>
    <w:rsid w:val="0BB54758"/>
    <w:rsid w:val="0BB579E9"/>
    <w:rsid w:val="0BBA4D8A"/>
    <w:rsid w:val="0BBD71E8"/>
    <w:rsid w:val="0BC82AFC"/>
    <w:rsid w:val="0BCA5242"/>
    <w:rsid w:val="0BCD2F74"/>
    <w:rsid w:val="0BD460BB"/>
    <w:rsid w:val="0BEA2CF1"/>
    <w:rsid w:val="0BEA58E4"/>
    <w:rsid w:val="0BEE2A8B"/>
    <w:rsid w:val="0BEE5A2E"/>
    <w:rsid w:val="0BF707A1"/>
    <w:rsid w:val="0BF9196B"/>
    <w:rsid w:val="0C0267CE"/>
    <w:rsid w:val="0C115749"/>
    <w:rsid w:val="0C146529"/>
    <w:rsid w:val="0C165A33"/>
    <w:rsid w:val="0C232BA4"/>
    <w:rsid w:val="0C2C320A"/>
    <w:rsid w:val="0C2C65B8"/>
    <w:rsid w:val="0C316B5D"/>
    <w:rsid w:val="0C33462A"/>
    <w:rsid w:val="0C354060"/>
    <w:rsid w:val="0C3A335A"/>
    <w:rsid w:val="0C4371A2"/>
    <w:rsid w:val="0C476AE9"/>
    <w:rsid w:val="0C487075"/>
    <w:rsid w:val="0C4C51ED"/>
    <w:rsid w:val="0C4D5E73"/>
    <w:rsid w:val="0C5359AA"/>
    <w:rsid w:val="0C5640C3"/>
    <w:rsid w:val="0C5B1E2B"/>
    <w:rsid w:val="0C5C1C12"/>
    <w:rsid w:val="0C7019E0"/>
    <w:rsid w:val="0C750D9F"/>
    <w:rsid w:val="0C75162B"/>
    <w:rsid w:val="0C760F26"/>
    <w:rsid w:val="0C7C4C66"/>
    <w:rsid w:val="0C866594"/>
    <w:rsid w:val="0C8C24F7"/>
    <w:rsid w:val="0C8E2907"/>
    <w:rsid w:val="0C900A26"/>
    <w:rsid w:val="0C9111BF"/>
    <w:rsid w:val="0C913FB2"/>
    <w:rsid w:val="0C943AA2"/>
    <w:rsid w:val="0C957EAE"/>
    <w:rsid w:val="0C98586B"/>
    <w:rsid w:val="0CA20B3F"/>
    <w:rsid w:val="0CAE4908"/>
    <w:rsid w:val="0CB1152B"/>
    <w:rsid w:val="0CB11A15"/>
    <w:rsid w:val="0CB94C1F"/>
    <w:rsid w:val="0CBD51FA"/>
    <w:rsid w:val="0CC10195"/>
    <w:rsid w:val="0CC1771A"/>
    <w:rsid w:val="0CC43B9E"/>
    <w:rsid w:val="0CCE7FAA"/>
    <w:rsid w:val="0CD10FA7"/>
    <w:rsid w:val="0CDB2626"/>
    <w:rsid w:val="0CFC2FB8"/>
    <w:rsid w:val="0CFD4D64"/>
    <w:rsid w:val="0CFE0C51"/>
    <w:rsid w:val="0CFE6FE8"/>
    <w:rsid w:val="0D076311"/>
    <w:rsid w:val="0D190F82"/>
    <w:rsid w:val="0D251429"/>
    <w:rsid w:val="0D261D36"/>
    <w:rsid w:val="0D263D02"/>
    <w:rsid w:val="0D272C2D"/>
    <w:rsid w:val="0D2766C4"/>
    <w:rsid w:val="0D2A1793"/>
    <w:rsid w:val="0D2C2471"/>
    <w:rsid w:val="0D334492"/>
    <w:rsid w:val="0D37546E"/>
    <w:rsid w:val="0D3861DB"/>
    <w:rsid w:val="0D4564DF"/>
    <w:rsid w:val="0D466B0F"/>
    <w:rsid w:val="0D48628F"/>
    <w:rsid w:val="0D4C612B"/>
    <w:rsid w:val="0D523741"/>
    <w:rsid w:val="0D574E8A"/>
    <w:rsid w:val="0D59754A"/>
    <w:rsid w:val="0D636797"/>
    <w:rsid w:val="0D650A0F"/>
    <w:rsid w:val="0D682A91"/>
    <w:rsid w:val="0D6848B6"/>
    <w:rsid w:val="0D695F25"/>
    <w:rsid w:val="0D716A19"/>
    <w:rsid w:val="0D735465"/>
    <w:rsid w:val="0D7D06C8"/>
    <w:rsid w:val="0D892EDB"/>
    <w:rsid w:val="0D896A37"/>
    <w:rsid w:val="0D8E4ADA"/>
    <w:rsid w:val="0D98382A"/>
    <w:rsid w:val="0D9D20CF"/>
    <w:rsid w:val="0D9E7771"/>
    <w:rsid w:val="0DA66D6E"/>
    <w:rsid w:val="0DB01BB5"/>
    <w:rsid w:val="0DB52476"/>
    <w:rsid w:val="0DBA6921"/>
    <w:rsid w:val="0DBE1DB1"/>
    <w:rsid w:val="0DC1750C"/>
    <w:rsid w:val="0DC92F26"/>
    <w:rsid w:val="0DCB1449"/>
    <w:rsid w:val="0DCC641D"/>
    <w:rsid w:val="0DD343D0"/>
    <w:rsid w:val="0DD47F3D"/>
    <w:rsid w:val="0DD63D04"/>
    <w:rsid w:val="0DDC4F58"/>
    <w:rsid w:val="0DE948FE"/>
    <w:rsid w:val="0DE96810"/>
    <w:rsid w:val="0DED2D07"/>
    <w:rsid w:val="0DF04D54"/>
    <w:rsid w:val="0DF31BB3"/>
    <w:rsid w:val="0DF8283C"/>
    <w:rsid w:val="0E024815"/>
    <w:rsid w:val="0E0514A4"/>
    <w:rsid w:val="0E0B0603"/>
    <w:rsid w:val="0E0D58BA"/>
    <w:rsid w:val="0E1053AA"/>
    <w:rsid w:val="0E124BBB"/>
    <w:rsid w:val="0E1E3623"/>
    <w:rsid w:val="0E1F478E"/>
    <w:rsid w:val="0E217F4C"/>
    <w:rsid w:val="0E231949"/>
    <w:rsid w:val="0E2C7B17"/>
    <w:rsid w:val="0E327302"/>
    <w:rsid w:val="0E395B6A"/>
    <w:rsid w:val="0E3B18D0"/>
    <w:rsid w:val="0E3B6104"/>
    <w:rsid w:val="0E3D4D49"/>
    <w:rsid w:val="0E4137B5"/>
    <w:rsid w:val="0E42416F"/>
    <w:rsid w:val="0E437C84"/>
    <w:rsid w:val="0E497BBE"/>
    <w:rsid w:val="0E527771"/>
    <w:rsid w:val="0E626DC5"/>
    <w:rsid w:val="0E674C57"/>
    <w:rsid w:val="0E6F047A"/>
    <w:rsid w:val="0E7149BF"/>
    <w:rsid w:val="0E744FBB"/>
    <w:rsid w:val="0E75250A"/>
    <w:rsid w:val="0E7C2CAA"/>
    <w:rsid w:val="0E7F624D"/>
    <w:rsid w:val="0E852A4F"/>
    <w:rsid w:val="0E862104"/>
    <w:rsid w:val="0E87741A"/>
    <w:rsid w:val="0E891FDE"/>
    <w:rsid w:val="0E8F4521"/>
    <w:rsid w:val="0E915A10"/>
    <w:rsid w:val="0E942882"/>
    <w:rsid w:val="0E9674B9"/>
    <w:rsid w:val="0EA915F6"/>
    <w:rsid w:val="0EB2601C"/>
    <w:rsid w:val="0EB750C0"/>
    <w:rsid w:val="0EC046DA"/>
    <w:rsid w:val="0EC07CFC"/>
    <w:rsid w:val="0EC341CA"/>
    <w:rsid w:val="0ECF491D"/>
    <w:rsid w:val="0ED27AE6"/>
    <w:rsid w:val="0ED46C52"/>
    <w:rsid w:val="0EDA0AB4"/>
    <w:rsid w:val="0EDE2DB2"/>
    <w:rsid w:val="0EDF021D"/>
    <w:rsid w:val="0EE408FC"/>
    <w:rsid w:val="0EEF4FBF"/>
    <w:rsid w:val="0EF21E56"/>
    <w:rsid w:val="0EF613AC"/>
    <w:rsid w:val="0EFB2F15"/>
    <w:rsid w:val="0EFD0DA2"/>
    <w:rsid w:val="0EFD592E"/>
    <w:rsid w:val="0F000F7B"/>
    <w:rsid w:val="0F043120"/>
    <w:rsid w:val="0F061B96"/>
    <w:rsid w:val="0F096AA2"/>
    <w:rsid w:val="0F0C1D81"/>
    <w:rsid w:val="0F113188"/>
    <w:rsid w:val="0F11456A"/>
    <w:rsid w:val="0F136773"/>
    <w:rsid w:val="0F1C1CB2"/>
    <w:rsid w:val="0F225395"/>
    <w:rsid w:val="0F261277"/>
    <w:rsid w:val="0F2754CB"/>
    <w:rsid w:val="0F307AB2"/>
    <w:rsid w:val="0F386123"/>
    <w:rsid w:val="0F402F7C"/>
    <w:rsid w:val="0F404EE9"/>
    <w:rsid w:val="0F421593"/>
    <w:rsid w:val="0F463C5A"/>
    <w:rsid w:val="0F4774E7"/>
    <w:rsid w:val="0F4E618A"/>
    <w:rsid w:val="0F580DB7"/>
    <w:rsid w:val="0F5812CA"/>
    <w:rsid w:val="0F594957"/>
    <w:rsid w:val="0F5B294D"/>
    <w:rsid w:val="0F6F3850"/>
    <w:rsid w:val="0F70751E"/>
    <w:rsid w:val="0F753717"/>
    <w:rsid w:val="0F841BAC"/>
    <w:rsid w:val="0F881C79"/>
    <w:rsid w:val="0F9C1062"/>
    <w:rsid w:val="0F9E58BB"/>
    <w:rsid w:val="0FA4224E"/>
    <w:rsid w:val="0FAD09B6"/>
    <w:rsid w:val="0FB3423F"/>
    <w:rsid w:val="0FB73D2F"/>
    <w:rsid w:val="0FBE439B"/>
    <w:rsid w:val="0FC11325"/>
    <w:rsid w:val="0FC20F05"/>
    <w:rsid w:val="0FCB7FCB"/>
    <w:rsid w:val="0FCC124A"/>
    <w:rsid w:val="0FCC1EDF"/>
    <w:rsid w:val="0FCF5B6F"/>
    <w:rsid w:val="0FD4638A"/>
    <w:rsid w:val="0FD536AF"/>
    <w:rsid w:val="0FD720C6"/>
    <w:rsid w:val="0FD767AC"/>
    <w:rsid w:val="0FDD2BC6"/>
    <w:rsid w:val="0FDD45F7"/>
    <w:rsid w:val="0FE10F96"/>
    <w:rsid w:val="0FE75E5C"/>
    <w:rsid w:val="0FE84C07"/>
    <w:rsid w:val="0FE91A0F"/>
    <w:rsid w:val="0FF232B0"/>
    <w:rsid w:val="0FFF686C"/>
    <w:rsid w:val="10090303"/>
    <w:rsid w:val="100A58CF"/>
    <w:rsid w:val="100D26A7"/>
    <w:rsid w:val="10153451"/>
    <w:rsid w:val="10187BC3"/>
    <w:rsid w:val="101C3B92"/>
    <w:rsid w:val="10256733"/>
    <w:rsid w:val="10285DEF"/>
    <w:rsid w:val="1035216C"/>
    <w:rsid w:val="10354C54"/>
    <w:rsid w:val="104D7889"/>
    <w:rsid w:val="10535627"/>
    <w:rsid w:val="105D08B4"/>
    <w:rsid w:val="106138B6"/>
    <w:rsid w:val="1068346D"/>
    <w:rsid w:val="106E2803"/>
    <w:rsid w:val="10733F64"/>
    <w:rsid w:val="107471BB"/>
    <w:rsid w:val="1077495A"/>
    <w:rsid w:val="10794135"/>
    <w:rsid w:val="107C4A88"/>
    <w:rsid w:val="107C6D27"/>
    <w:rsid w:val="10836292"/>
    <w:rsid w:val="1084733A"/>
    <w:rsid w:val="108501F1"/>
    <w:rsid w:val="10892E08"/>
    <w:rsid w:val="10896B0F"/>
    <w:rsid w:val="10906AF7"/>
    <w:rsid w:val="109B1C91"/>
    <w:rsid w:val="109B683D"/>
    <w:rsid w:val="10A73DA4"/>
    <w:rsid w:val="10A9313E"/>
    <w:rsid w:val="10AF62CC"/>
    <w:rsid w:val="10B22749"/>
    <w:rsid w:val="10B80434"/>
    <w:rsid w:val="10B94A62"/>
    <w:rsid w:val="10B97633"/>
    <w:rsid w:val="10C223C5"/>
    <w:rsid w:val="10C84E6C"/>
    <w:rsid w:val="10CE29C6"/>
    <w:rsid w:val="10CE45E0"/>
    <w:rsid w:val="10D40911"/>
    <w:rsid w:val="10D47030"/>
    <w:rsid w:val="10D517BF"/>
    <w:rsid w:val="10D65051"/>
    <w:rsid w:val="10DD3832"/>
    <w:rsid w:val="10DE599A"/>
    <w:rsid w:val="10E24B92"/>
    <w:rsid w:val="10E2636D"/>
    <w:rsid w:val="10E83E22"/>
    <w:rsid w:val="10EC2F14"/>
    <w:rsid w:val="10FA3648"/>
    <w:rsid w:val="110B4686"/>
    <w:rsid w:val="11156898"/>
    <w:rsid w:val="11194E1D"/>
    <w:rsid w:val="11196874"/>
    <w:rsid w:val="11196DE2"/>
    <w:rsid w:val="111F5821"/>
    <w:rsid w:val="11203188"/>
    <w:rsid w:val="11360153"/>
    <w:rsid w:val="11393088"/>
    <w:rsid w:val="113A0031"/>
    <w:rsid w:val="113F119A"/>
    <w:rsid w:val="11407D54"/>
    <w:rsid w:val="115036DA"/>
    <w:rsid w:val="115655F5"/>
    <w:rsid w:val="116A6B7F"/>
    <w:rsid w:val="116E48C1"/>
    <w:rsid w:val="1172747C"/>
    <w:rsid w:val="11760CAC"/>
    <w:rsid w:val="11815C56"/>
    <w:rsid w:val="11834BA9"/>
    <w:rsid w:val="118C52B4"/>
    <w:rsid w:val="11972559"/>
    <w:rsid w:val="119777CB"/>
    <w:rsid w:val="11977C10"/>
    <w:rsid w:val="119D51A7"/>
    <w:rsid w:val="119F3A09"/>
    <w:rsid w:val="11AC5CDC"/>
    <w:rsid w:val="11AC7198"/>
    <w:rsid w:val="11AE0636"/>
    <w:rsid w:val="11B37630"/>
    <w:rsid w:val="11B524F0"/>
    <w:rsid w:val="11BC1D7F"/>
    <w:rsid w:val="11BE4E7D"/>
    <w:rsid w:val="11C10E95"/>
    <w:rsid w:val="11C546A6"/>
    <w:rsid w:val="11C6025A"/>
    <w:rsid w:val="11C62994"/>
    <w:rsid w:val="11C81B3E"/>
    <w:rsid w:val="11C91064"/>
    <w:rsid w:val="11D4099D"/>
    <w:rsid w:val="11E64492"/>
    <w:rsid w:val="11EB2C2A"/>
    <w:rsid w:val="11ED2D2B"/>
    <w:rsid w:val="11F110EE"/>
    <w:rsid w:val="11FC5FA9"/>
    <w:rsid w:val="12005690"/>
    <w:rsid w:val="12046193"/>
    <w:rsid w:val="120B4151"/>
    <w:rsid w:val="120F384C"/>
    <w:rsid w:val="120F6A04"/>
    <w:rsid w:val="12250A88"/>
    <w:rsid w:val="1228606A"/>
    <w:rsid w:val="12287BC2"/>
    <w:rsid w:val="122B630F"/>
    <w:rsid w:val="122D7ACE"/>
    <w:rsid w:val="123012C0"/>
    <w:rsid w:val="12373BE5"/>
    <w:rsid w:val="123F15C1"/>
    <w:rsid w:val="12485385"/>
    <w:rsid w:val="124A361C"/>
    <w:rsid w:val="124E668F"/>
    <w:rsid w:val="1256397A"/>
    <w:rsid w:val="125E7FD4"/>
    <w:rsid w:val="125F3008"/>
    <w:rsid w:val="1263038F"/>
    <w:rsid w:val="12637955"/>
    <w:rsid w:val="12751FBA"/>
    <w:rsid w:val="12772714"/>
    <w:rsid w:val="127C3574"/>
    <w:rsid w:val="12823F14"/>
    <w:rsid w:val="12843E46"/>
    <w:rsid w:val="128A524C"/>
    <w:rsid w:val="1292638E"/>
    <w:rsid w:val="12A24894"/>
    <w:rsid w:val="12A630BD"/>
    <w:rsid w:val="12A8333E"/>
    <w:rsid w:val="12B13BA8"/>
    <w:rsid w:val="12B26A30"/>
    <w:rsid w:val="12B3307D"/>
    <w:rsid w:val="12BA7692"/>
    <w:rsid w:val="12C7318C"/>
    <w:rsid w:val="12CA3D79"/>
    <w:rsid w:val="12CB6E54"/>
    <w:rsid w:val="12CC4B73"/>
    <w:rsid w:val="12CD5618"/>
    <w:rsid w:val="12CD73C6"/>
    <w:rsid w:val="12D270D2"/>
    <w:rsid w:val="12D31E55"/>
    <w:rsid w:val="12E06A8B"/>
    <w:rsid w:val="12E27315"/>
    <w:rsid w:val="12E311CB"/>
    <w:rsid w:val="12E41C1F"/>
    <w:rsid w:val="12E54E31"/>
    <w:rsid w:val="12EB3CF0"/>
    <w:rsid w:val="12ED540D"/>
    <w:rsid w:val="12FC5EFD"/>
    <w:rsid w:val="13031DFF"/>
    <w:rsid w:val="130848A2"/>
    <w:rsid w:val="13126DE3"/>
    <w:rsid w:val="13184E8B"/>
    <w:rsid w:val="13203E74"/>
    <w:rsid w:val="132C05F4"/>
    <w:rsid w:val="132F1E2E"/>
    <w:rsid w:val="133438E9"/>
    <w:rsid w:val="13352544"/>
    <w:rsid w:val="133826C2"/>
    <w:rsid w:val="13385187"/>
    <w:rsid w:val="133D09EF"/>
    <w:rsid w:val="133F1B9A"/>
    <w:rsid w:val="13425A4B"/>
    <w:rsid w:val="1347361C"/>
    <w:rsid w:val="13533628"/>
    <w:rsid w:val="13581606"/>
    <w:rsid w:val="135F0EB2"/>
    <w:rsid w:val="13697D0C"/>
    <w:rsid w:val="136A730B"/>
    <w:rsid w:val="13720FD4"/>
    <w:rsid w:val="137212E9"/>
    <w:rsid w:val="137A67AD"/>
    <w:rsid w:val="137C52F5"/>
    <w:rsid w:val="137E2F3F"/>
    <w:rsid w:val="137E2F7D"/>
    <w:rsid w:val="13830A8B"/>
    <w:rsid w:val="1383205C"/>
    <w:rsid w:val="138B1142"/>
    <w:rsid w:val="138C0502"/>
    <w:rsid w:val="138F4F4F"/>
    <w:rsid w:val="13963C5C"/>
    <w:rsid w:val="13AB531F"/>
    <w:rsid w:val="13AE601E"/>
    <w:rsid w:val="13B13284"/>
    <w:rsid w:val="13B37597"/>
    <w:rsid w:val="13B62550"/>
    <w:rsid w:val="13BA2BA6"/>
    <w:rsid w:val="13BA570A"/>
    <w:rsid w:val="13BE713C"/>
    <w:rsid w:val="13C16E37"/>
    <w:rsid w:val="13C46A1B"/>
    <w:rsid w:val="13C564C1"/>
    <w:rsid w:val="13CE6160"/>
    <w:rsid w:val="13D95C9E"/>
    <w:rsid w:val="13DB2D7B"/>
    <w:rsid w:val="13DD35CB"/>
    <w:rsid w:val="13E22C12"/>
    <w:rsid w:val="13F6294C"/>
    <w:rsid w:val="13FB5E3B"/>
    <w:rsid w:val="14005579"/>
    <w:rsid w:val="140524CA"/>
    <w:rsid w:val="140E413A"/>
    <w:rsid w:val="14126CB8"/>
    <w:rsid w:val="14195081"/>
    <w:rsid w:val="141F59D2"/>
    <w:rsid w:val="14207792"/>
    <w:rsid w:val="14222040"/>
    <w:rsid w:val="14330C8C"/>
    <w:rsid w:val="14330FA7"/>
    <w:rsid w:val="144578B8"/>
    <w:rsid w:val="1449325E"/>
    <w:rsid w:val="144A52FF"/>
    <w:rsid w:val="14564C76"/>
    <w:rsid w:val="1457163D"/>
    <w:rsid w:val="145735A3"/>
    <w:rsid w:val="145A30E6"/>
    <w:rsid w:val="145E6E6F"/>
    <w:rsid w:val="14665894"/>
    <w:rsid w:val="14665AA7"/>
    <w:rsid w:val="14680B33"/>
    <w:rsid w:val="14681A9C"/>
    <w:rsid w:val="146F35DD"/>
    <w:rsid w:val="147D6BCA"/>
    <w:rsid w:val="1480651D"/>
    <w:rsid w:val="14841377"/>
    <w:rsid w:val="1485215A"/>
    <w:rsid w:val="1485763A"/>
    <w:rsid w:val="148B38DC"/>
    <w:rsid w:val="148C0451"/>
    <w:rsid w:val="14904B4F"/>
    <w:rsid w:val="14914780"/>
    <w:rsid w:val="1495477A"/>
    <w:rsid w:val="149D2EE2"/>
    <w:rsid w:val="14A23FC7"/>
    <w:rsid w:val="14AA0FA9"/>
    <w:rsid w:val="14B06F9F"/>
    <w:rsid w:val="14B93131"/>
    <w:rsid w:val="14BA20EA"/>
    <w:rsid w:val="14BF6844"/>
    <w:rsid w:val="14C56610"/>
    <w:rsid w:val="14CC7532"/>
    <w:rsid w:val="14CF355D"/>
    <w:rsid w:val="14D40EDF"/>
    <w:rsid w:val="14D9723A"/>
    <w:rsid w:val="14E32ED1"/>
    <w:rsid w:val="14E74D64"/>
    <w:rsid w:val="14E8498B"/>
    <w:rsid w:val="14EE2A82"/>
    <w:rsid w:val="1502500A"/>
    <w:rsid w:val="15105783"/>
    <w:rsid w:val="15107A3E"/>
    <w:rsid w:val="15170DCC"/>
    <w:rsid w:val="15192D96"/>
    <w:rsid w:val="151F0D40"/>
    <w:rsid w:val="152139F9"/>
    <w:rsid w:val="152D205D"/>
    <w:rsid w:val="15475C08"/>
    <w:rsid w:val="154E197E"/>
    <w:rsid w:val="156017F2"/>
    <w:rsid w:val="156030A4"/>
    <w:rsid w:val="15610274"/>
    <w:rsid w:val="1562160A"/>
    <w:rsid w:val="15705DE8"/>
    <w:rsid w:val="15775E99"/>
    <w:rsid w:val="157A4477"/>
    <w:rsid w:val="157E56FC"/>
    <w:rsid w:val="157F2F90"/>
    <w:rsid w:val="158079F8"/>
    <w:rsid w:val="158126C0"/>
    <w:rsid w:val="158174CB"/>
    <w:rsid w:val="15841317"/>
    <w:rsid w:val="15870167"/>
    <w:rsid w:val="158B2D72"/>
    <w:rsid w:val="158F6D92"/>
    <w:rsid w:val="15962639"/>
    <w:rsid w:val="15963996"/>
    <w:rsid w:val="15984140"/>
    <w:rsid w:val="15995A08"/>
    <w:rsid w:val="15A00DC2"/>
    <w:rsid w:val="15A0196F"/>
    <w:rsid w:val="15A46B04"/>
    <w:rsid w:val="15A63CF9"/>
    <w:rsid w:val="15A967DA"/>
    <w:rsid w:val="15AA08A2"/>
    <w:rsid w:val="15AE559E"/>
    <w:rsid w:val="15B14D7D"/>
    <w:rsid w:val="15B430B7"/>
    <w:rsid w:val="15BC0F47"/>
    <w:rsid w:val="15BD5E17"/>
    <w:rsid w:val="15C22650"/>
    <w:rsid w:val="15D370F1"/>
    <w:rsid w:val="15D37AE1"/>
    <w:rsid w:val="15DB15EF"/>
    <w:rsid w:val="15DC447F"/>
    <w:rsid w:val="15DD3DD0"/>
    <w:rsid w:val="15E50137"/>
    <w:rsid w:val="15E7676D"/>
    <w:rsid w:val="15F33FB1"/>
    <w:rsid w:val="15F6770D"/>
    <w:rsid w:val="15FD430F"/>
    <w:rsid w:val="1606488B"/>
    <w:rsid w:val="160E773B"/>
    <w:rsid w:val="16104199"/>
    <w:rsid w:val="161940C1"/>
    <w:rsid w:val="161E030A"/>
    <w:rsid w:val="161E7FDB"/>
    <w:rsid w:val="16280175"/>
    <w:rsid w:val="162953E9"/>
    <w:rsid w:val="162E1800"/>
    <w:rsid w:val="162E461F"/>
    <w:rsid w:val="163154C2"/>
    <w:rsid w:val="16361726"/>
    <w:rsid w:val="163F12DA"/>
    <w:rsid w:val="16500A3A"/>
    <w:rsid w:val="16513AFC"/>
    <w:rsid w:val="16521857"/>
    <w:rsid w:val="16537736"/>
    <w:rsid w:val="1662574A"/>
    <w:rsid w:val="166D518C"/>
    <w:rsid w:val="16726C02"/>
    <w:rsid w:val="16822CFB"/>
    <w:rsid w:val="168A1C4B"/>
    <w:rsid w:val="168A232B"/>
    <w:rsid w:val="168C1346"/>
    <w:rsid w:val="169919D4"/>
    <w:rsid w:val="169C5A2D"/>
    <w:rsid w:val="169E706B"/>
    <w:rsid w:val="16A10C26"/>
    <w:rsid w:val="16A22C67"/>
    <w:rsid w:val="16AF1C41"/>
    <w:rsid w:val="16B51218"/>
    <w:rsid w:val="16B87D73"/>
    <w:rsid w:val="16B95D39"/>
    <w:rsid w:val="16BE0F7B"/>
    <w:rsid w:val="16C47691"/>
    <w:rsid w:val="16C53121"/>
    <w:rsid w:val="16C66DAA"/>
    <w:rsid w:val="16C96D7A"/>
    <w:rsid w:val="16CB6312"/>
    <w:rsid w:val="16CF6552"/>
    <w:rsid w:val="16D6436F"/>
    <w:rsid w:val="16DC2D6D"/>
    <w:rsid w:val="16ED74BE"/>
    <w:rsid w:val="16EF477C"/>
    <w:rsid w:val="16F36DBD"/>
    <w:rsid w:val="16F83CEE"/>
    <w:rsid w:val="16F94856"/>
    <w:rsid w:val="16FA2753"/>
    <w:rsid w:val="170633A9"/>
    <w:rsid w:val="17101F77"/>
    <w:rsid w:val="1720051D"/>
    <w:rsid w:val="172614BA"/>
    <w:rsid w:val="172D05D5"/>
    <w:rsid w:val="172F55C0"/>
    <w:rsid w:val="173372AC"/>
    <w:rsid w:val="17342109"/>
    <w:rsid w:val="173C57A9"/>
    <w:rsid w:val="173E5F9B"/>
    <w:rsid w:val="17432218"/>
    <w:rsid w:val="174355C6"/>
    <w:rsid w:val="174914D0"/>
    <w:rsid w:val="174F10CC"/>
    <w:rsid w:val="17503063"/>
    <w:rsid w:val="17571F78"/>
    <w:rsid w:val="17626C76"/>
    <w:rsid w:val="17632DC6"/>
    <w:rsid w:val="17680005"/>
    <w:rsid w:val="17723617"/>
    <w:rsid w:val="17783D9A"/>
    <w:rsid w:val="1779575F"/>
    <w:rsid w:val="177F7BFE"/>
    <w:rsid w:val="17844B0E"/>
    <w:rsid w:val="178C5270"/>
    <w:rsid w:val="17904D72"/>
    <w:rsid w:val="179823D6"/>
    <w:rsid w:val="179D1A5D"/>
    <w:rsid w:val="17A0779F"/>
    <w:rsid w:val="17A23454"/>
    <w:rsid w:val="17A53209"/>
    <w:rsid w:val="17A833B7"/>
    <w:rsid w:val="17A924E4"/>
    <w:rsid w:val="17B2302E"/>
    <w:rsid w:val="17B3195D"/>
    <w:rsid w:val="17B374D2"/>
    <w:rsid w:val="17BD3EAD"/>
    <w:rsid w:val="17CA706B"/>
    <w:rsid w:val="17CE6D0A"/>
    <w:rsid w:val="17D2722C"/>
    <w:rsid w:val="17D933C7"/>
    <w:rsid w:val="17E85CA4"/>
    <w:rsid w:val="17F85F96"/>
    <w:rsid w:val="17FD1DAB"/>
    <w:rsid w:val="17FD6401"/>
    <w:rsid w:val="18006267"/>
    <w:rsid w:val="18025D64"/>
    <w:rsid w:val="180A0F27"/>
    <w:rsid w:val="180E6269"/>
    <w:rsid w:val="180E64B6"/>
    <w:rsid w:val="180F7BF3"/>
    <w:rsid w:val="1818503E"/>
    <w:rsid w:val="181B6E25"/>
    <w:rsid w:val="181C5569"/>
    <w:rsid w:val="181E645C"/>
    <w:rsid w:val="182278AC"/>
    <w:rsid w:val="182346DF"/>
    <w:rsid w:val="182458DB"/>
    <w:rsid w:val="18276F8A"/>
    <w:rsid w:val="182908B6"/>
    <w:rsid w:val="183E355D"/>
    <w:rsid w:val="18477C1A"/>
    <w:rsid w:val="18514C7A"/>
    <w:rsid w:val="18553B5A"/>
    <w:rsid w:val="185B0FE8"/>
    <w:rsid w:val="185C582D"/>
    <w:rsid w:val="185F335D"/>
    <w:rsid w:val="186333DB"/>
    <w:rsid w:val="186764CC"/>
    <w:rsid w:val="186F0F21"/>
    <w:rsid w:val="187F4C05"/>
    <w:rsid w:val="18842C1C"/>
    <w:rsid w:val="18866995"/>
    <w:rsid w:val="188752BE"/>
    <w:rsid w:val="18892E88"/>
    <w:rsid w:val="188B604A"/>
    <w:rsid w:val="18902AAE"/>
    <w:rsid w:val="189A41EE"/>
    <w:rsid w:val="189A5F9C"/>
    <w:rsid w:val="18A1557C"/>
    <w:rsid w:val="18AA7F94"/>
    <w:rsid w:val="18AF591D"/>
    <w:rsid w:val="18B0296E"/>
    <w:rsid w:val="18BB3DE3"/>
    <w:rsid w:val="18BC2E77"/>
    <w:rsid w:val="18C4617B"/>
    <w:rsid w:val="18C56152"/>
    <w:rsid w:val="18C6107E"/>
    <w:rsid w:val="18C96881"/>
    <w:rsid w:val="18D31560"/>
    <w:rsid w:val="18D43618"/>
    <w:rsid w:val="18D769D0"/>
    <w:rsid w:val="18DB6928"/>
    <w:rsid w:val="18E02B21"/>
    <w:rsid w:val="18E22F22"/>
    <w:rsid w:val="18EA4F57"/>
    <w:rsid w:val="18F41B50"/>
    <w:rsid w:val="18FF3438"/>
    <w:rsid w:val="191C172F"/>
    <w:rsid w:val="191E1604"/>
    <w:rsid w:val="191E6BCD"/>
    <w:rsid w:val="19206A1B"/>
    <w:rsid w:val="19272FD1"/>
    <w:rsid w:val="192A2C88"/>
    <w:rsid w:val="192E392D"/>
    <w:rsid w:val="194529AC"/>
    <w:rsid w:val="195A62BB"/>
    <w:rsid w:val="196704DB"/>
    <w:rsid w:val="196D718F"/>
    <w:rsid w:val="196F7DE9"/>
    <w:rsid w:val="19745F65"/>
    <w:rsid w:val="197603AA"/>
    <w:rsid w:val="19766634"/>
    <w:rsid w:val="197C0B8C"/>
    <w:rsid w:val="197E719F"/>
    <w:rsid w:val="19822C3E"/>
    <w:rsid w:val="19825635"/>
    <w:rsid w:val="19891D6A"/>
    <w:rsid w:val="198A6011"/>
    <w:rsid w:val="198A6F3E"/>
    <w:rsid w:val="198B5BE2"/>
    <w:rsid w:val="19915D0D"/>
    <w:rsid w:val="19924659"/>
    <w:rsid w:val="1995091B"/>
    <w:rsid w:val="19962D75"/>
    <w:rsid w:val="199C6E95"/>
    <w:rsid w:val="19A659EB"/>
    <w:rsid w:val="19A73610"/>
    <w:rsid w:val="19AB0780"/>
    <w:rsid w:val="19AD7AE5"/>
    <w:rsid w:val="19AF64D3"/>
    <w:rsid w:val="19B27315"/>
    <w:rsid w:val="19B72B7E"/>
    <w:rsid w:val="19B87156"/>
    <w:rsid w:val="19BB4BA8"/>
    <w:rsid w:val="19BB7350"/>
    <w:rsid w:val="19BB7761"/>
    <w:rsid w:val="19D13C3F"/>
    <w:rsid w:val="19D3098F"/>
    <w:rsid w:val="19D63004"/>
    <w:rsid w:val="19D81252"/>
    <w:rsid w:val="19E31528"/>
    <w:rsid w:val="19E576EB"/>
    <w:rsid w:val="19ED2756"/>
    <w:rsid w:val="19FB2A6A"/>
    <w:rsid w:val="19FD4A34"/>
    <w:rsid w:val="1A062D7E"/>
    <w:rsid w:val="1A0721B8"/>
    <w:rsid w:val="1A0B04C4"/>
    <w:rsid w:val="1A144382"/>
    <w:rsid w:val="1A192BAC"/>
    <w:rsid w:val="1A1A1955"/>
    <w:rsid w:val="1A1D50D7"/>
    <w:rsid w:val="1A1D631D"/>
    <w:rsid w:val="1A24695C"/>
    <w:rsid w:val="1A2A04B7"/>
    <w:rsid w:val="1A2A6D37"/>
    <w:rsid w:val="1A322050"/>
    <w:rsid w:val="1A322500"/>
    <w:rsid w:val="1A3535CD"/>
    <w:rsid w:val="1A35541E"/>
    <w:rsid w:val="1A3725BA"/>
    <w:rsid w:val="1A460858"/>
    <w:rsid w:val="1A4922FE"/>
    <w:rsid w:val="1A4A39F2"/>
    <w:rsid w:val="1A4E7A7E"/>
    <w:rsid w:val="1A534654"/>
    <w:rsid w:val="1A5C0C3B"/>
    <w:rsid w:val="1A5C165B"/>
    <w:rsid w:val="1A654388"/>
    <w:rsid w:val="1A666B36"/>
    <w:rsid w:val="1A6B32BC"/>
    <w:rsid w:val="1A794FF3"/>
    <w:rsid w:val="1A7C14BD"/>
    <w:rsid w:val="1A845A7B"/>
    <w:rsid w:val="1A860DE2"/>
    <w:rsid w:val="1A892B2A"/>
    <w:rsid w:val="1A8E5287"/>
    <w:rsid w:val="1A91517D"/>
    <w:rsid w:val="1A98650B"/>
    <w:rsid w:val="1A9B5FFB"/>
    <w:rsid w:val="1AA47D21"/>
    <w:rsid w:val="1AA576B4"/>
    <w:rsid w:val="1AAD01AC"/>
    <w:rsid w:val="1AB34776"/>
    <w:rsid w:val="1AB4125D"/>
    <w:rsid w:val="1AC076F6"/>
    <w:rsid w:val="1AC15A62"/>
    <w:rsid w:val="1ACD79DB"/>
    <w:rsid w:val="1ACE7693"/>
    <w:rsid w:val="1AD00244"/>
    <w:rsid w:val="1AE2545C"/>
    <w:rsid w:val="1AE25943"/>
    <w:rsid w:val="1AE409F4"/>
    <w:rsid w:val="1AE75563"/>
    <w:rsid w:val="1AEA31A6"/>
    <w:rsid w:val="1AEB6F20"/>
    <w:rsid w:val="1AF1038D"/>
    <w:rsid w:val="1AF158BC"/>
    <w:rsid w:val="1AF908F1"/>
    <w:rsid w:val="1AFA3B2F"/>
    <w:rsid w:val="1B006477"/>
    <w:rsid w:val="1B043176"/>
    <w:rsid w:val="1B085E1F"/>
    <w:rsid w:val="1B0B5D5A"/>
    <w:rsid w:val="1B0F419B"/>
    <w:rsid w:val="1B1069E9"/>
    <w:rsid w:val="1B1504D5"/>
    <w:rsid w:val="1B160E6C"/>
    <w:rsid w:val="1B1E634B"/>
    <w:rsid w:val="1B2150C5"/>
    <w:rsid w:val="1B263775"/>
    <w:rsid w:val="1B267569"/>
    <w:rsid w:val="1B2B667D"/>
    <w:rsid w:val="1B2E1612"/>
    <w:rsid w:val="1B2E5932"/>
    <w:rsid w:val="1B3279C4"/>
    <w:rsid w:val="1B351FAC"/>
    <w:rsid w:val="1B352414"/>
    <w:rsid w:val="1B3A466F"/>
    <w:rsid w:val="1B3F7ADC"/>
    <w:rsid w:val="1B4220C1"/>
    <w:rsid w:val="1B46240B"/>
    <w:rsid w:val="1B48473D"/>
    <w:rsid w:val="1B5320BF"/>
    <w:rsid w:val="1B542C7D"/>
    <w:rsid w:val="1B546E61"/>
    <w:rsid w:val="1B5A1A13"/>
    <w:rsid w:val="1B6C00C4"/>
    <w:rsid w:val="1B6D7998"/>
    <w:rsid w:val="1B772172"/>
    <w:rsid w:val="1B79458F"/>
    <w:rsid w:val="1B7A3E63"/>
    <w:rsid w:val="1B7B588D"/>
    <w:rsid w:val="1B7C680C"/>
    <w:rsid w:val="1B862808"/>
    <w:rsid w:val="1B877B5F"/>
    <w:rsid w:val="1B8F2258"/>
    <w:rsid w:val="1B8F48B1"/>
    <w:rsid w:val="1B9311A0"/>
    <w:rsid w:val="1B932E3D"/>
    <w:rsid w:val="1B967CD3"/>
    <w:rsid w:val="1B9B3992"/>
    <w:rsid w:val="1BA14F96"/>
    <w:rsid w:val="1BB515FC"/>
    <w:rsid w:val="1BB92BDD"/>
    <w:rsid w:val="1BC3552B"/>
    <w:rsid w:val="1BC72C20"/>
    <w:rsid w:val="1BC97091"/>
    <w:rsid w:val="1BCB0C5B"/>
    <w:rsid w:val="1BD164F0"/>
    <w:rsid w:val="1BD47A17"/>
    <w:rsid w:val="1BD75802"/>
    <w:rsid w:val="1BDB6FF7"/>
    <w:rsid w:val="1BE96E00"/>
    <w:rsid w:val="1BEB2B7A"/>
    <w:rsid w:val="1BEF5886"/>
    <w:rsid w:val="1BF105C9"/>
    <w:rsid w:val="1BFA1640"/>
    <w:rsid w:val="1C0025BA"/>
    <w:rsid w:val="1C007E13"/>
    <w:rsid w:val="1C0129F5"/>
    <w:rsid w:val="1C031C0D"/>
    <w:rsid w:val="1C04077A"/>
    <w:rsid w:val="1C0641D6"/>
    <w:rsid w:val="1C0B2C5E"/>
    <w:rsid w:val="1C0D00D8"/>
    <w:rsid w:val="1C146536"/>
    <w:rsid w:val="1C151865"/>
    <w:rsid w:val="1C1E6EE4"/>
    <w:rsid w:val="1C2075F6"/>
    <w:rsid w:val="1C276E3A"/>
    <w:rsid w:val="1C2A44DB"/>
    <w:rsid w:val="1C3109C5"/>
    <w:rsid w:val="1C313C3E"/>
    <w:rsid w:val="1C33298F"/>
    <w:rsid w:val="1C364884"/>
    <w:rsid w:val="1C4306F9"/>
    <w:rsid w:val="1C440407"/>
    <w:rsid w:val="1C4A07EB"/>
    <w:rsid w:val="1C550FDC"/>
    <w:rsid w:val="1C5823F6"/>
    <w:rsid w:val="1C5B1A43"/>
    <w:rsid w:val="1C5B250F"/>
    <w:rsid w:val="1C5E7147"/>
    <w:rsid w:val="1C621E57"/>
    <w:rsid w:val="1C63251F"/>
    <w:rsid w:val="1C675E9E"/>
    <w:rsid w:val="1C6C2CFB"/>
    <w:rsid w:val="1C6E1C1A"/>
    <w:rsid w:val="1C6E286F"/>
    <w:rsid w:val="1C735D2E"/>
    <w:rsid w:val="1C74342B"/>
    <w:rsid w:val="1C8256C5"/>
    <w:rsid w:val="1C941AC4"/>
    <w:rsid w:val="1CA35E52"/>
    <w:rsid w:val="1CA52EC7"/>
    <w:rsid w:val="1CA674E6"/>
    <w:rsid w:val="1CA822F9"/>
    <w:rsid w:val="1CA829BF"/>
    <w:rsid w:val="1CAC45E2"/>
    <w:rsid w:val="1CB15378"/>
    <w:rsid w:val="1CB533A4"/>
    <w:rsid w:val="1CB65D06"/>
    <w:rsid w:val="1CB87339"/>
    <w:rsid w:val="1CBC30B3"/>
    <w:rsid w:val="1CBC632C"/>
    <w:rsid w:val="1CC121DE"/>
    <w:rsid w:val="1CC45DF9"/>
    <w:rsid w:val="1CC54E40"/>
    <w:rsid w:val="1CC7132A"/>
    <w:rsid w:val="1CCA1C3A"/>
    <w:rsid w:val="1CCD601D"/>
    <w:rsid w:val="1CD307B8"/>
    <w:rsid w:val="1CDD64A5"/>
    <w:rsid w:val="1CE1563A"/>
    <w:rsid w:val="1CE570C0"/>
    <w:rsid w:val="1CEE68B6"/>
    <w:rsid w:val="1CF64F85"/>
    <w:rsid w:val="1D0156FB"/>
    <w:rsid w:val="1D0200ED"/>
    <w:rsid w:val="1D021058"/>
    <w:rsid w:val="1D0460DA"/>
    <w:rsid w:val="1D0936F0"/>
    <w:rsid w:val="1D10367E"/>
    <w:rsid w:val="1D135644"/>
    <w:rsid w:val="1D143B42"/>
    <w:rsid w:val="1D162F77"/>
    <w:rsid w:val="1D1A20D6"/>
    <w:rsid w:val="1D1F07A2"/>
    <w:rsid w:val="1D2A7464"/>
    <w:rsid w:val="1D2F3AFC"/>
    <w:rsid w:val="1D337DAB"/>
    <w:rsid w:val="1D3C5874"/>
    <w:rsid w:val="1D42558B"/>
    <w:rsid w:val="1D436AD4"/>
    <w:rsid w:val="1D4901E0"/>
    <w:rsid w:val="1D525A95"/>
    <w:rsid w:val="1D5D64FD"/>
    <w:rsid w:val="1D5F77B4"/>
    <w:rsid w:val="1D6076B4"/>
    <w:rsid w:val="1D6168D8"/>
    <w:rsid w:val="1D6E74E5"/>
    <w:rsid w:val="1D8924D5"/>
    <w:rsid w:val="1D931BA7"/>
    <w:rsid w:val="1D936C30"/>
    <w:rsid w:val="1D990635"/>
    <w:rsid w:val="1D9E02DC"/>
    <w:rsid w:val="1D9E4602"/>
    <w:rsid w:val="1DA27BE9"/>
    <w:rsid w:val="1DA3747D"/>
    <w:rsid w:val="1DA578BD"/>
    <w:rsid w:val="1DAD65E4"/>
    <w:rsid w:val="1DB7314C"/>
    <w:rsid w:val="1DC34997"/>
    <w:rsid w:val="1DC53ABB"/>
    <w:rsid w:val="1DDC0E05"/>
    <w:rsid w:val="1DE101C9"/>
    <w:rsid w:val="1DE50CE4"/>
    <w:rsid w:val="1DF0663E"/>
    <w:rsid w:val="1DF17A67"/>
    <w:rsid w:val="1E007B7D"/>
    <w:rsid w:val="1E0D548A"/>
    <w:rsid w:val="1E17042D"/>
    <w:rsid w:val="1E172DAB"/>
    <w:rsid w:val="1E1D43BE"/>
    <w:rsid w:val="1E200CF1"/>
    <w:rsid w:val="1E2874B1"/>
    <w:rsid w:val="1E2E7340"/>
    <w:rsid w:val="1E310B22"/>
    <w:rsid w:val="1E3A6697"/>
    <w:rsid w:val="1E4225FB"/>
    <w:rsid w:val="1E4946EC"/>
    <w:rsid w:val="1E4A3FC0"/>
    <w:rsid w:val="1E4B50DC"/>
    <w:rsid w:val="1E4C3088"/>
    <w:rsid w:val="1E534817"/>
    <w:rsid w:val="1E5E730F"/>
    <w:rsid w:val="1E64177F"/>
    <w:rsid w:val="1E692BE9"/>
    <w:rsid w:val="1E6A11C0"/>
    <w:rsid w:val="1E6D1EC4"/>
    <w:rsid w:val="1E6E5822"/>
    <w:rsid w:val="1E7535D3"/>
    <w:rsid w:val="1E7735E4"/>
    <w:rsid w:val="1E786D7F"/>
    <w:rsid w:val="1E792DB5"/>
    <w:rsid w:val="1E7958F0"/>
    <w:rsid w:val="1E7A66CF"/>
    <w:rsid w:val="1E854FF8"/>
    <w:rsid w:val="1E866B15"/>
    <w:rsid w:val="1E8A1B9D"/>
    <w:rsid w:val="1E8A7A8C"/>
    <w:rsid w:val="1E905D91"/>
    <w:rsid w:val="1E9110E5"/>
    <w:rsid w:val="1E94561E"/>
    <w:rsid w:val="1E9A3307"/>
    <w:rsid w:val="1EA25BAA"/>
    <w:rsid w:val="1EA27958"/>
    <w:rsid w:val="1EAB0F03"/>
    <w:rsid w:val="1EAC6A29"/>
    <w:rsid w:val="1EB432E4"/>
    <w:rsid w:val="1EBF56C9"/>
    <w:rsid w:val="1EC024D4"/>
    <w:rsid w:val="1EC6075E"/>
    <w:rsid w:val="1ED37CF3"/>
    <w:rsid w:val="1ED815CC"/>
    <w:rsid w:val="1ED969A9"/>
    <w:rsid w:val="1EDF6BE4"/>
    <w:rsid w:val="1EE1714A"/>
    <w:rsid w:val="1EE25BD5"/>
    <w:rsid w:val="1EF524B0"/>
    <w:rsid w:val="1F0465E5"/>
    <w:rsid w:val="1F0B598F"/>
    <w:rsid w:val="1F1318DA"/>
    <w:rsid w:val="1F1E2EEA"/>
    <w:rsid w:val="1F1F3BB7"/>
    <w:rsid w:val="1F263147"/>
    <w:rsid w:val="1F291E28"/>
    <w:rsid w:val="1F2D4798"/>
    <w:rsid w:val="1F3A2287"/>
    <w:rsid w:val="1F3C4E1E"/>
    <w:rsid w:val="1F3D2384"/>
    <w:rsid w:val="1F4153C3"/>
    <w:rsid w:val="1F4858A0"/>
    <w:rsid w:val="1F4B7FF0"/>
    <w:rsid w:val="1F4C1E73"/>
    <w:rsid w:val="1F576995"/>
    <w:rsid w:val="1F5A1320"/>
    <w:rsid w:val="1F5A6485"/>
    <w:rsid w:val="1F5C21FD"/>
    <w:rsid w:val="1F642E60"/>
    <w:rsid w:val="1F644805"/>
    <w:rsid w:val="1F720436"/>
    <w:rsid w:val="1F784B5D"/>
    <w:rsid w:val="1F8030A4"/>
    <w:rsid w:val="1F8B663F"/>
    <w:rsid w:val="1F8C7FE0"/>
    <w:rsid w:val="1F903C55"/>
    <w:rsid w:val="1F95036F"/>
    <w:rsid w:val="1F985A49"/>
    <w:rsid w:val="1F985DCD"/>
    <w:rsid w:val="1F9943AB"/>
    <w:rsid w:val="1F996FAD"/>
    <w:rsid w:val="1FAD7C02"/>
    <w:rsid w:val="1FAE1D28"/>
    <w:rsid w:val="1FB1636E"/>
    <w:rsid w:val="1FB65757"/>
    <w:rsid w:val="1FB97650"/>
    <w:rsid w:val="1FCA4E1C"/>
    <w:rsid w:val="1FCD6F3F"/>
    <w:rsid w:val="1FD155ED"/>
    <w:rsid w:val="1FD30839"/>
    <w:rsid w:val="1FD97C79"/>
    <w:rsid w:val="1FDB1336"/>
    <w:rsid w:val="1FE044C6"/>
    <w:rsid w:val="1FEF0B0F"/>
    <w:rsid w:val="1FF07AB1"/>
    <w:rsid w:val="1FF97189"/>
    <w:rsid w:val="200650C1"/>
    <w:rsid w:val="20072250"/>
    <w:rsid w:val="2014250D"/>
    <w:rsid w:val="201B5065"/>
    <w:rsid w:val="20235D2D"/>
    <w:rsid w:val="202609CF"/>
    <w:rsid w:val="202B5943"/>
    <w:rsid w:val="20310958"/>
    <w:rsid w:val="20323D56"/>
    <w:rsid w:val="2036778C"/>
    <w:rsid w:val="20440E01"/>
    <w:rsid w:val="20492475"/>
    <w:rsid w:val="204C1BC0"/>
    <w:rsid w:val="204C4020"/>
    <w:rsid w:val="204F29AC"/>
    <w:rsid w:val="20501A3F"/>
    <w:rsid w:val="206606CB"/>
    <w:rsid w:val="206B1C00"/>
    <w:rsid w:val="20744C39"/>
    <w:rsid w:val="20751E7D"/>
    <w:rsid w:val="207B039B"/>
    <w:rsid w:val="207B2B57"/>
    <w:rsid w:val="207F1C28"/>
    <w:rsid w:val="20804E8C"/>
    <w:rsid w:val="208539D6"/>
    <w:rsid w:val="20854DE9"/>
    <w:rsid w:val="20991B8D"/>
    <w:rsid w:val="209B6D55"/>
    <w:rsid w:val="20A025BE"/>
    <w:rsid w:val="20A06ED7"/>
    <w:rsid w:val="20A279A1"/>
    <w:rsid w:val="20A4754D"/>
    <w:rsid w:val="20A53730"/>
    <w:rsid w:val="20A90A31"/>
    <w:rsid w:val="20AA51EA"/>
    <w:rsid w:val="20B10327"/>
    <w:rsid w:val="20BD52D1"/>
    <w:rsid w:val="20BD6CCC"/>
    <w:rsid w:val="20BE3AA8"/>
    <w:rsid w:val="20BF0C96"/>
    <w:rsid w:val="20CB7022"/>
    <w:rsid w:val="20D3431A"/>
    <w:rsid w:val="20D5036B"/>
    <w:rsid w:val="20D66A4C"/>
    <w:rsid w:val="20D80209"/>
    <w:rsid w:val="20DB33C9"/>
    <w:rsid w:val="20DC5DC3"/>
    <w:rsid w:val="20E20B11"/>
    <w:rsid w:val="20F473E1"/>
    <w:rsid w:val="20F50018"/>
    <w:rsid w:val="20F50648"/>
    <w:rsid w:val="20F608C0"/>
    <w:rsid w:val="21042B4C"/>
    <w:rsid w:val="210466A8"/>
    <w:rsid w:val="21066F1C"/>
    <w:rsid w:val="21080C95"/>
    <w:rsid w:val="210817DC"/>
    <w:rsid w:val="21096D5B"/>
    <w:rsid w:val="21106B98"/>
    <w:rsid w:val="211F7260"/>
    <w:rsid w:val="21257D2B"/>
    <w:rsid w:val="212738FD"/>
    <w:rsid w:val="21284F71"/>
    <w:rsid w:val="212C3E51"/>
    <w:rsid w:val="212E3725"/>
    <w:rsid w:val="21304D65"/>
    <w:rsid w:val="213A0F1D"/>
    <w:rsid w:val="213B5E42"/>
    <w:rsid w:val="21415B4F"/>
    <w:rsid w:val="214D0C45"/>
    <w:rsid w:val="21611D4D"/>
    <w:rsid w:val="21664CC6"/>
    <w:rsid w:val="216B497A"/>
    <w:rsid w:val="216E446A"/>
    <w:rsid w:val="21723F5A"/>
    <w:rsid w:val="21821C32"/>
    <w:rsid w:val="21864455"/>
    <w:rsid w:val="21897146"/>
    <w:rsid w:val="218B68A8"/>
    <w:rsid w:val="21997C43"/>
    <w:rsid w:val="219F21A1"/>
    <w:rsid w:val="21A25EC1"/>
    <w:rsid w:val="21A901F6"/>
    <w:rsid w:val="21B01374"/>
    <w:rsid w:val="21B352C8"/>
    <w:rsid w:val="21BA6494"/>
    <w:rsid w:val="21BC29BF"/>
    <w:rsid w:val="21BD4992"/>
    <w:rsid w:val="21C10A3D"/>
    <w:rsid w:val="21C173A8"/>
    <w:rsid w:val="21C2044F"/>
    <w:rsid w:val="21C442CD"/>
    <w:rsid w:val="21C44809"/>
    <w:rsid w:val="21CF2F4D"/>
    <w:rsid w:val="21CF6D50"/>
    <w:rsid w:val="21D03622"/>
    <w:rsid w:val="21D27D32"/>
    <w:rsid w:val="21D36151"/>
    <w:rsid w:val="21D928EE"/>
    <w:rsid w:val="21E03B7F"/>
    <w:rsid w:val="21E1602D"/>
    <w:rsid w:val="21E32762"/>
    <w:rsid w:val="21E45344"/>
    <w:rsid w:val="21EB262E"/>
    <w:rsid w:val="21F84C13"/>
    <w:rsid w:val="21FA7280"/>
    <w:rsid w:val="21FE134A"/>
    <w:rsid w:val="22056B7C"/>
    <w:rsid w:val="22120A2D"/>
    <w:rsid w:val="22134149"/>
    <w:rsid w:val="22282A51"/>
    <w:rsid w:val="223242FF"/>
    <w:rsid w:val="22350AE4"/>
    <w:rsid w:val="223707CE"/>
    <w:rsid w:val="22380187"/>
    <w:rsid w:val="223A0564"/>
    <w:rsid w:val="223A603C"/>
    <w:rsid w:val="223F5781"/>
    <w:rsid w:val="22432FD4"/>
    <w:rsid w:val="224A567E"/>
    <w:rsid w:val="224A6351"/>
    <w:rsid w:val="224D186C"/>
    <w:rsid w:val="224F12D0"/>
    <w:rsid w:val="22564B03"/>
    <w:rsid w:val="225C42C2"/>
    <w:rsid w:val="2262315A"/>
    <w:rsid w:val="226541A3"/>
    <w:rsid w:val="226F0584"/>
    <w:rsid w:val="2271440B"/>
    <w:rsid w:val="2274785E"/>
    <w:rsid w:val="22772DCD"/>
    <w:rsid w:val="227960B2"/>
    <w:rsid w:val="229A66A5"/>
    <w:rsid w:val="229D6DB5"/>
    <w:rsid w:val="22A25655"/>
    <w:rsid w:val="22AD04D2"/>
    <w:rsid w:val="22AF4C50"/>
    <w:rsid w:val="22B6648E"/>
    <w:rsid w:val="22C03531"/>
    <w:rsid w:val="22C252B8"/>
    <w:rsid w:val="22D10047"/>
    <w:rsid w:val="22D146A9"/>
    <w:rsid w:val="22D93F42"/>
    <w:rsid w:val="22E10A06"/>
    <w:rsid w:val="22E12829"/>
    <w:rsid w:val="22ED3802"/>
    <w:rsid w:val="22F11E67"/>
    <w:rsid w:val="22F400A8"/>
    <w:rsid w:val="22F54058"/>
    <w:rsid w:val="22F933C4"/>
    <w:rsid w:val="23013E1D"/>
    <w:rsid w:val="2307390F"/>
    <w:rsid w:val="23076924"/>
    <w:rsid w:val="230828F0"/>
    <w:rsid w:val="230A01C2"/>
    <w:rsid w:val="230E1876"/>
    <w:rsid w:val="2312327F"/>
    <w:rsid w:val="23187E36"/>
    <w:rsid w:val="231E0A26"/>
    <w:rsid w:val="231F5A1C"/>
    <w:rsid w:val="2324632C"/>
    <w:rsid w:val="2325297C"/>
    <w:rsid w:val="232B1534"/>
    <w:rsid w:val="233800F8"/>
    <w:rsid w:val="233D1105"/>
    <w:rsid w:val="233E5416"/>
    <w:rsid w:val="234204CA"/>
    <w:rsid w:val="234931B8"/>
    <w:rsid w:val="23531A7D"/>
    <w:rsid w:val="23562D1F"/>
    <w:rsid w:val="23570AE0"/>
    <w:rsid w:val="236478D2"/>
    <w:rsid w:val="236608B9"/>
    <w:rsid w:val="23660AAE"/>
    <w:rsid w:val="23661F67"/>
    <w:rsid w:val="236E69A3"/>
    <w:rsid w:val="23724439"/>
    <w:rsid w:val="23733FB9"/>
    <w:rsid w:val="23773293"/>
    <w:rsid w:val="23795573"/>
    <w:rsid w:val="23806084"/>
    <w:rsid w:val="238216FC"/>
    <w:rsid w:val="238457D7"/>
    <w:rsid w:val="238E028C"/>
    <w:rsid w:val="238E4331"/>
    <w:rsid w:val="239460B1"/>
    <w:rsid w:val="23996CAD"/>
    <w:rsid w:val="239C3B15"/>
    <w:rsid w:val="239E3437"/>
    <w:rsid w:val="23A10B26"/>
    <w:rsid w:val="23A2493E"/>
    <w:rsid w:val="23A54F70"/>
    <w:rsid w:val="23AD175D"/>
    <w:rsid w:val="23AE0B4E"/>
    <w:rsid w:val="23AE1078"/>
    <w:rsid w:val="23B32608"/>
    <w:rsid w:val="23BB3AA1"/>
    <w:rsid w:val="23C640E9"/>
    <w:rsid w:val="23CC0A7A"/>
    <w:rsid w:val="23D0456F"/>
    <w:rsid w:val="23D91616"/>
    <w:rsid w:val="23DD1433"/>
    <w:rsid w:val="23DD4036"/>
    <w:rsid w:val="23E94B61"/>
    <w:rsid w:val="23EA2031"/>
    <w:rsid w:val="23EA46EF"/>
    <w:rsid w:val="23EC7666"/>
    <w:rsid w:val="23F14C41"/>
    <w:rsid w:val="23F32A04"/>
    <w:rsid w:val="23FA5061"/>
    <w:rsid w:val="23FC7B0B"/>
    <w:rsid w:val="23FE6C88"/>
    <w:rsid w:val="2403124A"/>
    <w:rsid w:val="240C0FF2"/>
    <w:rsid w:val="24154EEB"/>
    <w:rsid w:val="241D5AEB"/>
    <w:rsid w:val="242249CB"/>
    <w:rsid w:val="24275EEE"/>
    <w:rsid w:val="24280EE0"/>
    <w:rsid w:val="242C00BE"/>
    <w:rsid w:val="242D3ABB"/>
    <w:rsid w:val="242F3B75"/>
    <w:rsid w:val="2435301D"/>
    <w:rsid w:val="2440123D"/>
    <w:rsid w:val="24456F85"/>
    <w:rsid w:val="244E1E94"/>
    <w:rsid w:val="24547574"/>
    <w:rsid w:val="245573CD"/>
    <w:rsid w:val="2456155C"/>
    <w:rsid w:val="24584A96"/>
    <w:rsid w:val="245C0457"/>
    <w:rsid w:val="245E6248"/>
    <w:rsid w:val="24653D78"/>
    <w:rsid w:val="24727DB1"/>
    <w:rsid w:val="24777032"/>
    <w:rsid w:val="2479374D"/>
    <w:rsid w:val="247B3A37"/>
    <w:rsid w:val="247C441D"/>
    <w:rsid w:val="247D74E1"/>
    <w:rsid w:val="24831FDA"/>
    <w:rsid w:val="248A04AF"/>
    <w:rsid w:val="24A04B5B"/>
    <w:rsid w:val="24A451C6"/>
    <w:rsid w:val="24A51CD9"/>
    <w:rsid w:val="24A74627"/>
    <w:rsid w:val="24AA71F4"/>
    <w:rsid w:val="24AE2AB7"/>
    <w:rsid w:val="24C518D9"/>
    <w:rsid w:val="24CA7698"/>
    <w:rsid w:val="24D171E9"/>
    <w:rsid w:val="24D40A88"/>
    <w:rsid w:val="24D6035C"/>
    <w:rsid w:val="24DE5462"/>
    <w:rsid w:val="24E478E3"/>
    <w:rsid w:val="24E707BB"/>
    <w:rsid w:val="24F259F5"/>
    <w:rsid w:val="24FE5793"/>
    <w:rsid w:val="2500187D"/>
    <w:rsid w:val="250452C2"/>
    <w:rsid w:val="250550E5"/>
    <w:rsid w:val="250B2176"/>
    <w:rsid w:val="250F386E"/>
    <w:rsid w:val="251153EC"/>
    <w:rsid w:val="2513638E"/>
    <w:rsid w:val="251470D6"/>
    <w:rsid w:val="2515207E"/>
    <w:rsid w:val="251A37FF"/>
    <w:rsid w:val="252512E3"/>
    <w:rsid w:val="25286606"/>
    <w:rsid w:val="252B12D5"/>
    <w:rsid w:val="252F039D"/>
    <w:rsid w:val="25317C88"/>
    <w:rsid w:val="25385069"/>
    <w:rsid w:val="254153F7"/>
    <w:rsid w:val="25436FDB"/>
    <w:rsid w:val="255430D0"/>
    <w:rsid w:val="25581F33"/>
    <w:rsid w:val="25645885"/>
    <w:rsid w:val="25707D6A"/>
    <w:rsid w:val="25736073"/>
    <w:rsid w:val="257478AC"/>
    <w:rsid w:val="257A0EBF"/>
    <w:rsid w:val="257A19A8"/>
    <w:rsid w:val="257F6C45"/>
    <w:rsid w:val="2580284A"/>
    <w:rsid w:val="25817DF5"/>
    <w:rsid w:val="258778A8"/>
    <w:rsid w:val="258C59D8"/>
    <w:rsid w:val="258E50DA"/>
    <w:rsid w:val="259F0EB1"/>
    <w:rsid w:val="259F50A7"/>
    <w:rsid w:val="25A8619C"/>
    <w:rsid w:val="25A8720A"/>
    <w:rsid w:val="25AD0AC2"/>
    <w:rsid w:val="25AE6C43"/>
    <w:rsid w:val="25B14BBD"/>
    <w:rsid w:val="25B1507D"/>
    <w:rsid w:val="25B82157"/>
    <w:rsid w:val="25C626C7"/>
    <w:rsid w:val="25C72C82"/>
    <w:rsid w:val="25C82B2D"/>
    <w:rsid w:val="25CB6A51"/>
    <w:rsid w:val="25D16EC5"/>
    <w:rsid w:val="25D33DBD"/>
    <w:rsid w:val="25DF76E4"/>
    <w:rsid w:val="25E24FF3"/>
    <w:rsid w:val="25E35B2A"/>
    <w:rsid w:val="25E72FC0"/>
    <w:rsid w:val="25EE1E4B"/>
    <w:rsid w:val="25F627A0"/>
    <w:rsid w:val="25F7612F"/>
    <w:rsid w:val="260248F6"/>
    <w:rsid w:val="26050710"/>
    <w:rsid w:val="260C1C97"/>
    <w:rsid w:val="260F3D41"/>
    <w:rsid w:val="2611019D"/>
    <w:rsid w:val="26136DD0"/>
    <w:rsid w:val="26155682"/>
    <w:rsid w:val="261B1203"/>
    <w:rsid w:val="261B4869"/>
    <w:rsid w:val="261D7B67"/>
    <w:rsid w:val="26233A75"/>
    <w:rsid w:val="26265313"/>
    <w:rsid w:val="262670C1"/>
    <w:rsid w:val="26285111"/>
    <w:rsid w:val="262A053E"/>
    <w:rsid w:val="26302E45"/>
    <w:rsid w:val="263238D5"/>
    <w:rsid w:val="26335BBB"/>
    <w:rsid w:val="263717A5"/>
    <w:rsid w:val="263B0B1D"/>
    <w:rsid w:val="263D006F"/>
    <w:rsid w:val="26404627"/>
    <w:rsid w:val="2641274C"/>
    <w:rsid w:val="26485289"/>
    <w:rsid w:val="264B6B41"/>
    <w:rsid w:val="264D30D9"/>
    <w:rsid w:val="265278ED"/>
    <w:rsid w:val="26570CBD"/>
    <w:rsid w:val="26582FA1"/>
    <w:rsid w:val="265E05EC"/>
    <w:rsid w:val="26603AF3"/>
    <w:rsid w:val="26663961"/>
    <w:rsid w:val="26745166"/>
    <w:rsid w:val="2674594E"/>
    <w:rsid w:val="26853624"/>
    <w:rsid w:val="268B1A7D"/>
    <w:rsid w:val="268C38D1"/>
    <w:rsid w:val="268D7140"/>
    <w:rsid w:val="2699606F"/>
    <w:rsid w:val="269B31D5"/>
    <w:rsid w:val="269D294C"/>
    <w:rsid w:val="269E759F"/>
    <w:rsid w:val="26A16465"/>
    <w:rsid w:val="26A61609"/>
    <w:rsid w:val="26A95935"/>
    <w:rsid w:val="26AF355A"/>
    <w:rsid w:val="26AF70B6"/>
    <w:rsid w:val="26B75812"/>
    <w:rsid w:val="26B80661"/>
    <w:rsid w:val="26BE554B"/>
    <w:rsid w:val="26C31794"/>
    <w:rsid w:val="26C62652"/>
    <w:rsid w:val="26CC7C68"/>
    <w:rsid w:val="26CD578F"/>
    <w:rsid w:val="26D24327"/>
    <w:rsid w:val="26D66D39"/>
    <w:rsid w:val="26DB1195"/>
    <w:rsid w:val="26DC12F9"/>
    <w:rsid w:val="26DD1E76"/>
    <w:rsid w:val="26E77C76"/>
    <w:rsid w:val="26F0040F"/>
    <w:rsid w:val="26F1147D"/>
    <w:rsid w:val="26F27D6D"/>
    <w:rsid w:val="26F838F1"/>
    <w:rsid w:val="26FB1A86"/>
    <w:rsid w:val="26FB6A47"/>
    <w:rsid w:val="26FD5AE1"/>
    <w:rsid w:val="270939AD"/>
    <w:rsid w:val="270B4E8B"/>
    <w:rsid w:val="270C62B7"/>
    <w:rsid w:val="271767AF"/>
    <w:rsid w:val="27190C26"/>
    <w:rsid w:val="271B7282"/>
    <w:rsid w:val="27226B38"/>
    <w:rsid w:val="27244727"/>
    <w:rsid w:val="27265FC6"/>
    <w:rsid w:val="27342C28"/>
    <w:rsid w:val="27356DE2"/>
    <w:rsid w:val="273C1126"/>
    <w:rsid w:val="27435FF8"/>
    <w:rsid w:val="2749160C"/>
    <w:rsid w:val="275352E3"/>
    <w:rsid w:val="27592B64"/>
    <w:rsid w:val="275D39AE"/>
    <w:rsid w:val="276F1CF7"/>
    <w:rsid w:val="277B620C"/>
    <w:rsid w:val="27806CA5"/>
    <w:rsid w:val="2783457B"/>
    <w:rsid w:val="27887E92"/>
    <w:rsid w:val="278C402E"/>
    <w:rsid w:val="27904925"/>
    <w:rsid w:val="27912872"/>
    <w:rsid w:val="279144EC"/>
    <w:rsid w:val="27934C2A"/>
    <w:rsid w:val="27952750"/>
    <w:rsid w:val="27A070BF"/>
    <w:rsid w:val="27A110F5"/>
    <w:rsid w:val="27A54320"/>
    <w:rsid w:val="27B335B2"/>
    <w:rsid w:val="27BE7FBA"/>
    <w:rsid w:val="27C032C6"/>
    <w:rsid w:val="27C300C4"/>
    <w:rsid w:val="27C54D70"/>
    <w:rsid w:val="27D35714"/>
    <w:rsid w:val="27D61AC5"/>
    <w:rsid w:val="27E021F1"/>
    <w:rsid w:val="27E1035E"/>
    <w:rsid w:val="27E45486"/>
    <w:rsid w:val="27E86D24"/>
    <w:rsid w:val="27EB411E"/>
    <w:rsid w:val="27ED433A"/>
    <w:rsid w:val="27F356C9"/>
    <w:rsid w:val="27F43225"/>
    <w:rsid w:val="27F531EF"/>
    <w:rsid w:val="2802322A"/>
    <w:rsid w:val="28026422"/>
    <w:rsid w:val="28050C62"/>
    <w:rsid w:val="28094AD4"/>
    <w:rsid w:val="280A4DEE"/>
    <w:rsid w:val="280C5860"/>
    <w:rsid w:val="280F2CE9"/>
    <w:rsid w:val="280F57E8"/>
    <w:rsid w:val="28122232"/>
    <w:rsid w:val="2815563F"/>
    <w:rsid w:val="281732DC"/>
    <w:rsid w:val="281D6FEB"/>
    <w:rsid w:val="282633A8"/>
    <w:rsid w:val="28370CCA"/>
    <w:rsid w:val="28377363"/>
    <w:rsid w:val="28397580"/>
    <w:rsid w:val="284445EA"/>
    <w:rsid w:val="28493219"/>
    <w:rsid w:val="28497097"/>
    <w:rsid w:val="28534762"/>
    <w:rsid w:val="285659C7"/>
    <w:rsid w:val="285773F3"/>
    <w:rsid w:val="285A5999"/>
    <w:rsid w:val="285D39EC"/>
    <w:rsid w:val="285E4472"/>
    <w:rsid w:val="286D7C9D"/>
    <w:rsid w:val="28771E56"/>
    <w:rsid w:val="2879245E"/>
    <w:rsid w:val="28804FC5"/>
    <w:rsid w:val="28831525"/>
    <w:rsid w:val="28864663"/>
    <w:rsid w:val="288A0E35"/>
    <w:rsid w:val="2893153E"/>
    <w:rsid w:val="28946BAC"/>
    <w:rsid w:val="289E5635"/>
    <w:rsid w:val="289F4D0D"/>
    <w:rsid w:val="28A50B8C"/>
    <w:rsid w:val="28A82037"/>
    <w:rsid w:val="28AE741A"/>
    <w:rsid w:val="28B018E3"/>
    <w:rsid w:val="28B873BC"/>
    <w:rsid w:val="28B933BD"/>
    <w:rsid w:val="28BA331C"/>
    <w:rsid w:val="28BC3849"/>
    <w:rsid w:val="28C53678"/>
    <w:rsid w:val="28CE5A0A"/>
    <w:rsid w:val="28D74770"/>
    <w:rsid w:val="28D83284"/>
    <w:rsid w:val="28DB494E"/>
    <w:rsid w:val="28DC2BA6"/>
    <w:rsid w:val="28E67F77"/>
    <w:rsid w:val="28F039B6"/>
    <w:rsid w:val="28F83E00"/>
    <w:rsid w:val="28F94B67"/>
    <w:rsid w:val="2906559E"/>
    <w:rsid w:val="2909680B"/>
    <w:rsid w:val="290F02E0"/>
    <w:rsid w:val="291409E4"/>
    <w:rsid w:val="29144B26"/>
    <w:rsid w:val="291678C1"/>
    <w:rsid w:val="291853E7"/>
    <w:rsid w:val="29192F0D"/>
    <w:rsid w:val="291C4B37"/>
    <w:rsid w:val="291D6FCD"/>
    <w:rsid w:val="292449EB"/>
    <w:rsid w:val="29247539"/>
    <w:rsid w:val="29283150"/>
    <w:rsid w:val="292F4EC4"/>
    <w:rsid w:val="29303DC5"/>
    <w:rsid w:val="293F3B13"/>
    <w:rsid w:val="294130C4"/>
    <w:rsid w:val="294273C1"/>
    <w:rsid w:val="294B3569"/>
    <w:rsid w:val="294E060D"/>
    <w:rsid w:val="294E705B"/>
    <w:rsid w:val="29514455"/>
    <w:rsid w:val="29553E81"/>
    <w:rsid w:val="2956681C"/>
    <w:rsid w:val="295A77CF"/>
    <w:rsid w:val="295D54F0"/>
    <w:rsid w:val="29692776"/>
    <w:rsid w:val="296C2A6D"/>
    <w:rsid w:val="2975374C"/>
    <w:rsid w:val="29761FC0"/>
    <w:rsid w:val="2978457F"/>
    <w:rsid w:val="297D16EE"/>
    <w:rsid w:val="297F7C9B"/>
    <w:rsid w:val="2984046F"/>
    <w:rsid w:val="298653E4"/>
    <w:rsid w:val="298962E5"/>
    <w:rsid w:val="29905FA1"/>
    <w:rsid w:val="299E1B2D"/>
    <w:rsid w:val="29A0362E"/>
    <w:rsid w:val="29A762D7"/>
    <w:rsid w:val="29AA1DB7"/>
    <w:rsid w:val="29B04B79"/>
    <w:rsid w:val="29B13146"/>
    <w:rsid w:val="29B73A22"/>
    <w:rsid w:val="29B8473E"/>
    <w:rsid w:val="29BA2D62"/>
    <w:rsid w:val="29BA649E"/>
    <w:rsid w:val="29C22954"/>
    <w:rsid w:val="29CB5626"/>
    <w:rsid w:val="29DA250F"/>
    <w:rsid w:val="29E126C2"/>
    <w:rsid w:val="29E548CE"/>
    <w:rsid w:val="29E654E5"/>
    <w:rsid w:val="29F102BA"/>
    <w:rsid w:val="29F67E1E"/>
    <w:rsid w:val="29FB26BC"/>
    <w:rsid w:val="29FC7EEE"/>
    <w:rsid w:val="29FD4B8D"/>
    <w:rsid w:val="2A00146D"/>
    <w:rsid w:val="2A005E0D"/>
    <w:rsid w:val="2A007C29"/>
    <w:rsid w:val="2A0616E3"/>
    <w:rsid w:val="2A0B7225"/>
    <w:rsid w:val="2A0C1F62"/>
    <w:rsid w:val="2A104300"/>
    <w:rsid w:val="2A110088"/>
    <w:rsid w:val="2A157B78"/>
    <w:rsid w:val="2A17569E"/>
    <w:rsid w:val="2A2162DF"/>
    <w:rsid w:val="2A2748F6"/>
    <w:rsid w:val="2A291693"/>
    <w:rsid w:val="2A2A7FF3"/>
    <w:rsid w:val="2A2C2C92"/>
    <w:rsid w:val="2A3459A1"/>
    <w:rsid w:val="2A354EA8"/>
    <w:rsid w:val="2A4108E6"/>
    <w:rsid w:val="2A423AD1"/>
    <w:rsid w:val="2A4548F3"/>
    <w:rsid w:val="2A475858"/>
    <w:rsid w:val="2A500BB0"/>
    <w:rsid w:val="2A585CB7"/>
    <w:rsid w:val="2A5B69CB"/>
    <w:rsid w:val="2A5C31E4"/>
    <w:rsid w:val="2A5C3332"/>
    <w:rsid w:val="2A603645"/>
    <w:rsid w:val="2A676B6B"/>
    <w:rsid w:val="2A6A0B9D"/>
    <w:rsid w:val="2A6C7FB0"/>
    <w:rsid w:val="2A715750"/>
    <w:rsid w:val="2A7268B0"/>
    <w:rsid w:val="2A740CD8"/>
    <w:rsid w:val="2A890BFB"/>
    <w:rsid w:val="2A8D5063"/>
    <w:rsid w:val="2A8F01D1"/>
    <w:rsid w:val="2A9D03ED"/>
    <w:rsid w:val="2A9F7442"/>
    <w:rsid w:val="2AAA6513"/>
    <w:rsid w:val="2AAB266E"/>
    <w:rsid w:val="2AAE4FBB"/>
    <w:rsid w:val="2AB27305"/>
    <w:rsid w:val="2ABB074B"/>
    <w:rsid w:val="2ABE3D6C"/>
    <w:rsid w:val="2ABE400D"/>
    <w:rsid w:val="2ABE62C7"/>
    <w:rsid w:val="2AC33130"/>
    <w:rsid w:val="2ACB0237"/>
    <w:rsid w:val="2AD23A0C"/>
    <w:rsid w:val="2AD31BAE"/>
    <w:rsid w:val="2ADC67F6"/>
    <w:rsid w:val="2AEA7A82"/>
    <w:rsid w:val="2AEB43AF"/>
    <w:rsid w:val="2AF000C8"/>
    <w:rsid w:val="2AF171F3"/>
    <w:rsid w:val="2AF421A8"/>
    <w:rsid w:val="2AF510AE"/>
    <w:rsid w:val="2B0456E8"/>
    <w:rsid w:val="2B1C7330"/>
    <w:rsid w:val="2B2067D5"/>
    <w:rsid w:val="2B28604A"/>
    <w:rsid w:val="2B2A3AE3"/>
    <w:rsid w:val="2B2D0B33"/>
    <w:rsid w:val="2B2F7012"/>
    <w:rsid w:val="2B3713EA"/>
    <w:rsid w:val="2B410002"/>
    <w:rsid w:val="2B44565E"/>
    <w:rsid w:val="2B486897"/>
    <w:rsid w:val="2B4A5600"/>
    <w:rsid w:val="2B4C64B1"/>
    <w:rsid w:val="2B5037A1"/>
    <w:rsid w:val="2B5E2025"/>
    <w:rsid w:val="2B5F5ECE"/>
    <w:rsid w:val="2B64614F"/>
    <w:rsid w:val="2B683CD8"/>
    <w:rsid w:val="2B6D6655"/>
    <w:rsid w:val="2B753F54"/>
    <w:rsid w:val="2B7E6CCF"/>
    <w:rsid w:val="2B82123D"/>
    <w:rsid w:val="2B827E10"/>
    <w:rsid w:val="2B846E18"/>
    <w:rsid w:val="2B8D2B7C"/>
    <w:rsid w:val="2B922D6A"/>
    <w:rsid w:val="2B96798F"/>
    <w:rsid w:val="2B9D7E25"/>
    <w:rsid w:val="2B9E77A8"/>
    <w:rsid w:val="2BAD2E44"/>
    <w:rsid w:val="2BB81946"/>
    <w:rsid w:val="2BBE7BE9"/>
    <w:rsid w:val="2BCA79D8"/>
    <w:rsid w:val="2BCC24B9"/>
    <w:rsid w:val="2BCF3D57"/>
    <w:rsid w:val="2BCF3FB4"/>
    <w:rsid w:val="2BD2558F"/>
    <w:rsid w:val="2BD4652B"/>
    <w:rsid w:val="2BD575BF"/>
    <w:rsid w:val="2BD66E93"/>
    <w:rsid w:val="2BDD2FC9"/>
    <w:rsid w:val="2BDE3AA1"/>
    <w:rsid w:val="2BE622B8"/>
    <w:rsid w:val="2BED056E"/>
    <w:rsid w:val="2BEE0681"/>
    <w:rsid w:val="2BF52D1F"/>
    <w:rsid w:val="2BFD393E"/>
    <w:rsid w:val="2C035394"/>
    <w:rsid w:val="2C10726F"/>
    <w:rsid w:val="2C112457"/>
    <w:rsid w:val="2C137867"/>
    <w:rsid w:val="2C155F66"/>
    <w:rsid w:val="2C161E3E"/>
    <w:rsid w:val="2C180A33"/>
    <w:rsid w:val="2C1905D3"/>
    <w:rsid w:val="2C1A76C8"/>
    <w:rsid w:val="2C1C3440"/>
    <w:rsid w:val="2C2151C6"/>
    <w:rsid w:val="2C2440A3"/>
    <w:rsid w:val="2C2455E8"/>
    <w:rsid w:val="2C26606D"/>
    <w:rsid w:val="2C271DE5"/>
    <w:rsid w:val="2C2F0601"/>
    <w:rsid w:val="2C357791"/>
    <w:rsid w:val="2C367386"/>
    <w:rsid w:val="2C3D5164"/>
    <w:rsid w:val="2C3E7525"/>
    <w:rsid w:val="2C3F0EDD"/>
    <w:rsid w:val="2C4375C7"/>
    <w:rsid w:val="2C4F2F83"/>
    <w:rsid w:val="2C553DB0"/>
    <w:rsid w:val="2C5801F0"/>
    <w:rsid w:val="2C8642FD"/>
    <w:rsid w:val="2C8A6C99"/>
    <w:rsid w:val="2C8D5187"/>
    <w:rsid w:val="2C9A6060"/>
    <w:rsid w:val="2CA14C6D"/>
    <w:rsid w:val="2CA3146B"/>
    <w:rsid w:val="2CB03B88"/>
    <w:rsid w:val="2CBF17DC"/>
    <w:rsid w:val="2CC65F2C"/>
    <w:rsid w:val="2CC94C4A"/>
    <w:rsid w:val="2CCE400E"/>
    <w:rsid w:val="2CCE4D57"/>
    <w:rsid w:val="2CD067C3"/>
    <w:rsid w:val="2CD35BCE"/>
    <w:rsid w:val="2CD66B0E"/>
    <w:rsid w:val="2CDB214E"/>
    <w:rsid w:val="2CDC429C"/>
    <w:rsid w:val="2CE8741B"/>
    <w:rsid w:val="2CFC46DB"/>
    <w:rsid w:val="2D095047"/>
    <w:rsid w:val="2D0E1ED3"/>
    <w:rsid w:val="2D1063D5"/>
    <w:rsid w:val="2D196167"/>
    <w:rsid w:val="2D242672"/>
    <w:rsid w:val="2D29004D"/>
    <w:rsid w:val="2D2D51D9"/>
    <w:rsid w:val="2D2F45A4"/>
    <w:rsid w:val="2D303A51"/>
    <w:rsid w:val="2D3431FB"/>
    <w:rsid w:val="2D362F68"/>
    <w:rsid w:val="2D3D727A"/>
    <w:rsid w:val="2D3E1194"/>
    <w:rsid w:val="2D3E2F42"/>
    <w:rsid w:val="2D3E73E6"/>
    <w:rsid w:val="2D426C67"/>
    <w:rsid w:val="2D4855BC"/>
    <w:rsid w:val="2D4D2C4B"/>
    <w:rsid w:val="2D4E0C44"/>
    <w:rsid w:val="2D580AFA"/>
    <w:rsid w:val="2D5A2CD7"/>
    <w:rsid w:val="2D5B2F73"/>
    <w:rsid w:val="2D5F7236"/>
    <w:rsid w:val="2D605BA8"/>
    <w:rsid w:val="2D682785"/>
    <w:rsid w:val="2D6E156F"/>
    <w:rsid w:val="2D774ABE"/>
    <w:rsid w:val="2D8C6F3E"/>
    <w:rsid w:val="2D8F19F0"/>
    <w:rsid w:val="2D9D397F"/>
    <w:rsid w:val="2D9D410D"/>
    <w:rsid w:val="2DA06EE6"/>
    <w:rsid w:val="2DA801F5"/>
    <w:rsid w:val="2DAC5BF8"/>
    <w:rsid w:val="2DAD5C4C"/>
    <w:rsid w:val="2DAE4822"/>
    <w:rsid w:val="2DB05AB4"/>
    <w:rsid w:val="2DB06383"/>
    <w:rsid w:val="2DB41456"/>
    <w:rsid w:val="2DB610C1"/>
    <w:rsid w:val="2DB73324"/>
    <w:rsid w:val="2DB8022C"/>
    <w:rsid w:val="2DC51C18"/>
    <w:rsid w:val="2DC56D7A"/>
    <w:rsid w:val="2DC72F38"/>
    <w:rsid w:val="2DC9216D"/>
    <w:rsid w:val="2DD34B01"/>
    <w:rsid w:val="2DE16FC6"/>
    <w:rsid w:val="2DEB6274"/>
    <w:rsid w:val="2DEC299E"/>
    <w:rsid w:val="2DEE023B"/>
    <w:rsid w:val="2DF350F6"/>
    <w:rsid w:val="2DF3760E"/>
    <w:rsid w:val="2DF65F13"/>
    <w:rsid w:val="2DF72246"/>
    <w:rsid w:val="2E0028ED"/>
    <w:rsid w:val="2E053A60"/>
    <w:rsid w:val="2E0A3EAA"/>
    <w:rsid w:val="2E0B7055"/>
    <w:rsid w:val="2E143333"/>
    <w:rsid w:val="2E1455B7"/>
    <w:rsid w:val="2E183793"/>
    <w:rsid w:val="2E1A39AF"/>
    <w:rsid w:val="2E1E3F8C"/>
    <w:rsid w:val="2E25730E"/>
    <w:rsid w:val="2E2A1A8D"/>
    <w:rsid w:val="2E2C09CD"/>
    <w:rsid w:val="2E3453AE"/>
    <w:rsid w:val="2E371980"/>
    <w:rsid w:val="2E3A4A59"/>
    <w:rsid w:val="2E3F21B9"/>
    <w:rsid w:val="2E400AC5"/>
    <w:rsid w:val="2E454B6C"/>
    <w:rsid w:val="2E456552"/>
    <w:rsid w:val="2E457B45"/>
    <w:rsid w:val="2E4A5894"/>
    <w:rsid w:val="2E513149"/>
    <w:rsid w:val="2E56250D"/>
    <w:rsid w:val="2E5C3FC8"/>
    <w:rsid w:val="2E606BDE"/>
    <w:rsid w:val="2E613C2E"/>
    <w:rsid w:val="2E786928"/>
    <w:rsid w:val="2E7D7A9A"/>
    <w:rsid w:val="2E8250B1"/>
    <w:rsid w:val="2E840578"/>
    <w:rsid w:val="2E8629F8"/>
    <w:rsid w:val="2E89643F"/>
    <w:rsid w:val="2E8B507B"/>
    <w:rsid w:val="2E8D1611"/>
    <w:rsid w:val="2E966124"/>
    <w:rsid w:val="2EA40BAB"/>
    <w:rsid w:val="2EAA16BE"/>
    <w:rsid w:val="2EAE5EA6"/>
    <w:rsid w:val="2EB84F76"/>
    <w:rsid w:val="2EB85094"/>
    <w:rsid w:val="2EB90A44"/>
    <w:rsid w:val="2EBA0CEE"/>
    <w:rsid w:val="2EBF4557"/>
    <w:rsid w:val="2EC601F7"/>
    <w:rsid w:val="2ECB624D"/>
    <w:rsid w:val="2ED32715"/>
    <w:rsid w:val="2EEC2BFE"/>
    <w:rsid w:val="2EF03C25"/>
    <w:rsid w:val="2EF35FAE"/>
    <w:rsid w:val="2EFA733D"/>
    <w:rsid w:val="2F034778"/>
    <w:rsid w:val="2F06788C"/>
    <w:rsid w:val="2F090E3D"/>
    <w:rsid w:val="2F0E52AD"/>
    <w:rsid w:val="2F0F103A"/>
    <w:rsid w:val="2F1A09BA"/>
    <w:rsid w:val="2F1C3A9F"/>
    <w:rsid w:val="2F1D3B23"/>
    <w:rsid w:val="2F276D50"/>
    <w:rsid w:val="2F287AAB"/>
    <w:rsid w:val="2F394E31"/>
    <w:rsid w:val="2F3B1459"/>
    <w:rsid w:val="2F3D4C91"/>
    <w:rsid w:val="2F4421E4"/>
    <w:rsid w:val="2F47463D"/>
    <w:rsid w:val="2F520F27"/>
    <w:rsid w:val="2F547BC6"/>
    <w:rsid w:val="2F5750DA"/>
    <w:rsid w:val="2F5862FB"/>
    <w:rsid w:val="2F6B742B"/>
    <w:rsid w:val="2F79175E"/>
    <w:rsid w:val="2F7B7EFA"/>
    <w:rsid w:val="2F8A246F"/>
    <w:rsid w:val="2F92309C"/>
    <w:rsid w:val="2F962966"/>
    <w:rsid w:val="2F9F071B"/>
    <w:rsid w:val="2F9F6840"/>
    <w:rsid w:val="2FA56DD2"/>
    <w:rsid w:val="2FAA34F5"/>
    <w:rsid w:val="2FB10466"/>
    <w:rsid w:val="2FB24CD7"/>
    <w:rsid w:val="2FBA38E7"/>
    <w:rsid w:val="2FC516F9"/>
    <w:rsid w:val="2FCA307B"/>
    <w:rsid w:val="2FD24923"/>
    <w:rsid w:val="2FD52CDB"/>
    <w:rsid w:val="2FF06254"/>
    <w:rsid w:val="2FF330EE"/>
    <w:rsid w:val="300877D8"/>
    <w:rsid w:val="30176C11"/>
    <w:rsid w:val="301F52AD"/>
    <w:rsid w:val="302428C3"/>
    <w:rsid w:val="3025568D"/>
    <w:rsid w:val="302613A0"/>
    <w:rsid w:val="302964D6"/>
    <w:rsid w:val="302D32FF"/>
    <w:rsid w:val="30303315"/>
    <w:rsid w:val="303348B4"/>
    <w:rsid w:val="30392D43"/>
    <w:rsid w:val="303B4CE0"/>
    <w:rsid w:val="303C5D83"/>
    <w:rsid w:val="304433BC"/>
    <w:rsid w:val="3045283A"/>
    <w:rsid w:val="30471E1A"/>
    <w:rsid w:val="30550CCF"/>
    <w:rsid w:val="306A34CE"/>
    <w:rsid w:val="306D3557"/>
    <w:rsid w:val="30703D1F"/>
    <w:rsid w:val="30774A15"/>
    <w:rsid w:val="30787644"/>
    <w:rsid w:val="307978A9"/>
    <w:rsid w:val="30855468"/>
    <w:rsid w:val="308E5036"/>
    <w:rsid w:val="308F7DC5"/>
    <w:rsid w:val="309013EB"/>
    <w:rsid w:val="3091782D"/>
    <w:rsid w:val="30951362"/>
    <w:rsid w:val="30980BBB"/>
    <w:rsid w:val="30994329"/>
    <w:rsid w:val="309A0DD7"/>
    <w:rsid w:val="309B5D06"/>
    <w:rsid w:val="309C496F"/>
    <w:rsid w:val="30A42088"/>
    <w:rsid w:val="30A56715"/>
    <w:rsid w:val="30AA3D0C"/>
    <w:rsid w:val="30AA5A28"/>
    <w:rsid w:val="30BA0961"/>
    <w:rsid w:val="30BE1AC1"/>
    <w:rsid w:val="30C53A33"/>
    <w:rsid w:val="30D2619E"/>
    <w:rsid w:val="30E23E6E"/>
    <w:rsid w:val="30E6401D"/>
    <w:rsid w:val="30EC3AEF"/>
    <w:rsid w:val="30EF4A32"/>
    <w:rsid w:val="30F85CFE"/>
    <w:rsid w:val="30FA74FF"/>
    <w:rsid w:val="30FC5A7C"/>
    <w:rsid w:val="31010E56"/>
    <w:rsid w:val="310B5831"/>
    <w:rsid w:val="310E70CF"/>
    <w:rsid w:val="311241EB"/>
    <w:rsid w:val="311320BB"/>
    <w:rsid w:val="311D4A71"/>
    <w:rsid w:val="312A4545"/>
    <w:rsid w:val="313034EA"/>
    <w:rsid w:val="31305CC1"/>
    <w:rsid w:val="313346D4"/>
    <w:rsid w:val="31376626"/>
    <w:rsid w:val="313954FF"/>
    <w:rsid w:val="314629E0"/>
    <w:rsid w:val="31486AA5"/>
    <w:rsid w:val="314D02DD"/>
    <w:rsid w:val="314D7BF8"/>
    <w:rsid w:val="315E2CB3"/>
    <w:rsid w:val="31624643"/>
    <w:rsid w:val="31660CB9"/>
    <w:rsid w:val="31662A68"/>
    <w:rsid w:val="316651C3"/>
    <w:rsid w:val="316A69FC"/>
    <w:rsid w:val="316D4F96"/>
    <w:rsid w:val="316F6895"/>
    <w:rsid w:val="31756547"/>
    <w:rsid w:val="31781CBE"/>
    <w:rsid w:val="31792F52"/>
    <w:rsid w:val="317D47F7"/>
    <w:rsid w:val="31846837"/>
    <w:rsid w:val="318650A1"/>
    <w:rsid w:val="318849EF"/>
    <w:rsid w:val="319A1781"/>
    <w:rsid w:val="319C176F"/>
    <w:rsid w:val="319E113F"/>
    <w:rsid w:val="319E5837"/>
    <w:rsid w:val="31A4770B"/>
    <w:rsid w:val="31A53156"/>
    <w:rsid w:val="31A618AD"/>
    <w:rsid w:val="31A840A9"/>
    <w:rsid w:val="31A95697"/>
    <w:rsid w:val="31B1462B"/>
    <w:rsid w:val="31B656E2"/>
    <w:rsid w:val="31C05E8E"/>
    <w:rsid w:val="31C34465"/>
    <w:rsid w:val="31CB73CB"/>
    <w:rsid w:val="31D04385"/>
    <w:rsid w:val="31D377A6"/>
    <w:rsid w:val="31D64091"/>
    <w:rsid w:val="31DF3A43"/>
    <w:rsid w:val="31E06CBE"/>
    <w:rsid w:val="31E544E3"/>
    <w:rsid w:val="31EC0F05"/>
    <w:rsid w:val="31ED3189"/>
    <w:rsid w:val="31F44517"/>
    <w:rsid w:val="31F84007"/>
    <w:rsid w:val="31FA3E30"/>
    <w:rsid w:val="31FD668B"/>
    <w:rsid w:val="31FF1CE6"/>
    <w:rsid w:val="320756B8"/>
    <w:rsid w:val="32081D71"/>
    <w:rsid w:val="320E6FFF"/>
    <w:rsid w:val="32132BEF"/>
    <w:rsid w:val="321376E8"/>
    <w:rsid w:val="32140715"/>
    <w:rsid w:val="321E77E6"/>
    <w:rsid w:val="32260729"/>
    <w:rsid w:val="32273671"/>
    <w:rsid w:val="322A618B"/>
    <w:rsid w:val="32362268"/>
    <w:rsid w:val="323709A1"/>
    <w:rsid w:val="323D35C7"/>
    <w:rsid w:val="3240775C"/>
    <w:rsid w:val="32416198"/>
    <w:rsid w:val="32424ED3"/>
    <w:rsid w:val="324869D8"/>
    <w:rsid w:val="324A7D33"/>
    <w:rsid w:val="324C4FD7"/>
    <w:rsid w:val="325C6E66"/>
    <w:rsid w:val="32601BAD"/>
    <w:rsid w:val="326229EC"/>
    <w:rsid w:val="32691157"/>
    <w:rsid w:val="327B5295"/>
    <w:rsid w:val="327C41FB"/>
    <w:rsid w:val="327D44BF"/>
    <w:rsid w:val="32805186"/>
    <w:rsid w:val="32806966"/>
    <w:rsid w:val="328224C8"/>
    <w:rsid w:val="328470E7"/>
    <w:rsid w:val="32873286"/>
    <w:rsid w:val="32892EB1"/>
    <w:rsid w:val="328947D0"/>
    <w:rsid w:val="328F3705"/>
    <w:rsid w:val="329241BE"/>
    <w:rsid w:val="32975264"/>
    <w:rsid w:val="329B4993"/>
    <w:rsid w:val="329F26D5"/>
    <w:rsid w:val="32A8036C"/>
    <w:rsid w:val="32A95302"/>
    <w:rsid w:val="32B259F3"/>
    <w:rsid w:val="32B948C7"/>
    <w:rsid w:val="32BA6C45"/>
    <w:rsid w:val="32BB28C8"/>
    <w:rsid w:val="32BE314B"/>
    <w:rsid w:val="32BF2D77"/>
    <w:rsid w:val="32C625D2"/>
    <w:rsid w:val="32C91500"/>
    <w:rsid w:val="32CA22CD"/>
    <w:rsid w:val="32CB34CA"/>
    <w:rsid w:val="32CE2FBA"/>
    <w:rsid w:val="32D32798"/>
    <w:rsid w:val="32D4359F"/>
    <w:rsid w:val="32D51C08"/>
    <w:rsid w:val="32DE750E"/>
    <w:rsid w:val="32E10DEB"/>
    <w:rsid w:val="32EB7C7F"/>
    <w:rsid w:val="32EE29D7"/>
    <w:rsid w:val="32F17393"/>
    <w:rsid w:val="32FA790B"/>
    <w:rsid w:val="32FB722A"/>
    <w:rsid w:val="330469DC"/>
    <w:rsid w:val="330C6AF8"/>
    <w:rsid w:val="331422D0"/>
    <w:rsid w:val="3314341A"/>
    <w:rsid w:val="331D5FAA"/>
    <w:rsid w:val="33216B1F"/>
    <w:rsid w:val="33294E30"/>
    <w:rsid w:val="332F07DB"/>
    <w:rsid w:val="3331313B"/>
    <w:rsid w:val="33331FD2"/>
    <w:rsid w:val="33460DA3"/>
    <w:rsid w:val="334728D6"/>
    <w:rsid w:val="33482D6D"/>
    <w:rsid w:val="334E5EA9"/>
    <w:rsid w:val="334F0512"/>
    <w:rsid w:val="33563F4D"/>
    <w:rsid w:val="33572FB0"/>
    <w:rsid w:val="335A65FC"/>
    <w:rsid w:val="336043FB"/>
    <w:rsid w:val="33626D6A"/>
    <w:rsid w:val="3366297A"/>
    <w:rsid w:val="336D27D3"/>
    <w:rsid w:val="336D5F42"/>
    <w:rsid w:val="336E03B1"/>
    <w:rsid w:val="33721B98"/>
    <w:rsid w:val="33756070"/>
    <w:rsid w:val="337A33FA"/>
    <w:rsid w:val="337E618E"/>
    <w:rsid w:val="3380628F"/>
    <w:rsid w:val="33815FB1"/>
    <w:rsid w:val="33826FE3"/>
    <w:rsid w:val="33865FD3"/>
    <w:rsid w:val="33866CE5"/>
    <w:rsid w:val="338D69D1"/>
    <w:rsid w:val="33941B0E"/>
    <w:rsid w:val="339935C8"/>
    <w:rsid w:val="339A23C4"/>
    <w:rsid w:val="339D632C"/>
    <w:rsid w:val="33A97FAC"/>
    <w:rsid w:val="33AC4553"/>
    <w:rsid w:val="33AE49A5"/>
    <w:rsid w:val="33B201E6"/>
    <w:rsid w:val="33B358EC"/>
    <w:rsid w:val="33B65F28"/>
    <w:rsid w:val="33BC1065"/>
    <w:rsid w:val="33CE08B3"/>
    <w:rsid w:val="33CF7183"/>
    <w:rsid w:val="33DE547F"/>
    <w:rsid w:val="33E6069A"/>
    <w:rsid w:val="33E859FB"/>
    <w:rsid w:val="33F346E4"/>
    <w:rsid w:val="33F467B9"/>
    <w:rsid w:val="34015F18"/>
    <w:rsid w:val="340D55B0"/>
    <w:rsid w:val="340F5638"/>
    <w:rsid w:val="34190550"/>
    <w:rsid w:val="34194752"/>
    <w:rsid w:val="34257523"/>
    <w:rsid w:val="342621D6"/>
    <w:rsid w:val="3428011B"/>
    <w:rsid w:val="34287D61"/>
    <w:rsid w:val="342B3036"/>
    <w:rsid w:val="342F3F68"/>
    <w:rsid w:val="34346E4D"/>
    <w:rsid w:val="343D5C7F"/>
    <w:rsid w:val="34423FB5"/>
    <w:rsid w:val="34473B97"/>
    <w:rsid w:val="344C3E5A"/>
    <w:rsid w:val="34563267"/>
    <w:rsid w:val="345C3DF9"/>
    <w:rsid w:val="345C7A84"/>
    <w:rsid w:val="346516FC"/>
    <w:rsid w:val="346F6906"/>
    <w:rsid w:val="3476267E"/>
    <w:rsid w:val="34774905"/>
    <w:rsid w:val="34796E3E"/>
    <w:rsid w:val="347D2504"/>
    <w:rsid w:val="34825E0A"/>
    <w:rsid w:val="349546EC"/>
    <w:rsid w:val="349A13DC"/>
    <w:rsid w:val="34A33E96"/>
    <w:rsid w:val="34AA183F"/>
    <w:rsid w:val="34B23166"/>
    <w:rsid w:val="34B26C28"/>
    <w:rsid w:val="34BD12EE"/>
    <w:rsid w:val="34BF36B7"/>
    <w:rsid w:val="34CB4CB1"/>
    <w:rsid w:val="34CE0799"/>
    <w:rsid w:val="34D141EC"/>
    <w:rsid w:val="34D953FE"/>
    <w:rsid w:val="34DC00EE"/>
    <w:rsid w:val="34E2166F"/>
    <w:rsid w:val="34EB7E53"/>
    <w:rsid w:val="34EC46E4"/>
    <w:rsid w:val="34EF0FC6"/>
    <w:rsid w:val="34F76961"/>
    <w:rsid w:val="34FA6AA7"/>
    <w:rsid w:val="34FE7F08"/>
    <w:rsid w:val="350079AE"/>
    <w:rsid w:val="3507480E"/>
    <w:rsid w:val="35092088"/>
    <w:rsid w:val="350C1B78"/>
    <w:rsid w:val="350D1162"/>
    <w:rsid w:val="350E2477"/>
    <w:rsid w:val="3510536B"/>
    <w:rsid w:val="351E7809"/>
    <w:rsid w:val="352670DE"/>
    <w:rsid w:val="352C1166"/>
    <w:rsid w:val="352F5ECF"/>
    <w:rsid w:val="35381B08"/>
    <w:rsid w:val="353E1058"/>
    <w:rsid w:val="353F5293"/>
    <w:rsid w:val="354B6B44"/>
    <w:rsid w:val="354E480C"/>
    <w:rsid w:val="354E6316"/>
    <w:rsid w:val="355359F9"/>
    <w:rsid w:val="35542FC1"/>
    <w:rsid w:val="35661288"/>
    <w:rsid w:val="35683252"/>
    <w:rsid w:val="35795F9A"/>
    <w:rsid w:val="357C4F4F"/>
    <w:rsid w:val="357D4824"/>
    <w:rsid w:val="357D4E92"/>
    <w:rsid w:val="357E74CF"/>
    <w:rsid w:val="358406BC"/>
    <w:rsid w:val="35847960"/>
    <w:rsid w:val="35895269"/>
    <w:rsid w:val="358F7441"/>
    <w:rsid w:val="35904557"/>
    <w:rsid w:val="359C114E"/>
    <w:rsid w:val="35A9287E"/>
    <w:rsid w:val="35AB6E2A"/>
    <w:rsid w:val="35AF0CCF"/>
    <w:rsid w:val="35B71A02"/>
    <w:rsid w:val="35C55928"/>
    <w:rsid w:val="35CB1DC6"/>
    <w:rsid w:val="35CB6138"/>
    <w:rsid w:val="35CD5874"/>
    <w:rsid w:val="35CE1845"/>
    <w:rsid w:val="35D14E2B"/>
    <w:rsid w:val="35D41C7A"/>
    <w:rsid w:val="35D752F5"/>
    <w:rsid w:val="35E52AF5"/>
    <w:rsid w:val="35E761B2"/>
    <w:rsid w:val="35E771E5"/>
    <w:rsid w:val="35E86089"/>
    <w:rsid w:val="35EB7301"/>
    <w:rsid w:val="35EF0B5E"/>
    <w:rsid w:val="35F12448"/>
    <w:rsid w:val="35F2186B"/>
    <w:rsid w:val="35F21F63"/>
    <w:rsid w:val="35F5085E"/>
    <w:rsid w:val="35F51433"/>
    <w:rsid w:val="35FD68CD"/>
    <w:rsid w:val="35FF348B"/>
    <w:rsid w:val="36040DAE"/>
    <w:rsid w:val="360B0081"/>
    <w:rsid w:val="360E5559"/>
    <w:rsid w:val="360F36CE"/>
    <w:rsid w:val="36146F36"/>
    <w:rsid w:val="362731B1"/>
    <w:rsid w:val="36274EBB"/>
    <w:rsid w:val="36371555"/>
    <w:rsid w:val="363B0967"/>
    <w:rsid w:val="363C39C3"/>
    <w:rsid w:val="363D08FD"/>
    <w:rsid w:val="3644385B"/>
    <w:rsid w:val="364B0E82"/>
    <w:rsid w:val="36511807"/>
    <w:rsid w:val="36515EF2"/>
    <w:rsid w:val="36525115"/>
    <w:rsid w:val="36527A5E"/>
    <w:rsid w:val="36686127"/>
    <w:rsid w:val="366C4B8D"/>
    <w:rsid w:val="366C695B"/>
    <w:rsid w:val="36722213"/>
    <w:rsid w:val="36735375"/>
    <w:rsid w:val="367758CC"/>
    <w:rsid w:val="36843B5B"/>
    <w:rsid w:val="368625D0"/>
    <w:rsid w:val="368E2D4F"/>
    <w:rsid w:val="3690766E"/>
    <w:rsid w:val="36922AFB"/>
    <w:rsid w:val="36971881"/>
    <w:rsid w:val="3698431C"/>
    <w:rsid w:val="369F55EC"/>
    <w:rsid w:val="36A02420"/>
    <w:rsid w:val="36A6459A"/>
    <w:rsid w:val="36A93D26"/>
    <w:rsid w:val="36AB6127"/>
    <w:rsid w:val="36AD48AB"/>
    <w:rsid w:val="36AF4071"/>
    <w:rsid w:val="36C26992"/>
    <w:rsid w:val="36C77801"/>
    <w:rsid w:val="36CA1CEB"/>
    <w:rsid w:val="36CD09D6"/>
    <w:rsid w:val="36D06FC0"/>
    <w:rsid w:val="36D24131"/>
    <w:rsid w:val="36D2707C"/>
    <w:rsid w:val="36DB5241"/>
    <w:rsid w:val="36DE4EF6"/>
    <w:rsid w:val="36DE7D5F"/>
    <w:rsid w:val="36E00EB4"/>
    <w:rsid w:val="36F56A14"/>
    <w:rsid w:val="36FD3E6E"/>
    <w:rsid w:val="36FE4136"/>
    <w:rsid w:val="370C40B1"/>
    <w:rsid w:val="371804FC"/>
    <w:rsid w:val="3719363B"/>
    <w:rsid w:val="371A6D71"/>
    <w:rsid w:val="371E0721"/>
    <w:rsid w:val="3724764D"/>
    <w:rsid w:val="37265EF2"/>
    <w:rsid w:val="372723A4"/>
    <w:rsid w:val="372B2789"/>
    <w:rsid w:val="37335379"/>
    <w:rsid w:val="373D21FA"/>
    <w:rsid w:val="373F4BB9"/>
    <w:rsid w:val="37465815"/>
    <w:rsid w:val="37476E97"/>
    <w:rsid w:val="374B4BD9"/>
    <w:rsid w:val="37546E9C"/>
    <w:rsid w:val="375A4E1C"/>
    <w:rsid w:val="375F683B"/>
    <w:rsid w:val="37611256"/>
    <w:rsid w:val="37677539"/>
    <w:rsid w:val="37682F77"/>
    <w:rsid w:val="37691888"/>
    <w:rsid w:val="376A0BB3"/>
    <w:rsid w:val="376C2494"/>
    <w:rsid w:val="376D649D"/>
    <w:rsid w:val="377027E6"/>
    <w:rsid w:val="377144CF"/>
    <w:rsid w:val="377305CB"/>
    <w:rsid w:val="377B3508"/>
    <w:rsid w:val="37863E63"/>
    <w:rsid w:val="378D2E28"/>
    <w:rsid w:val="37906A90"/>
    <w:rsid w:val="37912FA5"/>
    <w:rsid w:val="37AD64B4"/>
    <w:rsid w:val="37B235CF"/>
    <w:rsid w:val="37B26A07"/>
    <w:rsid w:val="37BC4986"/>
    <w:rsid w:val="37BD7175"/>
    <w:rsid w:val="37C37AE8"/>
    <w:rsid w:val="37C91FA2"/>
    <w:rsid w:val="37CD6CDE"/>
    <w:rsid w:val="37CE7833"/>
    <w:rsid w:val="37D153CC"/>
    <w:rsid w:val="37D346BE"/>
    <w:rsid w:val="37D3711C"/>
    <w:rsid w:val="37D44BCF"/>
    <w:rsid w:val="37D70776"/>
    <w:rsid w:val="37DD7393"/>
    <w:rsid w:val="37DE7260"/>
    <w:rsid w:val="37E70D68"/>
    <w:rsid w:val="37ED3F45"/>
    <w:rsid w:val="37F76B0F"/>
    <w:rsid w:val="37FC4126"/>
    <w:rsid w:val="380172BF"/>
    <w:rsid w:val="380275A0"/>
    <w:rsid w:val="38042381"/>
    <w:rsid w:val="38042738"/>
    <w:rsid w:val="38060B46"/>
    <w:rsid w:val="380A4A95"/>
    <w:rsid w:val="381662DB"/>
    <w:rsid w:val="38241E1F"/>
    <w:rsid w:val="382A0D6E"/>
    <w:rsid w:val="382B13FF"/>
    <w:rsid w:val="382D5EA4"/>
    <w:rsid w:val="38396360"/>
    <w:rsid w:val="383A1372"/>
    <w:rsid w:val="383B61E5"/>
    <w:rsid w:val="38445307"/>
    <w:rsid w:val="384B6FB2"/>
    <w:rsid w:val="385F733C"/>
    <w:rsid w:val="386046B4"/>
    <w:rsid w:val="386121DB"/>
    <w:rsid w:val="386B79E8"/>
    <w:rsid w:val="3871397F"/>
    <w:rsid w:val="3872263A"/>
    <w:rsid w:val="387B6F5F"/>
    <w:rsid w:val="387C5807"/>
    <w:rsid w:val="388847A3"/>
    <w:rsid w:val="38966EF4"/>
    <w:rsid w:val="38972A1A"/>
    <w:rsid w:val="389C4B94"/>
    <w:rsid w:val="38A21F90"/>
    <w:rsid w:val="38A55C36"/>
    <w:rsid w:val="38A63FD8"/>
    <w:rsid w:val="38A66EF8"/>
    <w:rsid w:val="38A94778"/>
    <w:rsid w:val="38B2429A"/>
    <w:rsid w:val="38B24D80"/>
    <w:rsid w:val="38B66326"/>
    <w:rsid w:val="38B66BF6"/>
    <w:rsid w:val="38BD055B"/>
    <w:rsid w:val="38BD497D"/>
    <w:rsid w:val="38C033A5"/>
    <w:rsid w:val="38C10213"/>
    <w:rsid w:val="38C31FA2"/>
    <w:rsid w:val="38CB7836"/>
    <w:rsid w:val="38CC354C"/>
    <w:rsid w:val="38CD0656"/>
    <w:rsid w:val="38D766AF"/>
    <w:rsid w:val="38DB01DF"/>
    <w:rsid w:val="38DE1943"/>
    <w:rsid w:val="38E52E0C"/>
    <w:rsid w:val="38EB3448"/>
    <w:rsid w:val="38F22ED9"/>
    <w:rsid w:val="38F45D6D"/>
    <w:rsid w:val="39064886"/>
    <w:rsid w:val="390F0203"/>
    <w:rsid w:val="39124562"/>
    <w:rsid w:val="39145220"/>
    <w:rsid w:val="391C3A97"/>
    <w:rsid w:val="39207081"/>
    <w:rsid w:val="392345A2"/>
    <w:rsid w:val="39250D5F"/>
    <w:rsid w:val="3925109E"/>
    <w:rsid w:val="39261D94"/>
    <w:rsid w:val="3930052B"/>
    <w:rsid w:val="39317E0D"/>
    <w:rsid w:val="39320B25"/>
    <w:rsid w:val="393711B4"/>
    <w:rsid w:val="393A5A2D"/>
    <w:rsid w:val="393C6ED0"/>
    <w:rsid w:val="39407969"/>
    <w:rsid w:val="39445D84"/>
    <w:rsid w:val="39477622"/>
    <w:rsid w:val="395158CA"/>
    <w:rsid w:val="395352BA"/>
    <w:rsid w:val="39557F91"/>
    <w:rsid w:val="395F671A"/>
    <w:rsid w:val="39606D4A"/>
    <w:rsid w:val="39616987"/>
    <w:rsid w:val="396748B6"/>
    <w:rsid w:val="39797687"/>
    <w:rsid w:val="398268AC"/>
    <w:rsid w:val="39846181"/>
    <w:rsid w:val="3985257E"/>
    <w:rsid w:val="39A46823"/>
    <w:rsid w:val="39A62BE5"/>
    <w:rsid w:val="39AC7442"/>
    <w:rsid w:val="39AE31FE"/>
    <w:rsid w:val="39BB29F6"/>
    <w:rsid w:val="39BE4203"/>
    <w:rsid w:val="39C40C73"/>
    <w:rsid w:val="39D105FF"/>
    <w:rsid w:val="39D418EC"/>
    <w:rsid w:val="39D553CC"/>
    <w:rsid w:val="39DD3AE3"/>
    <w:rsid w:val="39E46F19"/>
    <w:rsid w:val="39EF3F42"/>
    <w:rsid w:val="39EF4A71"/>
    <w:rsid w:val="39F151A2"/>
    <w:rsid w:val="39FC2E1D"/>
    <w:rsid w:val="3A00614F"/>
    <w:rsid w:val="3A0952EC"/>
    <w:rsid w:val="3A0E7264"/>
    <w:rsid w:val="3A13029B"/>
    <w:rsid w:val="3A183E1A"/>
    <w:rsid w:val="3A277620"/>
    <w:rsid w:val="3A287454"/>
    <w:rsid w:val="3A2A6ADD"/>
    <w:rsid w:val="3A3146AF"/>
    <w:rsid w:val="3A3421CA"/>
    <w:rsid w:val="3A3A1A98"/>
    <w:rsid w:val="3A3E254E"/>
    <w:rsid w:val="3A4D2153"/>
    <w:rsid w:val="3A5704AD"/>
    <w:rsid w:val="3A592AEE"/>
    <w:rsid w:val="3A5F2C85"/>
    <w:rsid w:val="3A62672A"/>
    <w:rsid w:val="3A6F5083"/>
    <w:rsid w:val="3A935C38"/>
    <w:rsid w:val="3A961FD8"/>
    <w:rsid w:val="3A9C399E"/>
    <w:rsid w:val="3AA75337"/>
    <w:rsid w:val="3AB07831"/>
    <w:rsid w:val="3AB52E4A"/>
    <w:rsid w:val="3AB8326A"/>
    <w:rsid w:val="3AC0207C"/>
    <w:rsid w:val="3AC15D5C"/>
    <w:rsid w:val="3AC32A70"/>
    <w:rsid w:val="3AC815D2"/>
    <w:rsid w:val="3ACD11F3"/>
    <w:rsid w:val="3AD13648"/>
    <w:rsid w:val="3AD46C94"/>
    <w:rsid w:val="3AD81B72"/>
    <w:rsid w:val="3AD969A0"/>
    <w:rsid w:val="3AED318F"/>
    <w:rsid w:val="3AF62266"/>
    <w:rsid w:val="3AF7062E"/>
    <w:rsid w:val="3AF867D0"/>
    <w:rsid w:val="3AFE46B9"/>
    <w:rsid w:val="3AFF0C4B"/>
    <w:rsid w:val="3B036F16"/>
    <w:rsid w:val="3B0E03F8"/>
    <w:rsid w:val="3B131480"/>
    <w:rsid w:val="3B157627"/>
    <w:rsid w:val="3B170CE9"/>
    <w:rsid w:val="3B1A444F"/>
    <w:rsid w:val="3B1E40FD"/>
    <w:rsid w:val="3B21297F"/>
    <w:rsid w:val="3B220A19"/>
    <w:rsid w:val="3B240107"/>
    <w:rsid w:val="3B277A4D"/>
    <w:rsid w:val="3B332286"/>
    <w:rsid w:val="3B3D284E"/>
    <w:rsid w:val="3B471B5C"/>
    <w:rsid w:val="3B4B164C"/>
    <w:rsid w:val="3B4C0199"/>
    <w:rsid w:val="3B4F27BE"/>
    <w:rsid w:val="3B556027"/>
    <w:rsid w:val="3B5672A6"/>
    <w:rsid w:val="3B574A90"/>
    <w:rsid w:val="3B5F5A81"/>
    <w:rsid w:val="3B6149AE"/>
    <w:rsid w:val="3B665CD7"/>
    <w:rsid w:val="3B6743D6"/>
    <w:rsid w:val="3B6B3A9C"/>
    <w:rsid w:val="3B6F2888"/>
    <w:rsid w:val="3B742225"/>
    <w:rsid w:val="3B7A25EC"/>
    <w:rsid w:val="3B806E1C"/>
    <w:rsid w:val="3B8C3A12"/>
    <w:rsid w:val="3B8F2D63"/>
    <w:rsid w:val="3B945E96"/>
    <w:rsid w:val="3B983664"/>
    <w:rsid w:val="3B9D5C20"/>
    <w:rsid w:val="3BA142AF"/>
    <w:rsid w:val="3BA24FE4"/>
    <w:rsid w:val="3BA45420"/>
    <w:rsid w:val="3BA6736E"/>
    <w:rsid w:val="3BA725FA"/>
    <w:rsid w:val="3BA820D2"/>
    <w:rsid w:val="3BA96105"/>
    <w:rsid w:val="3BAA600C"/>
    <w:rsid w:val="3BAF452C"/>
    <w:rsid w:val="3BBB21DF"/>
    <w:rsid w:val="3BBC60A6"/>
    <w:rsid w:val="3BC211E2"/>
    <w:rsid w:val="3BCB0097"/>
    <w:rsid w:val="3BCF03F9"/>
    <w:rsid w:val="3BD72251"/>
    <w:rsid w:val="3BD74C1C"/>
    <w:rsid w:val="3BDB4052"/>
    <w:rsid w:val="3BDC3800"/>
    <w:rsid w:val="3BDF53A3"/>
    <w:rsid w:val="3BF4583A"/>
    <w:rsid w:val="3BF50C01"/>
    <w:rsid w:val="3BFA097C"/>
    <w:rsid w:val="3BFA12B5"/>
    <w:rsid w:val="3BFE4738"/>
    <w:rsid w:val="3C0342A5"/>
    <w:rsid w:val="3C095A76"/>
    <w:rsid w:val="3C112054"/>
    <w:rsid w:val="3C115FD8"/>
    <w:rsid w:val="3C1A60F6"/>
    <w:rsid w:val="3C1F4887"/>
    <w:rsid w:val="3C272561"/>
    <w:rsid w:val="3C3025F0"/>
    <w:rsid w:val="3C3A7EC9"/>
    <w:rsid w:val="3C3C1437"/>
    <w:rsid w:val="3C3C4736"/>
    <w:rsid w:val="3C3D2B84"/>
    <w:rsid w:val="3C3D6ABB"/>
    <w:rsid w:val="3C3D7D3D"/>
    <w:rsid w:val="3C4252D5"/>
    <w:rsid w:val="3C426033"/>
    <w:rsid w:val="3C435A56"/>
    <w:rsid w:val="3C4439AE"/>
    <w:rsid w:val="3C4C3631"/>
    <w:rsid w:val="3C5A58BF"/>
    <w:rsid w:val="3C5E1441"/>
    <w:rsid w:val="3C5F2ED5"/>
    <w:rsid w:val="3C6109FB"/>
    <w:rsid w:val="3C687555"/>
    <w:rsid w:val="3C6A5B02"/>
    <w:rsid w:val="3C720E5A"/>
    <w:rsid w:val="3C7626F9"/>
    <w:rsid w:val="3C767F49"/>
    <w:rsid w:val="3C826EC5"/>
    <w:rsid w:val="3C841586"/>
    <w:rsid w:val="3C854417"/>
    <w:rsid w:val="3C87312E"/>
    <w:rsid w:val="3C8C45A8"/>
    <w:rsid w:val="3C920BB5"/>
    <w:rsid w:val="3C987AB3"/>
    <w:rsid w:val="3CB03703"/>
    <w:rsid w:val="3CB23C16"/>
    <w:rsid w:val="3CBC163B"/>
    <w:rsid w:val="3CBE2671"/>
    <w:rsid w:val="3CC05722"/>
    <w:rsid w:val="3CC124F9"/>
    <w:rsid w:val="3CC33464"/>
    <w:rsid w:val="3CD967E3"/>
    <w:rsid w:val="3CDA31EE"/>
    <w:rsid w:val="3CDE1D1F"/>
    <w:rsid w:val="3CDF2025"/>
    <w:rsid w:val="3CE34259"/>
    <w:rsid w:val="3CE714C4"/>
    <w:rsid w:val="3CEC749E"/>
    <w:rsid w:val="3CEF24AB"/>
    <w:rsid w:val="3CF95669"/>
    <w:rsid w:val="3CFC6895"/>
    <w:rsid w:val="3D0C4039"/>
    <w:rsid w:val="3D1337BE"/>
    <w:rsid w:val="3D1B6DFC"/>
    <w:rsid w:val="3D1D0094"/>
    <w:rsid w:val="3D257430"/>
    <w:rsid w:val="3D2D5DDA"/>
    <w:rsid w:val="3D330809"/>
    <w:rsid w:val="3D343AFA"/>
    <w:rsid w:val="3D380669"/>
    <w:rsid w:val="3D3A1978"/>
    <w:rsid w:val="3D402009"/>
    <w:rsid w:val="3D404E58"/>
    <w:rsid w:val="3D422326"/>
    <w:rsid w:val="3D4C5207"/>
    <w:rsid w:val="3D5B4BE5"/>
    <w:rsid w:val="3D671F80"/>
    <w:rsid w:val="3D690F7A"/>
    <w:rsid w:val="3D6A3C59"/>
    <w:rsid w:val="3D7C3859"/>
    <w:rsid w:val="3D7D1865"/>
    <w:rsid w:val="3D801355"/>
    <w:rsid w:val="3D861353"/>
    <w:rsid w:val="3D864BBD"/>
    <w:rsid w:val="3D882E4A"/>
    <w:rsid w:val="3D915310"/>
    <w:rsid w:val="3D945645"/>
    <w:rsid w:val="3D986225"/>
    <w:rsid w:val="3D9F17DB"/>
    <w:rsid w:val="3DA346B2"/>
    <w:rsid w:val="3DAF55C0"/>
    <w:rsid w:val="3DB334D8"/>
    <w:rsid w:val="3DB42DAD"/>
    <w:rsid w:val="3DC04496"/>
    <w:rsid w:val="3DCA702E"/>
    <w:rsid w:val="3DCB6A74"/>
    <w:rsid w:val="3DCD427E"/>
    <w:rsid w:val="3DD00C5F"/>
    <w:rsid w:val="3DD208E4"/>
    <w:rsid w:val="3DD8115C"/>
    <w:rsid w:val="3DE2791A"/>
    <w:rsid w:val="3DE73296"/>
    <w:rsid w:val="3DE82B29"/>
    <w:rsid w:val="3DEA4783"/>
    <w:rsid w:val="3DEF5475"/>
    <w:rsid w:val="3DF00B18"/>
    <w:rsid w:val="3DF571AA"/>
    <w:rsid w:val="3DFB3A62"/>
    <w:rsid w:val="3E00728F"/>
    <w:rsid w:val="3E01770A"/>
    <w:rsid w:val="3E09759C"/>
    <w:rsid w:val="3E0E2682"/>
    <w:rsid w:val="3E0F2DA3"/>
    <w:rsid w:val="3E180506"/>
    <w:rsid w:val="3E214D79"/>
    <w:rsid w:val="3E231423"/>
    <w:rsid w:val="3E235EC1"/>
    <w:rsid w:val="3E2A3F4B"/>
    <w:rsid w:val="3E2B496C"/>
    <w:rsid w:val="3E2B688F"/>
    <w:rsid w:val="3E2B6E72"/>
    <w:rsid w:val="3E321BC6"/>
    <w:rsid w:val="3E346794"/>
    <w:rsid w:val="3E39199F"/>
    <w:rsid w:val="3E3D7512"/>
    <w:rsid w:val="3E405B07"/>
    <w:rsid w:val="3E416D36"/>
    <w:rsid w:val="3E43485C"/>
    <w:rsid w:val="3E46456B"/>
    <w:rsid w:val="3E5161C3"/>
    <w:rsid w:val="3E573E64"/>
    <w:rsid w:val="3E590E0F"/>
    <w:rsid w:val="3E5C6018"/>
    <w:rsid w:val="3E6E6CED"/>
    <w:rsid w:val="3E732C75"/>
    <w:rsid w:val="3E7964D0"/>
    <w:rsid w:val="3E7E5894"/>
    <w:rsid w:val="3E8B1D5F"/>
    <w:rsid w:val="3E8D168B"/>
    <w:rsid w:val="3E8F18F5"/>
    <w:rsid w:val="3E8F219A"/>
    <w:rsid w:val="3E9519EC"/>
    <w:rsid w:val="3EA30FF1"/>
    <w:rsid w:val="3EA44428"/>
    <w:rsid w:val="3EAB0B4A"/>
    <w:rsid w:val="3EAC6050"/>
    <w:rsid w:val="3EAE1EA8"/>
    <w:rsid w:val="3EB0596A"/>
    <w:rsid w:val="3EB51937"/>
    <w:rsid w:val="3EB72B54"/>
    <w:rsid w:val="3EB969B5"/>
    <w:rsid w:val="3EBB5DF9"/>
    <w:rsid w:val="3EC6723B"/>
    <w:rsid w:val="3EC75D1A"/>
    <w:rsid w:val="3EC82FB3"/>
    <w:rsid w:val="3ECF1E9F"/>
    <w:rsid w:val="3ED003C0"/>
    <w:rsid w:val="3ED2462F"/>
    <w:rsid w:val="3ED851A3"/>
    <w:rsid w:val="3ED912BB"/>
    <w:rsid w:val="3EDA6843"/>
    <w:rsid w:val="3EE87291"/>
    <w:rsid w:val="3EEB4C3D"/>
    <w:rsid w:val="3EEC6E82"/>
    <w:rsid w:val="3EEE3759"/>
    <w:rsid w:val="3EF961F3"/>
    <w:rsid w:val="3F0264C5"/>
    <w:rsid w:val="3F0F7E87"/>
    <w:rsid w:val="3F142EA9"/>
    <w:rsid w:val="3F15699D"/>
    <w:rsid w:val="3F2064BE"/>
    <w:rsid w:val="3F235331"/>
    <w:rsid w:val="3F255D10"/>
    <w:rsid w:val="3F28657F"/>
    <w:rsid w:val="3F29533B"/>
    <w:rsid w:val="3F2A4843"/>
    <w:rsid w:val="3F35027E"/>
    <w:rsid w:val="3F3B5C53"/>
    <w:rsid w:val="3F3C7AAF"/>
    <w:rsid w:val="3F430AF8"/>
    <w:rsid w:val="3F4324CF"/>
    <w:rsid w:val="3F467683"/>
    <w:rsid w:val="3F48420B"/>
    <w:rsid w:val="3F4E50D7"/>
    <w:rsid w:val="3F4F2BC5"/>
    <w:rsid w:val="3F537340"/>
    <w:rsid w:val="3F5929C1"/>
    <w:rsid w:val="3F5A310A"/>
    <w:rsid w:val="3F746C97"/>
    <w:rsid w:val="3F7E49C1"/>
    <w:rsid w:val="3F7F09E9"/>
    <w:rsid w:val="3F8073EA"/>
    <w:rsid w:val="3F8D10A2"/>
    <w:rsid w:val="3F9157CE"/>
    <w:rsid w:val="3F9410E8"/>
    <w:rsid w:val="3F96562B"/>
    <w:rsid w:val="3F9A3B2D"/>
    <w:rsid w:val="3F9B6610"/>
    <w:rsid w:val="3FB00B3D"/>
    <w:rsid w:val="3FB020B3"/>
    <w:rsid w:val="3FBC6A90"/>
    <w:rsid w:val="3FBF15B5"/>
    <w:rsid w:val="3FCA62F7"/>
    <w:rsid w:val="3FD84670"/>
    <w:rsid w:val="3FD87788"/>
    <w:rsid w:val="3FDD65EB"/>
    <w:rsid w:val="3FDE50E7"/>
    <w:rsid w:val="3FE20F21"/>
    <w:rsid w:val="3FE253B4"/>
    <w:rsid w:val="3FE26F6C"/>
    <w:rsid w:val="3FE52D73"/>
    <w:rsid w:val="3FEC4198"/>
    <w:rsid w:val="3FF1653A"/>
    <w:rsid w:val="3FF448E9"/>
    <w:rsid w:val="3FF57DD8"/>
    <w:rsid w:val="3FF776E4"/>
    <w:rsid w:val="3FFD6785"/>
    <w:rsid w:val="3FFE3893"/>
    <w:rsid w:val="40035A82"/>
    <w:rsid w:val="40055B41"/>
    <w:rsid w:val="40067ABB"/>
    <w:rsid w:val="400E7F16"/>
    <w:rsid w:val="40115193"/>
    <w:rsid w:val="40125DBD"/>
    <w:rsid w:val="40131A21"/>
    <w:rsid w:val="401341D8"/>
    <w:rsid w:val="4013586F"/>
    <w:rsid w:val="40146526"/>
    <w:rsid w:val="40161AFD"/>
    <w:rsid w:val="40167D4F"/>
    <w:rsid w:val="40182884"/>
    <w:rsid w:val="401D7058"/>
    <w:rsid w:val="4024421A"/>
    <w:rsid w:val="40262677"/>
    <w:rsid w:val="402A7C84"/>
    <w:rsid w:val="402E2B75"/>
    <w:rsid w:val="4034481B"/>
    <w:rsid w:val="40354679"/>
    <w:rsid w:val="40402324"/>
    <w:rsid w:val="40402796"/>
    <w:rsid w:val="404426A5"/>
    <w:rsid w:val="40454B26"/>
    <w:rsid w:val="404776D8"/>
    <w:rsid w:val="40493294"/>
    <w:rsid w:val="404D5C52"/>
    <w:rsid w:val="404F1B83"/>
    <w:rsid w:val="404F5ABB"/>
    <w:rsid w:val="405B098F"/>
    <w:rsid w:val="405F289D"/>
    <w:rsid w:val="406805AA"/>
    <w:rsid w:val="406960D0"/>
    <w:rsid w:val="406B38AD"/>
    <w:rsid w:val="40715483"/>
    <w:rsid w:val="40783AE8"/>
    <w:rsid w:val="407C1B71"/>
    <w:rsid w:val="407D1B7C"/>
    <w:rsid w:val="40801440"/>
    <w:rsid w:val="40836EE2"/>
    <w:rsid w:val="40864ED4"/>
    <w:rsid w:val="408C7DCF"/>
    <w:rsid w:val="40AB0497"/>
    <w:rsid w:val="40B051F3"/>
    <w:rsid w:val="40B4006F"/>
    <w:rsid w:val="40D43E92"/>
    <w:rsid w:val="40D519B8"/>
    <w:rsid w:val="40FB5066"/>
    <w:rsid w:val="40FD3D8B"/>
    <w:rsid w:val="41016309"/>
    <w:rsid w:val="410302D3"/>
    <w:rsid w:val="41033336"/>
    <w:rsid w:val="41051369"/>
    <w:rsid w:val="41084BDC"/>
    <w:rsid w:val="410A752F"/>
    <w:rsid w:val="410A78B3"/>
    <w:rsid w:val="41110BED"/>
    <w:rsid w:val="4119177F"/>
    <w:rsid w:val="411A4C6D"/>
    <w:rsid w:val="41210759"/>
    <w:rsid w:val="4122136D"/>
    <w:rsid w:val="412644E7"/>
    <w:rsid w:val="41293F1C"/>
    <w:rsid w:val="41321E93"/>
    <w:rsid w:val="4138346C"/>
    <w:rsid w:val="413C1875"/>
    <w:rsid w:val="41443665"/>
    <w:rsid w:val="41454EBC"/>
    <w:rsid w:val="41457A75"/>
    <w:rsid w:val="41563016"/>
    <w:rsid w:val="415A7CD3"/>
    <w:rsid w:val="4164058F"/>
    <w:rsid w:val="416C5E78"/>
    <w:rsid w:val="41700C37"/>
    <w:rsid w:val="41710325"/>
    <w:rsid w:val="41712FEE"/>
    <w:rsid w:val="4175287D"/>
    <w:rsid w:val="41780954"/>
    <w:rsid w:val="418545C7"/>
    <w:rsid w:val="4185797F"/>
    <w:rsid w:val="418E1DC0"/>
    <w:rsid w:val="41954EFF"/>
    <w:rsid w:val="419A26DD"/>
    <w:rsid w:val="419D0128"/>
    <w:rsid w:val="41A872D6"/>
    <w:rsid w:val="41AC2719"/>
    <w:rsid w:val="41AF41DD"/>
    <w:rsid w:val="41BA15A2"/>
    <w:rsid w:val="41BB6E00"/>
    <w:rsid w:val="41BD357B"/>
    <w:rsid w:val="41C37A62"/>
    <w:rsid w:val="41C819BB"/>
    <w:rsid w:val="41D0067D"/>
    <w:rsid w:val="41D02062"/>
    <w:rsid w:val="41D028AB"/>
    <w:rsid w:val="41D91034"/>
    <w:rsid w:val="41DF12AC"/>
    <w:rsid w:val="41E579D9"/>
    <w:rsid w:val="41E7120D"/>
    <w:rsid w:val="41EF53DA"/>
    <w:rsid w:val="41F63994"/>
    <w:rsid w:val="41FC7FC5"/>
    <w:rsid w:val="420C3A2E"/>
    <w:rsid w:val="420E63F8"/>
    <w:rsid w:val="420F7266"/>
    <w:rsid w:val="422028AD"/>
    <w:rsid w:val="42206C63"/>
    <w:rsid w:val="422C1AAB"/>
    <w:rsid w:val="422E312E"/>
    <w:rsid w:val="423F4774"/>
    <w:rsid w:val="42415557"/>
    <w:rsid w:val="4246696F"/>
    <w:rsid w:val="424E20F2"/>
    <w:rsid w:val="425645F4"/>
    <w:rsid w:val="42585C64"/>
    <w:rsid w:val="425A6CB8"/>
    <w:rsid w:val="425D0AFA"/>
    <w:rsid w:val="42656AD1"/>
    <w:rsid w:val="426923B8"/>
    <w:rsid w:val="426A0E94"/>
    <w:rsid w:val="426C6169"/>
    <w:rsid w:val="4275430B"/>
    <w:rsid w:val="42776F9A"/>
    <w:rsid w:val="427C1DD8"/>
    <w:rsid w:val="428408B4"/>
    <w:rsid w:val="429264B4"/>
    <w:rsid w:val="42936863"/>
    <w:rsid w:val="42982C9D"/>
    <w:rsid w:val="42A40B0B"/>
    <w:rsid w:val="42A414AB"/>
    <w:rsid w:val="42AE24C0"/>
    <w:rsid w:val="42B6175D"/>
    <w:rsid w:val="42C121C4"/>
    <w:rsid w:val="42C85330"/>
    <w:rsid w:val="42C91BD9"/>
    <w:rsid w:val="42D234E7"/>
    <w:rsid w:val="42D414FB"/>
    <w:rsid w:val="42D433BF"/>
    <w:rsid w:val="42D93FA8"/>
    <w:rsid w:val="42D9578F"/>
    <w:rsid w:val="42DD69FD"/>
    <w:rsid w:val="42E04750"/>
    <w:rsid w:val="42E163F2"/>
    <w:rsid w:val="42E87780"/>
    <w:rsid w:val="42EA36EB"/>
    <w:rsid w:val="42EC4DAE"/>
    <w:rsid w:val="42F859BB"/>
    <w:rsid w:val="42F97ED2"/>
    <w:rsid w:val="43017E75"/>
    <w:rsid w:val="431028BD"/>
    <w:rsid w:val="432C35D9"/>
    <w:rsid w:val="432F7349"/>
    <w:rsid w:val="43346E69"/>
    <w:rsid w:val="433C3A8D"/>
    <w:rsid w:val="43436EEC"/>
    <w:rsid w:val="434B178A"/>
    <w:rsid w:val="43523137"/>
    <w:rsid w:val="435A7F52"/>
    <w:rsid w:val="4360040A"/>
    <w:rsid w:val="43610F09"/>
    <w:rsid w:val="4363338B"/>
    <w:rsid w:val="436A0559"/>
    <w:rsid w:val="4372445B"/>
    <w:rsid w:val="437445E4"/>
    <w:rsid w:val="437B7DDD"/>
    <w:rsid w:val="437E2E53"/>
    <w:rsid w:val="43811FD9"/>
    <w:rsid w:val="438751EB"/>
    <w:rsid w:val="43877207"/>
    <w:rsid w:val="43893644"/>
    <w:rsid w:val="438B5EA5"/>
    <w:rsid w:val="43931F5F"/>
    <w:rsid w:val="439F0172"/>
    <w:rsid w:val="43A044FF"/>
    <w:rsid w:val="43A55CAB"/>
    <w:rsid w:val="43A80060"/>
    <w:rsid w:val="43AA2A8A"/>
    <w:rsid w:val="43B12C9D"/>
    <w:rsid w:val="43B600AD"/>
    <w:rsid w:val="43B634E4"/>
    <w:rsid w:val="43B6787E"/>
    <w:rsid w:val="43B7391F"/>
    <w:rsid w:val="43BD1D1D"/>
    <w:rsid w:val="43C472DB"/>
    <w:rsid w:val="43C52C98"/>
    <w:rsid w:val="43C544F7"/>
    <w:rsid w:val="43C76261"/>
    <w:rsid w:val="43CB1B56"/>
    <w:rsid w:val="43CD6976"/>
    <w:rsid w:val="43CF13AC"/>
    <w:rsid w:val="43D321DE"/>
    <w:rsid w:val="43DD02D9"/>
    <w:rsid w:val="43DE571C"/>
    <w:rsid w:val="43E94E11"/>
    <w:rsid w:val="43EC504E"/>
    <w:rsid w:val="43EC66F8"/>
    <w:rsid w:val="43F42155"/>
    <w:rsid w:val="43FC0516"/>
    <w:rsid w:val="44057E43"/>
    <w:rsid w:val="440936BE"/>
    <w:rsid w:val="440D0AAB"/>
    <w:rsid w:val="44137D61"/>
    <w:rsid w:val="44185E43"/>
    <w:rsid w:val="442267BA"/>
    <w:rsid w:val="442510D1"/>
    <w:rsid w:val="442F13DF"/>
    <w:rsid w:val="44345CBE"/>
    <w:rsid w:val="44366C11"/>
    <w:rsid w:val="44372632"/>
    <w:rsid w:val="443B5FD6"/>
    <w:rsid w:val="444C42AC"/>
    <w:rsid w:val="445F2A2D"/>
    <w:rsid w:val="44614695"/>
    <w:rsid w:val="446310C5"/>
    <w:rsid w:val="44670E9A"/>
    <w:rsid w:val="4469669F"/>
    <w:rsid w:val="446A0390"/>
    <w:rsid w:val="446E0159"/>
    <w:rsid w:val="446E6756"/>
    <w:rsid w:val="446E7185"/>
    <w:rsid w:val="446F0E17"/>
    <w:rsid w:val="44700813"/>
    <w:rsid w:val="44703ED1"/>
    <w:rsid w:val="44740C29"/>
    <w:rsid w:val="44743896"/>
    <w:rsid w:val="44750B2C"/>
    <w:rsid w:val="447E439E"/>
    <w:rsid w:val="447E7CD8"/>
    <w:rsid w:val="447F3C49"/>
    <w:rsid w:val="44801B6F"/>
    <w:rsid w:val="448678AB"/>
    <w:rsid w:val="448B60D0"/>
    <w:rsid w:val="44906321"/>
    <w:rsid w:val="44915529"/>
    <w:rsid w:val="4492799F"/>
    <w:rsid w:val="449851D6"/>
    <w:rsid w:val="449A0F4E"/>
    <w:rsid w:val="44A039BA"/>
    <w:rsid w:val="44A122DD"/>
    <w:rsid w:val="44A75229"/>
    <w:rsid w:val="44AC1945"/>
    <w:rsid w:val="44AC4DC7"/>
    <w:rsid w:val="44B472FA"/>
    <w:rsid w:val="44BA514C"/>
    <w:rsid w:val="44BD3D3A"/>
    <w:rsid w:val="44BF6866"/>
    <w:rsid w:val="44C304A5"/>
    <w:rsid w:val="44C7255A"/>
    <w:rsid w:val="44C86035"/>
    <w:rsid w:val="44CD650E"/>
    <w:rsid w:val="44D51F86"/>
    <w:rsid w:val="44DA554C"/>
    <w:rsid w:val="44DB714B"/>
    <w:rsid w:val="44EC2E5B"/>
    <w:rsid w:val="44F03AD5"/>
    <w:rsid w:val="44FB58F9"/>
    <w:rsid w:val="450F5824"/>
    <w:rsid w:val="45101828"/>
    <w:rsid w:val="45104DC9"/>
    <w:rsid w:val="451154EE"/>
    <w:rsid w:val="45165D08"/>
    <w:rsid w:val="451D253C"/>
    <w:rsid w:val="45252F0E"/>
    <w:rsid w:val="45276141"/>
    <w:rsid w:val="453A628D"/>
    <w:rsid w:val="453B51C6"/>
    <w:rsid w:val="454B49B7"/>
    <w:rsid w:val="45533A92"/>
    <w:rsid w:val="455530C7"/>
    <w:rsid w:val="45583306"/>
    <w:rsid w:val="455B1D0D"/>
    <w:rsid w:val="455E3D2A"/>
    <w:rsid w:val="455F7AA2"/>
    <w:rsid w:val="45603F46"/>
    <w:rsid w:val="4561795F"/>
    <w:rsid w:val="45637592"/>
    <w:rsid w:val="45654104"/>
    <w:rsid w:val="457248FA"/>
    <w:rsid w:val="45743E3C"/>
    <w:rsid w:val="457C3F18"/>
    <w:rsid w:val="457E089E"/>
    <w:rsid w:val="457F1EF2"/>
    <w:rsid w:val="458A5EBE"/>
    <w:rsid w:val="458C0FA7"/>
    <w:rsid w:val="458D478B"/>
    <w:rsid w:val="458E5F09"/>
    <w:rsid w:val="459F194E"/>
    <w:rsid w:val="45A44622"/>
    <w:rsid w:val="45A73098"/>
    <w:rsid w:val="45B17617"/>
    <w:rsid w:val="45B85109"/>
    <w:rsid w:val="45C30031"/>
    <w:rsid w:val="45C70C20"/>
    <w:rsid w:val="45CE62EC"/>
    <w:rsid w:val="45D450A0"/>
    <w:rsid w:val="45D8054A"/>
    <w:rsid w:val="45DE4E6B"/>
    <w:rsid w:val="45E074CC"/>
    <w:rsid w:val="45E321AC"/>
    <w:rsid w:val="45E5444B"/>
    <w:rsid w:val="45FC3499"/>
    <w:rsid w:val="45FC5B6D"/>
    <w:rsid w:val="460A3EB2"/>
    <w:rsid w:val="460F121C"/>
    <w:rsid w:val="46127022"/>
    <w:rsid w:val="46140850"/>
    <w:rsid w:val="461C0E0C"/>
    <w:rsid w:val="46206466"/>
    <w:rsid w:val="462400B2"/>
    <w:rsid w:val="462D74A7"/>
    <w:rsid w:val="462E5D41"/>
    <w:rsid w:val="46363DC6"/>
    <w:rsid w:val="463F0F60"/>
    <w:rsid w:val="4642189D"/>
    <w:rsid w:val="464253F9"/>
    <w:rsid w:val="46462BF9"/>
    <w:rsid w:val="464C74C9"/>
    <w:rsid w:val="465774EB"/>
    <w:rsid w:val="46587F31"/>
    <w:rsid w:val="466908CE"/>
    <w:rsid w:val="46715CDF"/>
    <w:rsid w:val="467A6C23"/>
    <w:rsid w:val="467D55BA"/>
    <w:rsid w:val="467E4493"/>
    <w:rsid w:val="46881FB9"/>
    <w:rsid w:val="469669F2"/>
    <w:rsid w:val="46966B2D"/>
    <w:rsid w:val="46972590"/>
    <w:rsid w:val="46977186"/>
    <w:rsid w:val="469C52C1"/>
    <w:rsid w:val="469D17B3"/>
    <w:rsid w:val="469D6E1A"/>
    <w:rsid w:val="46A27F62"/>
    <w:rsid w:val="46A75BA4"/>
    <w:rsid w:val="46AC33F5"/>
    <w:rsid w:val="46B101C6"/>
    <w:rsid w:val="46B11B10"/>
    <w:rsid w:val="46B1432D"/>
    <w:rsid w:val="46BE6B5C"/>
    <w:rsid w:val="46C63E3F"/>
    <w:rsid w:val="46C71DA3"/>
    <w:rsid w:val="46D152C2"/>
    <w:rsid w:val="46D24579"/>
    <w:rsid w:val="46D30747"/>
    <w:rsid w:val="46D447AA"/>
    <w:rsid w:val="46D85D5E"/>
    <w:rsid w:val="46DA73F3"/>
    <w:rsid w:val="46DC5442"/>
    <w:rsid w:val="46DD15C6"/>
    <w:rsid w:val="46E058FE"/>
    <w:rsid w:val="46EC5AF0"/>
    <w:rsid w:val="46EE1A00"/>
    <w:rsid w:val="46F34946"/>
    <w:rsid w:val="46F514C9"/>
    <w:rsid w:val="46F54B62"/>
    <w:rsid w:val="47000293"/>
    <w:rsid w:val="47095F17"/>
    <w:rsid w:val="470E73C6"/>
    <w:rsid w:val="47107E12"/>
    <w:rsid w:val="4712491C"/>
    <w:rsid w:val="47133738"/>
    <w:rsid w:val="47173303"/>
    <w:rsid w:val="471F78CB"/>
    <w:rsid w:val="472400F9"/>
    <w:rsid w:val="4725502A"/>
    <w:rsid w:val="47262F6D"/>
    <w:rsid w:val="47301BF6"/>
    <w:rsid w:val="47315561"/>
    <w:rsid w:val="473236C0"/>
    <w:rsid w:val="47385F8F"/>
    <w:rsid w:val="473A4323"/>
    <w:rsid w:val="47431429"/>
    <w:rsid w:val="47434B02"/>
    <w:rsid w:val="47497F8D"/>
    <w:rsid w:val="474F6FD8"/>
    <w:rsid w:val="475574FA"/>
    <w:rsid w:val="475645B2"/>
    <w:rsid w:val="475A49C5"/>
    <w:rsid w:val="476B4E24"/>
    <w:rsid w:val="476F66C2"/>
    <w:rsid w:val="477161D2"/>
    <w:rsid w:val="477305A8"/>
    <w:rsid w:val="47762049"/>
    <w:rsid w:val="478D08F6"/>
    <w:rsid w:val="479C397E"/>
    <w:rsid w:val="47A1485B"/>
    <w:rsid w:val="47A33674"/>
    <w:rsid w:val="47A40CD6"/>
    <w:rsid w:val="47A81BD4"/>
    <w:rsid w:val="47AD3A91"/>
    <w:rsid w:val="47B703B7"/>
    <w:rsid w:val="47C63E08"/>
    <w:rsid w:val="47CA56A6"/>
    <w:rsid w:val="47CB61E1"/>
    <w:rsid w:val="47D0099A"/>
    <w:rsid w:val="47D038C8"/>
    <w:rsid w:val="47DD6443"/>
    <w:rsid w:val="47E564E8"/>
    <w:rsid w:val="47EC1AC1"/>
    <w:rsid w:val="47ED6175"/>
    <w:rsid w:val="47F366A1"/>
    <w:rsid w:val="47F46BC7"/>
    <w:rsid w:val="47F71E45"/>
    <w:rsid w:val="47FB74E3"/>
    <w:rsid w:val="481863E1"/>
    <w:rsid w:val="48204EDD"/>
    <w:rsid w:val="48220F93"/>
    <w:rsid w:val="482332C6"/>
    <w:rsid w:val="48286871"/>
    <w:rsid w:val="482A4397"/>
    <w:rsid w:val="482A5A9E"/>
    <w:rsid w:val="482B7AB0"/>
    <w:rsid w:val="482D12C1"/>
    <w:rsid w:val="483019F7"/>
    <w:rsid w:val="48332FC7"/>
    <w:rsid w:val="48381AE6"/>
    <w:rsid w:val="48383ADC"/>
    <w:rsid w:val="484337B2"/>
    <w:rsid w:val="484907BE"/>
    <w:rsid w:val="485203EA"/>
    <w:rsid w:val="485313F8"/>
    <w:rsid w:val="48555336"/>
    <w:rsid w:val="485C0E85"/>
    <w:rsid w:val="485E5AD3"/>
    <w:rsid w:val="48627FD5"/>
    <w:rsid w:val="486E0728"/>
    <w:rsid w:val="487675DC"/>
    <w:rsid w:val="487C093F"/>
    <w:rsid w:val="487F2935"/>
    <w:rsid w:val="48802209"/>
    <w:rsid w:val="48813C4C"/>
    <w:rsid w:val="48825DB2"/>
    <w:rsid w:val="48880FBF"/>
    <w:rsid w:val="48882A14"/>
    <w:rsid w:val="488B20F8"/>
    <w:rsid w:val="4891762D"/>
    <w:rsid w:val="48967B3E"/>
    <w:rsid w:val="489A5C8F"/>
    <w:rsid w:val="489D0EC1"/>
    <w:rsid w:val="48A8007F"/>
    <w:rsid w:val="48AE38B6"/>
    <w:rsid w:val="48BB76E5"/>
    <w:rsid w:val="48BC060C"/>
    <w:rsid w:val="48C20A74"/>
    <w:rsid w:val="48C540C0"/>
    <w:rsid w:val="48CC0E51"/>
    <w:rsid w:val="48CF38B5"/>
    <w:rsid w:val="48D06FA7"/>
    <w:rsid w:val="48E24A43"/>
    <w:rsid w:val="48EE4F90"/>
    <w:rsid w:val="48F04D2C"/>
    <w:rsid w:val="48F70F64"/>
    <w:rsid w:val="49010545"/>
    <w:rsid w:val="49046BF2"/>
    <w:rsid w:val="49081DA8"/>
    <w:rsid w:val="49085D68"/>
    <w:rsid w:val="490A6DA9"/>
    <w:rsid w:val="490B5A19"/>
    <w:rsid w:val="490E2C43"/>
    <w:rsid w:val="49112686"/>
    <w:rsid w:val="49151DC3"/>
    <w:rsid w:val="491C2609"/>
    <w:rsid w:val="492508F0"/>
    <w:rsid w:val="49274003"/>
    <w:rsid w:val="49291CC6"/>
    <w:rsid w:val="49292F04"/>
    <w:rsid w:val="49313FF1"/>
    <w:rsid w:val="4937613D"/>
    <w:rsid w:val="494871CB"/>
    <w:rsid w:val="494D5726"/>
    <w:rsid w:val="494E2307"/>
    <w:rsid w:val="49535B70"/>
    <w:rsid w:val="495F62C2"/>
    <w:rsid w:val="496C7D7F"/>
    <w:rsid w:val="497715AD"/>
    <w:rsid w:val="49776324"/>
    <w:rsid w:val="498022E1"/>
    <w:rsid w:val="49881F71"/>
    <w:rsid w:val="49956188"/>
    <w:rsid w:val="499E328F"/>
    <w:rsid w:val="49A07007"/>
    <w:rsid w:val="49A34496"/>
    <w:rsid w:val="49A97A3B"/>
    <w:rsid w:val="49AB59AC"/>
    <w:rsid w:val="49AE13EF"/>
    <w:rsid w:val="49B25C9D"/>
    <w:rsid w:val="49B32521"/>
    <w:rsid w:val="49B81710"/>
    <w:rsid w:val="49C12AD9"/>
    <w:rsid w:val="49C22EF2"/>
    <w:rsid w:val="49C40489"/>
    <w:rsid w:val="49D03FCB"/>
    <w:rsid w:val="49D93529"/>
    <w:rsid w:val="49DD693F"/>
    <w:rsid w:val="49EF0FC6"/>
    <w:rsid w:val="49F31611"/>
    <w:rsid w:val="49F44C5D"/>
    <w:rsid w:val="4A056E6A"/>
    <w:rsid w:val="4A072433"/>
    <w:rsid w:val="4A0A3BF6"/>
    <w:rsid w:val="4A13190D"/>
    <w:rsid w:val="4A142F0A"/>
    <w:rsid w:val="4A146C1D"/>
    <w:rsid w:val="4A1A3042"/>
    <w:rsid w:val="4A26524F"/>
    <w:rsid w:val="4A2D3A16"/>
    <w:rsid w:val="4A380D1E"/>
    <w:rsid w:val="4A3B0ADD"/>
    <w:rsid w:val="4A3D2AA8"/>
    <w:rsid w:val="4A4E6A63"/>
    <w:rsid w:val="4A514863"/>
    <w:rsid w:val="4A5247D7"/>
    <w:rsid w:val="4A5676C5"/>
    <w:rsid w:val="4A572AA9"/>
    <w:rsid w:val="4A5C7053"/>
    <w:rsid w:val="4A5D79DA"/>
    <w:rsid w:val="4A6355E0"/>
    <w:rsid w:val="4A657AF2"/>
    <w:rsid w:val="4A6718D3"/>
    <w:rsid w:val="4A7079D9"/>
    <w:rsid w:val="4A791606"/>
    <w:rsid w:val="4A8835F7"/>
    <w:rsid w:val="4A914EC1"/>
    <w:rsid w:val="4A981B3A"/>
    <w:rsid w:val="4A985F30"/>
    <w:rsid w:val="4A9D5F6C"/>
    <w:rsid w:val="4AA70F21"/>
    <w:rsid w:val="4AA80D7A"/>
    <w:rsid w:val="4AA959F0"/>
    <w:rsid w:val="4AAA5C63"/>
    <w:rsid w:val="4AB25191"/>
    <w:rsid w:val="4AB90FD1"/>
    <w:rsid w:val="4ABB259D"/>
    <w:rsid w:val="4ABB577A"/>
    <w:rsid w:val="4AC047DD"/>
    <w:rsid w:val="4AC22FAD"/>
    <w:rsid w:val="4AD827D0"/>
    <w:rsid w:val="4ADD1B95"/>
    <w:rsid w:val="4AE15E47"/>
    <w:rsid w:val="4AE6781E"/>
    <w:rsid w:val="4AE939DB"/>
    <w:rsid w:val="4AF857F5"/>
    <w:rsid w:val="4AFD5C0C"/>
    <w:rsid w:val="4AFE790B"/>
    <w:rsid w:val="4AFF0115"/>
    <w:rsid w:val="4B067F2E"/>
    <w:rsid w:val="4B106D08"/>
    <w:rsid w:val="4B1A06F3"/>
    <w:rsid w:val="4B1A2F6F"/>
    <w:rsid w:val="4B1E5950"/>
    <w:rsid w:val="4B1F4457"/>
    <w:rsid w:val="4B237A50"/>
    <w:rsid w:val="4B2B0B52"/>
    <w:rsid w:val="4B2F0480"/>
    <w:rsid w:val="4B2F2D93"/>
    <w:rsid w:val="4B39647F"/>
    <w:rsid w:val="4B3A72D7"/>
    <w:rsid w:val="4B416A85"/>
    <w:rsid w:val="4B461AEA"/>
    <w:rsid w:val="4B4A3680"/>
    <w:rsid w:val="4B54691C"/>
    <w:rsid w:val="4B582D83"/>
    <w:rsid w:val="4B5A7C92"/>
    <w:rsid w:val="4B602E82"/>
    <w:rsid w:val="4B674E8A"/>
    <w:rsid w:val="4B6F63B1"/>
    <w:rsid w:val="4B7C13AE"/>
    <w:rsid w:val="4B8E10E1"/>
    <w:rsid w:val="4B916CC5"/>
    <w:rsid w:val="4B9366F7"/>
    <w:rsid w:val="4B993F70"/>
    <w:rsid w:val="4B9C01F4"/>
    <w:rsid w:val="4B9F32EE"/>
    <w:rsid w:val="4BA44460"/>
    <w:rsid w:val="4BA56AA5"/>
    <w:rsid w:val="4BA821A3"/>
    <w:rsid w:val="4BAD77B9"/>
    <w:rsid w:val="4BB10AEB"/>
    <w:rsid w:val="4BB20C08"/>
    <w:rsid w:val="4BBA5AD8"/>
    <w:rsid w:val="4BC0191C"/>
    <w:rsid w:val="4BC36FDC"/>
    <w:rsid w:val="4BCB6794"/>
    <w:rsid w:val="4BCE14DD"/>
    <w:rsid w:val="4BD56D10"/>
    <w:rsid w:val="4BD87AF8"/>
    <w:rsid w:val="4BE93375"/>
    <w:rsid w:val="4BEB0A00"/>
    <w:rsid w:val="4C102D98"/>
    <w:rsid w:val="4C1269B2"/>
    <w:rsid w:val="4C130542"/>
    <w:rsid w:val="4C136DB7"/>
    <w:rsid w:val="4C19727A"/>
    <w:rsid w:val="4C2319E8"/>
    <w:rsid w:val="4C234555"/>
    <w:rsid w:val="4C250EC2"/>
    <w:rsid w:val="4C2A2BB8"/>
    <w:rsid w:val="4C2C5468"/>
    <w:rsid w:val="4C2C605D"/>
    <w:rsid w:val="4C2F4F63"/>
    <w:rsid w:val="4C324162"/>
    <w:rsid w:val="4C325ADD"/>
    <w:rsid w:val="4C374305"/>
    <w:rsid w:val="4C3F54C1"/>
    <w:rsid w:val="4C434B8C"/>
    <w:rsid w:val="4C466842"/>
    <w:rsid w:val="4C4C1108"/>
    <w:rsid w:val="4C5623BC"/>
    <w:rsid w:val="4C570341"/>
    <w:rsid w:val="4C587613"/>
    <w:rsid w:val="4C5B7215"/>
    <w:rsid w:val="4C66598E"/>
    <w:rsid w:val="4C7327B1"/>
    <w:rsid w:val="4C793B73"/>
    <w:rsid w:val="4C7B1665"/>
    <w:rsid w:val="4C7D2480"/>
    <w:rsid w:val="4C817E01"/>
    <w:rsid w:val="4C84002A"/>
    <w:rsid w:val="4C8728D1"/>
    <w:rsid w:val="4C910E89"/>
    <w:rsid w:val="4CA75899"/>
    <w:rsid w:val="4CA80E41"/>
    <w:rsid w:val="4CAF78DF"/>
    <w:rsid w:val="4CB6100E"/>
    <w:rsid w:val="4CB6398D"/>
    <w:rsid w:val="4CB97C4E"/>
    <w:rsid w:val="4CC663B0"/>
    <w:rsid w:val="4CC87A79"/>
    <w:rsid w:val="4CC94F7A"/>
    <w:rsid w:val="4CCB211D"/>
    <w:rsid w:val="4CD5460A"/>
    <w:rsid w:val="4CE11854"/>
    <w:rsid w:val="4CE511D4"/>
    <w:rsid w:val="4CED33FF"/>
    <w:rsid w:val="4CED7E60"/>
    <w:rsid w:val="4CFD68A3"/>
    <w:rsid w:val="4D051EDC"/>
    <w:rsid w:val="4D0628C9"/>
    <w:rsid w:val="4D0F18F3"/>
    <w:rsid w:val="4D16313C"/>
    <w:rsid w:val="4D1675E0"/>
    <w:rsid w:val="4D1A70D0"/>
    <w:rsid w:val="4D2C65BA"/>
    <w:rsid w:val="4D2F1FB0"/>
    <w:rsid w:val="4D3007D0"/>
    <w:rsid w:val="4D361C34"/>
    <w:rsid w:val="4D3D2DBF"/>
    <w:rsid w:val="4D45201C"/>
    <w:rsid w:val="4D461C73"/>
    <w:rsid w:val="4D473C38"/>
    <w:rsid w:val="4D4A5937"/>
    <w:rsid w:val="4D4C19E0"/>
    <w:rsid w:val="4D4C3F6F"/>
    <w:rsid w:val="4D4E6D7A"/>
    <w:rsid w:val="4D52292F"/>
    <w:rsid w:val="4D5E700E"/>
    <w:rsid w:val="4D675757"/>
    <w:rsid w:val="4D7074EC"/>
    <w:rsid w:val="4D7367E0"/>
    <w:rsid w:val="4D77007F"/>
    <w:rsid w:val="4D8A1336"/>
    <w:rsid w:val="4D8B3B2A"/>
    <w:rsid w:val="4D91753F"/>
    <w:rsid w:val="4D955898"/>
    <w:rsid w:val="4D9D19DC"/>
    <w:rsid w:val="4DA70A4C"/>
    <w:rsid w:val="4DAC1E64"/>
    <w:rsid w:val="4DAC253E"/>
    <w:rsid w:val="4DB012A9"/>
    <w:rsid w:val="4DB27CAD"/>
    <w:rsid w:val="4DBD7FFE"/>
    <w:rsid w:val="4DC22E59"/>
    <w:rsid w:val="4DC4703C"/>
    <w:rsid w:val="4DCD5EF0"/>
    <w:rsid w:val="4DD00BA4"/>
    <w:rsid w:val="4DD4583A"/>
    <w:rsid w:val="4DDC4073"/>
    <w:rsid w:val="4DDC4386"/>
    <w:rsid w:val="4DDE62FD"/>
    <w:rsid w:val="4DE30E04"/>
    <w:rsid w:val="4DE624F3"/>
    <w:rsid w:val="4DF3564B"/>
    <w:rsid w:val="4DFC4A28"/>
    <w:rsid w:val="4E04568A"/>
    <w:rsid w:val="4E0468B9"/>
    <w:rsid w:val="4E051F93"/>
    <w:rsid w:val="4E094A4F"/>
    <w:rsid w:val="4E0D3A82"/>
    <w:rsid w:val="4E0E516C"/>
    <w:rsid w:val="4E1401E7"/>
    <w:rsid w:val="4E1B027B"/>
    <w:rsid w:val="4E261AA5"/>
    <w:rsid w:val="4E3557E0"/>
    <w:rsid w:val="4E3625B1"/>
    <w:rsid w:val="4E393892"/>
    <w:rsid w:val="4E465CA3"/>
    <w:rsid w:val="4E4F6B3A"/>
    <w:rsid w:val="4E54216E"/>
    <w:rsid w:val="4E566D32"/>
    <w:rsid w:val="4E5E4D9B"/>
    <w:rsid w:val="4E600612"/>
    <w:rsid w:val="4E6629A1"/>
    <w:rsid w:val="4E6A3BD2"/>
    <w:rsid w:val="4E6B4C95"/>
    <w:rsid w:val="4E6D778E"/>
    <w:rsid w:val="4E6F1522"/>
    <w:rsid w:val="4E830CA5"/>
    <w:rsid w:val="4E89473F"/>
    <w:rsid w:val="4E962786"/>
    <w:rsid w:val="4E992206"/>
    <w:rsid w:val="4E9B2C5F"/>
    <w:rsid w:val="4E9B4E1E"/>
    <w:rsid w:val="4EA55AA7"/>
    <w:rsid w:val="4EAD5D22"/>
    <w:rsid w:val="4EB85DB4"/>
    <w:rsid w:val="4EB8649F"/>
    <w:rsid w:val="4EB96475"/>
    <w:rsid w:val="4EC106FD"/>
    <w:rsid w:val="4EC579CA"/>
    <w:rsid w:val="4ECC1004"/>
    <w:rsid w:val="4ECF7A46"/>
    <w:rsid w:val="4ED53E86"/>
    <w:rsid w:val="4EE40330"/>
    <w:rsid w:val="4EE96F60"/>
    <w:rsid w:val="4EF23735"/>
    <w:rsid w:val="4EF75A52"/>
    <w:rsid w:val="4F0102D2"/>
    <w:rsid w:val="4F060CFC"/>
    <w:rsid w:val="4F0A0A7E"/>
    <w:rsid w:val="4F104D93"/>
    <w:rsid w:val="4F18319B"/>
    <w:rsid w:val="4F206957"/>
    <w:rsid w:val="4F23756B"/>
    <w:rsid w:val="4F2618B6"/>
    <w:rsid w:val="4F340F1B"/>
    <w:rsid w:val="4F385361"/>
    <w:rsid w:val="4F3D3C19"/>
    <w:rsid w:val="4F427DD6"/>
    <w:rsid w:val="4F4354F6"/>
    <w:rsid w:val="4F5F4C64"/>
    <w:rsid w:val="4F611AAD"/>
    <w:rsid w:val="4F6D750F"/>
    <w:rsid w:val="4F754C20"/>
    <w:rsid w:val="4F7628C5"/>
    <w:rsid w:val="4F7A49B3"/>
    <w:rsid w:val="4F7A5D52"/>
    <w:rsid w:val="4F7F1D4C"/>
    <w:rsid w:val="4F825634"/>
    <w:rsid w:val="4F870321"/>
    <w:rsid w:val="4F90367A"/>
    <w:rsid w:val="4F923F65"/>
    <w:rsid w:val="4F947C83"/>
    <w:rsid w:val="4F951166"/>
    <w:rsid w:val="4F9940AF"/>
    <w:rsid w:val="4F9E48D5"/>
    <w:rsid w:val="4FAB2261"/>
    <w:rsid w:val="4FB11742"/>
    <w:rsid w:val="4FBC1E49"/>
    <w:rsid w:val="4FCA31BD"/>
    <w:rsid w:val="4FDC03F2"/>
    <w:rsid w:val="4FE60DD8"/>
    <w:rsid w:val="4FE8260A"/>
    <w:rsid w:val="4FE9323F"/>
    <w:rsid w:val="4FEA0370"/>
    <w:rsid w:val="4FFB57DD"/>
    <w:rsid w:val="50031422"/>
    <w:rsid w:val="50065707"/>
    <w:rsid w:val="50212138"/>
    <w:rsid w:val="502671FD"/>
    <w:rsid w:val="50267B3A"/>
    <w:rsid w:val="50293E28"/>
    <w:rsid w:val="502C7FBC"/>
    <w:rsid w:val="503C1E0B"/>
    <w:rsid w:val="503F3270"/>
    <w:rsid w:val="50412BC6"/>
    <w:rsid w:val="504A5D1B"/>
    <w:rsid w:val="504D50C7"/>
    <w:rsid w:val="50505261"/>
    <w:rsid w:val="505C355C"/>
    <w:rsid w:val="505F5531"/>
    <w:rsid w:val="506D156F"/>
    <w:rsid w:val="50731F4F"/>
    <w:rsid w:val="50794B2E"/>
    <w:rsid w:val="507A23E1"/>
    <w:rsid w:val="507B7E86"/>
    <w:rsid w:val="507E7976"/>
    <w:rsid w:val="50886DB4"/>
    <w:rsid w:val="50896392"/>
    <w:rsid w:val="508C27EB"/>
    <w:rsid w:val="509267AF"/>
    <w:rsid w:val="50983FB0"/>
    <w:rsid w:val="509B1112"/>
    <w:rsid w:val="50AD2009"/>
    <w:rsid w:val="50B71807"/>
    <w:rsid w:val="50C00373"/>
    <w:rsid w:val="50C82C57"/>
    <w:rsid w:val="50CC4B0E"/>
    <w:rsid w:val="50D61560"/>
    <w:rsid w:val="50D94BAC"/>
    <w:rsid w:val="50DA3095"/>
    <w:rsid w:val="50E1404E"/>
    <w:rsid w:val="50E91189"/>
    <w:rsid w:val="50EB7C77"/>
    <w:rsid w:val="50EF43D0"/>
    <w:rsid w:val="50F04678"/>
    <w:rsid w:val="510000F0"/>
    <w:rsid w:val="51015C20"/>
    <w:rsid w:val="510838D5"/>
    <w:rsid w:val="510908C5"/>
    <w:rsid w:val="5110000E"/>
    <w:rsid w:val="511C3E16"/>
    <w:rsid w:val="511F1327"/>
    <w:rsid w:val="51281F4E"/>
    <w:rsid w:val="512D6CA6"/>
    <w:rsid w:val="512F115E"/>
    <w:rsid w:val="51390C3A"/>
    <w:rsid w:val="513917B7"/>
    <w:rsid w:val="513A18F3"/>
    <w:rsid w:val="5144471C"/>
    <w:rsid w:val="51491D79"/>
    <w:rsid w:val="514B6B38"/>
    <w:rsid w:val="515379CB"/>
    <w:rsid w:val="5157194A"/>
    <w:rsid w:val="51586419"/>
    <w:rsid w:val="515A6C27"/>
    <w:rsid w:val="515F1555"/>
    <w:rsid w:val="515F781E"/>
    <w:rsid w:val="5165675D"/>
    <w:rsid w:val="516A3920"/>
    <w:rsid w:val="516D5E42"/>
    <w:rsid w:val="517008D8"/>
    <w:rsid w:val="51713037"/>
    <w:rsid w:val="51750D79"/>
    <w:rsid w:val="5176287E"/>
    <w:rsid w:val="51786346"/>
    <w:rsid w:val="517B5C63"/>
    <w:rsid w:val="517D1373"/>
    <w:rsid w:val="51803079"/>
    <w:rsid w:val="51897B82"/>
    <w:rsid w:val="51907C22"/>
    <w:rsid w:val="519C30FB"/>
    <w:rsid w:val="519D454C"/>
    <w:rsid w:val="51A37EEB"/>
    <w:rsid w:val="51A907FF"/>
    <w:rsid w:val="51B11685"/>
    <w:rsid w:val="51B27BBA"/>
    <w:rsid w:val="51B451F6"/>
    <w:rsid w:val="51B84D15"/>
    <w:rsid w:val="51BB7FAB"/>
    <w:rsid w:val="51BD464E"/>
    <w:rsid w:val="51D33CF1"/>
    <w:rsid w:val="51D36CFE"/>
    <w:rsid w:val="51DA1BCB"/>
    <w:rsid w:val="51EB6FD3"/>
    <w:rsid w:val="51F13035"/>
    <w:rsid w:val="51F174CA"/>
    <w:rsid w:val="51F7020A"/>
    <w:rsid w:val="51F90C61"/>
    <w:rsid w:val="51FB04CD"/>
    <w:rsid w:val="51FC7708"/>
    <w:rsid w:val="51FD14F9"/>
    <w:rsid w:val="52057438"/>
    <w:rsid w:val="521050DC"/>
    <w:rsid w:val="52146C33"/>
    <w:rsid w:val="521918F5"/>
    <w:rsid w:val="521D10DE"/>
    <w:rsid w:val="521D367A"/>
    <w:rsid w:val="521F224C"/>
    <w:rsid w:val="522400A9"/>
    <w:rsid w:val="52291CD0"/>
    <w:rsid w:val="52462D3F"/>
    <w:rsid w:val="524D4779"/>
    <w:rsid w:val="525869FF"/>
    <w:rsid w:val="526B3441"/>
    <w:rsid w:val="527343DD"/>
    <w:rsid w:val="528A7684"/>
    <w:rsid w:val="52913AA6"/>
    <w:rsid w:val="52936C0B"/>
    <w:rsid w:val="529C0803"/>
    <w:rsid w:val="52A05FDA"/>
    <w:rsid w:val="52A25069"/>
    <w:rsid w:val="52A719DD"/>
    <w:rsid w:val="52B272BA"/>
    <w:rsid w:val="52B479F6"/>
    <w:rsid w:val="52B70F1D"/>
    <w:rsid w:val="52CD4A8E"/>
    <w:rsid w:val="52CF494C"/>
    <w:rsid w:val="52D32C6D"/>
    <w:rsid w:val="52D62130"/>
    <w:rsid w:val="52DC2FB4"/>
    <w:rsid w:val="52E066C6"/>
    <w:rsid w:val="52EB2FA2"/>
    <w:rsid w:val="52EB79B0"/>
    <w:rsid w:val="52F5148F"/>
    <w:rsid w:val="52F923C2"/>
    <w:rsid w:val="52FD317B"/>
    <w:rsid w:val="5302334A"/>
    <w:rsid w:val="53082569"/>
    <w:rsid w:val="530D42AD"/>
    <w:rsid w:val="531502A7"/>
    <w:rsid w:val="531706D0"/>
    <w:rsid w:val="531D3136"/>
    <w:rsid w:val="53283BC9"/>
    <w:rsid w:val="532A2881"/>
    <w:rsid w:val="533D56C3"/>
    <w:rsid w:val="534E1FFB"/>
    <w:rsid w:val="53510596"/>
    <w:rsid w:val="535D1F32"/>
    <w:rsid w:val="53620E89"/>
    <w:rsid w:val="53677926"/>
    <w:rsid w:val="53722655"/>
    <w:rsid w:val="53891481"/>
    <w:rsid w:val="538B0BB6"/>
    <w:rsid w:val="538C1E4B"/>
    <w:rsid w:val="53904888"/>
    <w:rsid w:val="53964B01"/>
    <w:rsid w:val="539700C2"/>
    <w:rsid w:val="53A84DEB"/>
    <w:rsid w:val="53AC5BB2"/>
    <w:rsid w:val="53B17198"/>
    <w:rsid w:val="53CB6E38"/>
    <w:rsid w:val="53CE36FC"/>
    <w:rsid w:val="53D36E49"/>
    <w:rsid w:val="53D95B0A"/>
    <w:rsid w:val="53DF697E"/>
    <w:rsid w:val="53E04080"/>
    <w:rsid w:val="53E53868"/>
    <w:rsid w:val="53E5549A"/>
    <w:rsid w:val="53E93C41"/>
    <w:rsid w:val="53F214A0"/>
    <w:rsid w:val="53F54CBE"/>
    <w:rsid w:val="540B1521"/>
    <w:rsid w:val="54135AAB"/>
    <w:rsid w:val="54137503"/>
    <w:rsid w:val="5414309E"/>
    <w:rsid w:val="54196E84"/>
    <w:rsid w:val="54236402"/>
    <w:rsid w:val="542C274A"/>
    <w:rsid w:val="543478C6"/>
    <w:rsid w:val="54422694"/>
    <w:rsid w:val="54474BAB"/>
    <w:rsid w:val="54493DF7"/>
    <w:rsid w:val="54497F1E"/>
    <w:rsid w:val="54554C6E"/>
    <w:rsid w:val="546E385E"/>
    <w:rsid w:val="547B35E8"/>
    <w:rsid w:val="5493721A"/>
    <w:rsid w:val="54950B1B"/>
    <w:rsid w:val="5495703C"/>
    <w:rsid w:val="549A01E4"/>
    <w:rsid w:val="549B561C"/>
    <w:rsid w:val="549C0638"/>
    <w:rsid w:val="54A6489D"/>
    <w:rsid w:val="54A911FF"/>
    <w:rsid w:val="54B102B5"/>
    <w:rsid w:val="54B27E3C"/>
    <w:rsid w:val="54B5046C"/>
    <w:rsid w:val="54B548D4"/>
    <w:rsid w:val="54B71AFA"/>
    <w:rsid w:val="54C067AF"/>
    <w:rsid w:val="54C66B67"/>
    <w:rsid w:val="54CD459F"/>
    <w:rsid w:val="54CF105C"/>
    <w:rsid w:val="54D01E51"/>
    <w:rsid w:val="54D41BA7"/>
    <w:rsid w:val="54D933CD"/>
    <w:rsid w:val="54DA59A3"/>
    <w:rsid w:val="54DD7F14"/>
    <w:rsid w:val="54E45CFC"/>
    <w:rsid w:val="54E63D3C"/>
    <w:rsid w:val="54E90D00"/>
    <w:rsid w:val="54EB2593"/>
    <w:rsid w:val="54F32747"/>
    <w:rsid w:val="54FC530D"/>
    <w:rsid w:val="54FD105E"/>
    <w:rsid w:val="55176E31"/>
    <w:rsid w:val="552705DC"/>
    <w:rsid w:val="55470032"/>
    <w:rsid w:val="554C0043"/>
    <w:rsid w:val="554C3B9F"/>
    <w:rsid w:val="554F7B33"/>
    <w:rsid w:val="55562C6F"/>
    <w:rsid w:val="55591282"/>
    <w:rsid w:val="555C4981"/>
    <w:rsid w:val="555D2250"/>
    <w:rsid w:val="556D584E"/>
    <w:rsid w:val="55734491"/>
    <w:rsid w:val="55747599"/>
    <w:rsid w:val="55754B87"/>
    <w:rsid w:val="55763C0E"/>
    <w:rsid w:val="557F21C6"/>
    <w:rsid w:val="5582372F"/>
    <w:rsid w:val="55863527"/>
    <w:rsid w:val="5587107B"/>
    <w:rsid w:val="55890798"/>
    <w:rsid w:val="558C48E3"/>
    <w:rsid w:val="558E60DF"/>
    <w:rsid w:val="558F3A64"/>
    <w:rsid w:val="559D43FA"/>
    <w:rsid w:val="55A53C10"/>
    <w:rsid w:val="55AC1A7E"/>
    <w:rsid w:val="55AC66BA"/>
    <w:rsid w:val="55C914A2"/>
    <w:rsid w:val="55DC029A"/>
    <w:rsid w:val="55DC44BB"/>
    <w:rsid w:val="55E179E0"/>
    <w:rsid w:val="55E62F10"/>
    <w:rsid w:val="55E667B4"/>
    <w:rsid w:val="55EC7130"/>
    <w:rsid w:val="55F36710"/>
    <w:rsid w:val="560005ED"/>
    <w:rsid w:val="56065A38"/>
    <w:rsid w:val="56066432"/>
    <w:rsid w:val="560F025F"/>
    <w:rsid w:val="560F3109"/>
    <w:rsid w:val="56222B52"/>
    <w:rsid w:val="562B40FC"/>
    <w:rsid w:val="562C0C6B"/>
    <w:rsid w:val="562C675D"/>
    <w:rsid w:val="562E414E"/>
    <w:rsid w:val="562E6337"/>
    <w:rsid w:val="56337E3C"/>
    <w:rsid w:val="5637322B"/>
    <w:rsid w:val="563D5BDD"/>
    <w:rsid w:val="565A22EB"/>
    <w:rsid w:val="56644AA0"/>
    <w:rsid w:val="56674496"/>
    <w:rsid w:val="56686E72"/>
    <w:rsid w:val="566C34CD"/>
    <w:rsid w:val="56706116"/>
    <w:rsid w:val="56737BDD"/>
    <w:rsid w:val="56772E9D"/>
    <w:rsid w:val="568455BA"/>
    <w:rsid w:val="569712AD"/>
    <w:rsid w:val="569B2037"/>
    <w:rsid w:val="569B49A5"/>
    <w:rsid w:val="569D15D9"/>
    <w:rsid w:val="56A25726"/>
    <w:rsid w:val="56A619D5"/>
    <w:rsid w:val="56A65531"/>
    <w:rsid w:val="56A72D53"/>
    <w:rsid w:val="56B505B7"/>
    <w:rsid w:val="56BE4761"/>
    <w:rsid w:val="56BF4844"/>
    <w:rsid w:val="56C137C7"/>
    <w:rsid w:val="56C34BB0"/>
    <w:rsid w:val="56CB31E9"/>
    <w:rsid w:val="56D53DD4"/>
    <w:rsid w:val="56DE116E"/>
    <w:rsid w:val="56E176CE"/>
    <w:rsid w:val="56EB2EA1"/>
    <w:rsid w:val="56F20031"/>
    <w:rsid w:val="56F3629C"/>
    <w:rsid w:val="57120E18"/>
    <w:rsid w:val="57172D1A"/>
    <w:rsid w:val="57174680"/>
    <w:rsid w:val="57174EEB"/>
    <w:rsid w:val="572110F4"/>
    <w:rsid w:val="57295637"/>
    <w:rsid w:val="57325016"/>
    <w:rsid w:val="57354F1A"/>
    <w:rsid w:val="57366770"/>
    <w:rsid w:val="573B036F"/>
    <w:rsid w:val="573D0A11"/>
    <w:rsid w:val="57491784"/>
    <w:rsid w:val="574B60D8"/>
    <w:rsid w:val="575A5D3A"/>
    <w:rsid w:val="57732E29"/>
    <w:rsid w:val="57741E6B"/>
    <w:rsid w:val="57743881"/>
    <w:rsid w:val="57752768"/>
    <w:rsid w:val="577837BE"/>
    <w:rsid w:val="577D08AE"/>
    <w:rsid w:val="57811AFA"/>
    <w:rsid w:val="578908B4"/>
    <w:rsid w:val="57962473"/>
    <w:rsid w:val="579D5131"/>
    <w:rsid w:val="57AA4AB3"/>
    <w:rsid w:val="57B51058"/>
    <w:rsid w:val="57BA6E9E"/>
    <w:rsid w:val="57BC1110"/>
    <w:rsid w:val="57BE75AE"/>
    <w:rsid w:val="57C33EC0"/>
    <w:rsid w:val="57C55E8A"/>
    <w:rsid w:val="57C71C02"/>
    <w:rsid w:val="57C93BCD"/>
    <w:rsid w:val="57D16401"/>
    <w:rsid w:val="57D82E5E"/>
    <w:rsid w:val="57D87FD8"/>
    <w:rsid w:val="57DB6D3D"/>
    <w:rsid w:val="57DF3C6E"/>
    <w:rsid w:val="57E04DBF"/>
    <w:rsid w:val="57E143E9"/>
    <w:rsid w:val="57E61CE1"/>
    <w:rsid w:val="57EC6094"/>
    <w:rsid w:val="57EF2F07"/>
    <w:rsid w:val="57EF7DA7"/>
    <w:rsid w:val="57FD1FF0"/>
    <w:rsid w:val="57FE4C0E"/>
    <w:rsid w:val="57FF1099"/>
    <w:rsid w:val="5803175C"/>
    <w:rsid w:val="58115236"/>
    <w:rsid w:val="58160494"/>
    <w:rsid w:val="581676C7"/>
    <w:rsid w:val="58170F3C"/>
    <w:rsid w:val="581A5E70"/>
    <w:rsid w:val="581C3A95"/>
    <w:rsid w:val="5821223D"/>
    <w:rsid w:val="58214972"/>
    <w:rsid w:val="582333A5"/>
    <w:rsid w:val="5828546A"/>
    <w:rsid w:val="582866F1"/>
    <w:rsid w:val="582E38B0"/>
    <w:rsid w:val="582E7084"/>
    <w:rsid w:val="58346B6C"/>
    <w:rsid w:val="583C4897"/>
    <w:rsid w:val="583F1695"/>
    <w:rsid w:val="58484357"/>
    <w:rsid w:val="585A1EA8"/>
    <w:rsid w:val="585D60C3"/>
    <w:rsid w:val="585E711F"/>
    <w:rsid w:val="585F2818"/>
    <w:rsid w:val="586133B8"/>
    <w:rsid w:val="58613E05"/>
    <w:rsid w:val="58615632"/>
    <w:rsid w:val="58684F97"/>
    <w:rsid w:val="586970C5"/>
    <w:rsid w:val="586C2216"/>
    <w:rsid w:val="586E116C"/>
    <w:rsid w:val="5876019D"/>
    <w:rsid w:val="58767185"/>
    <w:rsid w:val="58774429"/>
    <w:rsid w:val="587A2927"/>
    <w:rsid w:val="587F4E2F"/>
    <w:rsid w:val="5884134D"/>
    <w:rsid w:val="588615B2"/>
    <w:rsid w:val="58896EB8"/>
    <w:rsid w:val="58912AA4"/>
    <w:rsid w:val="589470D5"/>
    <w:rsid w:val="589645C1"/>
    <w:rsid w:val="58A46EE1"/>
    <w:rsid w:val="58A557B0"/>
    <w:rsid w:val="58BC7E7B"/>
    <w:rsid w:val="58BD2EA3"/>
    <w:rsid w:val="58C02670"/>
    <w:rsid w:val="58C03090"/>
    <w:rsid w:val="58C14D6F"/>
    <w:rsid w:val="58C811B3"/>
    <w:rsid w:val="58C92A02"/>
    <w:rsid w:val="58D81BED"/>
    <w:rsid w:val="58E24C57"/>
    <w:rsid w:val="58E415AA"/>
    <w:rsid w:val="58ED7BD3"/>
    <w:rsid w:val="58F520DA"/>
    <w:rsid w:val="58FE0032"/>
    <w:rsid w:val="590F3616"/>
    <w:rsid w:val="59137BCC"/>
    <w:rsid w:val="59143DC5"/>
    <w:rsid w:val="591547B1"/>
    <w:rsid w:val="591A5313"/>
    <w:rsid w:val="59260BAB"/>
    <w:rsid w:val="59284923"/>
    <w:rsid w:val="592B7F6F"/>
    <w:rsid w:val="592F3F03"/>
    <w:rsid w:val="592F4D6F"/>
    <w:rsid w:val="59340C57"/>
    <w:rsid w:val="59382681"/>
    <w:rsid w:val="593F2505"/>
    <w:rsid w:val="594828CF"/>
    <w:rsid w:val="59482A23"/>
    <w:rsid w:val="59512693"/>
    <w:rsid w:val="59513E7A"/>
    <w:rsid w:val="59592D2E"/>
    <w:rsid w:val="59595E25"/>
    <w:rsid w:val="596001A9"/>
    <w:rsid w:val="59626F88"/>
    <w:rsid w:val="596856DA"/>
    <w:rsid w:val="597236F0"/>
    <w:rsid w:val="59832881"/>
    <w:rsid w:val="59837DAB"/>
    <w:rsid w:val="59923A4D"/>
    <w:rsid w:val="59934492"/>
    <w:rsid w:val="59941FB8"/>
    <w:rsid w:val="59965D30"/>
    <w:rsid w:val="599769F3"/>
    <w:rsid w:val="599C1B8F"/>
    <w:rsid w:val="599C33BC"/>
    <w:rsid w:val="59A4604E"/>
    <w:rsid w:val="59A619B5"/>
    <w:rsid w:val="59A85A64"/>
    <w:rsid w:val="59A93AB5"/>
    <w:rsid w:val="59B002B3"/>
    <w:rsid w:val="59B10965"/>
    <w:rsid w:val="59BC26BB"/>
    <w:rsid w:val="59BF63EA"/>
    <w:rsid w:val="59C53E78"/>
    <w:rsid w:val="59D05A7C"/>
    <w:rsid w:val="59D979CB"/>
    <w:rsid w:val="59DB279C"/>
    <w:rsid w:val="59DF76D7"/>
    <w:rsid w:val="59E002EA"/>
    <w:rsid w:val="59E06EFA"/>
    <w:rsid w:val="59E27C96"/>
    <w:rsid w:val="59E574EB"/>
    <w:rsid w:val="59F83FE5"/>
    <w:rsid w:val="59F842F5"/>
    <w:rsid w:val="59F9604B"/>
    <w:rsid w:val="59FA62BF"/>
    <w:rsid w:val="59FD7B5D"/>
    <w:rsid w:val="59FE629E"/>
    <w:rsid w:val="5A074538"/>
    <w:rsid w:val="5A0A729E"/>
    <w:rsid w:val="5A0F6FF7"/>
    <w:rsid w:val="5A1A323F"/>
    <w:rsid w:val="5A1C0938"/>
    <w:rsid w:val="5A223AF7"/>
    <w:rsid w:val="5A2D5E39"/>
    <w:rsid w:val="5A2F3A8F"/>
    <w:rsid w:val="5A334F56"/>
    <w:rsid w:val="5A3A2672"/>
    <w:rsid w:val="5A3A2B3B"/>
    <w:rsid w:val="5A4412E8"/>
    <w:rsid w:val="5A472754"/>
    <w:rsid w:val="5A4B4737"/>
    <w:rsid w:val="5A4B64B5"/>
    <w:rsid w:val="5A4E4A01"/>
    <w:rsid w:val="5A5906F1"/>
    <w:rsid w:val="5A5A2260"/>
    <w:rsid w:val="5A631E54"/>
    <w:rsid w:val="5A6D711C"/>
    <w:rsid w:val="5A7D37D6"/>
    <w:rsid w:val="5A7D6637"/>
    <w:rsid w:val="5A837209"/>
    <w:rsid w:val="5A856AD4"/>
    <w:rsid w:val="5A8D6F72"/>
    <w:rsid w:val="5A8D7133"/>
    <w:rsid w:val="5A9A2002"/>
    <w:rsid w:val="5A9D6C4B"/>
    <w:rsid w:val="5A9E4BFB"/>
    <w:rsid w:val="5A9F2A23"/>
    <w:rsid w:val="5AA00322"/>
    <w:rsid w:val="5AA20705"/>
    <w:rsid w:val="5AA436CE"/>
    <w:rsid w:val="5AA84FC9"/>
    <w:rsid w:val="5AA858EF"/>
    <w:rsid w:val="5AA97725"/>
    <w:rsid w:val="5AAF577B"/>
    <w:rsid w:val="5AB426B0"/>
    <w:rsid w:val="5ABE3DEE"/>
    <w:rsid w:val="5ACB1A0A"/>
    <w:rsid w:val="5ACB3C38"/>
    <w:rsid w:val="5ACC7482"/>
    <w:rsid w:val="5ACE6F50"/>
    <w:rsid w:val="5ACF0B16"/>
    <w:rsid w:val="5AD34BCE"/>
    <w:rsid w:val="5AD626E7"/>
    <w:rsid w:val="5AE56F06"/>
    <w:rsid w:val="5AE605F2"/>
    <w:rsid w:val="5AE7770C"/>
    <w:rsid w:val="5AF3693D"/>
    <w:rsid w:val="5AF50178"/>
    <w:rsid w:val="5AF70A51"/>
    <w:rsid w:val="5B0C41F8"/>
    <w:rsid w:val="5B1838AB"/>
    <w:rsid w:val="5B1E1495"/>
    <w:rsid w:val="5B2630E4"/>
    <w:rsid w:val="5B2854DF"/>
    <w:rsid w:val="5B296730"/>
    <w:rsid w:val="5B2B24A8"/>
    <w:rsid w:val="5B2C22D5"/>
    <w:rsid w:val="5B4D68C3"/>
    <w:rsid w:val="5B516433"/>
    <w:rsid w:val="5B61411C"/>
    <w:rsid w:val="5B6E1A2A"/>
    <w:rsid w:val="5B721E85"/>
    <w:rsid w:val="5B743E4F"/>
    <w:rsid w:val="5B7622C9"/>
    <w:rsid w:val="5B7878AF"/>
    <w:rsid w:val="5B7E4CCE"/>
    <w:rsid w:val="5B81031A"/>
    <w:rsid w:val="5B823596"/>
    <w:rsid w:val="5B8557CF"/>
    <w:rsid w:val="5B927547"/>
    <w:rsid w:val="5B956793"/>
    <w:rsid w:val="5B9976DE"/>
    <w:rsid w:val="5B9B5880"/>
    <w:rsid w:val="5BA34735"/>
    <w:rsid w:val="5BA51798"/>
    <w:rsid w:val="5BA557F4"/>
    <w:rsid w:val="5BA60FE6"/>
    <w:rsid w:val="5BA960B3"/>
    <w:rsid w:val="5BAD0984"/>
    <w:rsid w:val="5BBE64E2"/>
    <w:rsid w:val="5BC3093E"/>
    <w:rsid w:val="5BC36B85"/>
    <w:rsid w:val="5BC90F32"/>
    <w:rsid w:val="5BCE4273"/>
    <w:rsid w:val="5BDE3464"/>
    <w:rsid w:val="5BDF7090"/>
    <w:rsid w:val="5BF119E3"/>
    <w:rsid w:val="5BF84A80"/>
    <w:rsid w:val="5BF872CF"/>
    <w:rsid w:val="5BFB631F"/>
    <w:rsid w:val="5C040177"/>
    <w:rsid w:val="5C052E74"/>
    <w:rsid w:val="5C0627FA"/>
    <w:rsid w:val="5C097FE8"/>
    <w:rsid w:val="5C0A47B4"/>
    <w:rsid w:val="5C1967A5"/>
    <w:rsid w:val="5C1A3C85"/>
    <w:rsid w:val="5C1D5FD0"/>
    <w:rsid w:val="5C1E5B4F"/>
    <w:rsid w:val="5C224CF8"/>
    <w:rsid w:val="5C2A6C04"/>
    <w:rsid w:val="5C2D50F1"/>
    <w:rsid w:val="5C2E2250"/>
    <w:rsid w:val="5C2F366B"/>
    <w:rsid w:val="5C302E76"/>
    <w:rsid w:val="5C315184"/>
    <w:rsid w:val="5C3151DE"/>
    <w:rsid w:val="5C3A2482"/>
    <w:rsid w:val="5C45362E"/>
    <w:rsid w:val="5C482E9B"/>
    <w:rsid w:val="5C5D3282"/>
    <w:rsid w:val="5C6120DF"/>
    <w:rsid w:val="5C6374D4"/>
    <w:rsid w:val="5C657C3C"/>
    <w:rsid w:val="5C6A68A5"/>
    <w:rsid w:val="5C7369F0"/>
    <w:rsid w:val="5C790656"/>
    <w:rsid w:val="5C7D79C2"/>
    <w:rsid w:val="5C8F6A67"/>
    <w:rsid w:val="5C973129"/>
    <w:rsid w:val="5C985FDC"/>
    <w:rsid w:val="5C9A389C"/>
    <w:rsid w:val="5C9C7832"/>
    <w:rsid w:val="5C9F101C"/>
    <w:rsid w:val="5CA637F9"/>
    <w:rsid w:val="5CA7731B"/>
    <w:rsid w:val="5CA92850"/>
    <w:rsid w:val="5CAC47AA"/>
    <w:rsid w:val="5CB44AA8"/>
    <w:rsid w:val="5CB52C4E"/>
    <w:rsid w:val="5CB954A6"/>
    <w:rsid w:val="5CBA3AE4"/>
    <w:rsid w:val="5CBE0CF5"/>
    <w:rsid w:val="5CC11316"/>
    <w:rsid w:val="5CC2242D"/>
    <w:rsid w:val="5CC46C4B"/>
    <w:rsid w:val="5CC96CF2"/>
    <w:rsid w:val="5CCB6710"/>
    <w:rsid w:val="5CCD7CBB"/>
    <w:rsid w:val="5CE45F9E"/>
    <w:rsid w:val="5CE70DBC"/>
    <w:rsid w:val="5CE9481E"/>
    <w:rsid w:val="5CFB06F8"/>
    <w:rsid w:val="5D0153EA"/>
    <w:rsid w:val="5D035CDC"/>
    <w:rsid w:val="5D044011"/>
    <w:rsid w:val="5D0737D1"/>
    <w:rsid w:val="5D0D559B"/>
    <w:rsid w:val="5D0E43AC"/>
    <w:rsid w:val="5D1C654D"/>
    <w:rsid w:val="5D23625D"/>
    <w:rsid w:val="5D251D29"/>
    <w:rsid w:val="5D2B49E2"/>
    <w:rsid w:val="5D2C2B85"/>
    <w:rsid w:val="5D395350"/>
    <w:rsid w:val="5D3C11F3"/>
    <w:rsid w:val="5D3E3DB9"/>
    <w:rsid w:val="5D3F048D"/>
    <w:rsid w:val="5D3F1672"/>
    <w:rsid w:val="5D4D0EA1"/>
    <w:rsid w:val="5D502B73"/>
    <w:rsid w:val="5D566CFD"/>
    <w:rsid w:val="5D6B3030"/>
    <w:rsid w:val="5D6B528B"/>
    <w:rsid w:val="5D72616D"/>
    <w:rsid w:val="5D750FB4"/>
    <w:rsid w:val="5D7729E3"/>
    <w:rsid w:val="5D7964E3"/>
    <w:rsid w:val="5D850511"/>
    <w:rsid w:val="5D881E34"/>
    <w:rsid w:val="5D8A772D"/>
    <w:rsid w:val="5D8C76EA"/>
    <w:rsid w:val="5D94083C"/>
    <w:rsid w:val="5D9C1551"/>
    <w:rsid w:val="5D9C5E07"/>
    <w:rsid w:val="5DA57630"/>
    <w:rsid w:val="5DAA3B58"/>
    <w:rsid w:val="5DAB5B22"/>
    <w:rsid w:val="5DAF3958"/>
    <w:rsid w:val="5DB03139"/>
    <w:rsid w:val="5DB113C0"/>
    <w:rsid w:val="5DB5380B"/>
    <w:rsid w:val="5DB838B5"/>
    <w:rsid w:val="5DB84258"/>
    <w:rsid w:val="5DB9494B"/>
    <w:rsid w:val="5DC170F4"/>
    <w:rsid w:val="5DC42740"/>
    <w:rsid w:val="5DC54774"/>
    <w:rsid w:val="5DD22F5C"/>
    <w:rsid w:val="5DE000D6"/>
    <w:rsid w:val="5DE06E52"/>
    <w:rsid w:val="5DE24181"/>
    <w:rsid w:val="5DE7005B"/>
    <w:rsid w:val="5DE84681"/>
    <w:rsid w:val="5DEB3A4C"/>
    <w:rsid w:val="5E084D23"/>
    <w:rsid w:val="5E093A84"/>
    <w:rsid w:val="5E0B03FA"/>
    <w:rsid w:val="5E102D9C"/>
    <w:rsid w:val="5E2558D5"/>
    <w:rsid w:val="5E282044"/>
    <w:rsid w:val="5E2E270B"/>
    <w:rsid w:val="5E33164D"/>
    <w:rsid w:val="5E3562F4"/>
    <w:rsid w:val="5E413D91"/>
    <w:rsid w:val="5E525F9E"/>
    <w:rsid w:val="5E58758A"/>
    <w:rsid w:val="5E622685"/>
    <w:rsid w:val="5E6B193C"/>
    <w:rsid w:val="5E6C3223"/>
    <w:rsid w:val="5E6D4B86"/>
    <w:rsid w:val="5E7303EE"/>
    <w:rsid w:val="5E770480"/>
    <w:rsid w:val="5E79352B"/>
    <w:rsid w:val="5E7B3DF7"/>
    <w:rsid w:val="5E8624A4"/>
    <w:rsid w:val="5E911FEC"/>
    <w:rsid w:val="5E9E7A15"/>
    <w:rsid w:val="5EA67A73"/>
    <w:rsid w:val="5EA924B6"/>
    <w:rsid w:val="5EAB7367"/>
    <w:rsid w:val="5EAC7C41"/>
    <w:rsid w:val="5EB102DC"/>
    <w:rsid w:val="5EB32EE1"/>
    <w:rsid w:val="5EC36513"/>
    <w:rsid w:val="5EC7073A"/>
    <w:rsid w:val="5ECA3D86"/>
    <w:rsid w:val="5ED06E8A"/>
    <w:rsid w:val="5ED40802"/>
    <w:rsid w:val="5ED52E57"/>
    <w:rsid w:val="5EDD7F5D"/>
    <w:rsid w:val="5EE03C07"/>
    <w:rsid w:val="5EE431F5"/>
    <w:rsid w:val="5EE56729"/>
    <w:rsid w:val="5EE963B9"/>
    <w:rsid w:val="5EEA61D6"/>
    <w:rsid w:val="5EF3774E"/>
    <w:rsid w:val="5EF534F9"/>
    <w:rsid w:val="5EF855A5"/>
    <w:rsid w:val="5F020305"/>
    <w:rsid w:val="5F081DC5"/>
    <w:rsid w:val="5F093737"/>
    <w:rsid w:val="5F096FA4"/>
    <w:rsid w:val="5F0C2090"/>
    <w:rsid w:val="5F0D15D7"/>
    <w:rsid w:val="5F1A654B"/>
    <w:rsid w:val="5F1C0CF6"/>
    <w:rsid w:val="5F1D47FE"/>
    <w:rsid w:val="5F204545"/>
    <w:rsid w:val="5F2064BF"/>
    <w:rsid w:val="5F235AFE"/>
    <w:rsid w:val="5F282FD3"/>
    <w:rsid w:val="5F2E6A0B"/>
    <w:rsid w:val="5F37766E"/>
    <w:rsid w:val="5F3C7778"/>
    <w:rsid w:val="5F3F6F36"/>
    <w:rsid w:val="5F4A5B98"/>
    <w:rsid w:val="5F4E7239"/>
    <w:rsid w:val="5F5B030B"/>
    <w:rsid w:val="5F5E0B2A"/>
    <w:rsid w:val="5F5F71CF"/>
    <w:rsid w:val="5F65183E"/>
    <w:rsid w:val="5F652E15"/>
    <w:rsid w:val="5F775D49"/>
    <w:rsid w:val="5F787A1B"/>
    <w:rsid w:val="5F8003AD"/>
    <w:rsid w:val="5F814EFD"/>
    <w:rsid w:val="5F8A26F7"/>
    <w:rsid w:val="5F8C3F86"/>
    <w:rsid w:val="5F8D6BD2"/>
    <w:rsid w:val="5F8E1F3F"/>
    <w:rsid w:val="5F903222"/>
    <w:rsid w:val="5F9C4352"/>
    <w:rsid w:val="5F9C7B2B"/>
    <w:rsid w:val="5F9D0AA7"/>
    <w:rsid w:val="5F9D59FD"/>
    <w:rsid w:val="5F9E4734"/>
    <w:rsid w:val="5FAB005C"/>
    <w:rsid w:val="5FAD4477"/>
    <w:rsid w:val="5FB91E65"/>
    <w:rsid w:val="5FBB029F"/>
    <w:rsid w:val="5FBB7D3C"/>
    <w:rsid w:val="5FBC14C5"/>
    <w:rsid w:val="5FDF3861"/>
    <w:rsid w:val="5FE505F4"/>
    <w:rsid w:val="5FE86052"/>
    <w:rsid w:val="5FE95790"/>
    <w:rsid w:val="5FFA71EE"/>
    <w:rsid w:val="5FFB769D"/>
    <w:rsid w:val="600862B2"/>
    <w:rsid w:val="6009338C"/>
    <w:rsid w:val="600F2399"/>
    <w:rsid w:val="600F548E"/>
    <w:rsid w:val="602731BE"/>
    <w:rsid w:val="602B7D89"/>
    <w:rsid w:val="6032665A"/>
    <w:rsid w:val="6037026B"/>
    <w:rsid w:val="60383B8E"/>
    <w:rsid w:val="603A7A1A"/>
    <w:rsid w:val="603B4E1E"/>
    <w:rsid w:val="603D5158"/>
    <w:rsid w:val="604007A4"/>
    <w:rsid w:val="604B6664"/>
    <w:rsid w:val="604C2EF1"/>
    <w:rsid w:val="604C6DB9"/>
    <w:rsid w:val="60522F80"/>
    <w:rsid w:val="605543FD"/>
    <w:rsid w:val="605C7663"/>
    <w:rsid w:val="60665237"/>
    <w:rsid w:val="606C7D42"/>
    <w:rsid w:val="60716BAF"/>
    <w:rsid w:val="60795A64"/>
    <w:rsid w:val="608C5797"/>
    <w:rsid w:val="608F34D9"/>
    <w:rsid w:val="608F6ECF"/>
    <w:rsid w:val="6097464E"/>
    <w:rsid w:val="609C5C96"/>
    <w:rsid w:val="609D68B2"/>
    <w:rsid w:val="609D79A4"/>
    <w:rsid w:val="60A30D33"/>
    <w:rsid w:val="60AF7E8F"/>
    <w:rsid w:val="60B13450"/>
    <w:rsid w:val="60BA2CED"/>
    <w:rsid w:val="60C74A21"/>
    <w:rsid w:val="60C75998"/>
    <w:rsid w:val="60C824B9"/>
    <w:rsid w:val="60CC6DF2"/>
    <w:rsid w:val="60D5041F"/>
    <w:rsid w:val="60E12B05"/>
    <w:rsid w:val="60E912BD"/>
    <w:rsid w:val="60F10242"/>
    <w:rsid w:val="60F1341C"/>
    <w:rsid w:val="60F35816"/>
    <w:rsid w:val="61075D4C"/>
    <w:rsid w:val="61080DBA"/>
    <w:rsid w:val="610C2DF5"/>
    <w:rsid w:val="61120392"/>
    <w:rsid w:val="61131A15"/>
    <w:rsid w:val="61180507"/>
    <w:rsid w:val="611C241C"/>
    <w:rsid w:val="611D3029"/>
    <w:rsid w:val="612007AF"/>
    <w:rsid w:val="61224D8A"/>
    <w:rsid w:val="6126799A"/>
    <w:rsid w:val="612909DD"/>
    <w:rsid w:val="612A6676"/>
    <w:rsid w:val="61362C91"/>
    <w:rsid w:val="613823C0"/>
    <w:rsid w:val="6140338F"/>
    <w:rsid w:val="6149500A"/>
    <w:rsid w:val="615434A5"/>
    <w:rsid w:val="61570D42"/>
    <w:rsid w:val="6159422F"/>
    <w:rsid w:val="615E35D8"/>
    <w:rsid w:val="61674297"/>
    <w:rsid w:val="616B6B50"/>
    <w:rsid w:val="6177433A"/>
    <w:rsid w:val="618225BF"/>
    <w:rsid w:val="61993F9A"/>
    <w:rsid w:val="61A94E9F"/>
    <w:rsid w:val="61A961A0"/>
    <w:rsid w:val="61AE3668"/>
    <w:rsid w:val="61BD2B33"/>
    <w:rsid w:val="61BF1B9C"/>
    <w:rsid w:val="61C11C2D"/>
    <w:rsid w:val="61C31E76"/>
    <w:rsid w:val="61CE185A"/>
    <w:rsid w:val="61D00F25"/>
    <w:rsid w:val="61D759CA"/>
    <w:rsid w:val="61E2477C"/>
    <w:rsid w:val="61E949E9"/>
    <w:rsid w:val="61F80608"/>
    <w:rsid w:val="6200468F"/>
    <w:rsid w:val="62010C82"/>
    <w:rsid w:val="62056FC1"/>
    <w:rsid w:val="620577D3"/>
    <w:rsid w:val="621724B5"/>
    <w:rsid w:val="621B1DD8"/>
    <w:rsid w:val="621D4D0A"/>
    <w:rsid w:val="6220088D"/>
    <w:rsid w:val="62243CEC"/>
    <w:rsid w:val="62255EA3"/>
    <w:rsid w:val="622639C9"/>
    <w:rsid w:val="622A7473"/>
    <w:rsid w:val="623161EC"/>
    <w:rsid w:val="623A38D9"/>
    <w:rsid w:val="623D1262"/>
    <w:rsid w:val="62442EF6"/>
    <w:rsid w:val="6249682D"/>
    <w:rsid w:val="624A3B5C"/>
    <w:rsid w:val="624C47EB"/>
    <w:rsid w:val="625853C2"/>
    <w:rsid w:val="62650996"/>
    <w:rsid w:val="62681B73"/>
    <w:rsid w:val="626A6520"/>
    <w:rsid w:val="626F5F64"/>
    <w:rsid w:val="627120AE"/>
    <w:rsid w:val="627135E7"/>
    <w:rsid w:val="627619C6"/>
    <w:rsid w:val="627F7335"/>
    <w:rsid w:val="62802B1E"/>
    <w:rsid w:val="62824D3E"/>
    <w:rsid w:val="628B7B1B"/>
    <w:rsid w:val="62960B4F"/>
    <w:rsid w:val="629A1E2A"/>
    <w:rsid w:val="629C4C96"/>
    <w:rsid w:val="62A775D2"/>
    <w:rsid w:val="62AE6A80"/>
    <w:rsid w:val="62AF5A6B"/>
    <w:rsid w:val="62B17C91"/>
    <w:rsid w:val="62B2513E"/>
    <w:rsid w:val="62B479A9"/>
    <w:rsid w:val="62B766CD"/>
    <w:rsid w:val="62C51707"/>
    <w:rsid w:val="62C728EC"/>
    <w:rsid w:val="62D6719E"/>
    <w:rsid w:val="62DA5E61"/>
    <w:rsid w:val="62DD5378"/>
    <w:rsid w:val="62E2684A"/>
    <w:rsid w:val="62E34971"/>
    <w:rsid w:val="62E34DB2"/>
    <w:rsid w:val="62E47B0C"/>
    <w:rsid w:val="62E80C7F"/>
    <w:rsid w:val="62EC5F9A"/>
    <w:rsid w:val="62F41505"/>
    <w:rsid w:val="63020226"/>
    <w:rsid w:val="630261E5"/>
    <w:rsid w:val="63051831"/>
    <w:rsid w:val="630C7B81"/>
    <w:rsid w:val="63104802"/>
    <w:rsid w:val="63181564"/>
    <w:rsid w:val="631958C6"/>
    <w:rsid w:val="631D258B"/>
    <w:rsid w:val="632443AD"/>
    <w:rsid w:val="63260125"/>
    <w:rsid w:val="632C5C7E"/>
    <w:rsid w:val="633640E0"/>
    <w:rsid w:val="63387188"/>
    <w:rsid w:val="633A772C"/>
    <w:rsid w:val="633E6DDC"/>
    <w:rsid w:val="633F4C5E"/>
    <w:rsid w:val="63403134"/>
    <w:rsid w:val="63406D0B"/>
    <w:rsid w:val="63452D57"/>
    <w:rsid w:val="63463CB8"/>
    <w:rsid w:val="634A459E"/>
    <w:rsid w:val="635608BB"/>
    <w:rsid w:val="636045EC"/>
    <w:rsid w:val="63614F2F"/>
    <w:rsid w:val="636A15F7"/>
    <w:rsid w:val="63745F76"/>
    <w:rsid w:val="637864A7"/>
    <w:rsid w:val="637F097F"/>
    <w:rsid w:val="6381137B"/>
    <w:rsid w:val="63822316"/>
    <w:rsid w:val="63841EB0"/>
    <w:rsid w:val="63864720"/>
    <w:rsid w:val="638766EA"/>
    <w:rsid w:val="638B442C"/>
    <w:rsid w:val="638D1F52"/>
    <w:rsid w:val="638F51F4"/>
    <w:rsid w:val="639B498E"/>
    <w:rsid w:val="63A159FD"/>
    <w:rsid w:val="63A17FBE"/>
    <w:rsid w:val="63B32FD2"/>
    <w:rsid w:val="63B36432"/>
    <w:rsid w:val="63B74069"/>
    <w:rsid w:val="63C139AA"/>
    <w:rsid w:val="63D12174"/>
    <w:rsid w:val="63D23E09"/>
    <w:rsid w:val="63D77671"/>
    <w:rsid w:val="63E43B3C"/>
    <w:rsid w:val="63EC7AA2"/>
    <w:rsid w:val="63F70996"/>
    <w:rsid w:val="63F72574"/>
    <w:rsid w:val="63F7561D"/>
    <w:rsid w:val="64013CD8"/>
    <w:rsid w:val="64041AE8"/>
    <w:rsid w:val="640E0761"/>
    <w:rsid w:val="640E10FA"/>
    <w:rsid w:val="642503DD"/>
    <w:rsid w:val="642915D3"/>
    <w:rsid w:val="64356063"/>
    <w:rsid w:val="643F73EB"/>
    <w:rsid w:val="643F7705"/>
    <w:rsid w:val="644A4F68"/>
    <w:rsid w:val="645E785A"/>
    <w:rsid w:val="64601415"/>
    <w:rsid w:val="646B3DE9"/>
    <w:rsid w:val="646C0E82"/>
    <w:rsid w:val="646C2C2B"/>
    <w:rsid w:val="64722686"/>
    <w:rsid w:val="64722EF6"/>
    <w:rsid w:val="64747F00"/>
    <w:rsid w:val="64756794"/>
    <w:rsid w:val="647F005D"/>
    <w:rsid w:val="64823C39"/>
    <w:rsid w:val="64910C19"/>
    <w:rsid w:val="64950AA2"/>
    <w:rsid w:val="64961430"/>
    <w:rsid w:val="649B7946"/>
    <w:rsid w:val="649C7F73"/>
    <w:rsid w:val="649D3CEF"/>
    <w:rsid w:val="64A415D0"/>
    <w:rsid w:val="64A467F5"/>
    <w:rsid w:val="64A6577B"/>
    <w:rsid w:val="64A77044"/>
    <w:rsid w:val="64A84012"/>
    <w:rsid w:val="64AF152E"/>
    <w:rsid w:val="64AF1704"/>
    <w:rsid w:val="64B84856"/>
    <w:rsid w:val="64BC23C3"/>
    <w:rsid w:val="64BF61DD"/>
    <w:rsid w:val="64C71494"/>
    <w:rsid w:val="64D3610E"/>
    <w:rsid w:val="64D43BB1"/>
    <w:rsid w:val="64D628C3"/>
    <w:rsid w:val="64EB4439"/>
    <w:rsid w:val="64ED07CF"/>
    <w:rsid w:val="64FD4EB5"/>
    <w:rsid w:val="64FD7956"/>
    <w:rsid w:val="65001DF2"/>
    <w:rsid w:val="65002086"/>
    <w:rsid w:val="65005799"/>
    <w:rsid w:val="6502071E"/>
    <w:rsid w:val="65030DDA"/>
    <w:rsid w:val="65061405"/>
    <w:rsid w:val="65067D34"/>
    <w:rsid w:val="65104072"/>
    <w:rsid w:val="651421FF"/>
    <w:rsid w:val="651550D8"/>
    <w:rsid w:val="651706BE"/>
    <w:rsid w:val="65171A2A"/>
    <w:rsid w:val="6518134B"/>
    <w:rsid w:val="65193183"/>
    <w:rsid w:val="651B5108"/>
    <w:rsid w:val="651E1F0B"/>
    <w:rsid w:val="65257F68"/>
    <w:rsid w:val="652D70B7"/>
    <w:rsid w:val="652E514F"/>
    <w:rsid w:val="65404FA1"/>
    <w:rsid w:val="654242E5"/>
    <w:rsid w:val="655454D5"/>
    <w:rsid w:val="65591123"/>
    <w:rsid w:val="65594988"/>
    <w:rsid w:val="655D04B0"/>
    <w:rsid w:val="655F40D5"/>
    <w:rsid w:val="65622F6B"/>
    <w:rsid w:val="656932AC"/>
    <w:rsid w:val="656A760B"/>
    <w:rsid w:val="65764C68"/>
    <w:rsid w:val="65767E96"/>
    <w:rsid w:val="65770897"/>
    <w:rsid w:val="657B7C6C"/>
    <w:rsid w:val="6582360D"/>
    <w:rsid w:val="658A15B1"/>
    <w:rsid w:val="658D3D93"/>
    <w:rsid w:val="65907AD8"/>
    <w:rsid w:val="659550EE"/>
    <w:rsid w:val="65A21488"/>
    <w:rsid w:val="65A256B6"/>
    <w:rsid w:val="65A573B4"/>
    <w:rsid w:val="65A8667D"/>
    <w:rsid w:val="65AA6944"/>
    <w:rsid w:val="65AC068A"/>
    <w:rsid w:val="65AD1EDC"/>
    <w:rsid w:val="65AD68DC"/>
    <w:rsid w:val="65B12DD4"/>
    <w:rsid w:val="65B35574"/>
    <w:rsid w:val="65BA2E77"/>
    <w:rsid w:val="65BB0263"/>
    <w:rsid w:val="65BD70AD"/>
    <w:rsid w:val="65C0624F"/>
    <w:rsid w:val="65C6174B"/>
    <w:rsid w:val="65C77271"/>
    <w:rsid w:val="65D26468"/>
    <w:rsid w:val="65DA0838"/>
    <w:rsid w:val="65DD539C"/>
    <w:rsid w:val="65E72A17"/>
    <w:rsid w:val="65F92A04"/>
    <w:rsid w:val="65F92DAD"/>
    <w:rsid w:val="65FE0EE5"/>
    <w:rsid w:val="65FF07B9"/>
    <w:rsid w:val="660869D4"/>
    <w:rsid w:val="660A16B3"/>
    <w:rsid w:val="660E0F62"/>
    <w:rsid w:val="660E3E54"/>
    <w:rsid w:val="66106931"/>
    <w:rsid w:val="66106E6A"/>
    <w:rsid w:val="66194607"/>
    <w:rsid w:val="661F4C53"/>
    <w:rsid w:val="66231BCB"/>
    <w:rsid w:val="66240220"/>
    <w:rsid w:val="662446C4"/>
    <w:rsid w:val="66292968"/>
    <w:rsid w:val="662A2DDB"/>
    <w:rsid w:val="66342F25"/>
    <w:rsid w:val="66357E93"/>
    <w:rsid w:val="6638639E"/>
    <w:rsid w:val="663A5C95"/>
    <w:rsid w:val="663A7A43"/>
    <w:rsid w:val="663C384C"/>
    <w:rsid w:val="66417024"/>
    <w:rsid w:val="66442670"/>
    <w:rsid w:val="66495ED8"/>
    <w:rsid w:val="66520A4F"/>
    <w:rsid w:val="665723A3"/>
    <w:rsid w:val="665F34A3"/>
    <w:rsid w:val="66624DFD"/>
    <w:rsid w:val="6666618F"/>
    <w:rsid w:val="667445FD"/>
    <w:rsid w:val="66753E89"/>
    <w:rsid w:val="66786D26"/>
    <w:rsid w:val="667B2432"/>
    <w:rsid w:val="667C005C"/>
    <w:rsid w:val="667C7C61"/>
    <w:rsid w:val="66821E35"/>
    <w:rsid w:val="66834220"/>
    <w:rsid w:val="668533B4"/>
    <w:rsid w:val="66864095"/>
    <w:rsid w:val="6686712D"/>
    <w:rsid w:val="66867451"/>
    <w:rsid w:val="6695111E"/>
    <w:rsid w:val="669970BB"/>
    <w:rsid w:val="669A7BDB"/>
    <w:rsid w:val="66B23433"/>
    <w:rsid w:val="66B707FE"/>
    <w:rsid w:val="66C35765"/>
    <w:rsid w:val="66CA526B"/>
    <w:rsid w:val="66D26368"/>
    <w:rsid w:val="66D63AFB"/>
    <w:rsid w:val="66D84587"/>
    <w:rsid w:val="66D954AE"/>
    <w:rsid w:val="66DA4732"/>
    <w:rsid w:val="66DC597E"/>
    <w:rsid w:val="66EB7A24"/>
    <w:rsid w:val="66EC3219"/>
    <w:rsid w:val="66EC612B"/>
    <w:rsid w:val="66FB3677"/>
    <w:rsid w:val="67006EDF"/>
    <w:rsid w:val="6703077D"/>
    <w:rsid w:val="671E0C04"/>
    <w:rsid w:val="671E604E"/>
    <w:rsid w:val="67232CD9"/>
    <w:rsid w:val="67235F80"/>
    <w:rsid w:val="67246540"/>
    <w:rsid w:val="6729598A"/>
    <w:rsid w:val="673117A1"/>
    <w:rsid w:val="67395F4D"/>
    <w:rsid w:val="673D2DDC"/>
    <w:rsid w:val="673E6CA6"/>
    <w:rsid w:val="673F7A07"/>
    <w:rsid w:val="674072DB"/>
    <w:rsid w:val="674212A6"/>
    <w:rsid w:val="675A65EF"/>
    <w:rsid w:val="675B4115"/>
    <w:rsid w:val="675C40F8"/>
    <w:rsid w:val="675E318F"/>
    <w:rsid w:val="67633581"/>
    <w:rsid w:val="67647172"/>
    <w:rsid w:val="6769391C"/>
    <w:rsid w:val="676A25AA"/>
    <w:rsid w:val="676E2419"/>
    <w:rsid w:val="67712FCD"/>
    <w:rsid w:val="67772E36"/>
    <w:rsid w:val="677937D6"/>
    <w:rsid w:val="67801312"/>
    <w:rsid w:val="67824321"/>
    <w:rsid w:val="6785562F"/>
    <w:rsid w:val="67857B6D"/>
    <w:rsid w:val="678738AA"/>
    <w:rsid w:val="678C2146"/>
    <w:rsid w:val="679517C0"/>
    <w:rsid w:val="679E0650"/>
    <w:rsid w:val="679F2254"/>
    <w:rsid w:val="67A05FCC"/>
    <w:rsid w:val="67A64393"/>
    <w:rsid w:val="67A96406"/>
    <w:rsid w:val="67AC16CA"/>
    <w:rsid w:val="67AF7FBD"/>
    <w:rsid w:val="67B30ACF"/>
    <w:rsid w:val="67B850C4"/>
    <w:rsid w:val="67CC2909"/>
    <w:rsid w:val="67CE0EC2"/>
    <w:rsid w:val="67D247FF"/>
    <w:rsid w:val="67D61813"/>
    <w:rsid w:val="67D77C40"/>
    <w:rsid w:val="67D92B1D"/>
    <w:rsid w:val="67DC5256"/>
    <w:rsid w:val="67DD4B2A"/>
    <w:rsid w:val="67E51529"/>
    <w:rsid w:val="67F03745"/>
    <w:rsid w:val="67F178F7"/>
    <w:rsid w:val="67F55F60"/>
    <w:rsid w:val="67FB3DBB"/>
    <w:rsid w:val="67FD341E"/>
    <w:rsid w:val="68006FC6"/>
    <w:rsid w:val="68026259"/>
    <w:rsid w:val="6802739F"/>
    <w:rsid w:val="68091434"/>
    <w:rsid w:val="680F3215"/>
    <w:rsid w:val="68182378"/>
    <w:rsid w:val="68191E2E"/>
    <w:rsid w:val="681C1AF7"/>
    <w:rsid w:val="68241307"/>
    <w:rsid w:val="68246BFD"/>
    <w:rsid w:val="68261123"/>
    <w:rsid w:val="6828049B"/>
    <w:rsid w:val="682D5C8C"/>
    <w:rsid w:val="683C25E6"/>
    <w:rsid w:val="683D44C8"/>
    <w:rsid w:val="68437083"/>
    <w:rsid w:val="68445950"/>
    <w:rsid w:val="68460981"/>
    <w:rsid w:val="6849487F"/>
    <w:rsid w:val="68525518"/>
    <w:rsid w:val="68573579"/>
    <w:rsid w:val="685A02DE"/>
    <w:rsid w:val="6865645C"/>
    <w:rsid w:val="686961EC"/>
    <w:rsid w:val="686F4D92"/>
    <w:rsid w:val="687234C5"/>
    <w:rsid w:val="687B1E0C"/>
    <w:rsid w:val="687C3C64"/>
    <w:rsid w:val="687E00BB"/>
    <w:rsid w:val="68811BD5"/>
    <w:rsid w:val="68815DFE"/>
    <w:rsid w:val="688F02F3"/>
    <w:rsid w:val="68990638"/>
    <w:rsid w:val="689B7994"/>
    <w:rsid w:val="68A814C3"/>
    <w:rsid w:val="68A81F98"/>
    <w:rsid w:val="68AD274F"/>
    <w:rsid w:val="68AF296B"/>
    <w:rsid w:val="68B24209"/>
    <w:rsid w:val="68B773BC"/>
    <w:rsid w:val="68B81D07"/>
    <w:rsid w:val="68B96B17"/>
    <w:rsid w:val="68BA0FB7"/>
    <w:rsid w:val="68BD4508"/>
    <w:rsid w:val="68BD4621"/>
    <w:rsid w:val="68C00331"/>
    <w:rsid w:val="68C96D7B"/>
    <w:rsid w:val="68D02873"/>
    <w:rsid w:val="68D47785"/>
    <w:rsid w:val="68DC21D6"/>
    <w:rsid w:val="68DE0B5A"/>
    <w:rsid w:val="68DF1875"/>
    <w:rsid w:val="68E24AEE"/>
    <w:rsid w:val="68EB3277"/>
    <w:rsid w:val="68F53959"/>
    <w:rsid w:val="6901666B"/>
    <w:rsid w:val="690700C6"/>
    <w:rsid w:val="690E792C"/>
    <w:rsid w:val="69106A0C"/>
    <w:rsid w:val="691256B8"/>
    <w:rsid w:val="69132EFA"/>
    <w:rsid w:val="691B6F90"/>
    <w:rsid w:val="692A1471"/>
    <w:rsid w:val="692C5D69"/>
    <w:rsid w:val="692C7B17"/>
    <w:rsid w:val="692E11B1"/>
    <w:rsid w:val="69327233"/>
    <w:rsid w:val="69341963"/>
    <w:rsid w:val="693764BC"/>
    <w:rsid w:val="69380A1B"/>
    <w:rsid w:val="694A449E"/>
    <w:rsid w:val="695157D0"/>
    <w:rsid w:val="695977F4"/>
    <w:rsid w:val="696142A0"/>
    <w:rsid w:val="69661E67"/>
    <w:rsid w:val="69672476"/>
    <w:rsid w:val="696A4AE4"/>
    <w:rsid w:val="696C3079"/>
    <w:rsid w:val="69755AAC"/>
    <w:rsid w:val="69781437"/>
    <w:rsid w:val="69801C11"/>
    <w:rsid w:val="698376DA"/>
    <w:rsid w:val="698B0C17"/>
    <w:rsid w:val="698D4236"/>
    <w:rsid w:val="699064E4"/>
    <w:rsid w:val="69912723"/>
    <w:rsid w:val="699B6A4B"/>
    <w:rsid w:val="699E60C0"/>
    <w:rsid w:val="69A02499"/>
    <w:rsid w:val="69B17D90"/>
    <w:rsid w:val="69BE745D"/>
    <w:rsid w:val="69BF6BDD"/>
    <w:rsid w:val="69C22EC0"/>
    <w:rsid w:val="69C455BB"/>
    <w:rsid w:val="69C60021"/>
    <w:rsid w:val="69CC12FA"/>
    <w:rsid w:val="69D467B8"/>
    <w:rsid w:val="69E20E7E"/>
    <w:rsid w:val="69EC4CA7"/>
    <w:rsid w:val="69ED7EA2"/>
    <w:rsid w:val="69EE0D7A"/>
    <w:rsid w:val="69EE6566"/>
    <w:rsid w:val="69F10D61"/>
    <w:rsid w:val="69F45FF7"/>
    <w:rsid w:val="69F55085"/>
    <w:rsid w:val="69FD56DA"/>
    <w:rsid w:val="6A00697B"/>
    <w:rsid w:val="6A0960AB"/>
    <w:rsid w:val="6A0D4BE4"/>
    <w:rsid w:val="6A14109C"/>
    <w:rsid w:val="6A1779EC"/>
    <w:rsid w:val="6A1B7B06"/>
    <w:rsid w:val="6A275868"/>
    <w:rsid w:val="6A2E0FDE"/>
    <w:rsid w:val="6A335EA2"/>
    <w:rsid w:val="6A3B1B8D"/>
    <w:rsid w:val="6A3F48EE"/>
    <w:rsid w:val="6A475159"/>
    <w:rsid w:val="6A49166D"/>
    <w:rsid w:val="6A492DB9"/>
    <w:rsid w:val="6A4A1414"/>
    <w:rsid w:val="6A4A2B10"/>
    <w:rsid w:val="6A4B161B"/>
    <w:rsid w:val="6A536D12"/>
    <w:rsid w:val="6A5A06B4"/>
    <w:rsid w:val="6A5F3CC1"/>
    <w:rsid w:val="6A602D96"/>
    <w:rsid w:val="6A6552EA"/>
    <w:rsid w:val="6A68153F"/>
    <w:rsid w:val="6A6C0337"/>
    <w:rsid w:val="6A7B7546"/>
    <w:rsid w:val="6A7C35B7"/>
    <w:rsid w:val="6A804764"/>
    <w:rsid w:val="6A8637A5"/>
    <w:rsid w:val="6A867E7E"/>
    <w:rsid w:val="6A8A4A81"/>
    <w:rsid w:val="6A95732B"/>
    <w:rsid w:val="6A982204"/>
    <w:rsid w:val="6AAC22B0"/>
    <w:rsid w:val="6AB10A71"/>
    <w:rsid w:val="6ABE3AB8"/>
    <w:rsid w:val="6AD20E4B"/>
    <w:rsid w:val="6AD24287"/>
    <w:rsid w:val="6AD262DF"/>
    <w:rsid w:val="6AD35EC8"/>
    <w:rsid w:val="6AD83BC1"/>
    <w:rsid w:val="6AD83FB1"/>
    <w:rsid w:val="6ADE6BA2"/>
    <w:rsid w:val="6AEC1C1C"/>
    <w:rsid w:val="6AF1763B"/>
    <w:rsid w:val="6AF204FC"/>
    <w:rsid w:val="6AFA2B04"/>
    <w:rsid w:val="6B0B0F19"/>
    <w:rsid w:val="6B137831"/>
    <w:rsid w:val="6B19056F"/>
    <w:rsid w:val="6B19231D"/>
    <w:rsid w:val="6B1A1752"/>
    <w:rsid w:val="6B1F15F3"/>
    <w:rsid w:val="6B2643D0"/>
    <w:rsid w:val="6B2E63C9"/>
    <w:rsid w:val="6B3E1733"/>
    <w:rsid w:val="6B48013F"/>
    <w:rsid w:val="6B481122"/>
    <w:rsid w:val="6B4F185A"/>
    <w:rsid w:val="6B5275A0"/>
    <w:rsid w:val="6B564BDA"/>
    <w:rsid w:val="6B5A286D"/>
    <w:rsid w:val="6B5E7259"/>
    <w:rsid w:val="6B607FD8"/>
    <w:rsid w:val="6B657A76"/>
    <w:rsid w:val="6B701064"/>
    <w:rsid w:val="6B737C7F"/>
    <w:rsid w:val="6B774B53"/>
    <w:rsid w:val="6B7C465A"/>
    <w:rsid w:val="6B7D28AC"/>
    <w:rsid w:val="6B8005EE"/>
    <w:rsid w:val="6B8308FD"/>
    <w:rsid w:val="6B8541B4"/>
    <w:rsid w:val="6B881251"/>
    <w:rsid w:val="6B8A526B"/>
    <w:rsid w:val="6B99215D"/>
    <w:rsid w:val="6B9D032E"/>
    <w:rsid w:val="6B9F5688"/>
    <w:rsid w:val="6BAA11C7"/>
    <w:rsid w:val="6BAC61C4"/>
    <w:rsid w:val="6BAD355F"/>
    <w:rsid w:val="6BB237F6"/>
    <w:rsid w:val="6BB25F27"/>
    <w:rsid w:val="6BB512E4"/>
    <w:rsid w:val="6BB838E4"/>
    <w:rsid w:val="6BBD1729"/>
    <w:rsid w:val="6BCC2B18"/>
    <w:rsid w:val="6BD122AE"/>
    <w:rsid w:val="6BD3071E"/>
    <w:rsid w:val="6BD46134"/>
    <w:rsid w:val="6BDB5D47"/>
    <w:rsid w:val="6BE3746A"/>
    <w:rsid w:val="6BE553FA"/>
    <w:rsid w:val="6BE6630F"/>
    <w:rsid w:val="6BEB1F0C"/>
    <w:rsid w:val="6BF36941"/>
    <w:rsid w:val="6BF752AE"/>
    <w:rsid w:val="6C094140"/>
    <w:rsid w:val="6C0E3675"/>
    <w:rsid w:val="6C0F041B"/>
    <w:rsid w:val="6C156B74"/>
    <w:rsid w:val="6C1825D5"/>
    <w:rsid w:val="6C300E1B"/>
    <w:rsid w:val="6C3473D5"/>
    <w:rsid w:val="6C413137"/>
    <w:rsid w:val="6C462E57"/>
    <w:rsid w:val="6C465394"/>
    <w:rsid w:val="6C4B0260"/>
    <w:rsid w:val="6C4B6506"/>
    <w:rsid w:val="6C4C0AB9"/>
    <w:rsid w:val="6C4C24F6"/>
    <w:rsid w:val="6C522712"/>
    <w:rsid w:val="6C5B1DE5"/>
    <w:rsid w:val="6C656129"/>
    <w:rsid w:val="6C700663"/>
    <w:rsid w:val="6C7672FB"/>
    <w:rsid w:val="6C771DE0"/>
    <w:rsid w:val="6C983D4B"/>
    <w:rsid w:val="6C9854C4"/>
    <w:rsid w:val="6C9D610B"/>
    <w:rsid w:val="6C9D6479"/>
    <w:rsid w:val="6CA13DEE"/>
    <w:rsid w:val="6CA44D32"/>
    <w:rsid w:val="6CAB169B"/>
    <w:rsid w:val="6CB237F3"/>
    <w:rsid w:val="6CBB0C14"/>
    <w:rsid w:val="6CBE1180"/>
    <w:rsid w:val="6CC9701C"/>
    <w:rsid w:val="6CCC7458"/>
    <w:rsid w:val="6CCE55B8"/>
    <w:rsid w:val="6CCF34C1"/>
    <w:rsid w:val="6CCF5C92"/>
    <w:rsid w:val="6CD10816"/>
    <w:rsid w:val="6CD75FEC"/>
    <w:rsid w:val="6CDE424F"/>
    <w:rsid w:val="6CE973B3"/>
    <w:rsid w:val="6CEF3EAA"/>
    <w:rsid w:val="6CEF77DA"/>
    <w:rsid w:val="6CF90F75"/>
    <w:rsid w:val="6CFD64F8"/>
    <w:rsid w:val="6CFE5C6F"/>
    <w:rsid w:val="6CFF5130"/>
    <w:rsid w:val="6D033285"/>
    <w:rsid w:val="6D0D7C60"/>
    <w:rsid w:val="6D106CF2"/>
    <w:rsid w:val="6D1F15FC"/>
    <w:rsid w:val="6D1F19A3"/>
    <w:rsid w:val="6D2474F7"/>
    <w:rsid w:val="6D337226"/>
    <w:rsid w:val="6D341690"/>
    <w:rsid w:val="6D4A2C62"/>
    <w:rsid w:val="6D4A7EB2"/>
    <w:rsid w:val="6D521B17"/>
    <w:rsid w:val="6D543E7C"/>
    <w:rsid w:val="6D5B09CB"/>
    <w:rsid w:val="6D5E02F2"/>
    <w:rsid w:val="6D5E670D"/>
    <w:rsid w:val="6D602485"/>
    <w:rsid w:val="6D633D24"/>
    <w:rsid w:val="6D8A3045"/>
    <w:rsid w:val="6D9370C5"/>
    <w:rsid w:val="6D9A4B0B"/>
    <w:rsid w:val="6D9B78D6"/>
    <w:rsid w:val="6DAD705D"/>
    <w:rsid w:val="6DB1650E"/>
    <w:rsid w:val="6DB602F7"/>
    <w:rsid w:val="6DBB590E"/>
    <w:rsid w:val="6DBD2905"/>
    <w:rsid w:val="6DBE71AC"/>
    <w:rsid w:val="6DC07A36"/>
    <w:rsid w:val="6DC1431F"/>
    <w:rsid w:val="6DC160DB"/>
    <w:rsid w:val="6DC5678C"/>
    <w:rsid w:val="6DC8293E"/>
    <w:rsid w:val="6DCD7676"/>
    <w:rsid w:val="6DCE3893"/>
    <w:rsid w:val="6DD07435"/>
    <w:rsid w:val="6DD15131"/>
    <w:rsid w:val="6DD4077E"/>
    <w:rsid w:val="6DD93FE6"/>
    <w:rsid w:val="6DD966B7"/>
    <w:rsid w:val="6DE13F49"/>
    <w:rsid w:val="6DE7233A"/>
    <w:rsid w:val="6DE829DD"/>
    <w:rsid w:val="6DEF3809"/>
    <w:rsid w:val="6DF37591"/>
    <w:rsid w:val="6DF90A92"/>
    <w:rsid w:val="6E001677"/>
    <w:rsid w:val="6E014EA2"/>
    <w:rsid w:val="6E020BDA"/>
    <w:rsid w:val="6E062652"/>
    <w:rsid w:val="6E100BC5"/>
    <w:rsid w:val="6E107703"/>
    <w:rsid w:val="6E2B331C"/>
    <w:rsid w:val="6E355F06"/>
    <w:rsid w:val="6E3B4494"/>
    <w:rsid w:val="6E3D2189"/>
    <w:rsid w:val="6E3D4D7F"/>
    <w:rsid w:val="6E405E13"/>
    <w:rsid w:val="6E565636"/>
    <w:rsid w:val="6E5673E4"/>
    <w:rsid w:val="6E5758FC"/>
    <w:rsid w:val="6E5C3DDE"/>
    <w:rsid w:val="6E5E1ACA"/>
    <w:rsid w:val="6E600263"/>
    <w:rsid w:val="6E626033"/>
    <w:rsid w:val="6E641B01"/>
    <w:rsid w:val="6E691CAD"/>
    <w:rsid w:val="6E696051"/>
    <w:rsid w:val="6E6B0043"/>
    <w:rsid w:val="6E712470"/>
    <w:rsid w:val="6E742770"/>
    <w:rsid w:val="6E777DCF"/>
    <w:rsid w:val="6E871154"/>
    <w:rsid w:val="6E8D55CB"/>
    <w:rsid w:val="6E926153"/>
    <w:rsid w:val="6E9301FB"/>
    <w:rsid w:val="6E963C85"/>
    <w:rsid w:val="6E9861C4"/>
    <w:rsid w:val="6EA375A9"/>
    <w:rsid w:val="6EA6211A"/>
    <w:rsid w:val="6EA658EB"/>
    <w:rsid w:val="6EA71427"/>
    <w:rsid w:val="6EAB7C88"/>
    <w:rsid w:val="6EAC64C4"/>
    <w:rsid w:val="6EAC7191"/>
    <w:rsid w:val="6EB30665"/>
    <w:rsid w:val="6EBA7973"/>
    <w:rsid w:val="6EBE0753"/>
    <w:rsid w:val="6EBE3907"/>
    <w:rsid w:val="6EC922AC"/>
    <w:rsid w:val="6ECA17DD"/>
    <w:rsid w:val="6ED44EFC"/>
    <w:rsid w:val="6ED65574"/>
    <w:rsid w:val="6EDA0016"/>
    <w:rsid w:val="6EDD3D15"/>
    <w:rsid w:val="6EE33335"/>
    <w:rsid w:val="6EF1239C"/>
    <w:rsid w:val="6EF235B1"/>
    <w:rsid w:val="6EF410D7"/>
    <w:rsid w:val="6EF54A08"/>
    <w:rsid w:val="6EFA6D72"/>
    <w:rsid w:val="6F057A18"/>
    <w:rsid w:val="6F0627E9"/>
    <w:rsid w:val="6F093B8C"/>
    <w:rsid w:val="6F09574B"/>
    <w:rsid w:val="6F146659"/>
    <w:rsid w:val="6F1C4E01"/>
    <w:rsid w:val="6F2319BD"/>
    <w:rsid w:val="6F26325B"/>
    <w:rsid w:val="6F2644E8"/>
    <w:rsid w:val="6F2712E5"/>
    <w:rsid w:val="6F3C2A7E"/>
    <w:rsid w:val="6F3C65DA"/>
    <w:rsid w:val="6F43591F"/>
    <w:rsid w:val="6F485939"/>
    <w:rsid w:val="6F4A17D7"/>
    <w:rsid w:val="6F4D07E7"/>
    <w:rsid w:val="6F55769C"/>
    <w:rsid w:val="6F6049BF"/>
    <w:rsid w:val="6F655008"/>
    <w:rsid w:val="6F66263C"/>
    <w:rsid w:val="6F75691D"/>
    <w:rsid w:val="6F79782E"/>
    <w:rsid w:val="6F7A3626"/>
    <w:rsid w:val="6F805593"/>
    <w:rsid w:val="6F821A18"/>
    <w:rsid w:val="6F883BD3"/>
    <w:rsid w:val="6F891D2E"/>
    <w:rsid w:val="6F977B87"/>
    <w:rsid w:val="6FA00508"/>
    <w:rsid w:val="6FA35E89"/>
    <w:rsid w:val="6FAD1286"/>
    <w:rsid w:val="6FAD6AB6"/>
    <w:rsid w:val="6FB5018B"/>
    <w:rsid w:val="6FBE7937"/>
    <w:rsid w:val="6FC31902"/>
    <w:rsid w:val="6FC51A4A"/>
    <w:rsid w:val="6FC565D0"/>
    <w:rsid w:val="6FCE69F5"/>
    <w:rsid w:val="6FCF38F2"/>
    <w:rsid w:val="6FD806FD"/>
    <w:rsid w:val="6FDB4045"/>
    <w:rsid w:val="6FE339B5"/>
    <w:rsid w:val="6FEF7AF1"/>
    <w:rsid w:val="6FF631DD"/>
    <w:rsid w:val="6FF80A93"/>
    <w:rsid w:val="6FFE5789"/>
    <w:rsid w:val="6FFF5CA1"/>
    <w:rsid w:val="70052E70"/>
    <w:rsid w:val="700C2451"/>
    <w:rsid w:val="700D1F16"/>
    <w:rsid w:val="700D2B71"/>
    <w:rsid w:val="701133AC"/>
    <w:rsid w:val="70147557"/>
    <w:rsid w:val="701923C6"/>
    <w:rsid w:val="701A2752"/>
    <w:rsid w:val="702400B9"/>
    <w:rsid w:val="70292E7A"/>
    <w:rsid w:val="702C2AF3"/>
    <w:rsid w:val="702C664F"/>
    <w:rsid w:val="703A0F61"/>
    <w:rsid w:val="703B37BC"/>
    <w:rsid w:val="703D0108"/>
    <w:rsid w:val="703D58D5"/>
    <w:rsid w:val="70495453"/>
    <w:rsid w:val="704E0281"/>
    <w:rsid w:val="70571351"/>
    <w:rsid w:val="70573F47"/>
    <w:rsid w:val="70577FA3"/>
    <w:rsid w:val="70656D38"/>
    <w:rsid w:val="70690124"/>
    <w:rsid w:val="706B79D7"/>
    <w:rsid w:val="706E4EFF"/>
    <w:rsid w:val="707862EE"/>
    <w:rsid w:val="708B7819"/>
    <w:rsid w:val="708C5AAC"/>
    <w:rsid w:val="70934920"/>
    <w:rsid w:val="70942F09"/>
    <w:rsid w:val="7094676A"/>
    <w:rsid w:val="709644AB"/>
    <w:rsid w:val="709661BE"/>
    <w:rsid w:val="70992D4A"/>
    <w:rsid w:val="709A6F07"/>
    <w:rsid w:val="70AB1C6A"/>
    <w:rsid w:val="70AD636B"/>
    <w:rsid w:val="70AD6A76"/>
    <w:rsid w:val="70B47514"/>
    <w:rsid w:val="70BE6351"/>
    <w:rsid w:val="70C932E0"/>
    <w:rsid w:val="70CA26AE"/>
    <w:rsid w:val="70CB6768"/>
    <w:rsid w:val="70D461C3"/>
    <w:rsid w:val="70DD3DED"/>
    <w:rsid w:val="70ED6E8E"/>
    <w:rsid w:val="70EF02AD"/>
    <w:rsid w:val="70F50586"/>
    <w:rsid w:val="70FB3729"/>
    <w:rsid w:val="71066E2A"/>
    <w:rsid w:val="71075DD8"/>
    <w:rsid w:val="710A3166"/>
    <w:rsid w:val="71113A32"/>
    <w:rsid w:val="71121CE9"/>
    <w:rsid w:val="7113780F"/>
    <w:rsid w:val="71175551"/>
    <w:rsid w:val="7122081F"/>
    <w:rsid w:val="71237A52"/>
    <w:rsid w:val="713018A5"/>
    <w:rsid w:val="71324139"/>
    <w:rsid w:val="713A2BA8"/>
    <w:rsid w:val="7146126D"/>
    <w:rsid w:val="7148570A"/>
    <w:rsid w:val="714C620F"/>
    <w:rsid w:val="71520337"/>
    <w:rsid w:val="7154564B"/>
    <w:rsid w:val="71584E3F"/>
    <w:rsid w:val="7164006A"/>
    <w:rsid w:val="7168709D"/>
    <w:rsid w:val="71687B5B"/>
    <w:rsid w:val="716D03F0"/>
    <w:rsid w:val="71732AF1"/>
    <w:rsid w:val="71767874"/>
    <w:rsid w:val="71767C19"/>
    <w:rsid w:val="717D272B"/>
    <w:rsid w:val="71881FAB"/>
    <w:rsid w:val="7191331B"/>
    <w:rsid w:val="719535CF"/>
    <w:rsid w:val="71970440"/>
    <w:rsid w:val="71A01B59"/>
    <w:rsid w:val="71A5271A"/>
    <w:rsid w:val="71B026D1"/>
    <w:rsid w:val="71B118EA"/>
    <w:rsid w:val="71B271B3"/>
    <w:rsid w:val="71BA0A1A"/>
    <w:rsid w:val="71BC3E0A"/>
    <w:rsid w:val="71BC6CF1"/>
    <w:rsid w:val="71BD3BA1"/>
    <w:rsid w:val="71BE0BF7"/>
    <w:rsid w:val="71C02F40"/>
    <w:rsid w:val="71C33472"/>
    <w:rsid w:val="71C3685F"/>
    <w:rsid w:val="71C573BF"/>
    <w:rsid w:val="71C72FE2"/>
    <w:rsid w:val="71C85026"/>
    <w:rsid w:val="71CA25C3"/>
    <w:rsid w:val="71CA611F"/>
    <w:rsid w:val="71D006D8"/>
    <w:rsid w:val="71D90F24"/>
    <w:rsid w:val="71E06A73"/>
    <w:rsid w:val="71E64D3E"/>
    <w:rsid w:val="71F0184F"/>
    <w:rsid w:val="71F10449"/>
    <w:rsid w:val="71F1111A"/>
    <w:rsid w:val="71F15A14"/>
    <w:rsid w:val="71F238C8"/>
    <w:rsid w:val="71F53F27"/>
    <w:rsid w:val="71F66F14"/>
    <w:rsid w:val="71F80EEF"/>
    <w:rsid w:val="71F87127"/>
    <w:rsid w:val="72084E9A"/>
    <w:rsid w:val="720E2A00"/>
    <w:rsid w:val="721F0505"/>
    <w:rsid w:val="72205215"/>
    <w:rsid w:val="72227D09"/>
    <w:rsid w:val="7225176A"/>
    <w:rsid w:val="7231232F"/>
    <w:rsid w:val="724F2AC9"/>
    <w:rsid w:val="72520E64"/>
    <w:rsid w:val="72561839"/>
    <w:rsid w:val="725956F5"/>
    <w:rsid w:val="725B0142"/>
    <w:rsid w:val="725C671A"/>
    <w:rsid w:val="72617618"/>
    <w:rsid w:val="72640322"/>
    <w:rsid w:val="72655028"/>
    <w:rsid w:val="72691DDC"/>
    <w:rsid w:val="726C2C84"/>
    <w:rsid w:val="72710C91"/>
    <w:rsid w:val="72722D49"/>
    <w:rsid w:val="72785B7B"/>
    <w:rsid w:val="727D3318"/>
    <w:rsid w:val="72817B0F"/>
    <w:rsid w:val="72830640"/>
    <w:rsid w:val="728C2DCD"/>
    <w:rsid w:val="72900213"/>
    <w:rsid w:val="729569EE"/>
    <w:rsid w:val="729D0095"/>
    <w:rsid w:val="72A11576"/>
    <w:rsid w:val="72A51862"/>
    <w:rsid w:val="72B721EF"/>
    <w:rsid w:val="72B83705"/>
    <w:rsid w:val="72B9392D"/>
    <w:rsid w:val="72BD5971"/>
    <w:rsid w:val="72C072DE"/>
    <w:rsid w:val="72CE42CC"/>
    <w:rsid w:val="72D06CD4"/>
    <w:rsid w:val="72D27981"/>
    <w:rsid w:val="72D57472"/>
    <w:rsid w:val="72DB610A"/>
    <w:rsid w:val="72E41463"/>
    <w:rsid w:val="72E42E3F"/>
    <w:rsid w:val="72E50FAD"/>
    <w:rsid w:val="72EB1683"/>
    <w:rsid w:val="72ED3DFE"/>
    <w:rsid w:val="72F71FC6"/>
    <w:rsid w:val="72FB358C"/>
    <w:rsid w:val="73076BF4"/>
    <w:rsid w:val="730B186E"/>
    <w:rsid w:val="7315024B"/>
    <w:rsid w:val="731B4BB1"/>
    <w:rsid w:val="731F2276"/>
    <w:rsid w:val="732609E3"/>
    <w:rsid w:val="73263829"/>
    <w:rsid w:val="732950C8"/>
    <w:rsid w:val="73313D34"/>
    <w:rsid w:val="7338355D"/>
    <w:rsid w:val="733A1083"/>
    <w:rsid w:val="73426189"/>
    <w:rsid w:val="734939BC"/>
    <w:rsid w:val="734B6C18"/>
    <w:rsid w:val="735370F1"/>
    <w:rsid w:val="73584D3C"/>
    <w:rsid w:val="735D7BF6"/>
    <w:rsid w:val="736B1C20"/>
    <w:rsid w:val="736F1C9E"/>
    <w:rsid w:val="7374360D"/>
    <w:rsid w:val="73774085"/>
    <w:rsid w:val="738B7B30"/>
    <w:rsid w:val="73976D08"/>
    <w:rsid w:val="73AE7C48"/>
    <w:rsid w:val="73B452D9"/>
    <w:rsid w:val="73B8066B"/>
    <w:rsid w:val="73B8799A"/>
    <w:rsid w:val="73C03ED3"/>
    <w:rsid w:val="73CD0149"/>
    <w:rsid w:val="73CF07B1"/>
    <w:rsid w:val="73CF1EA2"/>
    <w:rsid w:val="73D13413"/>
    <w:rsid w:val="73DB41A7"/>
    <w:rsid w:val="73E34D01"/>
    <w:rsid w:val="73E51E24"/>
    <w:rsid w:val="73E5424F"/>
    <w:rsid w:val="73F2195D"/>
    <w:rsid w:val="73F74FF6"/>
    <w:rsid w:val="73FA419A"/>
    <w:rsid w:val="73FB071E"/>
    <w:rsid w:val="73FF0119"/>
    <w:rsid w:val="74012278"/>
    <w:rsid w:val="740921AE"/>
    <w:rsid w:val="74125961"/>
    <w:rsid w:val="74200227"/>
    <w:rsid w:val="74244D68"/>
    <w:rsid w:val="7424513C"/>
    <w:rsid w:val="742566BD"/>
    <w:rsid w:val="742A18DE"/>
    <w:rsid w:val="742C4368"/>
    <w:rsid w:val="742C6156"/>
    <w:rsid w:val="74300FC5"/>
    <w:rsid w:val="74321D84"/>
    <w:rsid w:val="74324984"/>
    <w:rsid w:val="74367A9C"/>
    <w:rsid w:val="743779A6"/>
    <w:rsid w:val="74384663"/>
    <w:rsid w:val="743E6FB4"/>
    <w:rsid w:val="743F7090"/>
    <w:rsid w:val="7444399C"/>
    <w:rsid w:val="74463A57"/>
    <w:rsid w:val="74512B28"/>
    <w:rsid w:val="74532343"/>
    <w:rsid w:val="74610332"/>
    <w:rsid w:val="74650E6A"/>
    <w:rsid w:val="746633FA"/>
    <w:rsid w:val="746A3CE6"/>
    <w:rsid w:val="746D05CC"/>
    <w:rsid w:val="74865E7C"/>
    <w:rsid w:val="748D5477"/>
    <w:rsid w:val="749347AB"/>
    <w:rsid w:val="749A7573"/>
    <w:rsid w:val="74A149EA"/>
    <w:rsid w:val="74B24548"/>
    <w:rsid w:val="74B71D23"/>
    <w:rsid w:val="74BC6E11"/>
    <w:rsid w:val="74BE7F85"/>
    <w:rsid w:val="74BF748A"/>
    <w:rsid w:val="74C51790"/>
    <w:rsid w:val="74C86540"/>
    <w:rsid w:val="74CC1AB4"/>
    <w:rsid w:val="74CF288C"/>
    <w:rsid w:val="74DE1CCD"/>
    <w:rsid w:val="74E21E14"/>
    <w:rsid w:val="74E474F8"/>
    <w:rsid w:val="74E568F7"/>
    <w:rsid w:val="74EC2851"/>
    <w:rsid w:val="74F577AD"/>
    <w:rsid w:val="74F82FA3"/>
    <w:rsid w:val="75044256"/>
    <w:rsid w:val="750C425C"/>
    <w:rsid w:val="75135032"/>
    <w:rsid w:val="75170102"/>
    <w:rsid w:val="75193EA7"/>
    <w:rsid w:val="751A116C"/>
    <w:rsid w:val="751C54C7"/>
    <w:rsid w:val="751D2A0A"/>
    <w:rsid w:val="7521699E"/>
    <w:rsid w:val="75262EE8"/>
    <w:rsid w:val="75297AD3"/>
    <w:rsid w:val="752A6107"/>
    <w:rsid w:val="753677BC"/>
    <w:rsid w:val="75375EDA"/>
    <w:rsid w:val="753A7A60"/>
    <w:rsid w:val="753C7334"/>
    <w:rsid w:val="75426FA8"/>
    <w:rsid w:val="754C0FF0"/>
    <w:rsid w:val="754D7245"/>
    <w:rsid w:val="754E7067"/>
    <w:rsid w:val="754F2483"/>
    <w:rsid w:val="755742CD"/>
    <w:rsid w:val="75627688"/>
    <w:rsid w:val="756400D1"/>
    <w:rsid w:val="756861AD"/>
    <w:rsid w:val="756B17AA"/>
    <w:rsid w:val="756E3266"/>
    <w:rsid w:val="75746304"/>
    <w:rsid w:val="7575152B"/>
    <w:rsid w:val="757B5B30"/>
    <w:rsid w:val="757E7B33"/>
    <w:rsid w:val="75856C16"/>
    <w:rsid w:val="75882579"/>
    <w:rsid w:val="7589009F"/>
    <w:rsid w:val="75943B7B"/>
    <w:rsid w:val="75994786"/>
    <w:rsid w:val="759A22AD"/>
    <w:rsid w:val="759D1E72"/>
    <w:rsid w:val="75A17244"/>
    <w:rsid w:val="75A27218"/>
    <w:rsid w:val="75A36C90"/>
    <w:rsid w:val="75A46352"/>
    <w:rsid w:val="75AB44BA"/>
    <w:rsid w:val="75AB6268"/>
    <w:rsid w:val="75AF3FAA"/>
    <w:rsid w:val="75B90985"/>
    <w:rsid w:val="75C02056"/>
    <w:rsid w:val="75C42FAE"/>
    <w:rsid w:val="75C63608"/>
    <w:rsid w:val="75D02172"/>
    <w:rsid w:val="75D85E6C"/>
    <w:rsid w:val="75D91695"/>
    <w:rsid w:val="75E1031B"/>
    <w:rsid w:val="75E87D13"/>
    <w:rsid w:val="75ED0813"/>
    <w:rsid w:val="75F06371"/>
    <w:rsid w:val="75FD19B2"/>
    <w:rsid w:val="75FF0308"/>
    <w:rsid w:val="760D5101"/>
    <w:rsid w:val="76125099"/>
    <w:rsid w:val="76171EA7"/>
    <w:rsid w:val="7618561F"/>
    <w:rsid w:val="76216E9E"/>
    <w:rsid w:val="7622160C"/>
    <w:rsid w:val="7629587A"/>
    <w:rsid w:val="762C3BC8"/>
    <w:rsid w:val="763414D9"/>
    <w:rsid w:val="76393874"/>
    <w:rsid w:val="764062FA"/>
    <w:rsid w:val="764364A0"/>
    <w:rsid w:val="76447A9F"/>
    <w:rsid w:val="76465FE5"/>
    <w:rsid w:val="76486EC7"/>
    <w:rsid w:val="764D5571"/>
    <w:rsid w:val="765972A1"/>
    <w:rsid w:val="765C7562"/>
    <w:rsid w:val="765F33E2"/>
    <w:rsid w:val="76667440"/>
    <w:rsid w:val="76682880"/>
    <w:rsid w:val="766D1D16"/>
    <w:rsid w:val="766D5CCF"/>
    <w:rsid w:val="76796366"/>
    <w:rsid w:val="767F36D6"/>
    <w:rsid w:val="76804E54"/>
    <w:rsid w:val="768314AD"/>
    <w:rsid w:val="768726CF"/>
    <w:rsid w:val="768C5166"/>
    <w:rsid w:val="76942605"/>
    <w:rsid w:val="76A54E8D"/>
    <w:rsid w:val="76A74C81"/>
    <w:rsid w:val="76AE6010"/>
    <w:rsid w:val="76B65977"/>
    <w:rsid w:val="76BD49F2"/>
    <w:rsid w:val="76C95CBA"/>
    <w:rsid w:val="76CA4FC7"/>
    <w:rsid w:val="76D65C08"/>
    <w:rsid w:val="76D67314"/>
    <w:rsid w:val="76D87530"/>
    <w:rsid w:val="76DF3CD0"/>
    <w:rsid w:val="76EC6B38"/>
    <w:rsid w:val="76ED78A6"/>
    <w:rsid w:val="76FD5138"/>
    <w:rsid w:val="76FD595E"/>
    <w:rsid w:val="77024A14"/>
    <w:rsid w:val="77087D9A"/>
    <w:rsid w:val="770B42E0"/>
    <w:rsid w:val="770D439B"/>
    <w:rsid w:val="770F6E13"/>
    <w:rsid w:val="77100A78"/>
    <w:rsid w:val="7717699C"/>
    <w:rsid w:val="771A632F"/>
    <w:rsid w:val="771B741D"/>
    <w:rsid w:val="7721426D"/>
    <w:rsid w:val="773359AD"/>
    <w:rsid w:val="77387BD2"/>
    <w:rsid w:val="773A5AF5"/>
    <w:rsid w:val="773B6A9F"/>
    <w:rsid w:val="77420E4E"/>
    <w:rsid w:val="77451CF3"/>
    <w:rsid w:val="774521C4"/>
    <w:rsid w:val="774B0F1B"/>
    <w:rsid w:val="774E4838"/>
    <w:rsid w:val="775331AB"/>
    <w:rsid w:val="77562346"/>
    <w:rsid w:val="775839B7"/>
    <w:rsid w:val="77620687"/>
    <w:rsid w:val="7762504C"/>
    <w:rsid w:val="77662CE1"/>
    <w:rsid w:val="776C1A27"/>
    <w:rsid w:val="77837DD1"/>
    <w:rsid w:val="7789445C"/>
    <w:rsid w:val="779928E7"/>
    <w:rsid w:val="779F30E7"/>
    <w:rsid w:val="77A25449"/>
    <w:rsid w:val="77AD4519"/>
    <w:rsid w:val="77B07B65"/>
    <w:rsid w:val="77B434F2"/>
    <w:rsid w:val="77B85C13"/>
    <w:rsid w:val="77BC475C"/>
    <w:rsid w:val="77C43611"/>
    <w:rsid w:val="77C600DC"/>
    <w:rsid w:val="77C83101"/>
    <w:rsid w:val="77C97641"/>
    <w:rsid w:val="77CA4B27"/>
    <w:rsid w:val="77D306AE"/>
    <w:rsid w:val="77DC4DFE"/>
    <w:rsid w:val="77DF4A3E"/>
    <w:rsid w:val="77DF669D"/>
    <w:rsid w:val="77ED743D"/>
    <w:rsid w:val="77F0041B"/>
    <w:rsid w:val="77FE1D7A"/>
    <w:rsid w:val="77FE7E6E"/>
    <w:rsid w:val="77FF41ED"/>
    <w:rsid w:val="78076271"/>
    <w:rsid w:val="78146346"/>
    <w:rsid w:val="7816220E"/>
    <w:rsid w:val="78223469"/>
    <w:rsid w:val="782E1682"/>
    <w:rsid w:val="78300CA6"/>
    <w:rsid w:val="783163C0"/>
    <w:rsid w:val="78352640"/>
    <w:rsid w:val="783A6CB4"/>
    <w:rsid w:val="783C3AEF"/>
    <w:rsid w:val="783D1C99"/>
    <w:rsid w:val="7845028A"/>
    <w:rsid w:val="785716F6"/>
    <w:rsid w:val="786256B6"/>
    <w:rsid w:val="78654C0A"/>
    <w:rsid w:val="7869141F"/>
    <w:rsid w:val="78745037"/>
    <w:rsid w:val="7874566B"/>
    <w:rsid w:val="78767001"/>
    <w:rsid w:val="78786071"/>
    <w:rsid w:val="787C514D"/>
    <w:rsid w:val="787E17C8"/>
    <w:rsid w:val="788B01D8"/>
    <w:rsid w:val="78906A59"/>
    <w:rsid w:val="78911745"/>
    <w:rsid w:val="78941235"/>
    <w:rsid w:val="789E6DA1"/>
    <w:rsid w:val="789F6891"/>
    <w:rsid w:val="789F71D2"/>
    <w:rsid w:val="78A52C01"/>
    <w:rsid w:val="78A668CC"/>
    <w:rsid w:val="78AD0549"/>
    <w:rsid w:val="78B1730C"/>
    <w:rsid w:val="78B70F8F"/>
    <w:rsid w:val="78CA2332"/>
    <w:rsid w:val="78CE2999"/>
    <w:rsid w:val="78D0249F"/>
    <w:rsid w:val="78D02D89"/>
    <w:rsid w:val="78D140A8"/>
    <w:rsid w:val="78D22E3D"/>
    <w:rsid w:val="78D54F77"/>
    <w:rsid w:val="78D9133E"/>
    <w:rsid w:val="78EB2996"/>
    <w:rsid w:val="78EB6441"/>
    <w:rsid w:val="78EC2E1F"/>
    <w:rsid w:val="78EF28D7"/>
    <w:rsid w:val="78F25EE0"/>
    <w:rsid w:val="78F91DD1"/>
    <w:rsid w:val="78F9680A"/>
    <w:rsid w:val="79025667"/>
    <w:rsid w:val="79084BD3"/>
    <w:rsid w:val="790939D1"/>
    <w:rsid w:val="790A38B1"/>
    <w:rsid w:val="790A599B"/>
    <w:rsid w:val="79112D8F"/>
    <w:rsid w:val="79136646"/>
    <w:rsid w:val="791B142B"/>
    <w:rsid w:val="792A5F06"/>
    <w:rsid w:val="7938004C"/>
    <w:rsid w:val="793842B6"/>
    <w:rsid w:val="793F408B"/>
    <w:rsid w:val="79413E8B"/>
    <w:rsid w:val="79460E22"/>
    <w:rsid w:val="794B4AAE"/>
    <w:rsid w:val="794F62E9"/>
    <w:rsid w:val="7952177A"/>
    <w:rsid w:val="79535A14"/>
    <w:rsid w:val="79565A1E"/>
    <w:rsid w:val="795D5ACB"/>
    <w:rsid w:val="79624787"/>
    <w:rsid w:val="79651014"/>
    <w:rsid w:val="796F2CC6"/>
    <w:rsid w:val="79770AEF"/>
    <w:rsid w:val="797C59A0"/>
    <w:rsid w:val="797E6DEE"/>
    <w:rsid w:val="797F047B"/>
    <w:rsid w:val="799951DB"/>
    <w:rsid w:val="799A085D"/>
    <w:rsid w:val="799D6BDD"/>
    <w:rsid w:val="79AD46DE"/>
    <w:rsid w:val="79B42EE5"/>
    <w:rsid w:val="79B9255F"/>
    <w:rsid w:val="79BC1E41"/>
    <w:rsid w:val="79CA6F6F"/>
    <w:rsid w:val="79CF529F"/>
    <w:rsid w:val="79D7762B"/>
    <w:rsid w:val="79DD09BA"/>
    <w:rsid w:val="79E22183"/>
    <w:rsid w:val="79E8222F"/>
    <w:rsid w:val="79E961DA"/>
    <w:rsid w:val="79EB30D7"/>
    <w:rsid w:val="79EF30C6"/>
    <w:rsid w:val="79F53F55"/>
    <w:rsid w:val="79F552C5"/>
    <w:rsid w:val="79F557A3"/>
    <w:rsid w:val="79FB0171"/>
    <w:rsid w:val="79FC1788"/>
    <w:rsid w:val="79FF312C"/>
    <w:rsid w:val="79FF468A"/>
    <w:rsid w:val="7A0342D9"/>
    <w:rsid w:val="7A07363A"/>
    <w:rsid w:val="7A073791"/>
    <w:rsid w:val="7A083B7A"/>
    <w:rsid w:val="7A096FBB"/>
    <w:rsid w:val="7A1843EC"/>
    <w:rsid w:val="7A1A0663"/>
    <w:rsid w:val="7A3A7BEE"/>
    <w:rsid w:val="7A433504"/>
    <w:rsid w:val="7A434CC1"/>
    <w:rsid w:val="7A4822D7"/>
    <w:rsid w:val="7A533406"/>
    <w:rsid w:val="7A5A461F"/>
    <w:rsid w:val="7A5A6EA0"/>
    <w:rsid w:val="7A5F6462"/>
    <w:rsid w:val="7A616338"/>
    <w:rsid w:val="7A6559E2"/>
    <w:rsid w:val="7A695037"/>
    <w:rsid w:val="7A6F5AB6"/>
    <w:rsid w:val="7A701E1B"/>
    <w:rsid w:val="7A730237"/>
    <w:rsid w:val="7A7B26AD"/>
    <w:rsid w:val="7A92261D"/>
    <w:rsid w:val="7A951295"/>
    <w:rsid w:val="7A951531"/>
    <w:rsid w:val="7A9B1DAE"/>
    <w:rsid w:val="7A9B7997"/>
    <w:rsid w:val="7A9C2623"/>
    <w:rsid w:val="7A9E40F1"/>
    <w:rsid w:val="7AA04A12"/>
    <w:rsid w:val="7AA21E38"/>
    <w:rsid w:val="7AAA65F4"/>
    <w:rsid w:val="7AB27427"/>
    <w:rsid w:val="7AC10CA0"/>
    <w:rsid w:val="7AC51AE3"/>
    <w:rsid w:val="7AC60DB7"/>
    <w:rsid w:val="7ACA7190"/>
    <w:rsid w:val="7AD34CC4"/>
    <w:rsid w:val="7ADA2E6E"/>
    <w:rsid w:val="7ADB2EB6"/>
    <w:rsid w:val="7ADF17C5"/>
    <w:rsid w:val="7AE00762"/>
    <w:rsid w:val="7AE52CFE"/>
    <w:rsid w:val="7AE70843"/>
    <w:rsid w:val="7AEA338E"/>
    <w:rsid w:val="7AF661D7"/>
    <w:rsid w:val="7AF92EE8"/>
    <w:rsid w:val="7AF97966"/>
    <w:rsid w:val="7B042644"/>
    <w:rsid w:val="7B095F9D"/>
    <w:rsid w:val="7B0A401C"/>
    <w:rsid w:val="7B0E0142"/>
    <w:rsid w:val="7B113D7D"/>
    <w:rsid w:val="7B1856C3"/>
    <w:rsid w:val="7B1B0447"/>
    <w:rsid w:val="7B1F6ED0"/>
    <w:rsid w:val="7B2C3BED"/>
    <w:rsid w:val="7B325E29"/>
    <w:rsid w:val="7B3B25D2"/>
    <w:rsid w:val="7B414271"/>
    <w:rsid w:val="7B452CBB"/>
    <w:rsid w:val="7B480E7F"/>
    <w:rsid w:val="7B5142C8"/>
    <w:rsid w:val="7B560948"/>
    <w:rsid w:val="7B570210"/>
    <w:rsid w:val="7B57222E"/>
    <w:rsid w:val="7B5934B8"/>
    <w:rsid w:val="7B5B603A"/>
    <w:rsid w:val="7B6273C9"/>
    <w:rsid w:val="7B656EB9"/>
    <w:rsid w:val="7B682161"/>
    <w:rsid w:val="7B6D2995"/>
    <w:rsid w:val="7B743715"/>
    <w:rsid w:val="7B782673"/>
    <w:rsid w:val="7B787028"/>
    <w:rsid w:val="7B814860"/>
    <w:rsid w:val="7B93228E"/>
    <w:rsid w:val="7B965A26"/>
    <w:rsid w:val="7B99423B"/>
    <w:rsid w:val="7B9D269D"/>
    <w:rsid w:val="7BA4421D"/>
    <w:rsid w:val="7BA7127F"/>
    <w:rsid w:val="7BAE7E1E"/>
    <w:rsid w:val="7BB10350"/>
    <w:rsid w:val="7BB61AA3"/>
    <w:rsid w:val="7BB648D9"/>
    <w:rsid w:val="7BB84EFA"/>
    <w:rsid w:val="7BC41DE3"/>
    <w:rsid w:val="7BC6304B"/>
    <w:rsid w:val="7BC65BA9"/>
    <w:rsid w:val="7BC94588"/>
    <w:rsid w:val="7BCA093B"/>
    <w:rsid w:val="7BCA76E7"/>
    <w:rsid w:val="7BCF41C5"/>
    <w:rsid w:val="7BD06A28"/>
    <w:rsid w:val="7BD1454E"/>
    <w:rsid w:val="7BD15BFB"/>
    <w:rsid w:val="7BDA3403"/>
    <w:rsid w:val="7BE65527"/>
    <w:rsid w:val="7BF2699E"/>
    <w:rsid w:val="7BF77872"/>
    <w:rsid w:val="7BF96885"/>
    <w:rsid w:val="7BFE4079"/>
    <w:rsid w:val="7C097E38"/>
    <w:rsid w:val="7C0C66C4"/>
    <w:rsid w:val="7C1001FC"/>
    <w:rsid w:val="7C2823C0"/>
    <w:rsid w:val="7C2B26B6"/>
    <w:rsid w:val="7C3910AF"/>
    <w:rsid w:val="7C405CCF"/>
    <w:rsid w:val="7C463B8E"/>
    <w:rsid w:val="7C480CB4"/>
    <w:rsid w:val="7C490589"/>
    <w:rsid w:val="7C497D7D"/>
    <w:rsid w:val="7C541407"/>
    <w:rsid w:val="7C5779E2"/>
    <w:rsid w:val="7C6159C7"/>
    <w:rsid w:val="7C6333F8"/>
    <w:rsid w:val="7C64023E"/>
    <w:rsid w:val="7C686C61"/>
    <w:rsid w:val="7C695E1F"/>
    <w:rsid w:val="7C6A0FA1"/>
    <w:rsid w:val="7C6B19BF"/>
    <w:rsid w:val="7C6F7FEF"/>
    <w:rsid w:val="7C781755"/>
    <w:rsid w:val="7C7917C4"/>
    <w:rsid w:val="7C7A045C"/>
    <w:rsid w:val="7C7F6756"/>
    <w:rsid w:val="7C8B00EE"/>
    <w:rsid w:val="7C8F49A1"/>
    <w:rsid w:val="7C914409"/>
    <w:rsid w:val="7C91616B"/>
    <w:rsid w:val="7C932B7E"/>
    <w:rsid w:val="7C95292D"/>
    <w:rsid w:val="7C9932BE"/>
    <w:rsid w:val="7C995810"/>
    <w:rsid w:val="7C9C5EB4"/>
    <w:rsid w:val="7CA431AF"/>
    <w:rsid w:val="7CAA1027"/>
    <w:rsid w:val="7CB50984"/>
    <w:rsid w:val="7CB73A40"/>
    <w:rsid w:val="7CBF65C3"/>
    <w:rsid w:val="7CC112D7"/>
    <w:rsid w:val="7CC35828"/>
    <w:rsid w:val="7CCA0A3C"/>
    <w:rsid w:val="7CCF0A8E"/>
    <w:rsid w:val="7CDE6F23"/>
    <w:rsid w:val="7CE02C1E"/>
    <w:rsid w:val="7CE21ECB"/>
    <w:rsid w:val="7CFD2E77"/>
    <w:rsid w:val="7D020E63"/>
    <w:rsid w:val="7D033FC7"/>
    <w:rsid w:val="7D050953"/>
    <w:rsid w:val="7D0A507E"/>
    <w:rsid w:val="7D17439D"/>
    <w:rsid w:val="7D1943FF"/>
    <w:rsid w:val="7D276369"/>
    <w:rsid w:val="7D2B1A1D"/>
    <w:rsid w:val="7D2B26D3"/>
    <w:rsid w:val="7D3E7381"/>
    <w:rsid w:val="7D4D78CE"/>
    <w:rsid w:val="7D533734"/>
    <w:rsid w:val="7D5648DB"/>
    <w:rsid w:val="7D5B67C5"/>
    <w:rsid w:val="7D821FA4"/>
    <w:rsid w:val="7D861C87"/>
    <w:rsid w:val="7D87606E"/>
    <w:rsid w:val="7D8F646F"/>
    <w:rsid w:val="7D9536E2"/>
    <w:rsid w:val="7DA5564D"/>
    <w:rsid w:val="7DAB4E6B"/>
    <w:rsid w:val="7DAE6514"/>
    <w:rsid w:val="7DC0487A"/>
    <w:rsid w:val="7DC46C38"/>
    <w:rsid w:val="7DCE3D3D"/>
    <w:rsid w:val="7DD555F5"/>
    <w:rsid w:val="7DDA3B8E"/>
    <w:rsid w:val="7DDB4235"/>
    <w:rsid w:val="7DEA02BE"/>
    <w:rsid w:val="7DEC566F"/>
    <w:rsid w:val="7DFE4E3C"/>
    <w:rsid w:val="7E015280"/>
    <w:rsid w:val="7E0226B6"/>
    <w:rsid w:val="7E085442"/>
    <w:rsid w:val="7E106BCC"/>
    <w:rsid w:val="7E162A33"/>
    <w:rsid w:val="7E1A042F"/>
    <w:rsid w:val="7E245731"/>
    <w:rsid w:val="7E2E1EDF"/>
    <w:rsid w:val="7E3050E0"/>
    <w:rsid w:val="7E382BCB"/>
    <w:rsid w:val="7E3E411D"/>
    <w:rsid w:val="7E414E2E"/>
    <w:rsid w:val="7E467C6C"/>
    <w:rsid w:val="7E541527"/>
    <w:rsid w:val="7E594C43"/>
    <w:rsid w:val="7E6130CD"/>
    <w:rsid w:val="7E65627E"/>
    <w:rsid w:val="7E6A0395"/>
    <w:rsid w:val="7E6D055E"/>
    <w:rsid w:val="7E74183B"/>
    <w:rsid w:val="7E766178"/>
    <w:rsid w:val="7E786F03"/>
    <w:rsid w:val="7E793318"/>
    <w:rsid w:val="7E7C4806"/>
    <w:rsid w:val="7E83798F"/>
    <w:rsid w:val="7E8671FB"/>
    <w:rsid w:val="7E88183C"/>
    <w:rsid w:val="7E8827D6"/>
    <w:rsid w:val="7E8A177C"/>
    <w:rsid w:val="7E8B2249"/>
    <w:rsid w:val="7E8B2B3E"/>
    <w:rsid w:val="7E8B6C36"/>
    <w:rsid w:val="7E8C7EED"/>
    <w:rsid w:val="7E8D618B"/>
    <w:rsid w:val="7E8E43F6"/>
    <w:rsid w:val="7E947583"/>
    <w:rsid w:val="7E9E7A9F"/>
    <w:rsid w:val="7E9F2CB5"/>
    <w:rsid w:val="7EA1097F"/>
    <w:rsid w:val="7EAC29D8"/>
    <w:rsid w:val="7EAE01FA"/>
    <w:rsid w:val="7EAE68C8"/>
    <w:rsid w:val="7EC22872"/>
    <w:rsid w:val="7EC34622"/>
    <w:rsid w:val="7ECB1BA3"/>
    <w:rsid w:val="7ECB2067"/>
    <w:rsid w:val="7ECF21DA"/>
    <w:rsid w:val="7ED101A1"/>
    <w:rsid w:val="7ED928CF"/>
    <w:rsid w:val="7EE55846"/>
    <w:rsid w:val="7EEA4F6F"/>
    <w:rsid w:val="7EEF3128"/>
    <w:rsid w:val="7EF56065"/>
    <w:rsid w:val="7EF649F8"/>
    <w:rsid w:val="7EF72216"/>
    <w:rsid w:val="7EFC5347"/>
    <w:rsid w:val="7F01514B"/>
    <w:rsid w:val="7F1A6E34"/>
    <w:rsid w:val="7F213492"/>
    <w:rsid w:val="7F24781D"/>
    <w:rsid w:val="7F25258F"/>
    <w:rsid w:val="7F2606C7"/>
    <w:rsid w:val="7F2770EC"/>
    <w:rsid w:val="7F2D5D3C"/>
    <w:rsid w:val="7F2F3E5D"/>
    <w:rsid w:val="7F315A30"/>
    <w:rsid w:val="7F392CB9"/>
    <w:rsid w:val="7F3D4D25"/>
    <w:rsid w:val="7F3E31C5"/>
    <w:rsid w:val="7F3F386D"/>
    <w:rsid w:val="7F4062C6"/>
    <w:rsid w:val="7F410A76"/>
    <w:rsid w:val="7F4206D6"/>
    <w:rsid w:val="7F437511"/>
    <w:rsid w:val="7F444802"/>
    <w:rsid w:val="7F5636E8"/>
    <w:rsid w:val="7F5B1339"/>
    <w:rsid w:val="7F604567"/>
    <w:rsid w:val="7F6C1778"/>
    <w:rsid w:val="7F7C1532"/>
    <w:rsid w:val="7F7F2C3F"/>
    <w:rsid w:val="7F8319A1"/>
    <w:rsid w:val="7F8D3AC2"/>
    <w:rsid w:val="7F8F1C0A"/>
    <w:rsid w:val="7F93494A"/>
    <w:rsid w:val="7F9D7968"/>
    <w:rsid w:val="7FA40D5D"/>
    <w:rsid w:val="7FA501CC"/>
    <w:rsid w:val="7FA527E6"/>
    <w:rsid w:val="7FAD416A"/>
    <w:rsid w:val="7FAE0ACC"/>
    <w:rsid w:val="7FB54106"/>
    <w:rsid w:val="7FB777C0"/>
    <w:rsid w:val="7FB871E6"/>
    <w:rsid w:val="7FBD5445"/>
    <w:rsid w:val="7FC142EE"/>
    <w:rsid w:val="7FD14043"/>
    <w:rsid w:val="7FD8466A"/>
    <w:rsid w:val="7FED19C8"/>
    <w:rsid w:val="7FF07079"/>
    <w:rsid w:val="7FF14725"/>
    <w:rsid w:val="7FF630A7"/>
    <w:rsid w:val="7FFC1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ascii="宋体" w:hAnsi="宋体" w:eastAsia="宋体" w:cs="宋体"/>
      <w:kern w:val="2"/>
      <w:sz w:val="21"/>
      <w:szCs w:val="24"/>
      <w:lang w:val="en-US" w:eastAsia="zh-CN" w:bidi="ar-SA"/>
    </w:rPr>
  </w:style>
  <w:style w:type="paragraph" w:styleId="6">
    <w:name w:val="heading 1"/>
    <w:basedOn w:val="1"/>
    <w:next w:val="1"/>
    <w:link w:val="220"/>
    <w:autoRedefine/>
    <w:qFormat/>
    <w:uiPriority w:val="0"/>
    <w:pPr>
      <w:keepNext/>
      <w:jc w:val="center"/>
      <w:outlineLvl w:val="0"/>
    </w:pPr>
    <w:rPr>
      <w:b/>
      <w:bCs/>
      <w:sz w:val="24"/>
      <w:szCs w:val="20"/>
    </w:rPr>
  </w:style>
  <w:style w:type="paragraph" w:styleId="7">
    <w:name w:val="heading 2"/>
    <w:basedOn w:val="1"/>
    <w:next w:val="1"/>
    <w:link w:val="209"/>
    <w:autoRedefine/>
    <w:qFormat/>
    <w:uiPriority w:val="0"/>
    <w:pPr>
      <w:keepNext/>
      <w:keepLines/>
      <w:outlineLvl w:val="1"/>
    </w:pPr>
    <w:rPr>
      <w:rFonts w:ascii="Arial" w:hAnsi="Arial"/>
      <w:b/>
      <w:bCs/>
      <w:sz w:val="24"/>
      <w:szCs w:val="32"/>
    </w:rPr>
  </w:style>
  <w:style w:type="paragraph" w:styleId="8">
    <w:name w:val="heading 3"/>
    <w:basedOn w:val="1"/>
    <w:next w:val="1"/>
    <w:link w:val="179"/>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169"/>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17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1">
    <w:name w:val="heading 6"/>
    <w:basedOn w:val="1"/>
    <w:next w:val="1"/>
    <w:link w:val="22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2">
    <w:name w:val="heading 7"/>
    <w:basedOn w:val="1"/>
    <w:next w:val="1"/>
    <w:link w:val="24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3">
    <w:name w:val="heading 8"/>
    <w:basedOn w:val="1"/>
    <w:next w:val="1"/>
    <w:link w:val="173"/>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4">
    <w:name w:val="heading 9"/>
    <w:basedOn w:val="1"/>
    <w:next w:val="1"/>
    <w:link w:val="225"/>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68"/>
    <w:autoRedefine/>
    <w:unhideWhenUsed/>
    <w:qFormat/>
    <w:uiPriority w:val="99"/>
  </w:style>
  <w:style w:type="paragraph" w:styleId="3">
    <w:name w:val="Body Text Indent"/>
    <w:basedOn w:val="1"/>
    <w:next w:val="4"/>
    <w:link w:val="199"/>
    <w:autoRedefine/>
    <w:qFormat/>
    <w:uiPriority w:val="0"/>
    <w:pPr>
      <w:spacing w:after="120"/>
      <w:ind w:left="420" w:leftChars="200"/>
    </w:pPr>
  </w:style>
  <w:style w:type="paragraph" w:styleId="4">
    <w:name w:val="annotation subject"/>
    <w:basedOn w:val="5"/>
    <w:next w:val="1"/>
    <w:link w:val="167"/>
    <w:autoRedefine/>
    <w:qFormat/>
    <w:uiPriority w:val="0"/>
    <w:rPr>
      <w:b/>
      <w:bCs/>
    </w:rPr>
  </w:style>
  <w:style w:type="paragraph" w:styleId="5">
    <w:name w:val="annotation text"/>
    <w:basedOn w:val="1"/>
    <w:link w:val="221"/>
    <w:autoRedefine/>
    <w:semiHidden/>
    <w:qFormat/>
    <w:uiPriority w:val="0"/>
    <w:pPr>
      <w:jc w:val="left"/>
    </w:pPr>
  </w:style>
  <w:style w:type="paragraph" w:styleId="15">
    <w:name w:val="toc 7"/>
    <w:basedOn w:val="1"/>
    <w:next w:val="1"/>
    <w:autoRedefine/>
    <w:qFormat/>
    <w:uiPriority w:val="0"/>
    <w:pPr>
      <w:ind w:left="2520" w:leftChars="1200"/>
    </w:pPr>
    <w:rPr>
      <w:szCs w:val="22"/>
    </w:rPr>
  </w:style>
  <w:style w:type="paragraph" w:styleId="16">
    <w:name w:val="table of authorities"/>
    <w:basedOn w:val="1"/>
    <w:next w:val="1"/>
    <w:autoRedefine/>
    <w:unhideWhenUsed/>
    <w:qFormat/>
    <w:uiPriority w:val="99"/>
    <w:pPr>
      <w:ind w:left="420" w:leftChars="200"/>
    </w:pPr>
  </w:style>
  <w:style w:type="paragraph" w:styleId="17">
    <w:name w:val="Normal Indent"/>
    <w:basedOn w:val="1"/>
    <w:autoRedefine/>
    <w:qFormat/>
    <w:uiPriority w:val="0"/>
    <w:pPr>
      <w:widowControl/>
      <w:jc w:val="left"/>
    </w:pPr>
    <w:rPr>
      <w:kern w:val="0"/>
      <w:sz w:val="20"/>
      <w:szCs w:val="20"/>
    </w:rPr>
  </w:style>
  <w:style w:type="paragraph" w:styleId="18">
    <w:name w:val="Document Map"/>
    <w:basedOn w:val="1"/>
    <w:autoRedefine/>
    <w:semiHidden/>
    <w:qFormat/>
    <w:uiPriority w:val="0"/>
    <w:pPr>
      <w:shd w:val="clear" w:color="auto" w:fill="000080"/>
    </w:pPr>
  </w:style>
  <w:style w:type="paragraph" w:styleId="19">
    <w:name w:val="Salutation"/>
    <w:basedOn w:val="1"/>
    <w:next w:val="1"/>
    <w:autoRedefine/>
    <w:qFormat/>
    <w:uiPriority w:val="0"/>
    <w:rPr>
      <w:rFonts w:ascii="仿宋_GB2312" w:eastAsia="仿宋_GB2312"/>
      <w:sz w:val="24"/>
    </w:rPr>
  </w:style>
  <w:style w:type="paragraph" w:styleId="20">
    <w:name w:val="Body Text 3"/>
    <w:basedOn w:val="1"/>
    <w:autoRedefine/>
    <w:qFormat/>
    <w:uiPriority w:val="0"/>
    <w:pPr>
      <w:autoSpaceDE w:val="0"/>
      <w:autoSpaceDN w:val="0"/>
      <w:adjustRightInd w:val="0"/>
      <w:spacing w:line="410" w:lineRule="atLeast"/>
      <w:jc w:val="left"/>
    </w:pPr>
    <w:rPr>
      <w:color w:val="000000"/>
      <w:kern w:val="0"/>
      <w:sz w:val="24"/>
      <w:szCs w:val="20"/>
    </w:rPr>
  </w:style>
  <w:style w:type="paragraph" w:styleId="21">
    <w:name w:val="Body Text"/>
    <w:basedOn w:val="1"/>
    <w:next w:val="1"/>
    <w:autoRedefine/>
    <w:qFormat/>
    <w:uiPriority w:val="0"/>
    <w:pPr>
      <w:spacing w:after="120"/>
    </w:pPr>
  </w:style>
  <w:style w:type="paragraph" w:styleId="22">
    <w:name w:val="Block Text"/>
    <w:basedOn w:val="1"/>
    <w:autoRedefine/>
    <w:qFormat/>
    <w:uiPriority w:val="0"/>
    <w:pPr>
      <w:ind w:left="1171" w:right="91" w:hanging="1080"/>
    </w:pPr>
    <w:rPr>
      <w:rFonts w:eastAsia="楷体_GB2312"/>
      <w:szCs w:val="20"/>
    </w:rPr>
  </w:style>
  <w:style w:type="paragraph" w:styleId="23">
    <w:name w:val="toc 5"/>
    <w:basedOn w:val="1"/>
    <w:next w:val="1"/>
    <w:autoRedefine/>
    <w:qFormat/>
    <w:uiPriority w:val="0"/>
    <w:pPr>
      <w:ind w:left="1680" w:leftChars="800"/>
    </w:pPr>
    <w:rPr>
      <w:szCs w:val="22"/>
    </w:rPr>
  </w:style>
  <w:style w:type="paragraph" w:styleId="24">
    <w:name w:val="toc 3"/>
    <w:basedOn w:val="1"/>
    <w:next w:val="1"/>
    <w:autoRedefine/>
    <w:qFormat/>
    <w:uiPriority w:val="0"/>
    <w:pPr>
      <w:ind w:left="840" w:leftChars="400"/>
    </w:pPr>
  </w:style>
  <w:style w:type="paragraph" w:styleId="25">
    <w:name w:val="Plain Text"/>
    <w:basedOn w:val="1"/>
    <w:next w:val="1"/>
    <w:link w:val="247"/>
    <w:autoRedefine/>
    <w:qFormat/>
    <w:uiPriority w:val="0"/>
    <w:rPr>
      <w:rFonts w:hAnsi="Courier New" w:cs="Courier New"/>
      <w:szCs w:val="21"/>
    </w:rPr>
  </w:style>
  <w:style w:type="paragraph" w:styleId="26">
    <w:name w:val="toc 8"/>
    <w:basedOn w:val="1"/>
    <w:next w:val="1"/>
    <w:autoRedefine/>
    <w:qFormat/>
    <w:uiPriority w:val="0"/>
    <w:pPr>
      <w:ind w:left="2940" w:leftChars="1400"/>
    </w:pPr>
    <w:rPr>
      <w:szCs w:val="22"/>
    </w:rPr>
  </w:style>
  <w:style w:type="paragraph" w:styleId="27">
    <w:name w:val="Date"/>
    <w:basedOn w:val="1"/>
    <w:next w:val="1"/>
    <w:link w:val="198"/>
    <w:autoRedefine/>
    <w:qFormat/>
    <w:uiPriority w:val="0"/>
    <w:rPr>
      <w:sz w:val="24"/>
      <w:szCs w:val="20"/>
    </w:rPr>
  </w:style>
  <w:style w:type="paragraph" w:styleId="28">
    <w:name w:val="Body Text Indent 2"/>
    <w:basedOn w:val="1"/>
    <w:next w:val="29"/>
    <w:autoRedefine/>
    <w:qFormat/>
    <w:uiPriority w:val="0"/>
    <w:pPr>
      <w:spacing w:after="120" w:line="480" w:lineRule="auto"/>
      <w:ind w:left="420" w:leftChars="200"/>
    </w:pPr>
  </w:style>
  <w:style w:type="paragraph" w:customStyle="1" w:styleId="29">
    <w:name w:val="目录 91"/>
    <w:basedOn w:val="1"/>
    <w:next w:val="1"/>
    <w:autoRedefine/>
    <w:qFormat/>
    <w:uiPriority w:val="99"/>
    <w:pPr>
      <w:ind w:left="3360"/>
    </w:pPr>
  </w:style>
  <w:style w:type="paragraph" w:styleId="30">
    <w:name w:val="Balloon Text"/>
    <w:basedOn w:val="1"/>
    <w:link w:val="226"/>
    <w:autoRedefine/>
    <w:qFormat/>
    <w:uiPriority w:val="0"/>
    <w:rPr>
      <w:sz w:val="18"/>
      <w:szCs w:val="18"/>
    </w:rPr>
  </w:style>
  <w:style w:type="paragraph" w:styleId="31">
    <w:name w:val="footer"/>
    <w:basedOn w:val="1"/>
    <w:link w:val="243"/>
    <w:autoRedefine/>
    <w:qFormat/>
    <w:uiPriority w:val="0"/>
    <w:pPr>
      <w:tabs>
        <w:tab w:val="center" w:pos="4153"/>
        <w:tab w:val="right" w:pos="8306"/>
      </w:tabs>
      <w:snapToGrid w:val="0"/>
      <w:jc w:val="left"/>
    </w:pPr>
    <w:rPr>
      <w:sz w:val="18"/>
      <w:szCs w:val="18"/>
    </w:rPr>
  </w:style>
  <w:style w:type="paragraph" w:styleId="32">
    <w:name w:val="header"/>
    <w:basedOn w:val="1"/>
    <w:link w:val="20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2100" w:leftChars="1000"/>
    </w:pPr>
    <w:rPr>
      <w:szCs w:val="22"/>
    </w:rPr>
  </w:style>
  <w:style w:type="paragraph" w:styleId="35">
    <w:name w:val="Body Text Indent 3"/>
    <w:basedOn w:val="1"/>
    <w:link w:val="245"/>
    <w:autoRedefine/>
    <w:qFormat/>
    <w:uiPriority w:val="0"/>
    <w:pPr>
      <w:spacing w:after="120"/>
      <w:ind w:left="420" w:leftChars="200"/>
    </w:pPr>
    <w:rPr>
      <w:sz w:val="16"/>
      <w:szCs w:val="16"/>
    </w:rPr>
  </w:style>
  <w:style w:type="paragraph" w:styleId="36">
    <w:name w:val="toc 2"/>
    <w:basedOn w:val="1"/>
    <w:next w:val="1"/>
    <w:autoRedefine/>
    <w:qFormat/>
    <w:uiPriority w:val="0"/>
    <w:pPr>
      <w:ind w:left="420" w:leftChars="200"/>
    </w:pPr>
  </w:style>
  <w:style w:type="paragraph" w:styleId="37">
    <w:name w:val="toc 9"/>
    <w:basedOn w:val="1"/>
    <w:next w:val="1"/>
    <w:autoRedefine/>
    <w:qFormat/>
    <w:uiPriority w:val="0"/>
    <w:pPr>
      <w:ind w:left="3360" w:leftChars="1600"/>
    </w:pPr>
    <w:rPr>
      <w:szCs w:val="22"/>
    </w:rPr>
  </w:style>
  <w:style w:type="paragraph" w:styleId="38">
    <w:name w:val="Body Text 2"/>
    <w:basedOn w:val="1"/>
    <w:autoRedefine/>
    <w:qFormat/>
    <w:uiPriority w:val="0"/>
    <w:pPr>
      <w:spacing w:after="120" w:line="480" w:lineRule="auto"/>
    </w:pPr>
  </w:style>
  <w:style w:type="paragraph" w:styleId="3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0">
    <w:name w:val="Normal (Web)"/>
    <w:basedOn w:val="1"/>
    <w:next w:val="1"/>
    <w:autoRedefine/>
    <w:qFormat/>
    <w:uiPriority w:val="0"/>
    <w:pPr>
      <w:widowControl/>
      <w:spacing w:before="100" w:beforeAutospacing="1" w:after="100" w:afterAutospacing="1"/>
      <w:jc w:val="left"/>
    </w:pPr>
    <w:rPr>
      <w:kern w:val="0"/>
      <w:sz w:val="24"/>
    </w:rPr>
  </w:style>
  <w:style w:type="paragraph" w:styleId="41">
    <w:name w:val="index 1"/>
    <w:basedOn w:val="1"/>
    <w:next w:val="1"/>
    <w:autoRedefine/>
    <w:qFormat/>
    <w:uiPriority w:val="0"/>
    <w:pPr>
      <w:spacing w:line="220" w:lineRule="exact"/>
      <w:jc w:val="center"/>
    </w:pPr>
    <w:rPr>
      <w:rFonts w:ascii="仿宋_GB2312" w:eastAsia="仿宋_GB2312"/>
      <w:szCs w:val="20"/>
    </w:rPr>
  </w:style>
  <w:style w:type="paragraph" w:styleId="42">
    <w:name w:val="Title"/>
    <w:basedOn w:val="1"/>
    <w:next w:val="1"/>
    <w:autoRedefine/>
    <w:qFormat/>
    <w:uiPriority w:val="0"/>
    <w:pPr>
      <w:spacing w:before="240" w:after="60"/>
      <w:jc w:val="center"/>
      <w:outlineLvl w:val="0"/>
    </w:pPr>
    <w:rPr>
      <w:rFonts w:ascii="Cambria" w:hAnsi="Cambria"/>
      <w:b/>
      <w:sz w:val="32"/>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none"/>
    </w:rPr>
  </w:style>
  <w:style w:type="character" w:styleId="49">
    <w:name w:val="Emphasis"/>
    <w:autoRedefine/>
    <w:qFormat/>
    <w:uiPriority w:val="0"/>
    <w:rPr>
      <w:rFonts w:ascii="Times New Roman" w:hAnsi="Times New Roman" w:eastAsia="宋体"/>
    </w:rPr>
  </w:style>
  <w:style w:type="character" w:styleId="50">
    <w:name w:val="HTML Definition"/>
    <w:autoRedefine/>
    <w:qFormat/>
    <w:uiPriority w:val="0"/>
    <w:rPr>
      <w:rFonts w:ascii="Times New Roman" w:hAnsi="Times New Roman" w:eastAsia="宋体"/>
    </w:rPr>
  </w:style>
  <w:style w:type="character" w:styleId="51">
    <w:name w:val="HTML Variable"/>
    <w:autoRedefine/>
    <w:qFormat/>
    <w:uiPriority w:val="0"/>
    <w:rPr>
      <w:rFonts w:ascii="Times New Roman" w:hAnsi="Times New Roman" w:eastAsia="宋体"/>
    </w:rPr>
  </w:style>
  <w:style w:type="character" w:styleId="52">
    <w:name w:val="Hyperlink"/>
    <w:autoRedefine/>
    <w:qFormat/>
    <w:uiPriority w:val="0"/>
    <w:rPr>
      <w:color w:val="136EC2"/>
      <w:u w:val="single"/>
    </w:rPr>
  </w:style>
  <w:style w:type="character" w:styleId="53">
    <w:name w:val="HTML Code"/>
    <w:autoRedefine/>
    <w:qFormat/>
    <w:uiPriority w:val="0"/>
    <w:rPr>
      <w:rFonts w:ascii="Courier New" w:hAnsi="Courier New" w:eastAsia="Courier New" w:cs="Courier New"/>
      <w:sz w:val="20"/>
    </w:rPr>
  </w:style>
  <w:style w:type="character" w:styleId="54">
    <w:name w:val="annotation reference"/>
    <w:autoRedefine/>
    <w:qFormat/>
    <w:uiPriority w:val="0"/>
    <w:rPr>
      <w:sz w:val="21"/>
      <w:szCs w:val="21"/>
    </w:rPr>
  </w:style>
  <w:style w:type="character" w:styleId="55">
    <w:name w:val="HTML Cite"/>
    <w:autoRedefine/>
    <w:qFormat/>
    <w:uiPriority w:val="0"/>
    <w:rPr>
      <w:rFonts w:ascii="Times New Roman" w:hAnsi="Times New Roman" w:eastAsia="宋体"/>
    </w:rPr>
  </w:style>
  <w:style w:type="character" w:styleId="56">
    <w:name w:val="HTML Keyboard"/>
    <w:autoRedefine/>
    <w:qFormat/>
    <w:uiPriority w:val="0"/>
    <w:rPr>
      <w:rFonts w:ascii="Courier New" w:hAnsi="Courier New" w:eastAsia="Courier New" w:cs="Courier New"/>
      <w:sz w:val="20"/>
    </w:rPr>
  </w:style>
  <w:style w:type="character" w:styleId="57">
    <w:name w:val="HTML Sample"/>
    <w:autoRedefine/>
    <w:qFormat/>
    <w:uiPriority w:val="0"/>
    <w:rPr>
      <w:rFonts w:ascii="Courier New" w:hAnsi="Courier New" w:eastAsia="Courier New" w:cs="Courier New"/>
    </w:rPr>
  </w:style>
  <w:style w:type="paragraph" w:customStyle="1" w:styleId="58">
    <w:name w:val="正文（缩进）"/>
    <w:basedOn w:val="1"/>
    <w:autoRedefine/>
    <w:qFormat/>
    <w:uiPriority w:val="0"/>
    <w:pPr>
      <w:spacing w:beforeLines="50" w:afterLines="50" w:line="360" w:lineRule="auto"/>
      <w:ind w:firstLine="480" w:firstLineChars="200"/>
    </w:pPr>
    <w:rPr>
      <w:sz w:val="24"/>
    </w:rPr>
  </w:style>
  <w:style w:type="paragraph" w:customStyle="1" w:styleId="59">
    <w:name w:val="正文1"/>
    <w:basedOn w:val="1"/>
    <w:autoRedefine/>
    <w:qFormat/>
    <w:uiPriority w:val="0"/>
    <w:pPr>
      <w:ind w:firstLine="480"/>
    </w:pPr>
    <w:rPr>
      <w:rFonts w:ascii="Times New Roman" w:hAnsi="Times New Roman"/>
      <w:sz w:val="24"/>
    </w:rPr>
  </w:style>
  <w:style w:type="paragraph" w:customStyle="1" w:styleId="60">
    <w:name w:val="列出段落1"/>
    <w:basedOn w:val="61"/>
    <w:next w:val="62"/>
    <w:autoRedefine/>
    <w:qFormat/>
    <w:uiPriority w:val="0"/>
    <w:pPr>
      <w:ind w:firstLine="420" w:firstLineChars="200"/>
    </w:pPr>
  </w:style>
  <w:style w:type="paragraph" w:customStyle="1" w:styleId="61">
    <w:name w:val="正文_10_4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标题 7_0"/>
    <w:basedOn w:val="63"/>
    <w:next w:val="63"/>
    <w:autoRedefine/>
    <w:unhideWhenUsed/>
    <w:qFormat/>
    <w:uiPriority w:val="9"/>
    <w:pPr>
      <w:keepNext/>
      <w:keepLines/>
      <w:adjustRightInd w:val="0"/>
      <w:spacing w:before="240" w:after="64" w:line="320" w:lineRule="atLeast"/>
      <w:jc w:val="left"/>
      <w:textAlignment w:val="baseline"/>
      <w:outlineLvl w:val="6"/>
    </w:pPr>
    <w:rPr>
      <w:b/>
      <w:bCs/>
      <w:kern w:val="0"/>
      <w:sz w:val="24"/>
    </w:rPr>
  </w:style>
  <w:style w:type="paragraph" w:customStyle="1" w:styleId="63">
    <w:name w:val="正文_37"/>
    <w:next w:val="6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标题 2_37"/>
    <w:basedOn w:val="63"/>
    <w:next w:val="63"/>
    <w:autoRedefine/>
    <w:unhideWhenUsed/>
    <w:qFormat/>
    <w:uiPriority w:val="9"/>
    <w:pPr>
      <w:keepNext/>
      <w:keepLines/>
      <w:spacing w:line="360" w:lineRule="auto"/>
      <w:outlineLvl w:val="1"/>
    </w:pPr>
    <w:rPr>
      <w:rFonts w:ascii="Arial" w:hAnsi="Arial"/>
      <w:b/>
      <w:bCs/>
      <w:sz w:val="24"/>
      <w:szCs w:val="32"/>
    </w:rPr>
  </w:style>
  <w:style w:type="paragraph" w:customStyle="1" w:styleId="65">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 w:type="character" w:customStyle="1" w:styleId="66">
    <w:name w:val="标题 4 Char"/>
    <w:autoRedefine/>
    <w:qFormat/>
    <w:uiPriority w:val="0"/>
    <w:rPr>
      <w:rFonts w:ascii="Arial" w:hAnsi="Arial" w:eastAsia="宋体" w:cs="Times New Roman"/>
      <w:b/>
      <w:bCs/>
      <w:szCs w:val="28"/>
    </w:rPr>
  </w:style>
  <w:style w:type="character" w:customStyle="1" w:styleId="67">
    <w:name w:val="标题 3 Char"/>
    <w:autoRedefine/>
    <w:qFormat/>
    <w:uiPriority w:val="0"/>
    <w:rPr>
      <w:b/>
      <w:bCs/>
      <w:sz w:val="24"/>
      <w:szCs w:val="24"/>
    </w:rPr>
  </w:style>
  <w:style w:type="character" w:customStyle="1" w:styleId="68">
    <w:name w:val="标题 2 Char"/>
    <w:autoRedefine/>
    <w:qFormat/>
    <w:uiPriority w:val="0"/>
    <w:rPr>
      <w:rFonts w:ascii="Cambria" w:hAnsi="Cambria" w:eastAsia="宋体" w:cs="Times New Roman"/>
      <w:b/>
      <w:bCs/>
      <w:kern w:val="2"/>
      <w:sz w:val="32"/>
      <w:szCs w:val="32"/>
    </w:rPr>
  </w:style>
  <w:style w:type="character" w:customStyle="1" w:styleId="69">
    <w:name w:val="标题 1 Char"/>
    <w:autoRedefine/>
    <w:qFormat/>
    <w:uiPriority w:val="0"/>
    <w:rPr>
      <w:rFonts w:ascii="Cambria" w:hAnsi="Cambria"/>
      <w:b/>
      <w:bCs/>
      <w:kern w:val="32"/>
      <w:sz w:val="32"/>
      <w:szCs w:val="32"/>
    </w:rPr>
  </w:style>
  <w:style w:type="paragraph" w:customStyle="1" w:styleId="70">
    <w:name w:val="reader-word-layer reader-word-s1-1"/>
    <w:basedOn w:val="1"/>
    <w:autoRedefine/>
    <w:qFormat/>
    <w:uiPriority w:val="0"/>
    <w:pPr>
      <w:widowControl/>
      <w:spacing w:before="100" w:beforeAutospacing="1" w:after="100" w:afterAutospacing="1"/>
      <w:jc w:val="left"/>
    </w:pPr>
    <w:rPr>
      <w:kern w:val="0"/>
      <w:sz w:val="24"/>
    </w:rPr>
  </w:style>
  <w:style w:type="paragraph" w:customStyle="1" w:styleId="71">
    <w:name w:val="Char Char1 Char Char Char Char Char1 Char Char Char Char"/>
    <w:basedOn w:val="18"/>
    <w:autoRedefine/>
    <w:qFormat/>
    <w:uiPriority w:val="0"/>
    <w:rPr>
      <w:rFonts w:ascii="Tahoma" w:hAnsi="Tahoma"/>
    </w:rPr>
  </w:style>
  <w:style w:type="paragraph" w:customStyle="1" w:styleId="72">
    <w:name w:val="Char Char1 Char Char Char Char Char Char Char"/>
    <w:basedOn w:val="1"/>
    <w:autoRedefine/>
    <w:qFormat/>
    <w:uiPriority w:val="0"/>
    <w:pPr>
      <w:widowControl/>
      <w:spacing w:after="160" w:line="240" w:lineRule="exact"/>
      <w:jc w:val="left"/>
    </w:pPr>
  </w:style>
  <w:style w:type="paragraph" w:customStyle="1" w:styleId="73">
    <w:name w:val="Style69"/>
    <w:basedOn w:val="1"/>
    <w:autoRedefine/>
    <w:unhideWhenUsed/>
    <w:qFormat/>
    <w:uiPriority w:val="0"/>
    <w:pPr>
      <w:spacing w:line="557" w:lineRule="exact"/>
      <w:ind w:firstLine="1666"/>
    </w:pPr>
  </w:style>
  <w:style w:type="paragraph" w:customStyle="1" w:styleId="74">
    <w:name w:val="Style64"/>
    <w:basedOn w:val="1"/>
    <w:autoRedefine/>
    <w:unhideWhenUsed/>
    <w:qFormat/>
    <w:uiPriority w:val="0"/>
  </w:style>
  <w:style w:type="paragraph" w:customStyle="1" w:styleId="75">
    <w:name w:val="Style46"/>
    <w:basedOn w:val="1"/>
    <w:autoRedefine/>
    <w:unhideWhenUsed/>
    <w:qFormat/>
    <w:uiPriority w:val="0"/>
    <w:pPr>
      <w:spacing w:line="672" w:lineRule="exact"/>
    </w:pPr>
  </w:style>
  <w:style w:type="paragraph" w:customStyle="1" w:styleId="76">
    <w:name w:val="Style24"/>
    <w:basedOn w:val="1"/>
    <w:autoRedefine/>
    <w:unhideWhenUsed/>
    <w:qFormat/>
    <w:uiPriority w:val="0"/>
  </w:style>
  <w:style w:type="paragraph" w:customStyle="1" w:styleId="77">
    <w:name w:val="Style23"/>
    <w:basedOn w:val="1"/>
    <w:autoRedefine/>
    <w:unhideWhenUsed/>
    <w:qFormat/>
    <w:uiPriority w:val="0"/>
  </w:style>
  <w:style w:type="paragraph" w:customStyle="1" w:styleId="78">
    <w:name w:val="Char Char Char1 Char"/>
    <w:basedOn w:val="1"/>
    <w:autoRedefine/>
    <w:qFormat/>
    <w:uiPriority w:val="0"/>
    <w:pPr>
      <w:tabs>
        <w:tab w:val="left" w:pos="360"/>
      </w:tabs>
      <w:snapToGrid w:val="0"/>
    </w:pPr>
    <w:rPr>
      <w:rFonts w:eastAsia="仿宋_GB2312"/>
      <w:sz w:val="24"/>
    </w:rPr>
  </w:style>
  <w:style w:type="paragraph" w:customStyle="1" w:styleId="79">
    <w:name w:val="标题 1 +"/>
    <w:basedOn w:val="6"/>
    <w:next w:val="1"/>
    <w:autoRedefine/>
    <w:qFormat/>
    <w:uiPriority w:val="0"/>
    <w:pPr>
      <w:keepLines/>
      <w:spacing w:line="600" w:lineRule="auto"/>
    </w:pPr>
    <w:rPr>
      <w:rFonts w:eastAsia="黑体"/>
      <w:kern w:val="0"/>
      <w:sz w:val="32"/>
      <w:szCs w:val="32"/>
    </w:rPr>
  </w:style>
  <w:style w:type="paragraph" w:customStyle="1" w:styleId="80">
    <w:name w:val="Style63"/>
    <w:basedOn w:val="1"/>
    <w:autoRedefine/>
    <w:unhideWhenUsed/>
    <w:qFormat/>
    <w:uiPriority w:val="0"/>
    <w:pPr>
      <w:spacing w:line="564" w:lineRule="exact"/>
      <w:ind w:firstLine="682"/>
    </w:pPr>
  </w:style>
  <w:style w:type="paragraph" w:customStyle="1" w:styleId="81">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
    <w:name w:val="Style10"/>
    <w:basedOn w:val="1"/>
    <w:autoRedefine/>
    <w:unhideWhenUsed/>
    <w:qFormat/>
    <w:uiPriority w:val="0"/>
    <w:pPr>
      <w:spacing w:line="538" w:lineRule="exact"/>
    </w:pPr>
  </w:style>
  <w:style w:type="paragraph" w:customStyle="1" w:styleId="83">
    <w:name w:val="默认段落字体 Para Char Char Char Char Char Char Char Char Char Char Char Char Char Char Char Char Char Char Char"/>
    <w:basedOn w:val="1"/>
    <w:autoRedefine/>
    <w:qFormat/>
    <w:uiPriority w:val="0"/>
  </w:style>
  <w:style w:type="paragraph" w:customStyle="1" w:styleId="84">
    <w:name w:val="Style9"/>
    <w:basedOn w:val="1"/>
    <w:autoRedefine/>
    <w:unhideWhenUsed/>
    <w:qFormat/>
    <w:uiPriority w:val="0"/>
  </w:style>
  <w:style w:type="paragraph" w:customStyle="1" w:styleId="85">
    <w:name w:val="p15"/>
    <w:basedOn w:val="1"/>
    <w:autoRedefine/>
    <w:qFormat/>
    <w:uiPriority w:val="0"/>
    <w:pPr>
      <w:widowControl/>
      <w:spacing w:line="220" w:lineRule="atLeast"/>
      <w:jc w:val="center"/>
    </w:pPr>
    <w:rPr>
      <w:rFonts w:ascii="仿宋_GB2312" w:eastAsia="仿宋_GB2312"/>
      <w:kern w:val="0"/>
      <w:szCs w:val="21"/>
    </w:rPr>
  </w:style>
  <w:style w:type="paragraph" w:customStyle="1" w:styleId="86">
    <w:name w:val="Style21"/>
    <w:basedOn w:val="1"/>
    <w:autoRedefine/>
    <w:unhideWhenUsed/>
    <w:qFormat/>
    <w:uiPriority w:val="0"/>
    <w:pPr>
      <w:spacing w:line="566" w:lineRule="exact"/>
      <w:ind w:firstLine="682"/>
    </w:pPr>
  </w:style>
  <w:style w:type="paragraph" w:customStyle="1" w:styleId="87">
    <w:name w:val="Style8"/>
    <w:basedOn w:val="1"/>
    <w:autoRedefine/>
    <w:unhideWhenUsed/>
    <w:qFormat/>
    <w:uiPriority w:val="0"/>
    <w:pPr>
      <w:spacing w:line="566" w:lineRule="exact"/>
      <w:jc w:val="center"/>
    </w:pPr>
  </w:style>
  <w:style w:type="paragraph" w:customStyle="1" w:styleId="88">
    <w:name w:val="Style12"/>
    <w:basedOn w:val="1"/>
    <w:autoRedefine/>
    <w:unhideWhenUsed/>
    <w:qFormat/>
    <w:uiPriority w:val="0"/>
    <w:pPr>
      <w:spacing w:line="564" w:lineRule="exact"/>
      <w:ind w:hanging="115"/>
    </w:pPr>
  </w:style>
  <w:style w:type="paragraph" w:customStyle="1" w:styleId="89">
    <w:name w:val="Style47"/>
    <w:basedOn w:val="1"/>
    <w:autoRedefine/>
    <w:unhideWhenUsed/>
    <w:qFormat/>
    <w:uiPriority w:val="0"/>
  </w:style>
  <w:style w:type="paragraph" w:customStyle="1" w:styleId="90">
    <w:name w:val="Char Char1 Char Char Char"/>
    <w:basedOn w:val="1"/>
    <w:autoRedefine/>
    <w:qFormat/>
    <w:uiPriority w:val="0"/>
    <w:rPr>
      <w:kern w:val="0"/>
      <w:sz w:val="20"/>
      <w:szCs w:val="20"/>
    </w:rPr>
  </w:style>
  <w:style w:type="paragraph" w:customStyle="1" w:styleId="91">
    <w:name w:val="Style34"/>
    <w:basedOn w:val="1"/>
    <w:autoRedefine/>
    <w:unhideWhenUsed/>
    <w:qFormat/>
    <w:uiPriority w:val="0"/>
    <w:pPr>
      <w:spacing w:line="375" w:lineRule="exact"/>
    </w:pPr>
  </w:style>
  <w:style w:type="paragraph" w:customStyle="1" w:styleId="92">
    <w:name w:val="_Style 39"/>
    <w:basedOn w:val="93"/>
    <w:autoRedefine/>
    <w:qFormat/>
    <w:uiPriority w:val="0"/>
  </w:style>
  <w:style w:type="paragraph" w:customStyle="1" w:styleId="93">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标题2"/>
    <w:basedOn w:val="42"/>
    <w:autoRedefine/>
    <w:qFormat/>
    <w:uiPriority w:val="0"/>
    <w:pPr>
      <w:spacing w:after="240"/>
      <w:jc w:val="left"/>
    </w:pPr>
    <w:rPr>
      <w:sz w:val="30"/>
    </w:rPr>
  </w:style>
  <w:style w:type="paragraph" w:customStyle="1" w:styleId="95">
    <w:name w:val="Style50"/>
    <w:basedOn w:val="1"/>
    <w:autoRedefine/>
    <w:unhideWhenUsed/>
    <w:qFormat/>
    <w:uiPriority w:val="0"/>
  </w:style>
  <w:style w:type="paragraph" w:customStyle="1" w:styleId="96">
    <w:name w:val="Style4"/>
    <w:basedOn w:val="1"/>
    <w:autoRedefine/>
    <w:unhideWhenUsed/>
    <w:qFormat/>
    <w:uiPriority w:val="0"/>
  </w:style>
  <w:style w:type="paragraph" w:customStyle="1" w:styleId="97">
    <w:name w:val="Style71"/>
    <w:basedOn w:val="1"/>
    <w:autoRedefine/>
    <w:unhideWhenUsed/>
    <w:qFormat/>
    <w:uiPriority w:val="0"/>
    <w:pPr>
      <w:spacing w:line="538" w:lineRule="exact"/>
      <w:ind w:firstLine="101"/>
    </w:pPr>
  </w:style>
  <w:style w:type="paragraph" w:customStyle="1" w:styleId="98">
    <w:name w:val="Char1 Char Char Char"/>
    <w:basedOn w:val="1"/>
    <w:autoRedefine/>
    <w:qFormat/>
    <w:uiPriority w:val="0"/>
    <w:pPr>
      <w:widowControl/>
      <w:spacing w:after="160" w:line="240" w:lineRule="exact"/>
      <w:jc w:val="left"/>
    </w:pPr>
    <w:rPr>
      <w:kern w:val="0"/>
      <w:sz w:val="24"/>
      <w:szCs w:val="20"/>
    </w:rPr>
  </w:style>
  <w:style w:type="paragraph" w:customStyle="1" w:styleId="99">
    <w:name w:val="附录标识"/>
    <w:basedOn w:val="100"/>
    <w:autoRedefine/>
    <w:qFormat/>
    <w:uiPriority w:val="0"/>
    <w:pPr>
      <w:tabs>
        <w:tab w:val="left" w:pos="360"/>
        <w:tab w:val="left" w:pos="720"/>
        <w:tab w:val="left" w:pos="6405"/>
      </w:tabs>
      <w:spacing w:after="200"/>
    </w:pPr>
    <w:rPr>
      <w:sz w:val="21"/>
    </w:rPr>
  </w:style>
  <w:style w:type="paragraph" w:customStyle="1" w:styleId="100">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101">
    <w:name w:val="Char Char Char"/>
    <w:basedOn w:val="1"/>
    <w:autoRedefine/>
    <w:qFormat/>
    <w:uiPriority w:val="0"/>
    <w:rPr>
      <w:b/>
      <w:sz w:val="28"/>
      <w:szCs w:val="28"/>
    </w:rPr>
  </w:style>
  <w:style w:type="paragraph" w:customStyle="1" w:styleId="102">
    <w:name w:val="Style65"/>
    <w:basedOn w:val="1"/>
    <w:autoRedefine/>
    <w:unhideWhenUsed/>
    <w:qFormat/>
    <w:uiPriority w:val="0"/>
  </w:style>
  <w:style w:type="paragraph" w:customStyle="1" w:styleId="103">
    <w:name w:val="Style52"/>
    <w:basedOn w:val="1"/>
    <w:autoRedefine/>
    <w:unhideWhenUsed/>
    <w:qFormat/>
    <w:uiPriority w:val="0"/>
    <w:pPr>
      <w:spacing w:line="682" w:lineRule="exact"/>
      <w:ind w:firstLine="557"/>
    </w:pPr>
  </w:style>
  <w:style w:type="paragraph" w:customStyle="1" w:styleId="104">
    <w:name w:val="Style80"/>
    <w:basedOn w:val="1"/>
    <w:autoRedefine/>
    <w:unhideWhenUsed/>
    <w:qFormat/>
    <w:uiPriority w:val="0"/>
  </w:style>
  <w:style w:type="paragraph" w:customStyle="1" w:styleId="105">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6">
    <w:name w:val="Style62"/>
    <w:basedOn w:val="1"/>
    <w:autoRedefine/>
    <w:unhideWhenUsed/>
    <w:qFormat/>
    <w:uiPriority w:val="0"/>
  </w:style>
  <w:style w:type="paragraph" w:customStyle="1" w:styleId="107">
    <w:name w:val="Style36"/>
    <w:basedOn w:val="1"/>
    <w:autoRedefine/>
    <w:unhideWhenUsed/>
    <w:qFormat/>
    <w:uiPriority w:val="0"/>
  </w:style>
  <w:style w:type="paragraph" w:customStyle="1" w:styleId="108">
    <w:name w:val="Char1 Char Char Char 字元 Char Char 字元 Char 字元 Char1 Char Char Char"/>
    <w:basedOn w:val="1"/>
    <w:autoRedefine/>
    <w:qFormat/>
    <w:uiPriority w:val="0"/>
    <w:rPr>
      <w:szCs w:val="20"/>
    </w:rPr>
  </w:style>
  <w:style w:type="paragraph" w:customStyle="1" w:styleId="109">
    <w:name w:val="Style5"/>
    <w:basedOn w:val="1"/>
    <w:autoRedefine/>
    <w:unhideWhenUsed/>
    <w:qFormat/>
    <w:uiPriority w:val="0"/>
  </w:style>
  <w:style w:type="paragraph" w:customStyle="1" w:styleId="110">
    <w:name w:val="Char1 Char Char Char Char Char Char Char Char Char"/>
    <w:basedOn w:val="1"/>
    <w:autoRedefine/>
    <w:qFormat/>
    <w:uiPriority w:val="0"/>
    <w:rPr>
      <w:szCs w:val="20"/>
    </w:rPr>
  </w:style>
  <w:style w:type="paragraph" w:customStyle="1" w:styleId="111">
    <w:name w:val="表正文"/>
    <w:autoRedefine/>
    <w:qFormat/>
    <w:uiPriority w:val="0"/>
    <w:pPr>
      <w:widowControl w:val="0"/>
      <w:ind w:left="840" w:leftChars="350"/>
      <w:jc w:val="both"/>
      <w:outlineLvl w:val="0"/>
    </w:pPr>
    <w:rPr>
      <w:rFonts w:ascii="宋体" w:hAnsi="Calibri" w:eastAsia="宋体" w:cs="Times New Roman"/>
      <w:b/>
      <w:sz w:val="24"/>
      <w:lang w:val="en-US" w:eastAsia="zh-CN" w:bidi="ar-SA"/>
    </w:rPr>
  </w:style>
  <w:style w:type="paragraph" w:customStyle="1" w:styleId="112">
    <w:name w:val="列出段落11"/>
    <w:basedOn w:val="1"/>
    <w:autoRedefine/>
    <w:qFormat/>
    <w:uiPriority w:val="99"/>
  </w:style>
  <w:style w:type="paragraph" w:customStyle="1" w:styleId="113">
    <w:name w:val="Style73"/>
    <w:basedOn w:val="1"/>
    <w:autoRedefine/>
    <w:unhideWhenUsed/>
    <w:qFormat/>
    <w:uiPriority w:val="0"/>
    <w:pPr>
      <w:spacing w:line="538" w:lineRule="exact"/>
      <w:ind w:firstLine="533"/>
    </w:pPr>
  </w:style>
  <w:style w:type="paragraph" w:customStyle="1" w:styleId="114">
    <w:name w:val="Style26"/>
    <w:basedOn w:val="1"/>
    <w:autoRedefine/>
    <w:unhideWhenUsed/>
    <w:qFormat/>
    <w:uiPriority w:val="0"/>
  </w:style>
  <w:style w:type="paragraph" w:customStyle="1" w:styleId="115">
    <w:name w:val="Style56"/>
    <w:basedOn w:val="1"/>
    <w:autoRedefine/>
    <w:unhideWhenUsed/>
    <w:qFormat/>
    <w:uiPriority w:val="0"/>
  </w:style>
  <w:style w:type="paragraph" w:customStyle="1" w:styleId="116">
    <w:name w:val="表格内容"/>
    <w:basedOn w:val="21"/>
    <w:autoRedefine/>
    <w:qFormat/>
    <w:uiPriority w:val="0"/>
    <w:pPr>
      <w:suppressLineNumbers/>
      <w:suppressAutoHyphens/>
      <w:jc w:val="left"/>
    </w:pPr>
    <w:rPr>
      <w:rFonts w:cs="Tahoma"/>
      <w:kern w:val="0"/>
      <w:sz w:val="24"/>
    </w:rPr>
  </w:style>
  <w:style w:type="paragraph" w:customStyle="1" w:styleId="117">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8">
    <w:name w:val="Style78"/>
    <w:basedOn w:val="1"/>
    <w:autoRedefine/>
    <w:unhideWhenUsed/>
    <w:qFormat/>
    <w:uiPriority w:val="0"/>
  </w:style>
  <w:style w:type="paragraph" w:customStyle="1" w:styleId="119">
    <w:name w:val="Style29"/>
    <w:basedOn w:val="1"/>
    <w:autoRedefine/>
    <w:unhideWhenUsed/>
    <w:qFormat/>
    <w:uiPriority w:val="0"/>
    <w:pPr>
      <w:spacing w:line="547" w:lineRule="exact"/>
      <w:ind w:firstLine="547"/>
    </w:pPr>
  </w:style>
  <w:style w:type="paragraph" w:customStyle="1" w:styleId="120">
    <w:name w:val="Style70"/>
    <w:basedOn w:val="1"/>
    <w:autoRedefine/>
    <w:unhideWhenUsed/>
    <w:qFormat/>
    <w:uiPriority w:val="0"/>
    <w:pPr>
      <w:spacing w:line="549" w:lineRule="exact"/>
      <w:ind w:firstLine="686"/>
    </w:pPr>
  </w:style>
  <w:style w:type="paragraph" w:customStyle="1" w:styleId="121">
    <w:name w:val="Style27"/>
    <w:basedOn w:val="1"/>
    <w:autoRedefine/>
    <w:unhideWhenUsed/>
    <w:qFormat/>
    <w:uiPriority w:val="0"/>
  </w:style>
  <w:style w:type="paragraph" w:customStyle="1" w:styleId="122">
    <w:name w:val="Style45"/>
    <w:basedOn w:val="1"/>
    <w:autoRedefine/>
    <w:unhideWhenUsed/>
    <w:qFormat/>
    <w:uiPriority w:val="0"/>
  </w:style>
  <w:style w:type="paragraph" w:customStyle="1" w:styleId="123">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4">
    <w:name w:val="Style16"/>
    <w:basedOn w:val="1"/>
    <w:autoRedefine/>
    <w:unhideWhenUsed/>
    <w:qFormat/>
    <w:uiPriority w:val="0"/>
    <w:pPr>
      <w:jc w:val="right"/>
    </w:pPr>
  </w:style>
  <w:style w:type="paragraph" w:customStyle="1" w:styleId="125">
    <w:name w:val="Style11"/>
    <w:basedOn w:val="1"/>
    <w:autoRedefine/>
    <w:unhideWhenUsed/>
    <w:qFormat/>
    <w:uiPriority w:val="0"/>
    <w:pPr>
      <w:spacing w:line="559" w:lineRule="exact"/>
      <w:ind w:firstLine="590"/>
    </w:pPr>
  </w:style>
  <w:style w:type="paragraph" w:customStyle="1" w:styleId="126">
    <w:name w:val="样式 标题 2 + 宋体 五号 行距: 单倍行距"/>
    <w:basedOn w:val="7"/>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27">
    <w:name w:val="Char2"/>
    <w:basedOn w:val="1"/>
    <w:autoRedefine/>
    <w:qFormat/>
    <w:uiPriority w:val="0"/>
    <w:pPr>
      <w:tabs>
        <w:tab w:val="left" w:pos="360"/>
      </w:tabs>
      <w:ind w:left="360" w:hanging="360" w:hangingChars="200"/>
    </w:pPr>
    <w:rPr>
      <w:sz w:val="24"/>
    </w:rPr>
  </w:style>
  <w:style w:type="paragraph" w:customStyle="1" w:styleId="128">
    <w:name w:val="Style59"/>
    <w:basedOn w:val="1"/>
    <w:autoRedefine/>
    <w:unhideWhenUsed/>
    <w:qFormat/>
    <w:uiPriority w:val="0"/>
  </w:style>
  <w:style w:type="paragraph" w:customStyle="1" w:styleId="129">
    <w:name w:val="p16"/>
    <w:basedOn w:val="1"/>
    <w:autoRedefine/>
    <w:qFormat/>
    <w:uiPriority w:val="0"/>
    <w:pPr>
      <w:widowControl/>
      <w:jc w:val="left"/>
    </w:pPr>
    <w:rPr>
      <w:kern w:val="0"/>
      <w:szCs w:val="21"/>
    </w:rPr>
  </w:style>
  <w:style w:type="paragraph" w:customStyle="1" w:styleId="130">
    <w:name w:val="Style81"/>
    <w:basedOn w:val="1"/>
    <w:autoRedefine/>
    <w:unhideWhenUsed/>
    <w:qFormat/>
    <w:uiPriority w:val="0"/>
    <w:pPr>
      <w:spacing w:line="547" w:lineRule="exact"/>
    </w:pPr>
  </w:style>
  <w:style w:type="paragraph" w:customStyle="1" w:styleId="131">
    <w:name w:val="NO3"/>
    <w:basedOn w:val="1"/>
    <w:autoRedefine/>
    <w:qFormat/>
    <w:uiPriority w:val="0"/>
    <w:pPr>
      <w:tabs>
        <w:tab w:val="left" w:pos="907"/>
      </w:tabs>
    </w:pPr>
    <w:rPr>
      <w:sz w:val="24"/>
    </w:rPr>
  </w:style>
  <w:style w:type="paragraph" w:customStyle="1" w:styleId="132">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33">
    <w:name w:val="修订1"/>
    <w:autoRedefine/>
    <w:qFormat/>
    <w:uiPriority w:val="0"/>
    <w:rPr>
      <w:rFonts w:ascii="Calibri" w:hAnsi="Calibri" w:eastAsia="宋体" w:cs="Times New Roman"/>
      <w:kern w:val="2"/>
      <w:sz w:val="21"/>
      <w:szCs w:val="24"/>
      <w:lang w:val="en-US" w:eastAsia="zh-CN" w:bidi="ar-SA"/>
    </w:rPr>
  </w:style>
  <w:style w:type="paragraph" w:customStyle="1" w:styleId="134">
    <w:name w:val="Style68"/>
    <w:basedOn w:val="1"/>
    <w:autoRedefine/>
    <w:unhideWhenUsed/>
    <w:qFormat/>
    <w:uiPriority w:val="0"/>
    <w:pPr>
      <w:spacing w:line="547" w:lineRule="exact"/>
    </w:pPr>
  </w:style>
  <w:style w:type="paragraph" w:customStyle="1" w:styleId="135">
    <w:name w:val="Style41"/>
    <w:basedOn w:val="1"/>
    <w:autoRedefine/>
    <w:unhideWhenUsed/>
    <w:qFormat/>
    <w:uiPriority w:val="0"/>
    <w:pPr>
      <w:spacing w:line="542" w:lineRule="exact"/>
      <w:ind w:firstLine="125"/>
    </w:pPr>
  </w:style>
  <w:style w:type="paragraph" w:customStyle="1" w:styleId="136">
    <w:name w:val="1 Char Char Char Char"/>
    <w:basedOn w:val="1"/>
    <w:autoRedefine/>
    <w:qFormat/>
    <w:uiPriority w:val="0"/>
  </w:style>
  <w:style w:type="paragraph" w:customStyle="1" w:styleId="137">
    <w:name w:val="Style28"/>
    <w:basedOn w:val="1"/>
    <w:autoRedefine/>
    <w:unhideWhenUsed/>
    <w:qFormat/>
    <w:uiPriority w:val="0"/>
    <w:pPr>
      <w:spacing w:line="552" w:lineRule="exact"/>
      <w:ind w:firstLine="547"/>
    </w:pPr>
  </w:style>
  <w:style w:type="paragraph" w:customStyle="1" w:styleId="138">
    <w:name w:val="列出段落2"/>
    <w:basedOn w:val="1"/>
    <w:autoRedefine/>
    <w:qFormat/>
    <w:uiPriority w:val="0"/>
    <w:rPr>
      <w:szCs w:val="22"/>
    </w:rPr>
  </w:style>
  <w:style w:type="paragraph" w:customStyle="1" w:styleId="139">
    <w:name w:val="Style53"/>
    <w:basedOn w:val="1"/>
    <w:autoRedefine/>
    <w:unhideWhenUsed/>
    <w:qFormat/>
    <w:uiPriority w:val="0"/>
    <w:pPr>
      <w:spacing w:line="533" w:lineRule="exact"/>
      <w:ind w:firstLine="581"/>
    </w:pPr>
  </w:style>
  <w:style w:type="paragraph" w:customStyle="1" w:styleId="140">
    <w:name w:val="样式1"/>
    <w:basedOn w:val="1"/>
    <w:autoRedefine/>
    <w:qFormat/>
    <w:uiPriority w:val="0"/>
    <w:pPr>
      <w:tabs>
        <w:tab w:val="left" w:pos="360"/>
      </w:tabs>
      <w:adjustRightInd w:val="0"/>
      <w:ind w:left="360" w:hanging="360"/>
      <w:textAlignment w:val="baseline"/>
    </w:pPr>
    <w:rPr>
      <w:kern w:val="0"/>
      <w:szCs w:val="21"/>
    </w:rPr>
  </w:style>
  <w:style w:type="paragraph" w:customStyle="1" w:styleId="141">
    <w:name w:val="Char Char Char Char Char Char Char"/>
    <w:basedOn w:val="1"/>
    <w:autoRedefine/>
    <w:qFormat/>
    <w:uiPriority w:val="0"/>
    <w:pPr>
      <w:snapToGrid w:val="0"/>
      <w:ind w:firstLine="200"/>
    </w:pPr>
    <w:rPr>
      <w:rFonts w:eastAsia="仿宋_GB2312"/>
      <w:sz w:val="24"/>
    </w:rPr>
  </w:style>
  <w:style w:type="paragraph" w:customStyle="1" w:styleId="142">
    <w:name w:val="Style48"/>
    <w:basedOn w:val="1"/>
    <w:autoRedefine/>
    <w:unhideWhenUsed/>
    <w:qFormat/>
    <w:uiPriority w:val="0"/>
    <w:pPr>
      <w:spacing w:line="542" w:lineRule="exact"/>
      <w:jc w:val="right"/>
    </w:pPr>
  </w:style>
  <w:style w:type="paragraph" w:customStyle="1" w:styleId="143">
    <w:name w:val="列表段落1"/>
    <w:basedOn w:val="1"/>
    <w:autoRedefine/>
    <w:qFormat/>
    <w:uiPriority w:val="0"/>
    <w:rPr>
      <w:rFonts w:cs="Calibri"/>
      <w:szCs w:val="21"/>
    </w:rPr>
  </w:style>
  <w:style w:type="paragraph" w:customStyle="1" w:styleId="144">
    <w:name w:val="Style74"/>
    <w:basedOn w:val="1"/>
    <w:autoRedefine/>
    <w:unhideWhenUsed/>
    <w:qFormat/>
    <w:uiPriority w:val="0"/>
    <w:pPr>
      <w:spacing w:line="437" w:lineRule="exact"/>
    </w:pPr>
  </w:style>
  <w:style w:type="paragraph" w:customStyle="1" w:styleId="14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6">
    <w:name w:val="样式 标题 2 + Times New Roman 四号 非加粗 段前: 5 磅 段后: 0 磅 行距: 固定值 20..."/>
    <w:basedOn w:val="7"/>
    <w:autoRedefine/>
    <w:qFormat/>
    <w:uiPriority w:val="0"/>
    <w:pPr>
      <w:spacing w:before="100" w:line="400" w:lineRule="exact"/>
    </w:pPr>
    <w:rPr>
      <w:rFonts w:ascii="Times New Roman" w:hAnsi="Times New Roman" w:eastAsia="黑体"/>
      <w:b w:val="0"/>
      <w:bCs w:val="0"/>
      <w:sz w:val="28"/>
      <w:szCs w:val="20"/>
    </w:rPr>
  </w:style>
  <w:style w:type="paragraph" w:customStyle="1" w:styleId="147">
    <w:name w:val="Style15"/>
    <w:basedOn w:val="1"/>
    <w:autoRedefine/>
    <w:unhideWhenUsed/>
    <w:qFormat/>
    <w:uiPriority w:val="0"/>
    <w:pPr>
      <w:spacing w:line="557" w:lineRule="exact"/>
      <w:ind w:firstLine="672"/>
    </w:pPr>
  </w:style>
  <w:style w:type="paragraph" w:customStyle="1" w:styleId="148">
    <w:name w:val="Style77"/>
    <w:basedOn w:val="1"/>
    <w:autoRedefine/>
    <w:unhideWhenUsed/>
    <w:qFormat/>
    <w:uiPriority w:val="0"/>
  </w:style>
  <w:style w:type="paragraph" w:customStyle="1" w:styleId="149">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b/>
      <w:bCs/>
      <w:color w:val="000000"/>
      <w:kern w:val="0"/>
      <w:szCs w:val="20"/>
    </w:rPr>
  </w:style>
  <w:style w:type="paragraph" w:customStyle="1" w:styleId="150">
    <w:name w:val="Style13"/>
    <w:basedOn w:val="1"/>
    <w:autoRedefine/>
    <w:unhideWhenUsed/>
    <w:qFormat/>
    <w:uiPriority w:val="0"/>
  </w:style>
  <w:style w:type="paragraph" w:customStyle="1" w:styleId="151">
    <w:name w:val="Style44"/>
    <w:basedOn w:val="1"/>
    <w:autoRedefine/>
    <w:unhideWhenUsed/>
    <w:qFormat/>
    <w:uiPriority w:val="0"/>
  </w:style>
  <w:style w:type="paragraph" w:customStyle="1" w:styleId="152">
    <w:name w:val="1"/>
    <w:basedOn w:val="1"/>
    <w:autoRedefine/>
    <w:qFormat/>
    <w:uiPriority w:val="0"/>
    <w:pPr>
      <w:spacing w:afterLines="50"/>
    </w:pPr>
    <w:rPr>
      <w:b/>
      <w:sz w:val="30"/>
      <w:szCs w:val="21"/>
    </w:rPr>
  </w:style>
  <w:style w:type="paragraph" w:customStyle="1" w:styleId="153">
    <w:name w:val="Style60"/>
    <w:basedOn w:val="1"/>
    <w:autoRedefine/>
    <w:unhideWhenUsed/>
    <w:qFormat/>
    <w:uiPriority w:val="0"/>
    <w:pPr>
      <w:spacing w:line="566" w:lineRule="exact"/>
    </w:pPr>
  </w:style>
  <w:style w:type="paragraph" w:customStyle="1" w:styleId="154">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Style61"/>
    <w:basedOn w:val="1"/>
    <w:autoRedefine/>
    <w:unhideWhenUsed/>
    <w:qFormat/>
    <w:uiPriority w:val="0"/>
  </w:style>
  <w:style w:type="paragraph" w:customStyle="1" w:styleId="157">
    <w:name w:val="无间距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Style54"/>
    <w:basedOn w:val="1"/>
    <w:autoRedefine/>
    <w:unhideWhenUsed/>
    <w:qFormat/>
    <w:uiPriority w:val="0"/>
  </w:style>
  <w:style w:type="paragraph" w:customStyle="1" w:styleId="159">
    <w:name w:val="p0"/>
    <w:basedOn w:val="1"/>
    <w:link w:val="253"/>
    <w:autoRedefine/>
    <w:qFormat/>
    <w:uiPriority w:val="0"/>
    <w:pPr>
      <w:widowControl/>
    </w:pPr>
    <w:rPr>
      <w:kern w:val="0"/>
      <w:szCs w:val="21"/>
    </w:rPr>
  </w:style>
  <w:style w:type="paragraph" w:customStyle="1" w:styleId="160">
    <w:name w:val="Char Char Char Char Char Char Char1"/>
    <w:basedOn w:val="1"/>
    <w:autoRedefine/>
    <w:qFormat/>
    <w:uiPriority w:val="0"/>
    <w:pPr>
      <w:snapToGrid w:val="0"/>
      <w:ind w:firstLine="200"/>
    </w:pPr>
    <w:rPr>
      <w:rFonts w:eastAsia="仿宋_GB2312"/>
      <w:sz w:val="24"/>
    </w:rPr>
  </w:style>
  <w:style w:type="paragraph" w:customStyle="1" w:styleId="161">
    <w:name w:val="Style76"/>
    <w:basedOn w:val="1"/>
    <w:autoRedefine/>
    <w:unhideWhenUsed/>
    <w:qFormat/>
    <w:uiPriority w:val="0"/>
  </w:style>
  <w:style w:type="paragraph" w:customStyle="1" w:styleId="162">
    <w:name w:val="Style67"/>
    <w:basedOn w:val="1"/>
    <w:autoRedefine/>
    <w:unhideWhenUsed/>
    <w:qFormat/>
    <w:uiPriority w:val="0"/>
    <w:pPr>
      <w:spacing w:line="566" w:lineRule="exact"/>
      <w:ind w:firstLine="552"/>
    </w:pPr>
  </w:style>
  <w:style w:type="paragraph" w:customStyle="1" w:styleId="163">
    <w:name w:val="Style42"/>
    <w:basedOn w:val="1"/>
    <w:autoRedefine/>
    <w:unhideWhenUsed/>
    <w:qFormat/>
    <w:uiPriority w:val="0"/>
    <w:pPr>
      <w:spacing w:line="542" w:lineRule="exact"/>
      <w:ind w:firstLine="547"/>
    </w:pPr>
  </w:style>
  <w:style w:type="paragraph" w:customStyle="1" w:styleId="164">
    <w:name w:val="Style72"/>
    <w:basedOn w:val="1"/>
    <w:autoRedefine/>
    <w:unhideWhenUsed/>
    <w:qFormat/>
    <w:uiPriority w:val="0"/>
  </w:style>
  <w:style w:type="paragraph" w:customStyle="1" w:styleId="165">
    <w:name w:val="标题3"/>
    <w:basedOn w:val="6"/>
    <w:autoRedefine/>
    <w:qFormat/>
    <w:uiPriority w:val="0"/>
    <w:pPr>
      <w:spacing w:beforeLines="50" w:afterLines="50" w:line="400" w:lineRule="exact"/>
      <w:jc w:val="both"/>
    </w:pPr>
    <w:rPr>
      <w:kern w:val="32"/>
      <w:szCs w:val="32"/>
    </w:rPr>
  </w:style>
  <w:style w:type="paragraph" w:customStyle="1" w:styleId="166">
    <w:name w:val="Style58"/>
    <w:basedOn w:val="1"/>
    <w:autoRedefine/>
    <w:unhideWhenUsed/>
    <w:qFormat/>
    <w:uiPriority w:val="0"/>
    <w:pPr>
      <w:spacing w:line="413" w:lineRule="exact"/>
    </w:pPr>
  </w:style>
  <w:style w:type="character" w:customStyle="1" w:styleId="167">
    <w:name w:val="批注主题 Char1"/>
    <w:link w:val="4"/>
    <w:autoRedefine/>
    <w:qFormat/>
    <w:uiPriority w:val="0"/>
    <w:rPr>
      <w:rFonts w:eastAsia="宋体"/>
      <w:b/>
      <w:bCs/>
      <w:kern w:val="2"/>
      <w:sz w:val="21"/>
      <w:szCs w:val="24"/>
      <w:lang w:val="en-US" w:eastAsia="zh-CN" w:bidi="ar-SA"/>
    </w:rPr>
  </w:style>
  <w:style w:type="character" w:customStyle="1" w:styleId="168">
    <w:name w:val="Char Char6"/>
    <w:autoRedefine/>
    <w:qFormat/>
    <w:uiPriority w:val="0"/>
    <w:rPr>
      <w:rFonts w:ascii="Arial" w:hAnsi="Arial" w:eastAsia="黑体"/>
      <w:sz w:val="24"/>
      <w:szCs w:val="24"/>
      <w:lang w:val="en-US" w:eastAsia="zh-CN" w:bidi="ar-SA"/>
    </w:rPr>
  </w:style>
  <w:style w:type="character" w:customStyle="1" w:styleId="169">
    <w:name w:val="标题 4 Char1"/>
    <w:link w:val="9"/>
    <w:autoRedefine/>
    <w:qFormat/>
    <w:uiPriority w:val="0"/>
    <w:rPr>
      <w:rFonts w:ascii="Arial" w:hAnsi="Arial" w:eastAsia="黑体"/>
      <w:b/>
      <w:bCs/>
      <w:kern w:val="2"/>
      <w:sz w:val="28"/>
      <w:szCs w:val="28"/>
      <w:lang w:val="en-US" w:eastAsia="zh-CN" w:bidi="ar-SA"/>
    </w:rPr>
  </w:style>
  <w:style w:type="character" w:customStyle="1" w:styleId="170">
    <w:name w:val="Font Style134"/>
    <w:autoRedefine/>
    <w:unhideWhenUsed/>
    <w:qFormat/>
    <w:uiPriority w:val="0"/>
    <w:rPr>
      <w:rFonts w:hint="eastAsia" w:ascii="宋体" w:hAnsi="宋体" w:eastAsia="宋体"/>
      <w:spacing w:val="20"/>
      <w:sz w:val="22"/>
    </w:rPr>
  </w:style>
  <w:style w:type="character" w:customStyle="1" w:styleId="171">
    <w:name w:val="desc"/>
    <w:autoRedefine/>
    <w:qFormat/>
    <w:uiPriority w:val="0"/>
    <w:rPr>
      <w:rFonts w:ascii="Times New Roman" w:hAnsi="Times New Roman" w:eastAsia="宋体"/>
      <w:color w:val="000000"/>
      <w:sz w:val="18"/>
      <w:szCs w:val="18"/>
    </w:rPr>
  </w:style>
  <w:style w:type="character" w:customStyle="1" w:styleId="172">
    <w:name w:val="plus"/>
    <w:autoRedefine/>
    <w:qFormat/>
    <w:uiPriority w:val="0"/>
    <w:rPr>
      <w:rFonts w:ascii="Times New Roman" w:hAnsi="Times New Roman" w:eastAsia="宋体"/>
      <w:b/>
      <w:vanish/>
      <w:color w:val="1F8DEF"/>
      <w:sz w:val="24"/>
      <w:szCs w:val="24"/>
    </w:rPr>
  </w:style>
  <w:style w:type="character" w:customStyle="1" w:styleId="173">
    <w:name w:val="标题 8 Char1"/>
    <w:link w:val="13"/>
    <w:autoRedefine/>
    <w:qFormat/>
    <w:uiPriority w:val="0"/>
    <w:rPr>
      <w:rFonts w:ascii="Arial" w:hAnsi="Arial" w:eastAsia="黑体"/>
      <w:sz w:val="24"/>
      <w:szCs w:val="24"/>
      <w:lang w:val="en-US" w:eastAsia="zh-CN" w:bidi="ar-SA"/>
    </w:rPr>
  </w:style>
  <w:style w:type="character" w:customStyle="1" w:styleId="174">
    <w:name w:val="标题 5 Char1"/>
    <w:link w:val="10"/>
    <w:autoRedefine/>
    <w:qFormat/>
    <w:uiPriority w:val="0"/>
    <w:rPr>
      <w:rFonts w:eastAsia="宋体"/>
      <w:b/>
      <w:bCs/>
      <w:sz w:val="28"/>
      <w:szCs w:val="28"/>
      <w:lang w:val="en-US" w:eastAsia="zh-CN" w:bidi="ar-SA"/>
    </w:rPr>
  </w:style>
  <w:style w:type="character" w:customStyle="1" w:styleId="175">
    <w:name w:val="Font Style104"/>
    <w:autoRedefine/>
    <w:unhideWhenUsed/>
    <w:qFormat/>
    <w:uiPriority w:val="0"/>
    <w:rPr>
      <w:rFonts w:hint="eastAsia" w:ascii="宋体" w:hAnsi="宋体" w:eastAsia="宋体"/>
      <w:spacing w:val="30"/>
      <w:sz w:val="18"/>
    </w:rPr>
  </w:style>
  <w:style w:type="character" w:customStyle="1" w:styleId="176">
    <w:name w:val="morelink-item"/>
    <w:autoRedefine/>
    <w:qFormat/>
    <w:uiPriority w:val="0"/>
    <w:rPr>
      <w:rFonts w:ascii="Times New Roman" w:hAnsi="Times New Roman" w:eastAsia="宋体"/>
    </w:rPr>
  </w:style>
  <w:style w:type="character" w:customStyle="1" w:styleId="177">
    <w:name w:val="批注文字 Char Char"/>
    <w:autoRedefine/>
    <w:qFormat/>
    <w:uiPriority w:val="0"/>
    <w:rPr>
      <w:kern w:val="2"/>
      <w:sz w:val="21"/>
      <w:szCs w:val="24"/>
      <w:lang w:bidi="ar-SA"/>
    </w:rPr>
  </w:style>
  <w:style w:type="character" w:customStyle="1" w:styleId="178">
    <w:name w:val="批注框文本 Char"/>
    <w:autoRedefine/>
    <w:qFormat/>
    <w:uiPriority w:val="0"/>
    <w:rPr>
      <w:kern w:val="2"/>
      <w:sz w:val="18"/>
      <w:szCs w:val="18"/>
    </w:rPr>
  </w:style>
  <w:style w:type="character" w:customStyle="1" w:styleId="179">
    <w:name w:val="标题 3 Char1"/>
    <w:link w:val="8"/>
    <w:autoRedefine/>
    <w:qFormat/>
    <w:uiPriority w:val="0"/>
    <w:rPr>
      <w:rFonts w:eastAsia="宋体"/>
      <w:b/>
      <w:bCs/>
      <w:kern w:val="2"/>
      <w:sz w:val="32"/>
      <w:szCs w:val="32"/>
      <w:lang w:val="en-US" w:eastAsia="zh-CN" w:bidi="ar-SA"/>
    </w:rPr>
  </w:style>
  <w:style w:type="character" w:customStyle="1" w:styleId="180">
    <w:name w:val="标题 9 Char"/>
    <w:autoRedefine/>
    <w:qFormat/>
    <w:uiPriority w:val="0"/>
    <w:rPr>
      <w:rFonts w:ascii="Arial" w:hAnsi="Arial" w:eastAsia="黑体"/>
      <w:sz w:val="21"/>
      <w:szCs w:val="21"/>
    </w:rPr>
  </w:style>
  <w:style w:type="character" w:customStyle="1" w:styleId="181">
    <w:name w:val="日期 Char"/>
    <w:autoRedefine/>
    <w:qFormat/>
    <w:uiPriority w:val="0"/>
    <w:rPr>
      <w:kern w:val="2"/>
      <w:sz w:val="21"/>
      <w:szCs w:val="24"/>
    </w:rPr>
  </w:style>
  <w:style w:type="character" w:customStyle="1" w:styleId="182">
    <w:name w:val="Font Style133"/>
    <w:autoRedefine/>
    <w:unhideWhenUsed/>
    <w:qFormat/>
    <w:uiPriority w:val="0"/>
    <w:rPr>
      <w:rFonts w:hint="eastAsia" w:ascii="宋体" w:hAnsi="宋体" w:eastAsia="宋体"/>
      <w:spacing w:val="30"/>
      <w:sz w:val="24"/>
    </w:rPr>
  </w:style>
  <w:style w:type="character" w:customStyle="1" w:styleId="183">
    <w:name w:val="Font Style124"/>
    <w:autoRedefine/>
    <w:unhideWhenUsed/>
    <w:qFormat/>
    <w:uiPriority w:val="0"/>
    <w:rPr>
      <w:rFonts w:hint="eastAsia" w:ascii="宋体" w:hAnsi="宋体" w:eastAsia="宋体"/>
      <w:spacing w:val="30"/>
      <w:sz w:val="24"/>
    </w:rPr>
  </w:style>
  <w:style w:type="character" w:customStyle="1" w:styleId="184">
    <w:name w:val="标题 7 Char"/>
    <w:autoRedefine/>
    <w:qFormat/>
    <w:uiPriority w:val="0"/>
    <w:rPr>
      <w:b/>
      <w:bCs/>
      <w:sz w:val="24"/>
      <w:szCs w:val="24"/>
    </w:rPr>
  </w:style>
  <w:style w:type="character" w:customStyle="1" w:styleId="185">
    <w:name w:val="bds_more9"/>
    <w:autoRedefine/>
    <w:qFormat/>
    <w:uiPriority w:val="0"/>
    <w:rPr>
      <w:rFonts w:ascii="Times New Roman" w:hAnsi="Times New Roman" w:eastAsia="宋体"/>
    </w:rPr>
  </w:style>
  <w:style w:type="character" w:customStyle="1" w:styleId="186">
    <w:name w:val="Font Style121"/>
    <w:autoRedefine/>
    <w:unhideWhenUsed/>
    <w:qFormat/>
    <w:uiPriority w:val="0"/>
    <w:rPr>
      <w:rFonts w:hint="eastAsia" w:ascii="宋体" w:hAnsi="宋体" w:eastAsia="宋体"/>
      <w:spacing w:val="-10"/>
      <w:sz w:val="30"/>
    </w:rPr>
  </w:style>
  <w:style w:type="character" w:customStyle="1" w:styleId="187">
    <w:name w:val="Font Style127"/>
    <w:autoRedefine/>
    <w:unhideWhenUsed/>
    <w:qFormat/>
    <w:uiPriority w:val="0"/>
    <w:rPr>
      <w:rFonts w:hint="eastAsia" w:ascii="Times New Roman" w:hAnsi="Times New Roman" w:eastAsia="Times New Roman"/>
      <w:sz w:val="20"/>
    </w:rPr>
  </w:style>
  <w:style w:type="character" w:customStyle="1" w:styleId="188">
    <w:name w:val="polysemyred"/>
    <w:autoRedefine/>
    <w:qFormat/>
    <w:uiPriority w:val="0"/>
    <w:rPr>
      <w:rFonts w:ascii="Times New Roman" w:hAnsi="Times New Roman" w:eastAsia="宋体"/>
      <w:color w:val="FF6666"/>
      <w:sz w:val="18"/>
      <w:szCs w:val="18"/>
    </w:rPr>
  </w:style>
  <w:style w:type="character" w:customStyle="1" w:styleId="189">
    <w:name w:val="页眉 Char"/>
    <w:autoRedefine/>
    <w:qFormat/>
    <w:uiPriority w:val="0"/>
    <w:rPr>
      <w:kern w:val="2"/>
      <w:sz w:val="18"/>
      <w:szCs w:val="18"/>
    </w:rPr>
  </w:style>
  <w:style w:type="character" w:customStyle="1" w:styleId="190">
    <w:name w:val="标题 4 Char Char"/>
    <w:autoRedefine/>
    <w:qFormat/>
    <w:uiPriority w:val="0"/>
    <w:rPr>
      <w:rFonts w:ascii="Arial" w:hAnsi="Arial" w:eastAsia="宋体"/>
      <w:b/>
      <w:bCs/>
      <w:kern w:val="2"/>
      <w:sz w:val="21"/>
      <w:szCs w:val="28"/>
      <w:lang w:val="en-US" w:eastAsia="zh-CN" w:bidi="ar-SA"/>
    </w:rPr>
  </w:style>
  <w:style w:type="character" w:customStyle="1" w:styleId="191">
    <w:name w:val="Char Char16"/>
    <w:autoRedefine/>
    <w:qFormat/>
    <w:uiPriority w:val="0"/>
    <w:rPr>
      <w:rFonts w:ascii="宋体" w:hAnsi="Times New Roman" w:eastAsia="宋体"/>
      <w:b/>
      <w:sz w:val="24"/>
      <w:lang w:val="en-US" w:eastAsia="zh-CN" w:bidi="ar-SA"/>
    </w:rPr>
  </w:style>
  <w:style w:type="character" w:customStyle="1" w:styleId="192">
    <w:name w:val="fontstrikethrough"/>
    <w:basedOn w:val="45"/>
    <w:autoRedefine/>
    <w:qFormat/>
    <w:uiPriority w:val="0"/>
    <w:rPr>
      <w:strike/>
    </w:rPr>
  </w:style>
  <w:style w:type="character" w:customStyle="1" w:styleId="193">
    <w:name w:val="polysemyexp"/>
    <w:autoRedefine/>
    <w:qFormat/>
    <w:uiPriority w:val="0"/>
    <w:rPr>
      <w:rFonts w:ascii="Times New Roman" w:hAnsi="Times New Roman" w:eastAsia="宋体"/>
      <w:color w:val="AAAAAA"/>
      <w:sz w:val="18"/>
      <w:szCs w:val="18"/>
    </w:rPr>
  </w:style>
  <w:style w:type="character" w:customStyle="1" w:styleId="194">
    <w:name w:val="Font Style123"/>
    <w:autoRedefine/>
    <w:unhideWhenUsed/>
    <w:qFormat/>
    <w:uiPriority w:val="0"/>
    <w:rPr>
      <w:rFonts w:hint="eastAsia" w:ascii="宋体" w:hAnsi="宋体" w:eastAsia="宋体"/>
      <w:b/>
      <w:sz w:val="32"/>
    </w:rPr>
  </w:style>
  <w:style w:type="character" w:customStyle="1" w:styleId="195">
    <w:name w:val="sort"/>
    <w:autoRedefine/>
    <w:qFormat/>
    <w:uiPriority w:val="0"/>
    <w:rPr>
      <w:rFonts w:ascii="Times New Roman" w:hAnsi="Times New Roman" w:eastAsia="宋体"/>
      <w:color w:val="FFFFFF"/>
      <w:bdr w:val="single" w:color="auto" w:sz="24" w:space="0"/>
    </w:rPr>
  </w:style>
  <w:style w:type="character" w:customStyle="1" w:styleId="196">
    <w:name w:val="纯文本 Char1"/>
    <w:autoRedefine/>
    <w:semiHidden/>
    <w:qFormat/>
    <w:locked/>
    <w:uiPriority w:val="0"/>
    <w:rPr>
      <w:rFonts w:ascii="宋体" w:hAnsi="Courier New" w:eastAsia="宋体" w:cs="Courier New"/>
      <w:kern w:val="2"/>
      <w:sz w:val="21"/>
      <w:szCs w:val="21"/>
      <w:lang w:val="en-US" w:eastAsia="zh-CN" w:bidi="ar-SA"/>
    </w:rPr>
  </w:style>
  <w:style w:type="character" w:customStyle="1" w:styleId="197">
    <w:name w:val="Font Style86"/>
    <w:autoRedefine/>
    <w:unhideWhenUsed/>
    <w:qFormat/>
    <w:uiPriority w:val="0"/>
    <w:rPr>
      <w:rFonts w:hint="eastAsia" w:ascii="黑体" w:hAnsi="黑体" w:eastAsia="黑体"/>
      <w:spacing w:val="10"/>
      <w:sz w:val="30"/>
    </w:rPr>
  </w:style>
  <w:style w:type="character" w:customStyle="1" w:styleId="198">
    <w:name w:val="日期 Char1"/>
    <w:link w:val="27"/>
    <w:autoRedefine/>
    <w:qFormat/>
    <w:uiPriority w:val="0"/>
    <w:rPr>
      <w:rFonts w:eastAsia="宋体"/>
      <w:kern w:val="2"/>
      <w:sz w:val="24"/>
      <w:lang w:val="en-US" w:eastAsia="zh-CN" w:bidi="ar-SA"/>
    </w:rPr>
  </w:style>
  <w:style w:type="character" w:customStyle="1" w:styleId="199">
    <w:name w:val="正文文本缩进 Char"/>
    <w:link w:val="3"/>
    <w:autoRedefine/>
    <w:qFormat/>
    <w:uiPriority w:val="0"/>
    <w:rPr>
      <w:rFonts w:eastAsia="宋体"/>
      <w:kern w:val="2"/>
      <w:sz w:val="21"/>
      <w:szCs w:val="24"/>
      <w:lang w:val="en-US" w:eastAsia="zh-CN" w:bidi="ar-SA"/>
    </w:rPr>
  </w:style>
  <w:style w:type="character" w:customStyle="1" w:styleId="200">
    <w:name w:val="Font Style115"/>
    <w:autoRedefine/>
    <w:unhideWhenUsed/>
    <w:qFormat/>
    <w:uiPriority w:val="0"/>
    <w:rPr>
      <w:rFonts w:hint="eastAsia" w:ascii="Times New Roman" w:hAnsi="Times New Roman" w:eastAsia="Times New Roman"/>
      <w:sz w:val="16"/>
    </w:rPr>
  </w:style>
  <w:style w:type="character" w:customStyle="1" w:styleId="201">
    <w:name w:val="页眉 Char1"/>
    <w:link w:val="32"/>
    <w:autoRedefine/>
    <w:qFormat/>
    <w:uiPriority w:val="0"/>
    <w:rPr>
      <w:rFonts w:eastAsia="宋体"/>
      <w:kern w:val="2"/>
      <w:sz w:val="18"/>
      <w:szCs w:val="18"/>
      <w:lang w:val="en-US" w:eastAsia="zh-CN" w:bidi="ar-SA"/>
    </w:rPr>
  </w:style>
  <w:style w:type="character" w:customStyle="1" w:styleId="202">
    <w:name w:val="Char Char17"/>
    <w:autoRedefine/>
    <w:qFormat/>
    <w:uiPriority w:val="0"/>
    <w:rPr>
      <w:rFonts w:ascii="宋体" w:hAnsi="Times New Roman" w:eastAsia="宋体"/>
      <w:b/>
      <w:sz w:val="28"/>
      <w:lang w:val="en-US" w:eastAsia="zh-CN" w:bidi="ar-SA"/>
    </w:rPr>
  </w:style>
  <w:style w:type="character" w:customStyle="1" w:styleId="203">
    <w:name w:val="content_2"/>
    <w:basedOn w:val="45"/>
    <w:autoRedefine/>
    <w:qFormat/>
    <w:uiPriority w:val="0"/>
    <w:rPr>
      <w:sz w:val="19"/>
      <w:szCs w:val="19"/>
    </w:rPr>
  </w:style>
  <w:style w:type="character" w:customStyle="1" w:styleId="204">
    <w:name w:val="Font Style116"/>
    <w:autoRedefine/>
    <w:unhideWhenUsed/>
    <w:qFormat/>
    <w:uiPriority w:val="0"/>
    <w:rPr>
      <w:rFonts w:hint="eastAsia" w:ascii="宋体" w:hAnsi="宋体" w:eastAsia="宋体"/>
      <w:spacing w:val="-20"/>
      <w:sz w:val="24"/>
    </w:rPr>
  </w:style>
  <w:style w:type="character" w:customStyle="1" w:styleId="205">
    <w:name w:val="标题 Char"/>
    <w:autoRedefine/>
    <w:qFormat/>
    <w:uiPriority w:val="0"/>
    <w:rPr>
      <w:rFonts w:ascii="Cambria" w:hAnsi="Cambria"/>
      <w:b/>
      <w:kern w:val="2"/>
      <w:sz w:val="32"/>
      <w:szCs w:val="24"/>
    </w:rPr>
  </w:style>
  <w:style w:type="character" w:customStyle="1" w:styleId="206">
    <w:name w:val="批注主题 Char"/>
    <w:autoRedefine/>
    <w:qFormat/>
    <w:uiPriority w:val="0"/>
    <w:rPr>
      <w:b/>
      <w:bCs/>
      <w:kern w:val="2"/>
      <w:sz w:val="21"/>
      <w:szCs w:val="24"/>
    </w:rPr>
  </w:style>
  <w:style w:type="character" w:customStyle="1" w:styleId="207">
    <w:name w:val="sort1"/>
    <w:autoRedefine/>
    <w:qFormat/>
    <w:uiPriority w:val="0"/>
    <w:rPr>
      <w:rFonts w:ascii="Times New Roman" w:hAnsi="Times New Roman" w:eastAsia="宋体"/>
    </w:rPr>
  </w:style>
  <w:style w:type="character" w:customStyle="1" w:styleId="208">
    <w:name w:val="Font Style131"/>
    <w:autoRedefine/>
    <w:unhideWhenUsed/>
    <w:qFormat/>
    <w:uiPriority w:val="0"/>
    <w:rPr>
      <w:rFonts w:hint="eastAsia" w:ascii="Times New Roman" w:hAnsi="Times New Roman" w:eastAsia="Times New Roman"/>
      <w:sz w:val="18"/>
    </w:rPr>
  </w:style>
  <w:style w:type="character" w:customStyle="1" w:styleId="209">
    <w:name w:val="标题 2 Char1"/>
    <w:link w:val="7"/>
    <w:autoRedefine/>
    <w:qFormat/>
    <w:uiPriority w:val="0"/>
    <w:rPr>
      <w:rFonts w:ascii="Arial" w:hAnsi="Arial" w:eastAsia="宋体"/>
      <w:b/>
      <w:bCs/>
      <w:kern w:val="2"/>
      <w:sz w:val="24"/>
      <w:szCs w:val="32"/>
      <w:lang w:val="en-US" w:eastAsia="zh-CN" w:bidi="ar-SA"/>
    </w:rPr>
  </w:style>
  <w:style w:type="character" w:customStyle="1" w:styleId="210">
    <w:name w:val="标题 Char1"/>
    <w:autoRedefine/>
    <w:qFormat/>
    <w:uiPriority w:val="0"/>
    <w:rPr>
      <w:rFonts w:ascii="Cambria" w:hAnsi="Cambria" w:eastAsia="宋体" w:cs="Times New Roman"/>
      <w:b/>
      <w:bCs/>
      <w:sz w:val="32"/>
      <w:szCs w:val="32"/>
    </w:rPr>
  </w:style>
  <w:style w:type="character" w:customStyle="1" w:styleId="211">
    <w:name w:val="正文文本缩进 3 Char"/>
    <w:autoRedefine/>
    <w:qFormat/>
    <w:uiPriority w:val="0"/>
    <w:rPr>
      <w:rFonts w:ascii="宋体" w:hAnsi="MS Sans Serif"/>
      <w:color w:val="000000"/>
      <w:sz w:val="24"/>
    </w:rPr>
  </w:style>
  <w:style w:type="character" w:customStyle="1" w:styleId="212">
    <w:name w:val="Font Style122"/>
    <w:autoRedefine/>
    <w:unhideWhenUsed/>
    <w:qFormat/>
    <w:uiPriority w:val="0"/>
    <w:rPr>
      <w:rFonts w:hint="eastAsia" w:ascii="宋体" w:hAnsi="宋体" w:eastAsia="宋体"/>
      <w:spacing w:val="20"/>
      <w:sz w:val="24"/>
    </w:rPr>
  </w:style>
  <w:style w:type="character" w:customStyle="1" w:styleId="213">
    <w:name w:val="标题 6 Char"/>
    <w:autoRedefine/>
    <w:qFormat/>
    <w:uiPriority w:val="0"/>
    <w:rPr>
      <w:rFonts w:ascii="Arial" w:hAnsi="Arial" w:eastAsia="黑体"/>
      <w:b/>
      <w:bCs/>
      <w:sz w:val="24"/>
      <w:szCs w:val="24"/>
    </w:rPr>
  </w:style>
  <w:style w:type="character" w:customStyle="1" w:styleId="214">
    <w:name w:val="Font Style119"/>
    <w:autoRedefine/>
    <w:unhideWhenUsed/>
    <w:qFormat/>
    <w:uiPriority w:val="0"/>
    <w:rPr>
      <w:rFonts w:hint="eastAsia" w:ascii="宋体" w:hAnsi="宋体" w:eastAsia="宋体"/>
      <w:sz w:val="24"/>
    </w:rPr>
  </w:style>
  <w:style w:type="character" w:customStyle="1" w:styleId="215">
    <w:name w:val="sidecatalog-dot1"/>
    <w:autoRedefine/>
    <w:qFormat/>
    <w:uiPriority w:val="0"/>
    <w:rPr>
      <w:rFonts w:ascii="Times New Roman" w:hAnsi="Times New Roman" w:eastAsia="宋体"/>
    </w:rPr>
  </w:style>
  <w:style w:type="character" w:customStyle="1" w:styleId="216">
    <w:name w:val="bds_more8"/>
    <w:autoRedefine/>
    <w:qFormat/>
    <w:uiPriority w:val="0"/>
    <w:rPr>
      <w:rFonts w:ascii="Times New Roman" w:hAnsi="Times New Roman" w:eastAsia="宋体"/>
    </w:rPr>
  </w:style>
  <w:style w:type="character" w:customStyle="1" w:styleId="217">
    <w:name w:val="bds_more6"/>
    <w:autoRedefine/>
    <w:qFormat/>
    <w:uiPriority w:val="0"/>
    <w:rPr>
      <w:rFonts w:hint="eastAsia" w:ascii="宋体" w:hAnsi="宋体" w:eastAsia="宋体" w:cs="宋体"/>
    </w:rPr>
  </w:style>
  <w:style w:type="character" w:customStyle="1" w:styleId="218">
    <w:name w:val="Char Char15"/>
    <w:autoRedefine/>
    <w:qFormat/>
    <w:uiPriority w:val="0"/>
    <w:rPr>
      <w:b/>
      <w:bCs/>
      <w:sz w:val="24"/>
      <w:szCs w:val="24"/>
    </w:rPr>
  </w:style>
  <w:style w:type="character" w:customStyle="1" w:styleId="219">
    <w:name w:val="批注文字 Char"/>
    <w:autoRedefine/>
    <w:qFormat/>
    <w:uiPriority w:val="0"/>
    <w:rPr>
      <w:kern w:val="2"/>
      <w:sz w:val="21"/>
      <w:szCs w:val="24"/>
    </w:rPr>
  </w:style>
  <w:style w:type="character" w:customStyle="1" w:styleId="220">
    <w:name w:val="标题 1 Char1"/>
    <w:link w:val="6"/>
    <w:autoRedefine/>
    <w:qFormat/>
    <w:uiPriority w:val="0"/>
    <w:rPr>
      <w:rFonts w:eastAsia="宋体"/>
      <w:b/>
      <w:bCs/>
      <w:kern w:val="2"/>
      <w:sz w:val="24"/>
      <w:lang w:val="en-US" w:eastAsia="zh-CN" w:bidi="ar-SA"/>
    </w:rPr>
  </w:style>
  <w:style w:type="character" w:customStyle="1" w:styleId="221">
    <w:name w:val="批注文字 Char1"/>
    <w:link w:val="5"/>
    <w:autoRedefine/>
    <w:qFormat/>
    <w:uiPriority w:val="0"/>
    <w:rPr>
      <w:rFonts w:eastAsia="宋体"/>
      <w:kern w:val="2"/>
      <w:sz w:val="21"/>
      <w:szCs w:val="24"/>
      <w:lang w:val="en-US" w:eastAsia="zh-CN" w:bidi="ar-SA"/>
    </w:rPr>
  </w:style>
  <w:style w:type="character" w:customStyle="1" w:styleId="222">
    <w:name w:val="Font Style128"/>
    <w:autoRedefine/>
    <w:unhideWhenUsed/>
    <w:qFormat/>
    <w:uiPriority w:val="0"/>
    <w:rPr>
      <w:rFonts w:hint="eastAsia" w:ascii="Times New Roman" w:hAnsi="Times New Roman" w:eastAsia="Times New Roman"/>
      <w:sz w:val="16"/>
    </w:rPr>
  </w:style>
  <w:style w:type="character" w:customStyle="1" w:styleId="223">
    <w:name w:val="bds_more7"/>
    <w:autoRedefine/>
    <w:qFormat/>
    <w:uiPriority w:val="0"/>
    <w:rPr>
      <w:rFonts w:ascii="Times New Roman" w:hAnsi="Times New Roman" w:eastAsia="宋体"/>
    </w:rPr>
  </w:style>
  <w:style w:type="character" w:customStyle="1" w:styleId="224">
    <w:name w:val="sidecatalog-index2"/>
    <w:autoRedefine/>
    <w:qFormat/>
    <w:uiPriority w:val="0"/>
    <w:rPr>
      <w:rFonts w:ascii="Arail" w:hAnsi="Arail" w:eastAsia="Arail" w:cs="Arail"/>
      <w:color w:val="999999"/>
      <w:sz w:val="21"/>
      <w:szCs w:val="21"/>
    </w:rPr>
  </w:style>
  <w:style w:type="character" w:customStyle="1" w:styleId="225">
    <w:name w:val="标题 9 Char1"/>
    <w:link w:val="14"/>
    <w:autoRedefine/>
    <w:qFormat/>
    <w:uiPriority w:val="0"/>
    <w:rPr>
      <w:rFonts w:ascii="Arial" w:hAnsi="Arial" w:eastAsia="黑体"/>
      <w:sz w:val="21"/>
      <w:szCs w:val="21"/>
      <w:lang w:val="en-US" w:eastAsia="zh-CN" w:bidi="ar-SA"/>
    </w:rPr>
  </w:style>
  <w:style w:type="character" w:customStyle="1" w:styleId="226">
    <w:name w:val="批注框文本 Char1"/>
    <w:link w:val="30"/>
    <w:autoRedefine/>
    <w:semiHidden/>
    <w:qFormat/>
    <w:locked/>
    <w:uiPriority w:val="0"/>
    <w:rPr>
      <w:rFonts w:ascii="Calibri" w:hAnsi="Calibri" w:eastAsia="宋体"/>
      <w:kern w:val="2"/>
      <w:sz w:val="18"/>
      <w:szCs w:val="18"/>
      <w:lang w:val="en-US" w:eastAsia="zh-CN" w:bidi="ar-SA"/>
    </w:rPr>
  </w:style>
  <w:style w:type="character" w:customStyle="1" w:styleId="227">
    <w:name w:val="Font Style94"/>
    <w:autoRedefine/>
    <w:unhideWhenUsed/>
    <w:qFormat/>
    <w:uiPriority w:val="0"/>
    <w:rPr>
      <w:rFonts w:hint="eastAsia" w:ascii="Times New Roman" w:hAnsi="Times New Roman" w:eastAsia="Times New Roman"/>
      <w:sz w:val="28"/>
    </w:rPr>
  </w:style>
  <w:style w:type="character" w:customStyle="1" w:styleId="228">
    <w:name w:val="标题 6 Char1"/>
    <w:link w:val="11"/>
    <w:autoRedefine/>
    <w:qFormat/>
    <w:uiPriority w:val="0"/>
    <w:rPr>
      <w:rFonts w:ascii="Arial" w:hAnsi="Arial" w:eastAsia="黑体"/>
      <w:b/>
      <w:bCs/>
      <w:sz w:val="24"/>
      <w:szCs w:val="24"/>
      <w:lang w:val="en-US" w:eastAsia="zh-CN" w:bidi="ar-SA"/>
    </w:rPr>
  </w:style>
  <w:style w:type="character" w:customStyle="1" w:styleId="229">
    <w:name w:val="bds_more10"/>
    <w:autoRedefine/>
    <w:qFormat/>
    <w:uiPriority w:val="0"/>
    <w:rPr>
      <w:rFonts w:ascii="Times New Roman" w:hAnsi="Times New Roman" w:eastAsia="宋体"/>
    </w:rPr>
  </w:style>
  <w:style w:type="character" w:customStyle="1" w:styleId="230">
    <w:name w:val="Font Style126"/>
    <w:autoRedefine/>
    <w:unhideWhenUsed/>
    <w:qFormat/>
    <w:uiPriority w:val="0"/>
    <w:rPr>
      <w:rFonts w:hint="eastAsia" w:ascii="宋体" w:hAnsi="宋体" w:eastAsia="宋体"/>
      <w:b/>
      <w:spacing w:val="-30"/>
      <w:sz w:val="28"/>
    </w:rPr>
  </w:style>
  <w:style w:type="character" w:customStyle="1" w:styleId="231">
    <w:name w:val="Font Style125"/>
    <w:autoRedefine/>
    <w:unhideWhenUsed/>
    <w:qFormat/>
    <w:uiPriority w:val="0"/>
    <w:rPr>
      <w:rFonts w:hint="eastAsia" w:ascii="宋体" w:hAnsi="宋体" w:eastAsia="宋体"/>
      <w:b/>
      <w:sz w:val="26"/>
    </w:rPr>
  </w:style>
  <w:style w:type="character" w:customStyle="1" w:styleId="232">
    <w:name w:val="bds_nopic"/>
    <w:autoRedefine/>
    <w:qFormat/>
    <w:uiPriority w:val="0"/>
    <w:rPr>
      <w:rFonts w:ascii="Times New Roman" w:hAnsi="Times New Roman" w:eastAsia="宋体"/>
    </w:rPr>
  </w:style>
  <w:style w:type="character" w:customStyle="1" w:styleId="233">
    <w:name w:val="sidecatalog-index1"/>
    <w:autoRedefine/>
    <w:qFormat/>
    <w:uiPriority w:val="0"/>
    <w:rPr>
      <w:rFonts w:ascii="Arial" w:hAnsi="Arial" w:eastAsia="宋体" w:cs="Arial"/>
      <w:b/>
      <w:color w:val="999999"/>
      <w:sz w:val="21"/>
      <w:szCs w:val="21"/>
    </w:rPr>
  </w:style>
  <w:style w:type="character" w:customStyle="1" w:styleId="234">
    <w:name w:val="页脚 Char"/>
    <w:autoRedefine/>
    <w:qFormat/>
    <w:uiPriority w:val="0"/>
    <w:rPr>
      <w:kern w:val="2"/>
      <w:sz w:val="18"/>
      <w:szCs w:val="18"/>
    </w:rPr>
  </w:style>
  <w:style w:type="character" w:customStyle="1" w:styleId="235">
    <w:name w:val="Font Style117"/>
    <w:autoRedefine/>
    <w:unhideWhenUsed/>
    <w:qFormat/>
    <w:uiPriority w:val="0"/>
    <w:rPr>
      <w:rFonts w:hint="eastAsia" w:ascii="宋体" w:hAnsi="宋体" w:eastAsia="宋体"/>
      <w:spacing w:val="20"/>
      <w:sz w:val="24"/>
    </w:rPr>
  </w:style>
  <w:style w:type="character" w:customStyle="1" w:styleId="236">
    <w:name w:val="bds_nopic2"/>
    <w:autoRedefine/>
    <w:qFormat/>
    <w:uiPriority w:val="0"/>
    <w:rPr>
      <w:rFonts w:ascii="Times New Roman" w:hAnsi="Times New Roman" w:eastAsia="宋体"/>
    </w:rPr>
  </w:style>
  <w:style w:type="character" w:customStyle="1" w:styleId="237">
    <w:name w:val="Char Char14"/>
    <w:autoRedefine/>
    <w:qFormat/>
    <w:uiPriority w:val="0"/>
    <w:rPr>
      <w:rFonts w:ascii="Arial" w:hAnsi="Arial" w:eastAsia="黑体"/>
      <w:b/>
      <w:bCs/>
      <w:sz w:val="28"/>
      <w:szCs w:val="28"/>
      <w:lang w:val="en-US" w:eastAsia="zh-CN" w:bidi="ar-SA"/>
    </w:rPr>
  </w:style>
  <w:style w:type="character" w:customStyle="1" w:styleId="238">
    <w:name w:val="标题 5 Char"/>
    <w:autoRedefine/>
    <w:qFormat/>
    <w:uiPriority w:val="0"/>
    <w:rPr>
      <w:b/>
      <w:bCs/>
      <w:kern w:val="2"/>
      <w:sz w:val="28"/>
      <w:szCs w:val="28"/>
    </w:rPr>
  </w:style>
  <w:style w:type="character" w:customStyle="1" w:styleId="239">
    <w:name w:val="Font Style90"/>
    <w:autoRedefine/>
    <w:unhideWhenUsed/>
    <w:qFormat/>
    <w:uiPriority w:val="0"/>
    <w:rPr>
      <w:rFonts w:hint="eastAsia" w:ascii="宋体" w:hAnsi="宋体" w:eastAsia="宋体"/>
      <w:b/>
      <w:spacing w:val="-20"/>
      <w:sz w:val="40"/>
    </w:rPr>
  </w:style>
  <w:style w:type="character" w:customStyle="1" w:styleId="240">
    <w:name w:val="bds_nopic1"/>
    <w:autoRedefine/>
    <w:qFormat/>
    <w:uiPriority w:val="0"/>
    <w:rPr>
      <w:rFonts w:ascii="Times New Roman" w:hAnsi="Times New Roman" w:eastAsia="宋体"/>
    </w:rPr>
  </w:style>
  <w:style w:type="character" w:customStyle="1" w:styleId="241">
    <w:name w:val="Font Style105"/>
    <w:autoRedefine/>
    <w:unhideWhenUsed/>
    <w:qFormat/>
    <w:uiPriority w:val="0"/>
    <w:rPr>
      <w:rFonts w:hint="eastAsia" w:ascii="Times New Roman" w:hAnsi="Times New Roman" w:eastAsia="Times New Roman"/>
      <w:w w:val="60"/>
      <w:sz w:val="26"/>
    </w:rPr>
  </w:style>
  <w:style w:type="character" w:customStyle="1" w:styleId="242">
    <w:name w:val="样式2 Char Char"/>
    <w:autoRedefine/>
    <w:qFormat/>
    <w:uiPriority w:val="0"/>
    <w:rPr>
      <w:rFonts w:eastAsia="宋体"/>
      <w:kern w:val="2"/>
      <w:sz w:val="18"/>
      <w:szCs w:val="18"/>
      <w:lang w:val="en-US" w:eastAsia="zh-CN" w:bidi="ar-SA"/>
    </w:rPr>
  </w:style>
  <w:style w:type="character" w:customStyle="1" w:styleId="243">
    <w:name w:val="页脚 Char1"/>
    <w:link w:val="31"/>
    <w:autoRedefine/>
    <w:qFormat/>
    <w:uiPriority w:val="0"/>
    <w:rPr>
      <w:rFonts w:eastAsia="宋体"/>
      <w:kern w:val="2"/>
      <w:sz w:val="18"/>
      <w:szCs w:val="18"/>
      <w:lang w:val="en-US" w:eastAsia="zh-CN" w:bidi="ar-SA"/>
    </w:rPr>
  </w:style>
  <w:style w:type="character" w:customStyle="1" w:styleId="244">
    <w:name w:val="纯文本 Char2"/>
    <w:autoRedefine/>
    <w:qFormat/>
    <w:uiPriority w:val="0"/>
    <w:rPr>
      <w:rFonts w:ascii="宋体" w:hAnsi="Courier New" w:eastAsia="宋体"/>
      <w:kern w:val="2"/>
      <w:sz w:val="21"/>
      <w:szCs w:val="21"/>
      <w:lang w:val="en-US" w:eastAsia="zh-CN" w:bidi="ar-SA"/>
    </w:rPr>
  </w:style>
  <w:style w:type="character" w:customStyle="1" w:styleId="245">
    <w:name w:val="正文文本缩进 3 Char1"/>
    <w:link w:val="35"/>
    <w:autoRedefine/>
    <w:qFormat/>
    <w:uiPriority w:val="0"/>
    <w:rPr>
      <w:rFonts w:eastAsia="宋体"/>
      <w:kern w:val="2"/>
      <w:sz w:val="16"/>
      <w:szCs w:val="16"/>
      <w:lang w:val="en-US" w:eastAsia="zh-CN" w:bidi="ar-SA"/>
    </w:rPr>
  </w:style>
  <w:style w:type="character" w:customStyle="1" w:styleId="246">
    <w:name w:val="标题 7 Char1"/>
    <w:link w:val="12"/>
    <w:autoRedefine/>
    <w:qFormat/>
    <w:uiPriority w:val="0"/>
    <w:rPr>
      <w:rFonts w:eastAsia="宋体"/>
      <w:b/>
      <w:bCs/>
      <w:sz w:val="24"/>
      <w:szCs w:val="24"/>
      <w:lang w:val="en-US" w:eastAsia="zh-CN" w:bidi="ar-SA"/>
    </w:rPr>
  </w:style>
  <w:style w:type="character" w:customStyle="1" w:styleId="247">
    <w:name w:val="纯文本 Char"/>
    <w:link w:val="25"/>
    <w:autoRedefine/>
    <w:semiHidden/>
    <w:qFormat/>
    <w:locked/>
    <w:uiPriority w:val="0"/>
    <w:rPr>
      <w:rFonts w:ascii="宋体" w:hAnsi="Courier New" w:eastAsia="宋体" w:cs="Courier New"/>
      <w:kern w:val="2"/>
      <w:sz w:val="21"/>
      <w:szCs w:val="21"/>
      <w:lang w:val="en-US" w:eastAsia="zh-CN" w:bidi="ar-SA"/>
    </w:rPr>
  </w:style>
  <w:style w:type="character" w:customStyle="1" w:styleId="248">
    <w:name w:val="标题 8 Char"/>
    <w:autoRedefine/>
    <w:qFormat/>
    <w:uiPriority w:val="0"/>
    <w:rPr>
      <w:rFonts w:ascii="Arial" w:hAnsi="Arial" w:eastAsia="黑体"/>
      <w:sz w:val="24"/>
      <w:szCs w:val="24"/>
    </w:rPr>
  </w:style>
  <w:style w:type="character" w:customStyle="1" w:styleId="249">
    <w:name w:val="sidecatalog-dot"/>
    <w:autoRedefine/>
    <w:qFormat/>
    <w:uiPriority w:val="0"/>
    <w:rPr>
      <w:rFonts w:ascii="Times New Roman" w:hAnsi="Times New Roman" w:eastAsia="宋体"/>
    </w:rPr>
  </w:style>
  <w:style w:type="character" w:customStyle="1" w:styleId="250">
    <w:name w:val="p0 Char Char"/>
    <w:autoRedefine/>
    <w:qFormat/>
    <w:uiPriority w:val="0"/>
    <w:rPr>
      <w:rFonts w:eastAsia="宋体"/>
      <w:kern w:val="2"/>
      <w:sz w:val="21"/>
      <w:szCs w:val="21"/>
      <w:lang w:val="en-US" w:eastAsia="zh-CN" w:bidi="ar-SA"/>
    </w:rPr>
  </w:style>
  <w:style w:type="character" w:customStyle="1" w:styleId="251">
    <w:name w:val="lemmatitleh12"/>
    <w:autoRedefine/>
    <w:qFormat/>
    <w:uiPriority w:val="0"/>
    <w:rPr>
      <w:rFonts w:ascii="Times New Roman" w:hAnsi="Times New Roman" w:eastAsia="宋体"/>
    </w:rPr>
  </w:style>
  <w:style w:type="character" w:customStyle="1" w:styleId="252">
    <w:name w:val="fontborder"/>
    <w:basedOn w:val="45"/>
    <w:autoRedefine/>
    <w:qFormat/>
    <w:uiPriority w:val="0"/>
    <w:rPr>
      <w:bdr w:val="single" w:color="000000" w:sz="6" w:space="0"/>
    </w:rPr>
  </w:style>
  <w:style w:type="character" w:customStyle="1" w:styleId="253">
    <w:name w:val="p0 Char"/>
    <w:link w:val="159"/>
    <w:autoRedefine/>
    <w:qFormat/>
    <w:uiPriority w:val="0"/>
    <w:rPr>
      <w:rFonts w:eastAsia="宋体"/>
      <w:sz w:val="21"/>
      <w:szCs w:val="21"/>
      <w:lang w:val="en-US" w:eastAsia="zh-CN" w:bidi="ar-SA"/>
    </w:rPr>
  </w:style>
  <w:style w:type="character" w:customStyle="1" w:styleId="254">
    <w:name w:val="placard-notice"/>
    <w:basedOn w:val="45"/>
    <w:autoRedefine/>
    <w:qFormat/>
    <w:uiPriority w:val="0"/>
    <w:rPr>
      <w:sz w:val="18"/>
      <w:szCs w:val="18"/>
    </w:rPr>
  </w:style>
  <w:style w:type="character" w:customStyle="1" w:styleId="255">
    <w:name w:val="NormalCharacter"/>
    <w:autoRedefine/>
    <w:semiHidden/>
    <w:qFormat/>
    <w:uiPriority w:val="0"/>
    <w:rPr>
      <w:rFonts w:ascii="Calibri" w:hAnsi="Calibri" w:eastAsia="宋体" w:cs="Times New Roman"/>
      <w:kern w:val="2"/>
      <w:sz w:val="21"/>
      <w:szCs w:val="24"/>
      <w:lang w:val="en-US" w:eastAsia="zh-CN" w:bidi="ar-SA"/>
    </w:rPr>
  </w:style>
  <w:style w:type="character" w:customStyle="1" w:styleId="256">
    <w:name w:val="正文文本 (2) + 8.5 pt"/>
    <w:basedOn w:val="45"/>
    <w:autoRedefine/>
    <w:qFormat/>
    <w:uiPriority w:val="99"/>
    <w:rPr>
      <w:rFonts w:ascii="宋体" w:eastAsia="宋体" w:cs="宋体"/>
      <w:spacing w:val="40"/>
      <w:sz w:val="17"/>
      <w:szCs w:val="17"/>
      <w:u w:val="none"/>
    </w:rPr>
  </w:style>
  <w:style w:type="character" w:customStyle="1" w:styleId="257">
    <w:name w:val="正文文本 (2) + Sylfaen"/>
    <w:basedOn w:val="45"/>
    <w:autoRedefine/>
    <w:qFormat/>
    <w:uiPriority w:val="99"/>
    <w:rPr>
      <w:rFonts w:ascii="Sylfaen" w:hAnsi="Sylfaen" w:cs="Sylfaen"/>
      <w:b/>
      <w:bCs/>
      <w:sz w:val="17"/>
      <w:szCs w:val="17"/>
      <w:u w:val="none"/>
      <w:lang w:val="en-US" w:eastAsia="en-US"/>
    </w:rPr>
  </w:style>
  <w:style w:type="paragraph" w:customStyle="1" w:styleId="258">
    <w:name w:val="正文文本 (2)1"/>
    <w:basedOn w:val="1"/>
    <w:autoRedefine/>
    <w:qFormat/>
    <w:uiPriority w:val="99"/>
    <w:pPr>
      <w:shd w:val="clear" w:color="auto" w:fill="FFFFFF"/>
      <w:spacing w:line="307" w:lineRule="exact"/>
      <w:ind w:hanging="1760"/>
      <w:jc w:val="distribute"/>
    </w:pPr>
    <w:rPr>
      <w:sz w:val="20"/>
      <w:szCs w:val="20"/>
    </w:rPr>
  </w:style>
  <w:style w:type="character" w:customStyle="1" w:styleId="259">
    <w:name w:val="正文文本 (2) + 8.5 pt8"/>
    <w:basedOn w:val="45"/>
    <w:autoRedefine/>
    <w:qFormat/>
    <w:uiPriority w:val="99"/>
    <w:rPr>
      <w:rFonts w:ascii="宋体" w:eastAsia="宋体" w:cs="宋体"/>
      <w:sz w:val="17"/>
      <w:szCs w:val="17"/>
      <w:u w:val="none"/>
    </w:rPr>
  </w:style>
  <w:style w:type="character" w:customStyle="1" w:styleId="260">
    <w:name w:val="正文文本 (2) + Sylfaen4"/>
    <w:basedOn w:val="45"/>
    <w:autoRedefine/>
    <w:qFormat/>
    <w:uiPriority w:val="99"/>
    <w:rPr>
      <w:rFonts w:ascii="Sylfaen" w:hAnsi="Sylfaen" w:cs="Sylfaen"/>
      <w:spacing w:val="10"/>
      <w:sz w:val="8"/>
      <w:szCs w:val="8"/>
      <w:u w:val="none"/>
      <w:lang w:val="en-US" w:eastAsia="en-US"/>
    </w:rPr>
  </w:style>
  <w:style w:type="character" w:customStyle="1" w:styleId="261">
    <w:name w:val="font11"/>
    <w:basedOn w:val="45"/>
    <w:autoRedefine/>
    <w:qFormat/>
    <w:uiPriority w:val="0"/>
    <w:rPr>
      <w:rFonts w:hint="eastAsia" w:ascii="宋体" w:hAnsi="宋体" w:eastAsia="宋体" w:cs="宋体"/>
      <w:color w:val="000000"/>
      <w:sz w:val="22"/>
      <w:szCs w:val="22"/>
      <w:u w:val="none"/>
    </w:rPr>
  </w:style>
  <w:style w:type="paragraph" w:styleId="262">
    <w:name w:val="List Paragraph"/>
    <w:basedOn w:val="1"/>
    <w:autoRedefine/>
    <w:qFormat/>
    <w:uiPriority w:val="99"/>
  </w:style>
  <w:style w:type="paragraph" w:customStyle="1" w:styleId="263">
    <w:name w:val="正文_3"/>
    <w:next w:val="26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正文首行缩进 2_2"/>
    <w:basedOn w:val="265"/>
    <w:next w:val="266"/>
    <w:autoRedefine/>
    <w:qFormat/>
    <w:uiPriority w:val="0"/>
    <w:pPr>
      <w:ind w:firstLine="420" w:firstLineChars="200"/>
    </w:pPr>
  </w:style>
  <w:style w:type="paragraph" w:customStyle="1" w:styleId="265">
    <w:name w:val="正文文本缩进_3"/>
    <w:basedOn w:val="263"/>
    <w:next w:val="263"/>
    <w:autoRedefine/>
    <w:qFormat/>
    <w:uiPriority w:val="0"/>
    <w:pPr>
      <w:spacing w:after="120"/>
      <w:ind w:left="420" w:leftChars="200"/>
    </w:pPr>
  </w:style>
  <w:style w:type="paragraph" w:customStyle="1" w:styleId="266">
    <w:name w:val="正文1_2"/>
    <w:basedOn w:val="263"/>
    <w:autoRedefine/>
    <w:qFormat/>
    <w:uiPriority w:val="0"/>
    <w:pPr>
      <w:spacing w:line="360" w:lineRule="auto"/>
      <w:ind w:firstLine="480" w:firstLineChars="200"/>
    </w:pPr>
    <w:rPr>
      <w:sz w:val="24"/>
    </w:rPr>
  </w:style>
  <w:style w:type="table" w:customStyle="1" w:styleId="267">
    <w:name w:val="网格型1"/>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8">
    <w:name w:val="正文首行缩进 2 Char"/>
    <w:basedOn w:val="199"/>
    <w:link w:val="2"/>
    <w:autoRedefine/>
    <w:qFormat/>
    <w:uiPriority w:val="99"/>
    <w:rPr>
      <w:rFonts w:ascii="Calibri" w:hAnsi="Calibri" w:eastAsia="宋体"/>
      <w:kern w:val="2"/>
      <w:sz w:val="21"/>
      <w:szCs w:val="24"/>
      <w:lang w:val="en-US" w:eastAsia="zh-CN" w:bidi="ar-SA"/>
    </w:rPr>
  </w:style>
  <w:style w:type="paragraph" w:customStyle="1" w:styleId="269">
    <w:name w:val="正文_3_14"/>
    <w:autoRedefine/>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270">
    <w:name w:val="CM19"/>
    <w:basedOn w:val="1"/>
    <w:next w:val="1"/>
    <w:autoRedefine/>
    <w:unhideWhenUsed/>
    <w:qFormat/>
    <w:uiPriority w:val="99"/>
    <w:pPr>
      <w:autoSpaceDE w:val="0"/>
      <w:autoSpaceDN w:val="0"/>
      <w:adjustRightInd w:val="0"/>
      <w:jc w:val="left"/>
    </w:pPr>
    <w:rPr>
      <w:rFonts w:ascii="黑体" w:hAnsi="Times New Roman" w:eastAsia="黑体"/>
      <w:kern w:val="0"/>
      <w:sz w:val="24"/>
      <w:szCs w:val="20"/>
    </w:rPr>
  </w:style>
  <w:style w:type="paragraph" w:customStyle="1" w:styleId="271">
    <w:name w:val="正文_10_0"/>
    <w:basedOn w:val="272"/>
    <w:next w:val="272"/>
    <w:autoRedefine/>
    <w:qFormat/>
    <w:uiPriority w:val="0"/>
    <w:rPr>
      <w:szCs w:val="21"/>
    </w:rPr>
  </w:style>
  <w:style w:type="paragraph" w:customStyle="1" w:styleId="272">
    <w:name w:val="正文_11"/>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73">
    <w:name w:val="正文_1_8"/>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74">
    <w:name w:val="Table Text"/>
    <w:autoRedefine/>
    <w:semiHidden/>
    <w:qFormat/>
    <w:uiPriority w:val="0"/>
    <w:pPr>
      <w:kinsoku w:val="0"/>
      <w:autoSpaceDE w:val="0"/>
      <w:autoSpaceDN w:val="0"/>
      <w:adjustRightInd w:val="0"/>
      <w:snapToGrid w:val="0"/>
      <w:textAlignment w:val="baseline"/>
    </w:pPr>
    <w:rPr>
      <w:rFonts w:ascii="宋体" w:hAnsi="宋体" w:eastAsia="宋体" w:cs="宋体"/>
      <w:snapToGrid w:val="0"/>
      <w:color w:val="000000"/>
      <w:lang w:val="en-US" w:eastAsia="en-US" w:bidi="ar-SA"/>
    </w:rPr>
  </w:style>
  <w:style w:type="table" w:customStyle="1" w:styleId="275">
    <w:name w:val="Table Normal"/>
    <w:basedOn w:val="43"/>
    <w:autoRedefine/>
    <w:semiHidden/>
    <w:unhideWhenUsed/>
    <w:qFormat/>
    <w:uiPriority w:val="0"/>
    <w:tblPr>
      <w:tblCellMar>
        <w:top w:w="0" w:type="dxa"/>
        <w:left w:w="0" w:type="dxa"/>
        <w:bottom w:w="0" w:type="dxa"/>
        <w:right w:w="0" w:type="dxa"/>
      </w:tblCellMar>
    </w:tblPr>
  </w:style>
  <w:style w:type="character" w:customStyle="1" w:styleId="276">
    <w:name w:val="10"/>
    <w:basedOn w:val="45"/>
    <w:autoRedefine/>
    <w:qFormat/>
    <w:uiPriority w:val="0"/>
    <w:rPr>
      <w:rFonts w:hint="default" w:ascii="Times New Roman" w:hAnsi="Times New Roman" w:cs="Times New Roman"/>
    </w:rPr>
  </w:style>
  <w:style w:type="character" w:customStyle="1" w:styleId="277">
    <w:name w:val="15"/>
    <w:basedOn w:val="45"/>
    <w:autoRedefine/>
    <w:qFormat/>
    <w:uiPriority w:val="0"/>
    <w:rPr>
      <w:rFonts w:hint="default" w:ascii="Times New Roman" w:hAnsi="Times New Roman" w:cs="Times New Roman"/>
    </w:rPr>
  </w:style>
  <w:style w:type="character" w:customStyle="1" w:styleId="278">
    <w:name w:val="font31"/>
    <w:basedOn w:val="45"/>
    <w:autoRedefine/>
    <w:qFormat/>
    <w:uiPriority w:val="0"/>
    <w:rPr>
      <w:rFonts w:hint="eastAsia" w:ascii="宋体" w:hAnsi="宋体" w:eastAsia="宋体" w:cs="宋体"/>
      <w:color w:val="000000"/>
      <w:sz w:val="21"/>
      <w:szCs w:val="21"/>
      <w:u w:val="none"/>
    </w:rPr>
  </w:style>
  <w:style w:type="character" w:customStyle="1" w:styleId="279">
    <w:name w:val="font71"/>
    <w:basedOn w:val="45"/>
    <w:autoRedefine/>
    <w:qFormat/>
    <w:uiPriority w:val="0"/>
    <w:rPr>
      <w:rFonts w:hint="eastAsia" w:ascii="宋体" w:hAnsi="宋体" w:eastAsia="宋体" w:cs="宋体"/>
      <w:b/>
      <w:bCs/>
      <w:color w:val="000000"/>
      <w:sz w:val="21"/>
      <w:szCs w:val="21"/>
      <w:u w:val="none"/>
    </w:rPr>
  </w:style>
  <w:style w:type="paragraph" w:customStyle="1" w:styleId="280">
    <w:name w:val="正文缩进1"/>
    <w:autoRedefine/>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customStyle="1" w:styleId="281">
    <w:name w:val="正文文本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282">
    <w:name w:val="正文首行缩进 21"/>
    <w:autoRedefine/>
    <w:qFormat/>
    <w:uiPriority w:val="0"/>
    <w:pPr>
      <w:widowControl w:val="0"/>
      <w:autoSpaceDE w:val="0"/>
      <w:autoSpaceDN w:val="0"/>
      <w:spacing w:after="120"/>
      <w:ind w:left="420" w:leftChars="200"/>
      <w:jc w:val="left"/>
    </w:pPr>
    <w:rPr>
      <w:rFonts w:ascii="Times New Roman" w:hAnsi="Times New Roman" w:eastAsia="宋体" w:cs="Times New Roman"/>
      <w:kern w:val="0"/>
      <w:sz w:val="21"/>
      <w:szCs w:val="24"/>
      <w:lang w:val="en-US" w:eastAsia="zh-CN" w:bidi="ar-SA"/>
    </w:rPr>
  </w:style>
  <w:style w:type="paragraph" w:customStyle="1" w:styleId="283">
    <w:name w:val="正文文本缩进1"/>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customStyle="1" w:styleId="284">
    <w:name w:val="纯文本1"/>
    <w:autoRedefine/>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69</Pages>
  <Words>17214</Words>
  <Characters>18457</Characters>
  <Lines>1</Lines>
  <Paragraphs>1</Paragraphs>
  <TotalTime>78</TotalTime>
  <ScaleCrop>false</ScaleCrop>
  <LinksUpToDate>false</LinksUpToDate>
  <CharactersWithSpaces>19557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2022-10-08T07:33:00Z</dcterms:created>
  <dc:creator>admin</dc:creator>
  <cp:lastModifiedBy>﹋o阝日 ㄡ欠o﹋</cp:lastModifiedBy>
  <cp:lastPrinted>2025-05-07T02:31:00Z</cp:lastPrinted>
  <dcterms:modified xsi:type="dcterms:W3CDTF">2025-05-09T02:46:05Z</dcterms:modified>
  <dc:title>附件十一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B0854A27FDE8476BB3E7232442523AC6_13</vt:lpwstr>
  </property>
  <property fmtid="{D5CDD505-2E9C-101B-9397-08002B2CF9AE}" pid="4" name="KSOTemplateDocerSaveRecord">
    <vt:lpwstr>eyJoZGlkIjoiMGQ5MjMyNjFkMDA4NGY5ZDBiYmE4NTdmYmFkYmVhZjUiLCJ1c2VySWQiOiIzODUwMDcyNzEifQ==</vt:lpwstr>
  </property>
</Properties>
</file>