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 w:val="0"/>
        <w:autoSpaceDE w:val="0"/>
        <w:autoSpaceDN w:val="0"/>
        <w:adjustRightInd w:val="0"/>
        <w:snapToGrid w:val="0"/>
        <w:spacing w:after="0"/>
        <w:ind w:left="0" w:leftChars="0" w:firstLine="420" w:firstLineChars="200"/>
        <w:jc w:val="center"/>
        <w:textAlignment w:val="baseline"/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snapToGrid w:val="0"/>
          <w:color w:val="000000"/>
          <w:kern w:val="2"/>
          <w:sz w:val="21"/>
          <w:szCs w:val="21"/>
          <w:lang w:val="en-US" w:eastAsia="zh-CN" w:bidi="ar-SA"/>
        </w:rPr>
        <w:t>附：</w:t>
      </w:r>
      <w:r>
        <w:rPr>
          <w:rFonts w:hint="eastAsia" w:ascii="宋体" w:hAnsi="宋体" w:eastAsia="宋体" w:cs="宋体"/>
          <w:snapToGrid w:val="0"/>
          <w:color w:val="000000"/>
          <w:spacing w:val="-4"/>
          <w:w w:val="99"/>
          <w:kern w:val="2"/>
          <w:sz w:val="21"/>
          <w:szCs w:val="21"/>
          <w:lang w:val="en-US" w:eastAsia="zh-CN" w:bidi="ar-SA"/>
        </w:rPr>
        <w:t>小型水库运行管理考核办法（试行）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为进一步加强小型水库运行管理，全面提高工程管护水平，充分发挥工程效益和社会效益，结合水利部、省、市关于小型水库管理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  <w:lang w:eastAsia="zh-CN"/>
        </w:rPr>
        <w:t>标准化创建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及水利工程运行管理相关要求，特制定小型水库运行管理考核办法如下：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一、考核内容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422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napToGrid/>
          <w:color w:val="000000"/>
          <w:kern w:val="2"/>
          <w:sz w:val="21"/>
          <w:szCs w:val="21"/>
        </w:rPr>
        <w:t>1、明确管理责任。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落实“四个责任人”职能职责，建立相应的考核奖惩机制。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422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napToGrid/>
          <w:color w:val="000000"/>
          <w:kern w:val="2"/>
          <w:sz w:val="21"/>
          <w:szCs w:val="21"/>
        </w:rPr>
        <w:t>2、落实管护经费。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水库安全鉴定、日常维修养护、培训宣传演练等各项费用根据年度需求列入年度预算。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422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napToGrid/>
          <w:color w:val="000000"/>
          <w:kern w:val="2"/>
          <w:sz w:val="21"/>
          <w:szCs w:val="21"/>
        </w:rPr>
        <w:t>3、做好培训宣传。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巡查管护人集中培训比例达100%；技术负责人、行政责任人、管护责任人分级培训比例达100%。对乡镇村组、受益群体进行动员宣传，满意率达80%以上。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422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napToGrid/>
          <w:color w:val="000000"/>
          <w:kern w:val="2"/>
          <w:sz w:val="21"/>
          <w:szCs w:val="21"/>
        </w:rPr>
        <w:t>4、健全管理制度。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建立管理岗位责任制、调度运用制度、巡视巡查制度、维修养护制度、防汛抢险、闸门操作规程、业务培训和档案管理制度等，公示到位并严格执行。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422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napToGrid/>
          <w:color w:val="000000"/>
          <w:kern w:val="2"/>
          <w:sz w:val="21"/>
          <w:szCs w:val="21"/>
        </w:rPr>
        <w:t>5、提升工程面貌。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大坝外观良好、坡面平整、排水畅通、清杂清障及时；溢洪道坡面无破损；放水涵洞及其设施设备能正常使用；工程管理区域明确，干净整洁，无“垃圾围坝”；无非法养殖现象，无违建；管理警示标识齐全。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二、考核方式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小型水库运行管理考核实行分级考核制：一是水利局对水库管护主体责任单位考核；二是管护主体单位对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  <w:lang w:eastAsia="zh-CN"/>
        </w:rPr>
        <w:t>第三方管护单位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考核。</w:t>
      </w:r>
    </w:p>
    <w:p>
      <w:pPr>
        <w:widowControl w:val="0"/>
        <w:numPr>
          <w:ilvl w:val="0"/>
          <w:numId w:val="1"/>
        </w:numPr>
        <w:kinsoku/>
        <w:autoSpaceDE/>
        <w:autoSpaceDN/>
        <w:adjustRightInd/>
        <w:snapToGrid/>
        <w:spacing w:line="60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水利局对水库管护主体责任单位考核分为日常考核和专项考核。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日常考核每季度检查1次，采取现场随机检查的方式，对各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  <w:lang w:eastAsia="zh-CN"/>
        </w:rPr>
        <w:t>街镇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单次考核的水库数量不低于该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  <w:lang w:eastAsia="zh-CN"/>
        </w:rPr>
        <w:t>街镇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被考核水库总数的30%，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  <w:lang w:eastAsia="zh-CN"/>
        </w:rPr>
        <w:t>且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不少于1处，检查内容和计分细则见附件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  <w:lang w:eastAsia="zh-CN"/>
        </w:rPr>
        <w:t>一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；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专项考核包括水利部、省、市、县各级组织的各项检查，检查内容除包含日常考核检查的内容外，还包括</w:t>
      </w:r>
      <w:r>
        <w:rPr>
          <w:rFonts w:hint="eastAsia" w:ascii="宋体" w:hAnsi="宋体" w:eastAsia="宋体" w:cs="宋体"/>
          <w:snapToGrid/>
          <w:color w:val="auto"/>
          <w:kern w:val="2"/>
          <w:sz w:val="21"/>
          <w:szCs w:val="21"/>
        </w:rPr>
        <w:t>工程养护购买服务合同兑现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、人员培训、社会宣传、大坝安全管理（防汛）应急预案、调度规程、安全鉴定、防汛物资储备、演练、运用调度等。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  <w:lang w:val="en-US" w:eastAsia="zh-CN"/>
        </w:rPr>
        <w:t>部、省、市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专项考核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  <w:lang w:val="en-US" w:eastAsia="zh-CN"/>
        </w:rPr>
        <w:t>按水库以通报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问题项计算扣减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  <w:lang w:val="en-US" w:eastAsia="zh-CN"/>
        </w:rPr>
        <w:t>当季补助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金额，1-3项每项扣200元；4-7项每项扣300元；7项以上每项扣400元。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  <w:lang w:val="en-US" w:eastAsia="zh-CN"/>
        </w:rPr>
        <w:t>县级专项考核对存在问题没有按期整改或整改不到位的按上述部、省、市专项考核扣减方法扣减当季金额。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  <w:lang w:eastAsia="zh-CN"/>
        </w:rPr>
        <w:t>考核发现问题应立即整改到位，整改不到位将视情形纳入区级绩效考核，并进行责任追究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  <w:lang w:val="en-US" w:eastAsia="zh-CN"/>
        </w:rPr>
        <w:t>。</w:t>
      </w:r>
    </w:p>
    <w:p>
      <w:pPr>
        <w:widowControl w:val="0"/>
        <w:numPr>
          <w:ilvl w:val="0"/>
          <w:numId w:val="1"/>
        </w:numPr>
        <w:kinsoku/>
        <w:autoSpaceDE/>
        <w:autoSpaceDN/>
        <w:adjustRightInd/>
        <w:snapToGrid/>
        <w:spacing w:line="60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管护主体单位对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  <w:lang w:eastAsia="zh-CN"/>
        </w:rPr>
        <w:t>第三方管护单位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考核。各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  <w:lang w:eastAsia="zh-CN"/>
        </w:rPr>
        <w:t>街镇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依据服务合同内容对受托单位进行考核，具体考核办法见附件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  <w:lang w:eastAsia="zh-CN"/>
        </w:rPr>
        <w:t>二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。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三、考核结果的运用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snapToGrid/>
          <w:color w:val="FF0000"/>
          <w:kern w:val="2"/>
          <w:sz w:val="21"/>
          <w:szCs w:val="21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（一）每季度第1个月上旬对上季度小型水库工程管理养护的日常考核、专项考核（时间以反馈意见或通报日期为准）情况进行汇总，形成上季度的考核结果及扣减资金情况，并以水利局文件形式进行公布。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（二）考核结果直接影响补助资金的拨付，全年应补助资金按4次均摊到每个季度，即每个季度应补助金额为全年应补助金额的25%。各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  <w:lang w:eastAsia="zh-CN"/>
        </w:rPr>
        <w:t>街镇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单次日常实际补助金额=本季度应补助金额×日常考核得分比例-专项考核扣减金额。具体计算方法见附件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  <w:lang w:eastAsia="zh-CN"/>
        </w:rPr>
        <w:t>三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。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1"/>
          <w:szCs w:val="21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1"/>
          <w:szCs w:val="21"/>
        </w:rPr>
        <w:t>（三）各</w:t>
      </w:r>
      <w:r>
        <w:rPr>
          <w:rFonts w:hint="eastAsia" w:ascii="宋体" w:hAnsi="宋体" w:eastAsia="宋体" w:cs="宋体"/>
          <w:snapToGrid/>
          <w:color w:val="auto"/>
          <w:kern w:val="2"/>
          <w:sz w:val="21"/>
          <w:szCs w:val="21"/>
          <w:lang w:eastAsia="zh-CN"/>
        </w:rPr>
        <w:t>街镇</w:t>
      </w:r>
      <w:r>
        <w:rPr>
          <w:rFonts w:hint="eastAsia" w:ascii="宋体" w:hAnsi="宋体" w:eastAsia="宋体" w:cs="宋体"/>
          <w:snapToGrid/>
          <w:color w:val="auto"/>
          <w:kern w:val="2"/>
          <w:sz w:val="21"/>
          <w:szCs w:val="21"/>
        </w:rPr>
        <w:t>的小型水库实行</w:t>
      </w:r>
      <w:r>
        <w:rPr>
          <w:rFonts w:hint="eastAsia" w:ascii="宋体" w:hAnsi="宋体" w:eastAsia="宋体" w:cs="宋体"/>
          <w:snapToGrid/>
          <w:color w:val="auto"/>
          <w:kern w:val="2"/>
          <w:sz w:val="21"/>
          <w:szCs w:val="21"/>
          <w:lang w:eastAsia="zh-CN"/>
        </w:rPr>
        <w:t>专业</w:t>
      </w:r>
      <w:r>
        <w:rPr>
          <w:rFonts w:hint="eastAsia" w:ascii="宋体" w:hAnsi="宋体" w:eastAsia="宋体" w:cs="宋体"/>
          <w:snapToGrid/>
          <w:color w:val="auto"/>
          <w:kern w:val="2"/>
          <w:sz w:val="21"/>
          <w:szCs w:val="21"/>
        </w:rPr>
        <w:t>化</w:t>
      </w:r>
      <w:r>
        <w:rPr>
          <w:rFonts w:hint="eastAsia" w:ascii="宋体" w:hAnsi="宋体" w:eastAsia="宋体" w:cs="宋体"/>
          <w:snapToGrid/>
          <w:color w:val="auto"/>
          <w:kern w:val="2"/>
          <w:sz w:val="21"/>
          <w:szCs w:val="21"/>
          <w:lang w:eastAsia="zh-CN"/>
        </w:rPr>
        <w:t>第三方</w:t>
      </w:r>
      <w:r>
        <w:rPr>
          <w:rFonts w:hint="eastAsia" w:ascii="宋体" w:hAnsi="宋体" w:eastAsia="宋体" w:cs="宋体"/>
          <w:snapToGrid/>
          <w:color w:val="auto"/>
          <w:kern w:val="2"/>
          <w:sz w:val="21"/>
          <w:szCs w:val="21"/>
        </w:rPr>
        <w:t>管</w:t>
      </w:r>
      <w:r>
        <w:rPr>
          <w:rFonts w:hint="eastAsia" w:ascii="宋体" w:hAnsi="宋体" w:eastAsia="宋体" w:cs="宋体"/>
          <w:snapToGrid/>
          <w:color w:val="auto"/>
          <w:kern w:val="2"/>
          <w:sz w:val="21"/>
          <w:szCs w:val="21"/>
          <w:lang w:eastAsia="zh-CN"/>
        </w:rPr>
        <w:t>护</w:t>
      </w:r>
      <w:r>
        <w:rPr>
          <w:rFonts w:hint="eastAsia" w:ascii="宋体" w:hAnsi="宋体" w:eastAsia="宋体" w:cs="宋体"/>
          <w:snapToGrid/>
          <w:color w:val="auto"/>
          <w:kern w:val="2"/>
          <w:sz w:val="21"/>
          <w:szCs w:val="21"/>
        </w:rPr>
        <w:t>后，应切实加强对</w:t>
      </w:r>
      <w:r>
        <w:rPr>
          <w:rFonts w:hint="eastAsia" w:ascii="宋体" w:hAnsi="宋体" w:eastAsia="宋体" w:cs="宋体"/>
          <w:snapToGrid/>
          <w:color w:val="auto"/>
          <w:kern w:val="2"/>
          <w:sz w:val="21"/>
          <w:szCs w:val="21"/>
          <w:lang w:eastAsia="zh-CN"/>
        </w:rPr>
        <w:t>第三方</w:t>
      </w:r>
      <w:r>
        <w:rPr>
          <w:rFonts w:hint="eastAsia" w:ascii="宋体" w:hAnsi="宋体" w:eastAsia="宋体" w:cs="宋体"/>
          <w:snapToGrid/>
          <w:color w:val="auto"/>
          <w:kern w:val="2"/>
          <w:sz w:val="21"/>
          <w:szCs w:val="21"/>
        </w:rPr>
        <w:t>管</w:t>
      </w:r>
      <w:r>
        <w:rPr>
          <w:rFonts w:hint="eastAsia" w:ascii="宋体" w:hAnsi="宋体" w:eastAsia="宋体" w:cs="宋体"/>
          <w:snapToGrid/>
          <w:color w:val="auto"/>
          <w:kern w:val="2"/>
          <w:sz w:val="21"/>
          <w:szCs w:val="21"/>
          <w:lang w:eastAsia="zh-CN"/>
        </w:rPr>
        <w:t>护</w:t>
      </w:r>
      <w:r>
        <w:rPr>
          <w:rFonts w:hint="eastAsia" w:ascii="宋体" w:hAnsi="宋体" w:eastAsia="宋体" w:cs="宋体"/>
          <w:snapToGrid/>
          <w:color w:val="auto"/>
          <w:kern w:val="2"/>
          <w:sz w:val="21"/>
          <w:szCs w:val="21"/>
        </w:rPr>
        <w:t>单位的管理与考核，但不得将因</w:t>
      </w:r>
      <w:r>
        <w:rPr>
          <w:rFonts w:hint="eastAsia" w:ascii="宋体" w:hAnsi="宋体" w:eastAsia="宋体" w:cs="宋体"/>
          <w:snapToGrid/>
          <w:color w:val="auto"/>
          <w:kern w:val="2"/>
          <w:sz w:val="21"/>
          <w:szCs w:val="21"/>
          <w:lang w:eastAsia="zh-CN"/>
        </w:rPr>
        <w:t>街镇</w:t>
      </w:r>
      <w:r>
        <w:rPr>
          <w:rFonts w:hint="eastAsia" w:ascii="宋体" w:hAnsi="宋体" w:eastAsia="宋体" w:cs="宋体"/>
          <w:snapToGrid/>
          <w:color w:val="auto"/>
          <w:kern w:val="2"/>
          <w:sz w:val="21"/>
          <w:szCs w:val="21"/>
        </w:rPr>
        <w:t>履职不到位导致扣除拨付资金的责任推到</w:t>
      </w:r>
      <w:r>
        <w:rPr>
          <w:rFonts w:hint="eastAsia" w:ascii="宋体" w:hAnsi="宋体" w:eastAsia="宋体" w:cs="宋体"/>
          <w:snapToGrid/>
          <w:color w:val="auto"/>
          <w:kern w:val="2"/>
          <w:sz w:val="21"/>
          <w:szCs w:val="21"/>
          <w:lang w:eastAsia="zh-CN"/>
        </w:rPr>
        <w:t>第三方</w:t>
      </w:r>
      <w:r>
        <w:rPr>
          <w:rFonts w:hint="eastAsia" w:ascii="宋体" w:hAnsi="宋体" w:eastAsia="宋体" w:cs="宋体"/>
          <w:snapToGrid/>
          <w:color w:val="auto"/>
          <w:kern w:val="2"/>
          <w:sz w:val="21"/>
          <w:szCs w:val="21"/>
        </w:rPr>
        <w:t>管</w:t>
      </w:r>
      <w:r>
        <w:rPr>
          <w:rFonts w:hint="eastAsia" w:ascii="宋体" w:hAnsi="宋体" w:eastAsia="宋体" w:cs="宋体"/>
          <w:snapToGrid/>
          <w:color w:val="auto"/>
          <w:kern w:val="2"/>
          <w:sz w:val="21"/>
          <w:szCs w:val="21"/>
          <w:lang w:eastAsia="zh-CN"/>
        </w:rPr>
        <w:t>护</w:t>
      </w:r>
      <w:r>
        <w:rPr>
          <w:rFonts w:hint="eastAsia" w:ascii="宋体" w:hAnsi="宋体" w:eastAsia="宋体" w:cs="宋体"/>
          <w:snapToGrid/>
          <w:color w:val="auto"/>
          <w:kern w:val="2"/>
          <w:sz w:val="21"/>
          <w:szCs w:val="21"/>
        </w:rPr>
        <w:t>单位，也不得直接以上级考核替代</w:t>
      </w:r>
      <w:r>
        <w:rPr>
          <w:rFonts w:hint="eastAsia" w:ascii="宋体" w:hAnsi="宋体" w:eastAsia="宋体" w:cs="宋体"/>
          <w:snapToGrid/>
          <w:color w:val="auto"/>
          <w:kern w:val="2"/>
          <w:sz w:val="21"/>
          <w:szCs w:val="21"/>
          <w:lang w:eastAsia="zh-CN"/>
        </w:rPr>
        <w:t>街镇</w:t>
      </w:r>
      <w:r>
        <w:rPr>
          <w:rFonts w:hint="eastAsia" w:ascii="宋体" w:hAnsi="宋体" w:eastAsia="宋体" w:cs="宋体"/>
          <w:snapToGrid/>
          <w:color w:val="auto"/>
          <w:kern w:val="2"/>
          <w:sz w:val="21"/>
          <w:szCs w:val="21"/>
        </w:rPr>
        <w:t>对</w:t>
      </w:r>
      <w:r>
        <w:rPr>
          <w:rFonts w:hint="eastAsia" w:ascii="宋体" w:hAnsi="宋体" w:eastAsia="宋体" w:cs="宋体"/>
          <w:snapToGrid/>
          <w:color w:val="auto"/>
          <w:kern w:val="2"/>
          <w:sz w:val="21"/>
          <w:szCs w:val="21"/>
          <w:lang w:eastAsia="zh-CN"/>
        </w:rPr>
        <w:t>第三方</w:t>
      </w:r>
      <w:r>
        <w:rPr>
          <w:rFonts w:hint="eastAsia" w:ascii="宋体" w:hAnsi="宋体" w:eastAsia="宋体" w:cs="宋体"/>
          <w:snapToGrid/>
          <w:color w:val="auto"/>
          <w:kern w:val="2"/>
          <w:sz w:val="21"/>
          <w:szCs w:val="21"/>
        </w:rPr>
        <w:t>管</w:t>
      </w:r>
      <w:r>
        <w:rPr>
          <w:rFonts w:hint="eastAsia" w:ascii="宋体" w:hAnsi="宋体" w:eastAsia="宋体" w:cs="宋体"/>
          <w:snapToGrid/>
          <w:color w:val="auto"/>
          <w:kern w:val="2"/>
          <w:sz w:val="21"/>
          <w:szCs w:val="21"/>
          <w:lang w:eastAsia="zh-CN"/>
        </w:rPr>
        <w:t>护</w:t>
      </w:r>
      <w:r>
        <w:rPr>
          <w:rFonts w:hint="eastAsia" w:ascii="宋体" w:hAnsi="宋体" w:eastAsia="宋体" w:cs="宋体"/>
          <w:snapToGrid/>
          <w:color w:val="auto"/>
          <w:kern w:val="2"/>
          <w:sz w:val="21"/>
          <w:szCs w:val="21"/>
        </w:rPr>
        <w:t>单位的考核。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（四）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  <w:lang w:eastAsia="zh-CN"/>
        </w:rPr>
        <w:t>街镇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拖欠</w:t>
      </w:r>
      <w:r>
        <w:rPr>
          <w:rFonts w:hint="eastAsia" w:ascii="宋体" w:hAnsi="宋体" w:eastAsia="宋体" w:cs="宋体"/>
          <w:snapToGrid/>
          <w:color w:val="auto"/>
          <w:kern w:val="2"/>
          <w:sz w:val="21"/>
          <w:szCs w:val="21"/>
          <w:lang w:eastAsia="zh-CN"/>
        </w:rPr>
        <w:t>第三方</w:t>
      </w:r>
      <w:r>
        <w:rPr>
          <w:rFonts w:hint="eastAsia" w:ascii="宋体" w:hAnsi="宋体" w:eastAsia="宋体" w:cs="宋体"/>
          <w:snapToGrid/>
          <w:color w:val="auto"/>
          <w:kern w:val="2"/>
          <w:sz w:val="21"/>
          <w:szCs w:val="21"/>
        </w:rPr>
        <w:t>管</w:t>
      </w:r>
      <w:r>
        <w:rPr>
          <w:rFonts w:hint="eastAsia" w:ascii="宋体" w:hAnsi="宋体" w:eastAsia="宋体" w:cs="宋体"/>
          <w:snapToGrid/>
          <w:color w:val="auto"/>
          <w:kern w:val="2"/>
          <w:sz w:val="21"/>
          <w:szCs w:val="21"/>
          <w:lang w:eastAsia="zh-CN"/>
        </w:rPr>
        <w:t>护</w:t>
      </w:r>
      <w:r>
        <w:rPr>
          <w:rFonts w:hint="eastAsia" w:ascii="宋体" w:hAnsi="宋体" w:eastAsia="宋体" w:cs="宋体"/>
          <w:snapToGrid/>
          <w:color w:val="auto"/>
          <w:kern w:val="2"/>
          <w:sz w:val="21"/>
          <w:szCs w:val="21"/>
        </w:rPr>
        <w:t>单位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资金支付超过2个月，我局将暂停下季度养护补助拨付，因此导致专业养护公司服务不到位而造成的责任概由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  <w:lang w:eastAsia="zh-CN"/>
        </w:rPr>
        <w:t>街镇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承担。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四、其他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本通知自签发之日起执行。如上级规定与本通知有冲突的，以上级规定为准。</w:t>
      </w:r>
    </w:p>
    <w:p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0"/>
          <w:sz w:val="21"/>
          <w:szCs w:val="21"/>
        </w:rPr>
      </w:pPr>
      <w:bookmarkStart w:id="0" w:name="RANGE!A1:F456"/>
      <w:r>
        <w:rPr>
          <w:rFonts w:hint="eastAsia" w:ascii="宋体" w:hAnsi="宋体" w:eastAsia="宋体" w:cs="宋体"/>
          <w:snapToGrid/>
          <w:color w:val="000000"/>
          <w:kern w:val="0"/>
          <w:sz w:val="21"/>
          <w:szCs w:val="21"/>
        </w:rPr>
        <w:br w:type="page"/>
      </w:r>
    </w:p>
    <w:p>
      <w:pPr>
        <w:widowControl/>
        <w:kinsoku/>
        <w:autoSpaceDE/>
        <w:autoSpaceDN/>
        <w:adjustRightInd/>
        <w:snapToGrid/>
        <w:spacing w:line="620" w:lineRule="exact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1"/>
          <w:szCs w:val="21"/>
        </w:rPr>
        <w:t>附件</w:t>
      </w:r>
      <w:r>
        <w:rPr>
          <w:rFonts w:hint="eastAsia" w:ascii="宋体" w:hAnsi="宋体" w:eastAsia="宋体" w:cs="宋体"/>
          <w:snapToGrid/>
          <w:color w:val="000000"/>
          <w:kern w:val="0"/>
          <w:sz w:val="21"/>
          <w:szCs w:val="21"/>
          <w:lang w:eastAsia="zh-CN"/>
        </w:rPr>
        <w:t>一</w:t>
      </w:r>
      <w:r>
        <w:rPr>
          <w:rFonts w:hint="eastAsia" w:ascii="宋体" w:hAnsi="宋体" w:eastAsia="宋体" w:cs="宋体"/>
          <w:snapToGrid/>
          <w:color w:val="000000"/>
          <w:kern w:val="0"/>
          <w:sz w:val="21"/>
          <w:szCs w:val="21"/>
        </w:rPr>
        <w:t>：</w:t>
      </w:r>
    </w:p>
    <w:bookmarkEnd w:id="0"/>
    <w:p>
      <w:pPr>
        <w:widowControl/>
        <w:kinsoku/>
        <w:autoSpaceDE/>
        <w:autoSpaceDN/>
        <w:adjustRightInd/>
        <w:snapToGrid/>
        <w:spacing w:line="620" w:lineRule="exact"/>
        <w:jc w:val="center"/>
        <w:textAlignment w:val="auto"/>
        <w:rPr>
          <w:rFonts w:hint="eastAsia" w:ascii="宋体" w:hAnsi="宋体" w:eastAsia="宋体" w:cs="宋体"/>
          <w:snapToGrid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1"/>
          <w:szCs w:val="21"/>
        </w:rPr>
        <w:t>小型水库工程管理养护日常考核表</w:t>
      </w:r>
    </w:p>
    <w:p>
      <w:pPr>
        <w:widowControl/>
        <w:kinsoku/>
        <w:autoSpaceDE/>
        <w:autoSpaceDN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snapToGrid/>
          <w:color w:val="000000"/>
          <w:kern w:val="0"/>
          <w:sz w:val="21"/>
          <w:szCs w:val="21"/>
        </w:rPr>
      </w:pPr>
    </w:p>
    <w:tbl>
      <w:tblPr>
        <w:tblStyle w:val="3"/>
        <w:tblW w:w="90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1135"/>
        <w:gridCol w:w="3236"/>
        <w:gridCol w:w="900"/>
        <w:gridCol w:w="2053"/>
        <w:gridCol w:w="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5136" w:type="dxa"/>
            <w:gridSpan w:val="3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540" w:lineRule="exact"/>
              <w:ind w:right="64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水库名称：</w:t>
            </w:r>
          </w:p>
        </w:tc>
        <w:tc>
          <w:tcPr>
            <w:tcW w:w="3866" w:type="dxa"/>
            <w:gridSpan w:val="3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540" w:lineRule="exact"/>
              <w:ind w:right="-144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时间：</w:t>
            </w: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  <w:u w:val="single"/>
              </w:rPr>
              <w:t xml:space="preserve">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5136" w:type="dxa"/>
            <w:gridSpan w:val="3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540" w:lineRule="exact"/>
              <w:ind w:right="64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所属乡镇：</w:t>
            </w:r>
          </w:p>
        </w:tc>
        <w:tc>
          <w:tcPr>
            <w:tcW w:w="3866" w:type="dxa"/>
            <w:gridSpan w:val="3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540" w:lineRule="exact"/>
              <w:ind w:right="64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工程类型：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765" w:type="dxa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540" w:lineRule="exact"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序号</w:t>
            </w:r>
          </w:p>
        </w:tc>
        <w:tc>
          <w:tcPr>
            <w:tcW w:w="1135" w:type="dxa"/>
          </w:tcPr>
          <w:p>
            <w:pPr>
              <w:widowControl w:val="0"/>
              <w:tabs>
                <w:tab w:val="left" w:pos="1627"/>
              </w:tabs>
              <w:kinsoku/>
              <w:autoSpaceDE/>
              <w:autoSpaceDN/>
              <w:adjustRightInd/>
              <w:snapToGrid/>
              <w:spacing w:line="540" w:lineRule="exact"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考核项目</w:t>
            </w:r>
          </w:p>
        </w:tc>
        <w:tc>
          <w:tcPr>
            <w:tcW w:w="3236" w:type="dxa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540" w:lineRule="exact"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考核标准</w:t>
            </w:r>
          </w:p>
        </w:tc>
        <w:tc>
          <w:tcPr>
            <w:tcW w:w="900" w:type="dxa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540" w:lineRule="exact"/>
              <w:ind w:right="-144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分值</w:t>
            </w:r>
          </w:p>
        </w:tc>
        <w:tc>
          <w:tcPr>
            <w:tcW w:w="2053" w:type="dxa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540" w:lineRule="exact"/>
              <w:ind w:right="-144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扣分细则</w:t>
            </w:r>
          </w:p>
        </w:tc>
        <w:tc>
          <w:tcPr>
            <w:tcW w:w="913" w:type="dxa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540" w:lineRule="exact"/>
              <w:ind w:right="-144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76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540" w:lineRule="exact"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1</w:t>
            </w:r>
          </w:p>
        </w:tc>
        <w:tc>
          <w:tcPr>
            <w:tcW w:w="1135" w:type="dxa"/>
            <w:vAlign w:val="center"/>
          </w:tcPr>
          <w:p>
            <w:pPr>
              <w:widowControl w:val="0"/>
              <w:tabs>
                <w:tab w:val="left" w:pos="1627"/>
              </w:tabs>
              <w:kinsoku/>
              <w:autoSpaceDE/>
              <w:autoSpaceDN/>
              <w:adjustRightInd/>
              <w:snapToGrid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主体责任落实</w:t>
            </w:r>
          </w:p>
        </w:tc>
        <w:tc>
          <w:tcPr>
            <w:tcW w:w="3236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“四个责任人”责任落实到位。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2053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未落实计0分；职责不清每人次扣1分</w:t>
            </w:r>
          </w:p>
        </w:tc>
        <w:tc>
          <w:tcPr>
            <w:tcW w:w="913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76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540" w:lineRule="exact"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2</w:t>
            </w:r>
          </w:p>
        </w:tc>
        <w:tc>
          <w:tcPr>
            <w:tcW w:w="1135" w:type="dxa"/>
            <w:vAlign w:val="center"/>
          </w:tcPr>
          <w:p>
            <w:pPr>
              <w:widowControl w:val="0"/>
              <w:tabs>
                <w:tab w:val="left" w:pos="1627"/>
              </w:tabs>
              <w:kinsoku/>
              <w:autoSpaceDE/>
              <w:autoSpaceDN/>
              <w:adjustRightInd/>
              <w:snapToGrid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水库巡查</w:t>
            </w:r>
          </w:p>
        </w:tc>
        <w:tc>
          <w:tcPr>
            <w:tcW w:w="3236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水库有专人值守，通信通畅、防汛电话接听及时，巡查记录齐全。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15</w:t>
            </w:r>
          </w:p>
        </w:tc>
        <w:tc>
          <w:tcPr>
            <w:tcW w:w="2053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值守不到位扣2分；通信不畅扣2分，无人接听防汛电话扣2分；记录不齐每次扣0.5-2分</w:t>
            </w:r>
          </w:p>
        </w:tc>
        <w:tc>
          <w:tcPr>
            <w:tcW w:w="913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atLeast"/>
        </w:trPr>
        <w:tc>
          <w:tcPr>
            <w:tcW w:w="76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540" w:lineRule="exact"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3</w:t>
            </w:r>
          </w:p>
        </w:tc>
        <w:tc>
          <w:tcPr>
            <w:tcW w:w="1135" w:type="dxa"/>
            <w:vAlign w:val="center"/>
          </w:tcPr>
          <w:p>
            <w:pPr>
              <w:widowControl w:val="0"/>
              <w:tabs>
                <w:tab w:val="left" w:pos="1627"/>
              </w:tabs>
              <w:kinsoku/>
              <w:autoSpaceDE/>
              <w:autoSpaceDN/>
              <w:adjustRightInd/>
              <w:snapToGrid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管理保护范围</w:t>
            </w:r>
          </w:p>
        </w:tc>
        <w:tc>
          <w:tcPr>
            <w:tcW w:w="3236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管理范围内无“四乱”现象；</w:t>
            </w: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  <w:highlight w:val="none"/>
                <w:lang w:eastAsia="zh-CN"/>
              </w:rPr>
              <w:t>禁止有爆破、打井、采石、采矿、挖沙、取土等危害工程安全的活动；无垃圾围坝现象，无非法养殖和排污等破坏生态环境的现象</w:t>
            </w: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设备设施、标牌标识等无人为破坏现象。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2053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未及时发现扣1分；发现未及时处理扣2分</w:t>
            </w:r>
          </w:p>
        </w:tc>
        <w:tc>
          <w:tcPr>
            <w:tcW w:w="913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76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540" w:lineRule="exact"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4</w:t>
            </w:r>
          </w:p>
        </w:tc>
        <w:tc>
          <w:tcPr>
            <w:tcW w:w="1135" w:type="dxa"/>
            <w:vAlign w:val="center"/>
          </w:tcPr>
          <w:p>
            <w:pPr>
              <w:widowControl w:val="0"/>
              <w:tabs>
                <w:tab w:val="left" w:pos="1627"/>
              </w:tabs>
              <w:kinsoku/>
              <w:autoSpaceDE/>
              <w:autoSpaceDN/>
              <w:adjustRightInd/>
              <w:snapToGrid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防汛</w:t>
            </w: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  <w:lang w:eastAsia="zh-CN"/>
              </w:rPr>
              <w:t>备汛</w:t>
            </w:r>
          </w:p>
        </w:tc>
        <w:tc>
          <w:tcPr>
            <w:tcW w:w="3236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常规储备防汛物资配备齐全，堆放规范</w:t>
            </w: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  <w:highlight w:val="none"/>
                <w:lang w:eastAsia="zh-CN"/>
              </w:rPr>
              <w:t>，统一进行台账管理。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2053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配备不齐扣2分；堆放不规范扣1分</w:t>
            </w:r>
          </w:p>
        </w:tc>
        <w:tc>
          <w:tcPr>
            <w:tcW w:w="913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6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540" w:lineRule="exact"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5</w:t>
            </w:r>
          </w:p>
        </w:tc>
        <w:tc>
          <w:tcPr>
            <w:tcW w:w="1135" w:type="dxa"/>
            <w:vAlign w:val="center"/>
          </w:tcPr>
          <w:p>
            <w:pPr>
              <w:widowControl w:val="0"/>
              <w:tabs>
                <w:tab w:val="left" w:pos="1627"/>
              </w:tabs>
              <w:kinsoku/>
              <w:autoSpaceDE/>
              <w:autoSpaceDN/>
              <w:adjustRightInd/>
              <w:snapToGrid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防汛公路</w:t>
            </w:r>
          </w:p>
        </w:tc>
        <w:tc>
          <w:tcPr>
            <w:tcW w:w="3236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入库道路畅通。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2053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防汛公路中断不能通行扣3分；通行困难扣1分</w:t>
            </w:r>
          </w:p>
        </w:tc>
        <w:tc>
          <w:tcPr>
            <w:tcW w:w="913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76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540" w:lineRule="exact"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6</w:t>
            </w:r>
          </w:p>
        </w:tc>
        <w:tc>
          <w:tcPr>
            <w:tcW w:w="1135" w:type="dxa"/>
            <w:vAlign w:val="center"/>
          </w:tcPr>
          <w:p>
            <w:pPr>
              <w:widowControl w:val="0"/>
              <w:tabs>
                <w:tab w:val="left" w:pos="1627"/>
              </w:tabs>
              <w:kinsoku/>
              <w:autoSpaceDE/>
              <w:autoSpaceDN/>
              <w:adjustRightInd/>
              <w:snapToGrid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坝顶</w:t>
            </w:r>
          </w:p>
        </w:tc>
        <w:tc>
          <w:tcPr>
            <w:tcW w:w="3236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坝顶路面干净平整，无明显起伏、坑洼、积水等现象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2053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坝顶不干净扣0.5分；出现大面积坑洼、积水扣1分</w:t>
            </w:r>
          </w:p>
        </w:tc>
        <w:tc>
          <w:tcPr>
            <w:tcW w:w="913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1" w:hRule="atLeast"/>
        </w:trPr>
        <w:tc>
          <w:tcPr>
            <w:tcW w:w="76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540" w:lineRule="exact"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7</w:t>
            </w:r>
          </w:p>
        </w:tc>
        <w:tc>
          <w:tcPr>
            <w:tcW w:w="1135" w:type="dxa"/>
            <w:vAlign w:val="center"/>
          </w:tcPr>
          <w:p>
            <w:pPr>
              <w:widowControl w:val="0"/>
              <w:tabs>
                <w:tab w:val="left" w:pos="1627"/>
              </w:tabs>
              <w:kinsoku/>
              <w:autoSpaceDE/>
              <w:autoSpaceDN/>
              <w:adjustRightInd/>
              <w:snapToGrid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坝坡</w:t>
            </w:r>
          </w:p>
        </w:tc>
        <w:tc>
          <w:tcPr>
            <w:tcW w:w="3236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  <w:highlight w:val="none"/>
                <w:lang w:eastAsia="zh-CN"/>
              </w:rPr>
              <w:t>大坝是否发现渗漏、坍塌、隆起、动物洞穴、蚁害等病险隐患，应及时记录并上报；</w:t>
            </w: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坡面平整干净，无雨淋冲沟；及时清除杂草，无灌木杂草滋生，草皮高度控制在30-50mm；护坡砌块完好，无松动、塌陷、脱落、风化或架空；防浪墙、坝肩、踏步完整；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15</w:t>
            </w:r>
          </w:p>
        </w:tc>
        <w:tc>
          <w:tcPr>
            <w:tcW w:w="2053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  <w:highlight w:val="none"/>
                <w:lang w:eastAsia="zh-CN"/>
              </w:rPr>
              <w:t>未及时发现渗漏、坍塌、隆起、动物洞穴、蚁害等病险隐患并上报扣</w:t>
            </w: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  <w:t>3分</w:t>
            </w: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砍青不到位扣2-5分；其他问题每项扣0.5分</w:t>
            </w:r>
          </w:p>
        </w:tc>
        <w:tc>
          <w:tcPr>
            <w:tcW w:w="913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</w:trPr>
        <w:tc>
          <w:tcPr>
            <w:tcW w:w="76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540" w:lineRule="exact"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8</w:t>
            </w:r>
          </w:p>
        </w:tc>
        <w:tc>
          <w:tcPr>
            <w:tcW w:w="1135" w:type="dxa"/>
            <w:vAlign w:val="center"/>
          </w:tcPr>
          <w:p>
            <w:pPr>
              <w:widowControl w:val="0"/>
              <w:tabs>
                <w:tab w:val="left" w:pos="1627"/>
              </w:tabs>
              <w:kinsoku/>
              <w:autoSpaceDE/>
              <w:autoSpaceDN/>
              <w:adjustRightInd/>
              <w:snapToGrid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排水沟及导滤体</w:t>
            </w:r>
          </w:p>
        </w:tc>
        <w:tc>
          <w:tcPr>
            <w:tcW w:w="3236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排水沟（管）内无杂草、淤泥、漂浮物、垃圾等，保持通畅；排水体块石完整，清除杂草、泥土，无损坏，排水畅通。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2053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排水沟（管）淤积严重造成积水扣4分；其他问题每项扣0.5分</w:t>
            </w:r>
          </w:p>
        </w:tc>
        <w:tc>
          <w:tcPr>
            <w:tcW w:w="913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7" w:hRule="atLeast"/>
        </w:trPr>
        <w:tc>
          <w:tcPr>
            <w:tcW w:w="76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540" w:lineRule="exact"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9</w:t>
            </w:r>
          </w:p>
        </w:tc>
        <w:tc>
          <w:tcPr>
            <w:tcW w:w="1135" w:type="dxa"/>
            <w:vAlign w:val="center"/>
          </w:tcPr>
          <w:p>
            <w:pPr>
              <w:widowControl w:val="0"/>
              <w:tabs>
                <w:tab w:val="left" w:pos="1627"/>
              </w:tabs>
              <w:kinsoku/>
              <w:autoSpaceDE/>
              <w:autoSpaceDN/>
              <w:adjustRightInd/>
              <w:snapToGrid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溢洪道</w:t>
            </w:r>
          </w:p>
        </w:tc>
        <w:tc>
          <w:tcPr>
            <w:tcW w:w="3236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溢洪道通畅，无淤积、杂草、杂物、垃圾，无私建底坎、拦鱼栅、渔网等阻碍物；结构表面平整，无破损、冲坑，无异常开裂；排水孔（管）通畅；工作桥干净、整洁、畅通，金属栏杆无锈蚀。消力池完好、无淤积。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2053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溢洪道堵塞严重扣4分；有拦鱼栅等阻碍物扣2分，其他问题扣0.5分</w:t>
            </w:r>
          </w:p>
        </w:tc>
        <w:tc>
          <w:tcPr>
            <w:tcW w:w="913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76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540" w:lineRule="exact"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10</w:t>
            </w:r>
          </w:p>
        </w:tc>
        <w:tc>
          <w:tcPr>
            <w:tcW w:w="1135" w:type="dxa"/>
            <w:vAlign w:val="center"/>
          </w:tcPr>
          <w:p>
            <w:pPr>
              <w:widowControl w:val="0"/>
              <w:tabs>
                <w:tab w:val="left" w:pos="1627"/>
              </w:tabs>
              <w:kinsoku/>
              <w:autoSpaceDE/>
              <w:autoSpaceDN/>
              <w:adjustRightInd/>
              <w:snapToGrid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涵（隧）洞</w:t>
            </w:r>
          </w:p>
        </w:tc>
        <w:tc>
          <w:tcPr>
            <w:tcW w:w="3236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出水口无淤积物；出口防护设施保持完好。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2053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出水口淤积严重扣2分，防护设施破坏未及时发现扣1分，发现未处理扣2分。</w:t>
            </w:r>
          </w:p>
        </w:tc>
        <w:tc>
          <w:tcPr>
            <w:tcW w:w="913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6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540" w:lineRule="exact"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11</w:t>
            </w:r>
          </w:p>
        </w:tc>
        <w:tc>
          <w:tcPr>
            <w:tcW w:w="1135" w:type="dxa"/>
            <w:vAlign w:val="center"/>
          </w:tcPr>
          <w:p>
            <w:pPr>
              <w:widowControl w:val="0"/>
              <w:tabs>
                <w:tab w:val="left" w:pos="1627"/>
              </w:tabs>
              <w:kinsoku/>
              <w:autoSpaceDE/>
              <w:autoSpaceDN/>
              <w:adjustRightInd/>
              <w:snapToGrid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启闭机房</w:t>
            </w:r>
          </w:p>
          <w:p>
            <w:pPr>
              <w:widowControl w:val="0"/>
              <w:tabs>
                <w:tab w:val="left" w:pos="1627"/>
              </w:tabs>
              <w:kinsoku/>
              <w:autoSpaceDE/>
              <w:autoSpaceDN/>
              <w:adjustRightInd/>
              <w:snapToGrid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（管理用房）</w:t>
            </w:r>
          </w:p>
        </w:tc>
        <w:tc>
          <w:tcPr>
            <w:tcW w:w="3236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站房整洁，门窗锁完好，无漏水，墙面无开裂，工具摆放整齐。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2053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发现问题每项扣1分</w:t>
            </w:r>
          </w:p>
        </w:tc>
        <w:tc>
          <w:tcPr>
            <w:tcW w:w="913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76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540" w:lineRule="exact"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12</w:t>
            </w:r>
          </w:p>
        </w:tc>
        <w:tc>
          <w:tcPr>
            <w:tcW w:w="1135" w:type="dxa"/>
            <w:vAlign w:val="center"/>
          </w:tcPr>
          <w:p>
            <w:pPr>
              <w:widowControl w:val="0"/>
              <w:tabs>
                <w:tab w:val="left" w:pos="1627"/>
              </w:tabs>
              <w:kinsoku/>
              <w:autoSpaceDE/>
              <w:autoSpaceDN/>
              <w:adjustRightInd/>
              <w:snapToGrid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闸门</w:t>
            </w:r>
          </w:p>
        </w:tc>
        <w:tc>
          <w:tcPr>
            <w:tcW w:w="3236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闸门完好，无异常漏水，无锈蚀；拉杆、导轮、支座完好，无锈蚀、变形等现象。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2053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发现问题每项扣0.5分</w:t>
            </w:r>
          </w:p>
        </w:tc>
        <w:tc>
          <w:tcPr>
            <w:tcW w:w="913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</w:trPr>
        <w:tc>
          <w:tcPr>
            <w:tcW w:w="76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540" w:lineRule="exact"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13</w:t>
            </w:r>
          </w:p>
        </w:tc>
        <w:tc>
          <w:tcPr>
            <w:tcW w:w="1135" w:type="dxa"/>
            <w:vAlign w:val="center"/>
          </w:tcPr>
          <w:p>
            <w:pPr>
              <w:widowControl w:val="0"/>
              <w:tabs>
                <w:tab w:val="left" w:pos="1627"/>
              </w:tabs>
              <w:kinsoku/>
              <w:autoSpaceDE/>
              <w:autoSpaceDN/>
              <w:adjustRightInd/>
              <w:snapToGrid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启闭机</w:t>
            </w:r>
          </w:p>
        </w:tc>
        <w:tc>
          <w:tcPr>
            <w:tcW w:w="3236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表面无锈蚀；联接件保持紧固，无松动现象；螺杆润滑；限位装置明确、固定，无松动；有电动操作的应接地可靠。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2053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发现问题每项扣0.5分</w:t>
            </w:r>
          </w:p>
        </w:tc>
        <w:tc>
          <w:tcPr>
            <w:tcW w:w="913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76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540" w:lineRule="exact"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14</w:t>
            </w:r>
          </w:p>
        </w:tc>
        <w:tc>
          <w:tcPr>
            <w:tcW w:w="1135" w:type="dxa"/>
            <w:vAlign w:val="center"/>
          </w:tcPr>
          <w:p>
            <w:pPr>
              <w:widowControl w:val="0"/>
              <w:tabs>
                <w:tab w:val="left" w:pos="1627"/>
              </w:tabs>
              <w:kinsoku/>
              <w:autoSpaceDE/>
              <w:autoSpaceDN/>
              <w:adjustRightInd/>
              <w:snapToGrid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人工观测水尺</w:t>
            </w:r>
          </w:p>
        </w:tc>
        <w:tc>
          <w:tcPr>
            <w:tcW w:w="3236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表面清洁，水尺刻度清晰，水尺立柱无损坏。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2053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发现问题每项扣0.5分</w:t>
            </w:r>
          </w:p>
        </w:tc>
        <w:tc>
          <w:tcPr>
            <w:tcW w:w="913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76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540" w:lineRule="exact"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15</w:t>
            </w:r>
          </w:p>
        </w:tc>
        <w:tc>
          <w:tcPr>
            <w:tcW w:w="1135" w:type="dxa"/>
            <w:vAlign w:val="center"/>
          </w:tcPr>
          <w:p>
            <w:pPr>
              <w:widowControl w:val="0"/>
              <w:tabs>
                <w:tab w:val="left" w:pos="1627"/>
              </w:tabs>
              <w:kinsoku/>
              <w:autoSpaceDE/>
              <w:autoSpaceDN/>
              <w:adjustRightInd/>
              <w:snapToGrid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坝区保洁</w:t>
            </w:r>
          </w:p>
        </w:tc>
        <w:tc>
          <w:tcPr>
            <w:tcW w:w="3236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ind w:right="-108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  <w:t>近坝区水面（50m或可视）范围内无垃圾。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2053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发现问题扣0.5-3分</w:t>
            </w:r>
          </w:p>
        </w:tc>
        <w:tc>
          <w:tcPr>
            <w:tcW w:w="913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8089" w:type="dxa"/>
            <w:gridSpan w:val="5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913" w:type="dxa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1"/>
                <w:szCs w:val="21"/>
              </w:rPr>
            </w:pPr>
          </w:p>
        </w:tc>
      </w:tr>
    </w:tbl>
    <w:p>
      <w:pPr>
        <w:widowControl/>
        <w:kinsoku/>
        <w:autoSpaceDE/>
        <w:autoSpaceDN/>
        <w:adjustRightInd/>
        <w:snapToGrid/>
        <w:spacing w:line="620" w:lineRule="exact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0"/>
          <w:sz w:val="21"/>
          <w:szCs w:val="21"/>
        </w:rPr>
      </w:pPr>
    </w:p>
    <w:p>
      <w:pPr>
        <w:widowControl/>
        <w:kinsoku/>
        <w:autoSpaceDE/>
        <w:autoSpaceDN/>
        <w:adjustRightInd/>
        <w:snapToGrid/>
        <w:spacing w:line="620" w:lineRule="exact"/>
        <w:jc w:val="both"/>
        <w:textAlignment w:val="auto"/>
        <w:rPr>
          <w:rFonts w:hint="eastAsia" w:ascii="宋体" w:hAnsi="宋体" w:eastAsia="宋体" w:cs="宋体"/>
          <w:b/>
          <w:bCs/>
          <w:snapToGrid/>
          <w:color w:val="000000"/>
          <w:kern w:val="0"/>
          <w:sz w:val="21"/>
          <w:szCs w:val="21"/>
        </w:rPr>
      </w:pPr>
    </w:p>
    <w:p>
      <w:pPr>
        <w:widowControl/>
        <w:kinsoku/>
        <w:autoSpaceDE/>
        <w:autoSpaceDN/>
        <w:adjustRightInd/>
        <w:snapToGrid/>
        <w:spacing w:line="620" w:lineRule="exact"/>
        <w:jc w:val="both"/>
        <w:textAlignment w:val="auto"/>
        <w:rPr>
          <w:rFonts w:hint="eastAsia" w:ascii="宋体" w:hAnsi="宋体" w:eastAsia="宋体" w:cs="宋体"/>
          <w:b/>
          <w:bCs/>
          <w:snapToGrid/>
          <w:color w:val="000000"/>
          <w:kern w:val="0"/>
          <w:sz w:val="21"/>
          <w:szCs w:val="21"/>
        </w:rPr>
      </w:pPr>
    </w:p>
    <w:p>
      <w:pPr>
        <w:widowControl/>
        <w:kinsoku/>
        <w:autoSpaceDE/>
        <w:autoSpaceDN/>
        <w:adjustRightInd/>
        <w:snapToGrid/>
        <w:spacing w:line="620" w:lineRule="exact"/>
        <w:jc w:val="both"/>
        <w:textAlignment w:val="auto"/>
        <w:rPr>
          <w:rFonts w:hint="eastAsia" w:ascii="宋体" w:hAnsi="宋体" w:eastAsia="宋体" w:cs="宋体"/>
          <w:b/>
          <w:bCs/>
          <w:snapToGrid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napToGrid/>
          <w:color w:val="000000"/>
          <w:kern w:val="0"/>
          <w:sz w:val="21"/>
          <w:szCs w:val="21"/>
        </w:rPr>
        <w:t>附件</w:t>
      </w:r>
      <w:r>
        <w:rPr>
          <w:rFonts w:hint="eastAsia" w:ascii="宋体" w:hAnsi="宋体" w:eastAsia="宋体" w:cs="宋体"/>
          <w:b/>
          <w:bCs/>
          <w:snapToGrid/>
          <w:color w:val="000000"/>
          <w:kern w:val="0"/>
          <w:sz w:val="21"/>
          <w:szCs w:val="21"/>
          <w:lang w:eastAsia="zh-CN"/>
        </w:rPr>
        <w:t>二</w:t>
      </w:r>
      <w:r>
        <w:rPr>
          <w:rFonts w:hint="eastAsia" w:ascii="宋体" w:hAnsi="宋体" w:eastAsia="宋体" w:cs="宋体"/>
          <w:b/>
          <w:bCs/>
          <w:snapToGrid/>
          <w:color w:val="000000"/>
          <w:kern w:val="0"/>
          <w:sz w:val="21"/>
          <w:szCs w:val="21"/>
        </w:rPr>
        <w:t>：</w:t>
      </w:r>
    </w:p>
    <w:p>
      <w:pPr>
        <w:widowControl/>
        <w:kinsoku/>
        <w:autoSpaceDE/>
        <w:autoSpaceDN/>
        <w:adjustRightInd/>
        <w:snapToGrid/>
        <w:spacing w:line="620" w:lineRule="exact"/>
        <w:jc w:val="center"/>
        <w:textAlignment w:val="auto"/>
        <w:rPr>
          <w:rFonts w:hint="eastAsia" w:ascii="宋体" w:hAnsi="宋体" w:eastAsia="宋体" w:cs="宋体"/>
          <w:snapToGrid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napToGrid/>
          <w:color w:val="000000"/>
          <w:kern w:val="0"/>
          <w:sz w:val="21"/>
          <w:szCs w:val="21"/>
          <w:lang w:eastAsia="zh-CN"/>
        </w:rPr>
        <w:t>街镇</w:t>
      </w:r>
      <w:r>
        <w:rPr>
          <w:rFonts w:hint="eastAsia" w:ascii="宋体" w:hAnsi="宋体" w:eastAsia="宋体" w:cs="宋体"/>
          <w:b/>
          <w:bCs/>
          <w:snapToGrid/>
          <w:color w:val="000000"/>
          <w:kern w:val="0"/>
          <w:sz w:val="21"/>
          <w:szCs w:val="21"/>
        </w:rPr>
        <w:t>对</w:t>
      </w:r>
      <w:r>
        <w:rPr>
          <w:rFonts w:hint="eastAsia" w:ascii="宋体" w:hAnsi="宋体" w:eastAsia="宋体" w:cs="宋体"/>
          <w:b/>
          <w:bCs/>
          <w:snapToGrid/>
          <w:color w:val="000000"/>
          <w:kern w:val="0"/>
          <w:sz w:val="21"/>
          <w:szCs w:val="21"/>
          <w:lang w:eastAsia="zh-CN"/>
        </w:rPr>
        <w:t>第三方管护单位</w:t>
      </w:r>
      <w:r>
        <w:rPr>
          <w:rFonts w:hint="eastAsia" w:ascii="宋体" w:hAnsi="宋体" w:eastAsia="宋体" w:cs="宋体"/>
          <w:b/>
          <w:bCs/>
          <w:snapToGrid/>
          <w:color w:val="000000"/>
          <w:kern w:val="0"/>
          <w:sz w:val="21"/>
          <w:szCs w:val="21"/>
        </w:rPr>
        <w:t>考核办法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1、随时对水库大坝（含排水棱体）、溢洪道、导渗沟、涵洞出口进行检查，每发现一处柴草和垃圾，每次扣款200元。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2、水库运行情况：天气、水位、对应库容、放水记录、检查巡库情况、防汛物资管理等日志、周志记录不到位、不及时，每次扣款100元；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3、在主汛期每周一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  <w:lang w:eastAsia="zh-CN"/>
        </w:rPr>
        <w:t>未向街镇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全面汇报情况的，每次扣款100元。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4、发现人为破坏水库设施、防汛物资被盗、堆弃建筑垃圾等，没有阻止也没有汇报的，每次扣款500元。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5、通讯不畅或防汛期间电话无人接听且未在规定时限内回复的，发现一次扣款100元。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6、入库道路不畅不报告，每次扣款200元。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7、无专人值守水库，每座扣款1000元。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8、因合同履约不到位被上级督查通报的每项扣款200元。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、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  <w:lang w:eastAsia="zh-CN"/>
        </w:rPr>
        <w:t>其他履职不到位情况，经双方协商处理</w:t>
      </w:r>
      <w:r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  <w:t>。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</w:pPr>
    </w:p>
    <w:p>
      <w:pPr>
        <w:widowControl w:val="0"/>
        <w:kinsoku w:val="0"/>
        <w:autoSpaceDE w:val="0"/>
        <w:autoSpaceDN w:val="0"/>
        <w:adjustRightInd w:val="0"/>
        <w:snapToGrid w:val="0"/>
        <w:spacing w:after="120"/>
        <w:ind w:left="420" w:leftChars="200" w:firstLine="420" w:firstLineChars="200"/>
        <w:jc w:val="both"/>
        <w:textAlignment w:val="baseline"/>
        <w:rPr>
          <w:rFonts w:hint="eastAsia" w:ascii="宋体" w:hAnsi="宋体" w:eastAsia="宋体" w:cs="宋体"/>
          <w:snapToGrid w:val="0"/>
          <w:color w:val="000000"/>
          <w:kern w:val="2"/>
          <w:sz w:val="21"/>
          <w:szCs w:val="21"/>
          <w:lang w:val="en-US" w:eastAsia="zh-CN" w:bidi="ar-SA"/>
        </w:rPr>
      </w:pPr>
    </w:p>
    <w:p>
      <w:pPr>
        <w:widowControl/>
        <w:kinsoku/>
        <w:autoSpaceDE/>
        <w:autoSpaceDN/>
        <w:adjustRightInd/>
        <w:snapToGrid/>
        <w:spacing w:line="620" w:lineRule="exact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0"/>
          <w:sz w:val="21"/>
          <w:szCs w:val="21"/>
        </w:rPr>
      </w:pPr>
    </w:p>
    <w:p>
      <w:pPr>
        <w:widowControl/>
        <w:spacing w:line="620" w:lineRule="exact"/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sectPr>
          <w:footerReference r:id="rId3" w:type="default"/>
          <w:footerReference r:id="rId4" w:type="even"/>
          <w:pgSz w:w="11906" w:h="16838"/>
          <w:pgMar w:top="1701" w:right="1418" w:bottom="1588" w:left="1701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widowControl/>
        <w:kinsoku/>
        <w:autoSpaceDE/>
        <w:autoSpaceDN/>
        <w:adjustRightInd/>
        <w:snapToGrid/>
        <w:spacing w:line="620" w:lineRule="exact"/>
        <w:jc w:val="both"/>
        <w:textAlignment w:val="auto"/>
        <w:rPr>
          <w:rFonts w:hint="eastAsia" w:ascii="宋体" w:hAnsi="宋体" w:eastAsia="宋体" w:cs="宋体"/>
          <w:b/>
          <w:bCs/>
          <w:snapToGrid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napToGrid/>
          <w:color w:val="000000"/>
          <w:kern w:val="0"/>
          <w:sz w:val="21"/>
          <w:szCs w:val="21"/>
        </w:rPr>
        <w:t>附件</w:t>
      </w:r>
      <w:r>
        <w:rPr>
          <w:rFonts w:hint="eastAsia" w:ascii="宋体" w:hAnsi="宋体" w:eastAsia="宋体" w:cs="宋体"/>
          <w:b/>
          <w:bCs/>
          <w:snapToGrid/>
          <w:color w:val="000000"/>
          <w:kern w:val="0"/>
          <w:sz w:val="21"/>
          <w:szCs w:val="21"/>
          <w:lang w:eastAsia="zh-CN"/>
        </w:rPr>
        <w:t>三</w:t>
      </w:r>
      <w:r>
        <w:rPr>
          <w:rFonts w:hint="eastAsia" w:ascii="宋体" w:hAnsi="宋体" w:eastAsia="宋体" w:cs="宋体"/>
          <w:b/>
          <w:bCs/>
          <w:snapToGrid/>
          <w:color w:val="000000"/>
          <w:kern w:val="0"/>
          <w:sz w:val="21"/>
          <w:szCs w:val="21"/>
        </w:rPr>
        <w:t>：</w:t>
      </w:r>
    </w:p>
    <w:p>
      <w:pPr>
        <w:widowControl/>
        <w:kinsoku/>
        <w:autoSpaceDE/>
        <w:autoSpaceDN/>
        <w:adjustRightInd/>
        <w:snapToGrid/>
        <w:spacing w:line="620" w:lineRule="exact"/>
        <w:jc w:val="center"/>
        <w:textAlignment w:val="auto"/>
        <w:rPr>
          <w:rFonts w:hint="eastAsia" w:ascii="宋体" w:hAnsi="宋体" w:eastAsia="宋体" w:cs="宋体"/>
          <w:b/>
          <w:bCs/>
          <w:snapToGrid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napToGrid/>
          <w:color w:val="000000"/>
          <w:kern w:val="0"/>
          <w:sz w:val="21"/>
          <w:szCs w:val="21"/>
          <w:lang w:eastAsia="zh-CN"/>
        </w:rPr>
        <w:t>街镇</w:t>
      </w:r>
      <w:r>
        <w:rPr>
          <w:rFonts w:hint="eastAsia" w:ascii="宋体" w:hAnsi="宋体" w:eastAsia="宋体" w:cs="宋体"/>
          <w:b/>
          <w:bCs/>
          <w:snapToGrid/>
          <w:color w:val="000000"/>
          <w:kern w:val="0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b/>
          <w:bCs/>
          <w:snapToGrid/>
          <w:color w:val="000000"/>
          <w:kern w:val="0"/>
          <w:sz w:val="21"/>
          <w:szCs w:val="21"/>
        </w:rPr>
        <w:t>季度小型水库工程管理养护补助资金计算表</w:t>
      </w:r>
    </w:p>
    <w:p>
      <w:pPr>
        <w:widowControl/>
        <w:kinsoku/>
        <w:autoSpaceDE/>
        <w:autoSpaceDN/>
        <w:adjustRightInd/>
        <w:snapToGrid/>
        <w:jc w:val="center"/>
        <w:textAlignment w:val="auto"/>
        <w:rPr>
          <w:rFonts w:hint="eastAsia" w:ascii="宋体" w:hAnsi="宋体" w:eastAsia="宋体" w:cs="宋体"/>
          <w:snapToGrid/>
          <w:color w:val="000000"/>
          <w:kern w:val="0"/>
          <w:sz w:val="21"/>
          <w:szCs w:val="21"/>
        </w:rPr>
      </w:pP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9"/>
        <w:gridCol w:w="846"/>
        <w:gridCol w:w="971"/>
        <w:gridCol w:w="1358"/>
        <w:gridCol w:w="783"/>
        <w:gridCol w:w="934"/>
        <w:gridCol w:w="994"/>
        <w:gridCol w:w="846"/>
        <w:gridCol w:w="846"/>
        <w:gridCol w:w="4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328" w:type="pct"/>
            <w:vMerge w:val="restart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  <w:lang w:eastAsia="zh-CN"/>
              </w:rPr>
              <w:t>街</w:t>
            </w: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镇</w:t>
            </w:r>
          </w:p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347" w:type="pct"/>
            <w:vMerge w:val="restart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本季度应补助金额（元）</w:t>
            </w:r>
          </w:p>
        </w:tc>
        <w:tc>
          <w:tcPr>
            <w:tcW w:w="2514" w:type="pct"/>
            <w:gridSpan w:val="4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日常考核</w:t>
            </w:r>
          </w:p>
        </w:tc>
        <w:tc>
          <w:tcPr>
            <w:tcW w:w="1149" w:type="pct"/>
            <w:gridSpan w:val="2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专项考核</w:t>
            </w:r>
          </w:p>
        </w:tc>
        <w:tc>
          <w:tcPr>
            <w:tcW w:w="368" w:type="pct"/>
            <w:vMerge w:val="restart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实际补助金额（元）</w:t>
            </w:r>
          </w:p>
        </w:tc>
        <w:tc>
          <w:tcPr>
            <w:tcW w:w="290" w:type="pct"/>
            <w:vMerge w:val="restart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  <w:jc w:val="center"/>
        </w:trPr>
        <w:tc>
          <w:tcPr>
            <w:tcW w:w="328" w:type="pct"/>
            <w:vMerge w:val="continue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47" w:type="pct"/>
            <w:vMerge w:val="continue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05" w:type="pct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  <w:lang w:val="en-US" w:eastAsia="zh-CN"/>
              </w:rPr>
              <w:t>水库总数</w:t>
            </w:r>
          </w:p>
        </w:tc>
        <w:tc>
          <w:tcPr>
            <w:tcW w:w="832" w:type="pct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抽查处数</w:t>
            </w:r>
          </w:p>
        </w:tc>
        <w:tc>
          <w:tcPr>
            <w:tcW w:w="494" w:type="pct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平均得分</w:t>
            </w:r>
          </w:p>
        </w:tc>
        <w:tc>
          <w:tcPr>
            <w:tcW w:w="581" w:type="pct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日常考核扣除金额</w:t>
            </w:r>
          </w:p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（元）</w:t>
            </w:r>
          </w:p>
        </w:tc>
        <w:tc>
          <w:tcPr>
            <w:tcW w:w="618" w:type="pct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扣减依据</w:t>
            </w:r>
          </w:p>
        </w:tc>
        <w:tc>
          <w:tcPr>
            <w:tcW w:w="530" w:type="pct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专项考核扣除金额（元）</w:t>
            </w:r>
          </w:p>
        </w:tc>
        <w:tc>
          <w:tcPr>
            <w:tcW w:w="368" w:type="pct"/>
            <w:vMerge w:val="continue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0" w:type="pct"/>
            <w:vMerge w:val="continue"/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28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47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05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2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94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81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18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30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68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0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28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47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05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2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94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81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18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30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68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0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28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47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05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2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94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81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18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30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68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0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328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  <w:t>合计</w:t>
            </w:r>
          </w:p>
        </w:tc>
        <w:tc>
          <w:tcPr>
            <w:tcW w:w="347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05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2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94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81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18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30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68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0" w:type="pct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5000" w:type="pct"/>
            <w:gridSpan w:val="10"/>
          </w:tcPr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  <w:highlight w:val="yellow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  <w:highlight w:val="none"/>
              </w:rPr>
              <w:t>备注：1</w:t>
            </w:r>
            <w:bookmarkStart w:id="1" w:name="_GoBack"/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  <w:highlight w:val="none"/>
              </w:rPr>
              <w:t>、本季度日常考核扣除金额=</w:t>
            </w: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150</w:t>
            </w: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  <w:highlight w:val="none"/>
              </w:rPr>
              <w:t>元×（</w:t>
            </w: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</w:rPr>
              <w:t>100</w:t>
            </w: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  <w:highlight w:val="none"/>
              </w:rPr>
              <w:t>-平均得分）×</w:t>
            </w: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街镇</w:t>
            </w: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  <w:highlight w:val="none"/>
              </w:rPr>
              <w:t>水库总座数；</w:t>
            </w:r>
            <w:bookmarkEnd w:id="1"/>
          </w:p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  <w:highlight w:val="none"/>
              </w:rPr>
              <w:t xml:space="preserve">      2、本季度内专项考核扣除金额（专项考核按水库问题项个数分段计算扣减金额，1-3项每项扣200元；4-7项每项扣300元；7项以上每项扣400元。）；</w:t>
            </w:r>
          </w:p>
          <w:p>
            <w:pPr>
              <w:widowControl/>
              <w:kinsoku/>
              <w:autoSpaceDE/>
              <w:autoSpaceDN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  <w:highlight w:val="yellow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1"/>
                <w:szCs w:val="21"/>
                <w:highlight w:val="none"/>
              </w:rPr>
              <w:t xml:space="preserve">      3、实际补助金额=应补助金额-本季度日常考核扣除金额-本季度内专项考核扣除金额。</w:t>
            </w:r>
          </w:p>
        </w:tc>
      </w:tr>
    </w:tbl>
    <w:p>
      <w:pPr>
        <w:widowControl/>
        <w:kinsoku/>
        <w:autoSpaceDE/>
        <w:autoSpaceDN/>
        <w:adjustRightInd/>
        <w:snapToGrid/>
        <w:spacing w:line="620" w:lineRule="exact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kinsoku w:val="0"/>
      <w:autoSpaceDE w:val="0"/>
      <w:autoSpaceDN w:val="0"/>
      <w:adjustRightInd w:val="0"/>
      <w:snapToGrid w:val="0"/>
      <w:jc w:val="right"/>
      <w:textAlignment w:val="baseline"/>
      <w:rPr>
        <w:rFonts w:ascii="Cambria" w:hAnsi="Cambria" w:eastAsia="宋体" w:cs="Times New Roman"/>
        <w:snapToGrid w:val="0"/>
        <w:color w:val="000000"/>
        <w:kern w:val="2"/>
        <w:sz w:val="24"/>
        <w:szCs w:val="24"/>
        <w:lang w:val="en-US" w:eastAsia="zh-CN" w:bidi="ar-SA"/>
      </w:rPr>
    </w:pPr>
    <w:r>
      <w:rPr>
        <w:rFonts w:ascii="Arial" w:hAnsi="Arial" w:eastAsia="Arial" w:cs="Arial"/>
        <w:snapToGrid w:val="0"/>
        <w:color w:val="000000"/>
        <w:kern w:val="0"/>
        <w:sz w:val="24"/>
        <w:szCs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tabs>
                              <w:tab w:val="center" w:pos="4153"/>
                              <w:tab w:val="right" w:pos="8306"/>
                            </w:tabs>
                            <w:kinsoku w:val="0"/>
                            <w:autoSpaceDE w:val="0"/>
                            <w:autoSpaceDN w:val="0"/>
                            <w:adjustRightInd w:val="0"/>
                            <w:snapToGrid w:val="0"/>
                            <w:textAlignment w:val="baseline"/>
                            <w:rPr>
                              <w:rFonts w:ascii="Arial" w:hAnsi="Arial" w:eastAsia="Arial" w:cs="Arial"/>
                              <w:snapToGrid w:val="0"/>
                              <w:color w:val="000000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Arial" w:hAnsi="Arial" w:eastAsia="Arial" w:cs="Arial"/>
                              <w:snapToGrid w:val="0"/>
                              <w:color w:val="000000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Arial" w:hAnsi="Arial" w:eastAsia="Arial" w:cs="Arial"/>
                              <w:snapToGrid w:val="0"/>
                              <w:color w:val="000000"/>
                              <w:sz w:val="18"/>
                              <w:szCs w:val="1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Arial" w:hAnsi="Arial" w:eastAsia="Arial" w:cs="Arial"/>
                              <w:snapToGrid w:val="0"/>
                              <w:color w:val="000000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eastAsia="Arial" w:cs="Arial"/>
                              <w:snapToGrid w:val="0"/>
                              <w:color w:val="000000"/>
                              <w:sz w:val="18"/>
                              <w:szCs w:val="18"/>
                              <w:lang w:val="en-US" w:eastAsia="zh-CN" w:bidi="ar-SA"/>
                            </w:rPr>
                            <w:t>17</w:t>
                          </w:r>
                          <w:r>
                            <w:rPr>
                              <w:rFonts w:ascii="Arial" w:hAnsi="Arial" w:eastAsia="Arial" w:cs="Arial"/>
                              <w:snapToGrid w:val="0"/>
                              <w:color w:val="000000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tabs>
                        <w:tab w:val="center" w:pos="4153"/>
                        <w:tab w:val="right" w:pos="8306"/>
                      </w:tabs>
                      <w:kinsoku w:val="0"/>
                      <w:autoSpaceDE w:val="0"/>
                      <w:autoSpaceDN w:val="0"/>
                      <w:adjustRightInd w:val="0"/>
                      <w:snapToGrid w:val="0"/>
                      <w:textAlignment w:val="baseline"/>
                      <w:rPr>
                        <w:rFonts w:ascii="Arial" w:hAnsi="Arial" w:eastAsia="Arial" w:cs="Arial"/>
                        <w:snapToGrid w:val="0"/>
                        <w:color w:val="000000"/>
                        <w:sz w:val="18"/>
                        <w:szCs w:val="18"/>
                        <w:lang w:val="en-US" w:eastAsia="zh-CN" w:bidi="ar-SA"/>
                      </w:rPr>
                    </w:pPr>
                    <w:r>
                      <w:rPr>
                        <w:rFonts w:ascii="Arial" w:hAnsi="Arial" w:eastAsia="Arial" w:cs="Arial"/>
                        <w:snapToGrid w:val="0"/>
                        <w:color w:val="000000"/>
                        <w:sz w:val="18"/>
                        <w:szCs w:val="1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Arial" w:hAnsi="Arial" w:eastAsia="Arial" w:cs="Arial"/>
                        <w:snapToGrid w:val="0"/>
                        <w:color w:val="000000"/>
                        <w:sz w:val="18"/>
                        <w:szCs w:val="1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Arial" w:hAnsi="Arial" w:eastAsia="Arial" w:cs="Arial"/>
                        <w:snapToGrid w:val="0"/>
                        <w:color w:val="000000"/>
                        <w:sz w:val="18"/>
                        <w:szCs w:val="1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Arial" w:hAnsi="Arial" w:eastAsia="Arial" w:cs="Arial"/>
                        <w:snapToGrid w:val="0"/>
                        <w:color w:val="000000"/>
                        <w:sz w:val="18"/>
                        <w:szCs w:val="18"/>
                        <w:lang w:val="en-US" w:eastAsia="zh-CN" w:bidi="ar-SA"/>
                      </w:rPr>
                      <w:t>17</w:t>
                    </w:r>
                    <w:r>
                      <w:rPr>
                        <w:rFonts w:ascii="Arial" w:hAnsi="Arial" w:eastAsia="Arial" w:cs="Arial"/>
                        <w:snapToGrid w:val="0"/>
                        <w:color w:val="000000"/>
                        <w:sz w:val="18"/>
                        <w:szCs w:val="18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kinsoku w:val="0"/>
      <w:autoSpaceDE w:val="0"/>
      <w:autoSpaceDN w:val="0"/>
      <w:adjustRightInd w:val="0"/>
      <w:snapToGrid w:val="0"/>
      <w:jc w:val="left"/>
      <w:textAlignment w:val="baseline"/>
      <w:rPr>
        <w:rFonts w:ascii="Cambria" w:hAnsi="Cambria" w:eastAsia="宋体" w:cs="Times New Roman"/>
        <w:snapToGrid w:val="0"/>
        <w:color w:val="000000"/>
        <w:kern w:val="2"/>
        <w:sz w:val="24"/>
        <w:szCs w:val="24"/>
        <w:lang w:val="en-US" w:eastAsia="zh-CN" w:bidi="ar-SA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wMjY0MGQ2YzMxZTRkYWNjMGFiMTdjNWY0NzhiYjEifQ=="/>
  </w:docVars>
  <w:rsids>
    <w:rsidRoot w:val="00000000"/>
    <w:rsid w:val="7A766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2024-03-25T05:25:17Z</dcterms:created>
  <dc:creator>Lenovo</dc:creator>
  <cp:lastModifiedBy>Lenovo</cp:lastModifiedBy>
  <dcterms:modified xsi:type="dcterms:W3CDTF">2024-03-25T05:25:44Z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E3B75DC7CDEC455C9C929A6BA609FAE9_12</vt:lpwstr>
  </property>
</Properties>
</file>