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版本号：N513225202500001620250430001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十五五规划编制采购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N5132252025000016</w:t>
      </w:r>
    </w:p>
    <w:p>
      <w:pPr>
        <w:pStyle w:val="null3"/>
        <w:jc w:val="center"/>
        <w:outlineLvl w:val="2"/>
      </w:pPr>
      <w:r>
        <w:rPr>
          <w:rFonts w:ascii="仿宋_GB2312" w:hAnsi="仿宋_GB2312" w:cs="仿宋_GB2312" w:eastAsia="仿宋_GB2312"/>
          <w:sz w:val="28"/>
          <w:b/>
        </w:rPr>
        <w:t>九寨沟县发展和改革局</w:t>
      </w:r>
    </w:p>
    <w:p>
      <w:pPr>
        <w:pStyle w:val="null3"/>
        <w:jc w:val="center"/>
        <w:outlineLvl w:val="2"/>
      </w:pPr>
      <w:r>
        <w:rPr>
          <w:rFonts w:ascii="仿宋_GB2312" w:hAnsi="仿宋_GB2312" w:cs="仿宋_GB2312" w:eastAsia="仿宋_GB2312"/>
          <w:sz w:val="28"/>
          <w:b/>
        </w:rPr>
        <w:t>四川泓泽项目管理有限公司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四川泓泽项目管理有限公司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九寨沟县发展和改革局</w:t>
      </w:r>
      <w:r>
        <w:rPr>
          <w:rFonts w:ascii="仿宋_GB2312" w:hAnsi="仿宋_GB2312" w:cs="仿宋_GB2312" w:eastAsia="仿宋_GB2312"/>
        </w:rPr>
        <w:t xml:space="preserve"> 委托，拟对 </w:t>
      </w:r>
      <w:r>
        <w:rPr>
          <w:rFonts w:ascii="仿宋_GB2312" w:hAnsi="仿宋_GB2312" w:cs="仿宋_GB2312" w:eastAsia="仿宋_GB2312"/>
        </w:rPr>
        <w:t>十五五规划编制采购</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阿坝藏族羌族自治州九寨沟县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N5132252025000016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十五五规划编制采购</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编制九寨沟县国民经济和社会发展第十五个五年规划纲要，为九寨沟县未来五年经济社会发展指明方向，制定战略路径。</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1、根据本项目提出的特殊要求（描述：本项目不接受联合体投标。）</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九寨沟县发展和改革局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九寨沟县政务中心6号楼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623400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方老师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08377731523</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四川泓泽项目管理有限公司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四川省成都经济技术开发区车城西二路288号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樊先生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02860625786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采购包1：580,000.00元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甲乙双方约定采购代理服务费用标准参照《招标代理服务收费管理暂行办法》（计价格〔2002〕1980号）收费标准的80%收取，按照中标金额计算，不足5000元按5000元收取；在领取成交通知书前由成交供应商一次性支付给代理机构。</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九寨沟县发展和改革局</w:t>
      </w:r>
      <w:r>
        <w:rPr>
          <w:rFonts w:ascii="仿宋_GB2312" w:hAnsi="仿宋_GB2312" w:cs="仿宋_GB2312" w:eastAsia="仿宋_GB2312"/>
        </w:rPr>
        <w:t xml:space="preserve"> 和 </w:t>
      </w:r>
      <w:r>
        <w:rPr>
          <w:rFonts w:ascii="仿宋_GB2312" w:hAnsi="仿宋_GB2312" w:cs="仿宋_GB2312" w:eastAsia="仿宋_GB2312"/>
        </w:rPr>
        <w:t>四川泓泽项目管理有限公司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九寨沟县发展和改革局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四川泓泽项目管理有限公司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参照《财政部关于进一步加强政府采购需求和履约验收管理的指导意见》（财库〔2016〕205号）、《政府采购需求管理办法》（财库〔2021〕22号）的有关规定以及采购文件的质量要求和技术指标、成交供应商的响应文件及承诺与本次采购文件标准进行验收；双方如对质量要求和技术指标的约定标准有相互抵触或异议的事项，由采购人在采购文件与响应文件中按质量要求和技术指标比较优胜的原则确定该项的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采购人参照《财政部关于进一步加强政府采购需求和履约验收管理的指导意见》（财库〔2016〕205号）、《政府采购需求管理办法》（财库〔2021〕22号）的有关规定以及成交供应商的响应文件及承诺进行验收。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参照《财政部关于进一步加强政府采购需求和履约验收管理的指导意见》（财库〔2016〕205号）、《政府采购需求管理办法》（财库〔2021〕22号）的有关规定以及采购文件的质量要求和技术指标、成交供应商的响应文件及承诺与本次采购文件标准进行验收；双方如对质量要求和技术指标的约定标准有相互抵触或异议的事项，由采购人在采购文件与响应文件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九寨沟县发展和改革局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四川泓泽项目管理有限公司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四川泓泽项目管理有限公司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联系人：方老师</w:t>
      </w:r>
    </w:p>
    <w:p>
      <w:pPr>
        <w:pStyle w:val="null3"/>
        <w:jc w:val="left"/>
      </w:pPr>
      <w:r>
        <w:rPr>
          <w:rFonts w:ascii="仿宋_GB2312" w:hAnsi="仿宋_GB2312" w:cs="仿宋_GB2312" w:eastAsia="仿宋_GB2312"/>
        </w:rPr>
        <w:t>联系电话：08377731523</w:t>
      </w:r>
    </w:p>
    <w:p>
      <w:pPr>
        <w:pStyle w:val="null3"/>
        <w:jc w:val="left"/>
      </w:pPr>
      <w:r>
        <w:rPr>
          <w:rFonts w:ascii="仿宋_GB2312" w:hAnsi="仿宋_GB2312" w:cs="仿宋_GB2312" w:eastAsia="仿宋_GB2312"/>
        </w:rPr>
        <w:t>地址：阿坝州九寨沟县政务中心6号楼</w:t>
      </w:r>
    </w:p>
    <w:p>
      <w:pPr>
        <w:pStyle w:val="null3"/>
        <w:jc w:val="left"/>
      </w:pPr>
      <w:r>
        <w:rPr>
          <w:rFonts w:ascii="仿宋_GB2312" w:hAnsi="仿宋_GB2312" w:cs="仿宋_GB2312" w:eastAsia="仿宋_GB2312"/>
        </w:rPr>
        <w:t>邮编：623400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联系人：樊先生</w:t>
      </w:r>
    </w:p>
    <w:p>
      <w:pPr>
        <w:pStyle w:val="null3"/>
        <w:jc w:val="left"/>
      </w:pPr>
      <w:r>
        <w:rPr>
          <w:rFonts w:ascii="仿宋_GB2312" w:hAnsi="仿宋_GB2312" w:cs="仿宋_GB2312" w:eastAsia="仿宋_GB2312"/>
        </w:rPr>
        <w:t>联系电话：02860625786</w:t>
      </w:r>
    </w:p>
    <w:p>
      <w:pPr>
        <w:pStyle w:val="null3"/>
        <w:jc w:val="left"/>
      </w:pPr>
      <w:r>
        <w:rPr>
          <w:rFonts w:ascii="仿宋_GB2312" w:hAnsi="仿宋_GB2312" w:cs="仿宋_GB2312" w:eastAsia="仿宋_GB2312"/>
        </w:rPr>
        <w:t>地址：成都市龙泉驿区车城西二路288号3号楼</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580,000.00</w:t>
      </w:r>
    </w:p>
    <w:p>
      <w:pPr>
        <w:pStyle w:val="null3"/>
        <w:jc w:val="left"/>
      </w:pPr>
      <w:r>
        <w:rPr>
          <w:rFonts w:ascii="仿宋_GB2312" w:hAnsi="仿宋_GB2312" w:cs="仿宋_GB2312" w:eastAsia="仿宋_GB2312"/>
        </w:rPr>
        <w:t>采购包最高限价（元）: 580,000.00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十五五规划编制采购</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580,000.00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十五五规划编制采购</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580,000.00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报价包含完成本项目的所有费用，即包括：资料费、设计费、车旅费、打印费、税费、安全风险、成果（含权属）等与项目相关的所有费用。</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标的名称：十五五规划编制采购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spacing w:before="105" w:after="105"/>
              <w:ind w:firstLine="240"/>
              <w:jc w:val="both"/>
            </w:pPr>
            <w:r>
              <w:rPr>
                <w:rFonts w:ascii="仿宋_GB2312" w:hAnsi="仿宋_GB2312" w:cs="仿宋_GB2312" w:eastAsia="仿宋_GB2312"/>
                <w:sz w:val="24"/>
              </w:rPr>
              <w:t>1、</w:t>
            </w:r>
            <w:r>
              <w:rPr>
                <w:rFonts w:ascii="仿宋_GB2312" w:hAnsi="仿宋_GB2312" w:cs="仿宋_GB2312" w:eastAsia="仿宋_GB2312"/>
                <w:sz w:val="24"/>
              </w:rPr>
              <w:t>规划纲要期限</w:t>
            </w:r>
          </w:p>
          <w:p>
            <w:pPr>
              <w:pStyle w:val="null3"/>
              <w:spacing w:before="105" w:after="105"/>
              <w:ind w:firstLine="480"/>
              <w:jc w:val="both"/>
            </w:pPr>
            <w:r>
              <w:rPr>
                <w:rFonts w:ascii="仿宋_GB2312" w:hAnsi="仿宋_GB2312" w:cs="仿宋_GB2312" w:eastAsia="仿宋_GB2312"/>
                <w:sz w:val="24"/>
              </w:rPr>
              <w:t>2026年</w:t>
            </w:r>
            <w:r>
              <w:rPr>
                <w:rFonts w:ascii="仿宋_GB2312" w:hAnsi="仿宋_GB2312" w:cs="仿宋_GB2312" w:eastAsia="仿宋_GB2312"/>
                <w:sz w:val="24"/>
              </w:rPr>
              <w:t>—</w:t>
            </w:r>
            <w:r>
              <w:rPr>
                <w:rFonts w:ascii="仿宋_GB2312" w:hAnsi="仿宋_GB2312" w:cs="仿宋_GB2312" w:eastAsia="仿宋_GB2312"/>
                <w:sz w:val="24"/>
              </w:rPr>
              <w:t>2030年，展望到2035年。</w:t>
            </w:r>
          </w:p>
          <w:p>
            <w:pPr>
              <w:pStyle w:val="null3"/>
              <w:spacing w:before="105" w:after="105"/>
              <w:ind w:firstLine="240"/>
              <w:jc w:val="both"/>
            </w:pPr>
            <w:r>
              <w:rPr>
                <w:rFonts w:ascii="仿宋_GB2312" w:hAnsi="仿宋_GB2312" w:cs="仿宋_GB2312" w:eastAsia="仿宋_GB2312"/>
                <w:sz w:val="24"/>
              </w:rPr>
              <w:t>2、</w:t>
            </w:r>
            <w:r>
              <w:rPr>
                <w:rFonts w:ascii="仿宋_GB2312" w:hAnsi="仿宋_GB2312" w:cs="仿宋_GB2312" w:eastAsia="仿宋_GB2312"/>
                <w:sz w:val="24"/>
              </w:rPr>
              <w:t>规划纲要内容</w:t>
            </w:r>
          </w:p>
          <w:p>
            <w:pPr>
              <w:pStyle w:val="null3"/>
              <w:spacing w:before="105" w:after="105"/>
              <w:jc w:val="both"/>
            </w:pPr>
            <w:r>
              <w:rPr>
                <w:rFonts w:ascii="仿宋_GB2312" w:hAnsi="仿宋_GB2312" w:cs="仿宋_GB2312" w:eastAsia="仿宋_GB2312"/>
                <w:sz w:val="24"/>
              </w:rPr>
              <w:t>2-1、</w:t>
            </w:r>
            <w:r>
              <w:rPr>
                <w:rFonts w:ascii="仿宋_GB2312" w:hAnsi="仿宋_GB2312" w:cs="仿宋_GB2312" w:eastAsia="仿宋_GB2312"/>
                <w:sz w:val="24"/>
              </w:rPr>
              <w:t>《九寨沟县国民经济和社会发展第十五个五年规划纲要》</w:t>
            </w:r>
          </w:p>
          <w:p>
            <w:pPr>
              <w:pStyle w:val="null3"/>
              <w:jc w:val="both"/>
            </w:pPr>
            <w:r>
              <w:rPr>
                <w:rFonts w:ascii="仿宋_GB2312" w:hAnsi="仿宋_GB2312" w:cs="仿宋_GB2312" w:eastAsia="仿宋_GB2312"/>
                <w:sz w:val="24"/>
              </w:rPr>
              <w:t>规划纲要须符合国家、行业的有关</w:t>
            </w:r>
            <w:r>
              <w:rPr>
                <w:rFonts w:ascii="仿宋_GB2312" w:hAnsi="仿宋_GB2312" w:cs="仿宋_GB2312" w:eastAsia="仿宋_GB2312"/>
                <w:sz w:val="24"/>
              </w:rPr>
              <w:t>法律法规</w:t>
            </w:r>
            <w:r>
              <w:rPr>
                <w:rFonts w:ascii="仿宋_GB2312" w:hAnsi="仿宋_GB2312" w:cs="仿宋_GB2312" w:eastAsia="仿宋_GB2312"/>
                <w:sz w:val="24"/>
              </w:rPr>
              <w:t>及政策要求，确保规划内容的合法性和合规性。在总结</w:t>
            </w:r>
            <w:r>
              <w:rPr>
                <w:rFonts w:ascii="仿宋_GB2312" w:hAnsi="仿宋_GB2312" w:cs="仿宋_GB2312" w:eastAsia="仿宋_GB2312"/>
                <w:sz w:val="24"/>
              </w:rPr>
              <w:t>“十四五”规划执行情况的基础上，科学研判“十五五”时期发展形势，确定“十五五”时期经济社会发展指导思想、基本原则和指标体系，提出“十五五”时期经济社会发展方面的主要任务和保障措施。</w:t>
            </w:r>
          </w:p>
          <w:p>
            <w:pPr>
              <w:pStyle w:val="null3"/>
              <w:spacing w:before="105" w:after="105"/>
              <w:jc w:val="left"/>
            </w:pP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spacing w:before="105" w:after="105"/>
              <w:jc w:val="both"/>
            </w:pPr>
            <w:r>
              <w:rPr>
                <w:rFonts w:ascii="仿宋_GB2312" w:hAnsi="仿宋_GB2312" w:cs="仿宋_GB2312" w:eastAsia="仿宋_GB2312"/>
                <w:sz w:val="24"/>
              </w:rPr>
              <w:t>1、研究方法的要求</w:t>
            </w:r>
          </w:p>
          <w:p>
            <w:pPr>
              <w:pStyle w:val="null3"/>
              <w:ind w:left="210"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研究方法科学，调研全面深入，资料准确详实，行文规范精练。</w:t>
            </w:r>
          </w:p>
          <w:p>
            <w:pPr>
              <w:pStyle w:val="null3"/>
              <w:ind w:left="210"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项目研究要充分结合</w:t>
            </w:r>
            <w:r>
              <w:rPr>
                <w:rFonts w:ascii="仿宋_GB2312" w:hAnsi="仿宋_GB2312" w:cs="仿宋_GB2312" w:eastAsia="仿宋_GB2312"/>
                <w:sz w:val="24"/>
              </w:rPr>
              <w:t>九寨沟县</w:t>
            </w:r>
            <w:r>
              <w:rPr>
                <w:rFonts w:ascii="仿宋_GB2312" w:hAnsi="仿宋_GB2312" w:cs="仿宋_GB2312" w:eastAsia="仿宋_GB2312"/>
                <w:sz w:val="24"/>
              </w:rPr>
              <w:t>“十五五</w:t>
            </w:r>
            <w:r>
              <w:rPr>
                <w:rFonts w:ascii="仿宋_GB2312" w:hAnsi="仿宋_GB2312" w:cs="仿宋_GB2312" w:eastAsia="仿宋_GB2312"/>
                <w:sz w:val="24"/>
              </w:rPr>
              <w:t>”</w:t>
            </w:r>
            <w:r>
              <w:rPr>
                <w:rFonts w:ascii="仿宋_GB2312" w:hAnsi="仿宋_GB2312" w:cs="仿宋_GB2312" w:eastAsia="仿宋_GB2312"/>
                <w:sz w:val="24"/>
              </w:rPr>
              <w:t>阶段性特征，提出具有前瞻性、全局性、针对性和可操作性的指标设置建议。</w:t>
            </w:r>
          </w:p>
          <w:p>
            <w:pPr>
              <w:pStyle w:val="null3"/>
              <w:ind w:left="210"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研究编制团队应在框架拟定、初稿、终稿等主要时间节点，以座谈、研讨等形式征求区域经济、公共管理、社会发展等相关领域正高级及以上职称的专家学者意见对规划</w:t>
            </w:r>
            <w:r>
              <w:rPr>
                <w:rFonts w:ascii="仿宋_GB2312" w:hAnsi="仿宋_GB2312" w:cs="仿宋_GB2312" w:eastAsia="仿宋_GB2312"/>
                <w:sz w:val="24"/>
              </w:rPr>
              <w:t>（</w:t>
            </w:r>
            <w:r>
              <w:rPr>
                <w:rFonts w:ascii="仿宋_GB2312" w:hAnsi="仿宋_GB2312" w:cs="仿宋_GB2312" w:eastAsia="仿宋_GB2312"/>
                <w:sz w:val="24"/>
              </w:rPr>
              <w:t>课题</w:t>
            </w:r>
            <w:r>
              <w:rPr>
                <w:rFonts w:ascii="仿宋_GB2312" w:hAnsi="仿宋_GB2312" w:cs="仿宋_GB2312" w:eastAsia="仿宋_GB2312"/>
                <w:sz w:val="24"/>
              </w:rPr>
              <w:t>）</w:t>
            </w:r>
            <w:r>
              <w:rPr>
                <w:rFonts w:ascii="仿宋_GB2312" w:hAnsi="仿宋_GB2312" w:cs="仿宋_GB2312" w:eastAsia="仿宋_GB2312"/>
                <w:sz w:val="24"/>
              </w:rPr>
              <w:t>研究进行咨询、指导、论证、评审。</w:t>
            </w:r>
          </w:p>
          <w:p>
            <w:pPr>
              <w:pStyle w:val="null3"/>
              <w:ind w:firstLine="240"/>
              <w:jc w:val="both"/>
            </w:pPr>
            <w:r>
              <w:rPr>
                <w:rFonts w:ascii="仿宋_GB2312" w:hAnsi="仿宋_GB2312" w:cs="仿宋_GB2312" w:eastAsia="仿宋_GB2312"/>
                <w:sz w:val="24"/>
              </w:rPr>
              <w:t>2、知识产权</w:t>
            </w:r>
          </w:p>
          <w:p>
            <w:pPr>
              <w:pStyle w:val="null3"/>
              <w:ind w:left="210"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本项目供应商提供的服务涉及的任何知识产权，采购人有权任意使用，供应商须承诺不得有任何相关纠纷，如有纠纷供应商应承担全部责任。</w:t>
            </w:r>
          </w:p>
          <w:p>
            <w:pPr>
              <w:pStyle w:val="null3"/>
              <w:ind w:left="210"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本项目最终形成的项目成果的所有知识产权归采购人所有，未经采购人书面许可，供应商不得将本项目成果移作他用，不得向第三方泄露本项目成果，否则由此给采购人或相关人员造成的一切损失由供应商一方承担。</w:t>
            </w:r>
          </w:p>
          <w:p>
            <w:pPr>
              <w:pStyle w:val="null3"/>
              <w:ind w:firstLine="240"/>
              <w:jc w:val="both"/>
            </w:pPr>
            <w:r>
              <w:rPr>
                <w:rFonts w:ascii="仿宋_GB2312" w:hAnsi="仿宋_GB2312" w:cs="仿宋_GB2312" w:eastAsia="仿宋_GB2312"/>
                <w:sz w:val="24"/>
              </w:rPr>
              <w:t>3、成果要求</w:t>
            </w:r>
          </w:p>
          <w:p>
            <w:pPr>
              <w:pStyle w:val="null3"/>
              <w:ind w:left="210" w:firstLine="480"/>
              <w:jc w:val="both"/>
            </w:pPr>
            <w:r>
              <w:rPr>
                <w:rFonts w:ascii="仿宋_GB2312" w:hAnsi="仿宋_GB2312" w:cs="仿宋_GB2312" w:eastAsia="仿宋_GB2312"/>
                <w:sz w:val="24"/>
              </w:rPr>
              <w:t>最终成果精装本</w:t>
            </w:r>
            <w:r>
              <w:rPr>
                <w:rFonts w:ascii="仿宋_GB2312" w:hAnsi="仿宋_GB2312" w:cs="仿宋_GB2312" w:eastAsia="仿宋_GB2312"/>
                <w:sz w:val="24"/>
              </w:rPr>
              <w:t>200册，最终成果电子稿光盘10份。</w:t>
            </w:r>
          </w:p>
          <w:p>
            <w:pPr>
              <w:pStyle w:val="null3"/>
              <w:ind w:firstLine="240"/>
              <w:jc w:val="both"/>
            </w:pPr>
            <w:r>
              <w:rPr>
                <w:rFonts w:ascii="仿宋_GB2312" w:hAnsi="仿宋_GB2312" w:cs="仿宋_GB2312" w:eastAsia="仿宋_GB2312"/>
                <w:sz w:val="24"/>
              </w:rPr>
              <w:t>4、安全责任</w:t>
            </w:r>
          </w:p>
          <w:p>
            <w:pPr>
              <w:pStyle w:val="null3"/>
              <w:spacing w:before="105" w:after="105"/>
              <w:jc w:val="both"/>
            </w:pPr>
            <w:r>
              <w:rPr>
                <w:rFonts w:ascii="仿宋_GB2312" w:hAnsi="仿宋_GB2312" w:cs="仿宋_GB2312" w:eastAsia="仿宋_GB2312"/>
                <w:sz w:val="24"/>
              </w:rPr>
              <w:t>供应商所提供的服务质量须达到采购人的要求，在保证服务期和服务质量的前提下为采购人提供服务，服务中的一切风险（包括供应商人员安全事故责任、与第三方的劳务纠纷、项目实施过程中的劳务纠纷及人员伤害等）均由供应商一方承担责任。（单独提供承诺函，格式自拟）</w:t>
            </w:r>
          </w:p>
          <w:p>
            <w:pPr>
              <w:pStyle w:val="null3"/>
              <w:jc w:val="both"/>
            </w:pPr>
            <w:r>
              <w:rPr>
                <w:rFonts w:ascii="仿宋_GB2312" w:hAnsi="仿宋_GB2312" w:cs="仿宋_GB2312" w:eastAsia="仿宋_GB2312"/>
                <w:sz w:val="24"/>
              </w:rPr>
              <w:t>（注：带</w:t>
            </w:r>
            <w:r>
              <w:rPr>
                <w:rFonts w:ascii="仿宋_GB2312" w:hAnsi="仿宋_GB2312" w:cs="仿宋_GB2312" w:eastAsia="仿宋_GB2312"/>
                <w:sz w:val="24"/>
              </w:rPr>
              <w:t>“★”的参数需求为实质性要求，供应商必须响应并满足的参数需求，采购人、采购代理机构应当根据项目实际需求合理设定，并明确具体要求）</w:t>
            </w:r>
          </w:p>
          <w:p>
            <w:pPr>
              <w:pStyle w:val="null3"/>
              <w:spacing w:before="105" w:after="105"/>
              <w:jc w:val="both"/>
            </w:pP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商务要求</w:t>
            </w:r>
          </w:p>
        </w:tc>
        <w:tc>
          <w:tcPr>
            <w:tcW w:type="dxa" w:w="5814"/>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服务期限</w:t>
            </w:r>
          </w:p>
          <w:p>
            <w:pPr>
              <w:pStyle w:val="null3"/>
              <w:jc w:val="both"/>
            </w:pPr>
            <w:r>
              <w:rPr>
                <w:rFonts w:ascii="仿宋_GB2312" w:hAnsi="仿宋_GB2312" w:cs="仿宋_GB2312" w:eastAsia="仿宋_GB2312"/>
                <w:sz w:val="24"/>
              </w:rPr>
              <w:t>2025年</w:t>
            </w:r>
            <w:r>
              <w:rPr>
                <w:rFonts w:ascii="仿宋_GB2312" w:hAnsi="仿宋_GB2312" w:cs="仿宋_GB2312" w:eastAsia="仿宋_GB2312"/>
                <w:sz w:val="24"/>
              </w:rPr>
              <w:t>12月底</w:t>
            </w:r>
            <w:r>
              <w:rPr>
                <w:rFonts w:ascii="仿宋_GB2312" w:hAnsi="仿宋_GB2312" w:cs="仿宋_GB2312" w:eastAsia="仿宋_GB2312"/>
                <w:sz w:val="24"/>
              </w:rPr>
              <w:t>完成《规划纲要》起草，广泛征求社会各界意见和建议并修改完善，组织专家咨询论证，完成报审工作。</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服务地点</w:t>
            </w:r>
          </w:p>
          <w:p>
            <w:pPr>
              <w:pStyle w:val="null3"/>
              <w:jc w:val="both"/>
            </w:pPr>
            <w:r>
              <w:rPr>
                <w:rFonts w:ascii="仿宋_GB2312" w:hAnsi="仿宋_GB2312" w:cs="仿宋_GB2312" w:eastAsia="仿宋_GB2312"/>
                <w:sz w:val="24"/>
              </w:rPr>
              <w:t>采购人指定地址。</w:t>
            </w:r>
          </w:p>
          <w:p>
            <w:pPr>
              <w:pStyle w:val="null3"/>
              <w:jc w:val="both"/>
            </w:pPr>
            <w:r>
              <w:rPr>
                <w:rFonts w:ascii="仿宋_GB2312" w:hAnsi="仿宋_GB2312" w:cs="仿宋_GB2312" w:eastAsia="仿宋_GB2312"/>
                <w:sz w:val="24"/>
              </w:rPr>
              <w:t>3、验收、交付标准和方法</w:t>
            </w:r>
          </w:p>
          <w:p>
            <w:pPr>
              <w:pStyle w:val="null3"/>
              <w:jc w:val="both"/>
            </w:pPr>
            <w:r>
              <w:rPr>
                <w:rFonts w:ascii="仿宋_GB2312" w:hAnsi="仿宋_GB2312" w:cs="仿宋_GB2312" w:eastAsia="仿宋_GB2312"/>
                <w:sz w:val="24"/>
              </w:rPr>
              <w:t>（1）验收办法：中标</w:t>
            </w:r>
            <w:r>
              <w:rPr>
                <w:rFonts w:ascii="仿宋_GB2312" w:hAnsi="仿宋_GB2312" w:cs="仿宋_GB2312" w:eastAsia="仿宋_GB2312"/>
                <w:sz w:val="24"/>
              </w:rPr>
              <w:t>（</w:t>
            </w:r>
            <w:r>
              <w:rPr>
                <w:rFonts w:ascii="仿宋_GB2312" w:hAnsi="仿宋_GB2312" w:cs="仿宋_GB2312" w:eastAsia="仿宋_GB2312"/>
                <w:sz w:val="24"/>
              </w:rPr>
              <w:t>成交</w:t>
            </w:r>
            <w:r>
              <w:rPr>
                <w:rFonts w:ascii="仿宋_GB2312" w:hAnsi="仿宋_GB2312" w:cs="仿宋_GB2312" w:eastAsia="仿宋_GB2312"/>
                <w:sz w:val="24"/>
              </w:rPr>
              <w:t>）</w:t>
            </w:r>
            <w:r>
              <w:rPr>
                <w:rFonts w:ascii="仿宋_GB2312" w:hAnsi="仿宋_GB2312" w:cs="仿宋_GB2312" w:eastAsia="仿宋_GB2312"/>
                <w:sz w:val="24"/>
              </w:rPr>
              <w:t>供应商与采购人应严格按照《财政部关于进一步加强政府采购需求和履约验收管理的指导意见》</w:t>
            </w:r>
            <w:r>
              <w:rPr>
                <w:rFonts w:ascii="仿宋_GB2312" w:hAnsi="仿宋_GB2312" w:cs="仿宋_GB2312" w:eastAsia="仿宋_GB2312"/>
                <w:sz w:val="24"/>
              </w:rPr>
              <w:t>（</w:t>
            </w:r>
            <w:r>
              <w:rPr>
                <w:rFonts w:ascii="仿宋_GB2312" w:hAnsi="仿宋_GB2312" w:cs="仿宋_GB2312" w:eastAsia="仿宋_GB2312"/>
                <w:sz w:val="24"/>
              </w:rPr>
              <w:t>财库〔</w:t>
            </w:r>
            <w:r>
              <w:rPr>
                <w:rFonts w:ascii="仿宋_GB2312" w:hAnsi="仿宋_GB2312" w:cs="仿宋_GB2312" w:eastAsia="仿宋_GB2312"/>
                <w:sz w:val="24"/>
              </w:rPr>
              <w:t>2016〕205号</w:t>
            </w:r>
            <w:r>
              <w:rPr>
                <w:rFonts w:ascii="仿宋_GB2312" w:hAnsi="仿宋_GB2312" w:cs="仿宋_GB2312" w:eastAsia="仿宋_GB2312"/>
                <w:sz w:val="24"/>
              </w:rPr>
              <w:t>）</w:t>
            </w:r>
            <w:r>
              <w:rPr>
                <w:rFonts w:ascii="仿宋_GB2312" w:hAnsi="仿宋_GB2312" w:cs="仿宋_GB2312" w:eastAsia="仿宋_GB2312"/>
                <w:sz w:val="24"/>
              </w:rPr>
              <w:t>进行验收。</w:t>
            </w:r>
          </w:p>
          <w:p>
            <w:pPr>
              <w:pStyle w:val="null3"/>
              <w:jc w:val="both"/>
            </w:pPr>
            <w:r>
              <w:rPr>
                <w:rFonts w:ascii="仿宋_GB2312" w:hAnsi="仿宋_GB2312" w:cs="仿宋_GB2312" w:eastAsia="仿宋_GB2312"/>
                <w:sz w:val="24"/>
              </w:rPr>
              <w:t>（2）验收标准：按国家相关规定及采购文件的要求、中标</w:t>
            </w:r>
            <w:r>
              <w:rPr>
                <w:rFonts w:ascii="仿宋_GB2312" w:hAnsi="仿宋_GB2312" w:cs="仿宋_GB2312" w:eastAsia="仿宋_GB2312"/>
                <w:sz w:val="24"/>
              </w:rPr>
              <w:t>（</w:t>
            </w:r>
            <w:r>
              <w:rPr>
                <w:rFonts w:ascii="仿宋_GB2312" w:hAnsi="仿宋_GB2312" w:cs="仿宋_GB2312" w:eastAsia="仿宋_GB2312"/>
                <w:sz w:val="24"/>
              </w:rPr>
              <w:t>成交</w:t>
            </w:r>
            <w:r>
              <w:rPr>
                <w:rFonts w:ascii="仿宋_GB2312" w:hAnsi="仿宋_GB2312" w:cs="仿宋_GB2312" w:eastAsia="仿宋_GB2312"/>
                <w:sz w:val="24"/>
              </w:rPr>
              <w:t>）</w:t>
            </w:r>
            <w:r>
              <w:rPr>
                <w:rFonts w:ascii="仿宋_GB2312" w:hAnsi="仿宋_GB2312" w:cs="仿宋_GB2312" w:eastAsia="仿宋_GB2312"/>
                <w:sz w:val="24"/>
              </w:rPr>
              <w:t>供应商的投标</w:t>
            </w:r>
            <w:r>
              <w:rPr>
                <w:rFonts w:ascii="仿宋_GB2312" w:hAnsi="仿宋_GB2312" w:cs="仿宋_GB2312" w:eastAsia="仿宋_GB2312"/>
                <w:sz w:val="24"/>
              </w:rPr>
              <w:t>（</w:t>
            </w:r>
            <w:r>
              <w:rPr>
                <w:rFonts w:ascii="仿宋_GB2312" w:hAnsi="仿宋_GB2312" w:cs="仿宋_GB2312" w:eastAsia="仿宋_GB2312"/>
                <w:sz w:val="24"/>
              </w:rPr>
              <w:t>响应</w:t>
            </w:r>
            <w:r>
              <w:rPr>
                <w:rFonts w:ascii="仿宋_GB2312" w:hAnsi="仿宋_GB2312" w:cs="仿宋_GB2312" w:eastAsia="仿宋_GB2312"/>
                <w:sz w:val="24"/>
              </w:rPr>
              <w:t>）</w:t>
            </w:r>
            <w:r>
              <w:rPr>
                <w:rFonts w:ascii="仿宋_GB2312" w:hAnsi="仿宋_GB2312" w:cs="仿宋_GB2312" w:eastAsia="仿宋_GB2312"/>
                <w:sz w:val="24"/>
              </w:rPr>
              <w:t>文件及服务承诺与合同约定标准进行验收。采购人、成交供应商双方如对质量要求和技术指标的约定标准有相互抵触或异议的事项，由采购人在采购与投标</w:t>
            </w:r>
            <w:r>
              <w:rPr>
                <w:rFonts w:ascii="仿宋_GB2312" w:hAnsi="仿宋_GB2312" w:cs="仿宋_GB2312" w:eastAsia="仿宋_GB2312"/>
                <w:sz w:val="24"/>
              </w:rPr>
              <w:t>（</w:t>
            </w:r>
            <w:r>
              <w:rPr>
                <w:rFonts w:ascii="仿宋_GB2312" w:hAnsi="仿宋_GB2312" w:cs="仿宋_GB2312" w:eastAsia="仿宋_GB2312"/>
                <w:sz w:val="24"/>
              </w:rPr>
              <w:t>响应</w:t>
            </w:r>
            <w:r>
              <w:rPr>
                <w:rFonts w:ascii="仿宋_GB2312" w:hAnsi="仿宋_GB2312" w:cs="仿宋_GB2312" w:eastAsia="仿宋_GB2312"/>
                <w:sz w:val="24"/>
              </w:rPr>
              <w:t>）</w:t>
            </w:r>
            <w:r>
              <w:rPr>
                <w:rFonts w:ascii="仿宋_GB2312" w:hAnsi="仿宋_GB2312" w:cs="仿宋_GB2312" w:eastAsia="仿宋_GB2312"/>
                <w:sz w:val="24"/>
              </w:rPr>
              <w:t>文件中按质量要求和技术指标比较优胜的原则确定该项的约定标准进行验收。</w:t>
            </w:r>
          </w:p>
          <w:p>
            <w:pPr>
              <w:pStyle w:val="null3"/>
              <w:jc w:val="both"/>
            </w:pPr>
            <w:r>
              <w:rPr>
                <w:rFonts w:ascii="仿宋_GB2312" w:hAnsi="仿宋_GB2312" w:cs="仿宋_GB2312" w:eastAsia="仿宋_GB2312"/>
                <w:sz w:val="24"/>
              </w:rPr>
              <w:t>4、支付方式</w:t>
            </w:r>
          </w:p>
          <w:p>
            <w:pPr>
              <w:pStyle w:val="null3"/>
              <w:jc w:val="both"/>
            </w:pPr>
            <w:r>
              <w:rPr>
                <w:rFonts w:ascii="仿宋_GB2312" w:hAnsi="仿宋_GB2312" w:cs="仿宋_GB2312" w:eastAsia="仿宋_GB2312"/>
                <w:sz w:val="24"/>
              </w:rPr>
              <w:t>分期付款</w:t>
            </w:r>
          </w:p>
          <w:p>
            <w:pPr>
              <w:pStyle w:val="null3"/>
              <w:jc w:val="both"/>
            </w:pPr>
            <w:r>
              <w:rPr>
                <w:rFonts w:ascii="仿宋_GB2312" w:hAnsi="仿宋_GB2312" w:cs="仿宋_GB2312" w:eastAsia="仿宋_GB2312"/>
                <w:sz w:val="24"/>
              </w:rPr>
              <w:t>5、付款进度安排</w:t>
            </w:r>
          </w:p>
          <w:p>
            <w:pPr>
              <w:pStyle w:val="null3"/>
              <w:jc w:val="both"/>
            </w:pPr>
            <w:r>
              <w:rPr>
                <w:rFonts w:ascii="仿宋_GB2312" w:hAnsi="仿宋_GB2312" w:cs="仿宋_GB2312" w:eastAsia="仿宋_GB2312"/>
                <w:sz w:val="24"/>
              </w:rPr>
              <w:t>（1）、自合同签订之日起，乙方在甲方付款前提供等额增值税发票，达到付款条件起15日内，支付合同总金额的30.00%</w:t>
            </w:r>
          </w:p>
          <w:p>
            <w:pPr>
              <w:pStyle w:val="null3"/>
              <w:jc w:val="both"/>
            </w:pPr>
            <w:r>
              <w:rPr>
                <w:rFonts w:ascii="仿宋_GB2312" w:hAnsi="仿宋_GB2312" w:cs="仿宋_GB2312" w:eastAsia="仿宋_GB2312"/>
                <w:sz w:val="24"/>
              </w:rPr>
              <w:t>（2）、规划通过专家评审后，乙方在甲方付款前提供等额增值税发票，达到付款条件起15日内，支付合同总金额的40.00%</w:t>
            </w:r>
          </w:p>
          <w:p>
            <w:pPr>
              <w:pStyle w:val="null3"/>
              <w:jc w:val="both"/>
            </w:pPr>
            <w:r>
              <w:rPr>
                <w:rFonts w:ascii="仿宋_GB2312" w:hAnsi="仿宋_GB2312" w:cs="仿宋_GB2312" w:eastAsia="仿宋_GB2312"/>
                <w:sz w:val="24"/>
              </w:rPr>
              <w:t>（3）、通过</w:t>
            </w:r>
            <w:r>
              <w:rPr>
                <w:rFonts w:ascii="仿宋_GB2312" w:hAnsi="仿宋_GB2312" w:cs="仿宋_GB2312" w:eastAsia="仿宋_GB2312"/>
                <w:sz w:val="24"/>
              </w:rPr>
              <w:t>九寨沟县</w:t>
            </w:r>
            <w:r>
              <w:rPr>
                <w:rFonts w:ascii="仿宋_GB2312" w:hAnsi="仿宋_GB2312" w:cs="仿宋_GB2312" w:eastAsia="仿宋_GB2312"/>
                <w:sz w:val="24"/>
              </w:rPr>
              <w:t>人民代表大会审查通过后，乙方在甲方付款前提供等额增值税发票，达到付款条件起</w:t>
            </w:r>
            <w:r>
              <w:rPr>
                <w:rFonts w:ascii="仿宋_GB2312" w:hAnsi="仿宋_GB2312" w:cs="仿宋_GB2312" w:eastAsia="仿宋_GB2312"/>
                <w:sz w:val="24"/>
              </w:rPr>
              <w:t>15日内，支付合同总金额的30.00%</w:t>
            </w:r>
          </w:p>
          <w:p>
            <w:pPr>
              <w:pStyle w:val="null3"/>
              <w:jc w:val="both"/>
            </w:pPr>
            <w:r>
              <w:rPr>
                <w:rFonts w:ascii="仿宋_GB2312" w:hAnsi="仿宋_GB2312" w:cs="仿宋_GB2312" w:eastAsia="仿宋_GB2312"/>
                <w:sz w:val="24"/>
              </w:rPr>
              <w:t>6、违约责任与解决争议的方法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1）甲乙双方必须遵守本合同并执行合同中的各项规定，保证本合同的正常履行。</w:t>
            </w:r>
          </w:p>
          <w:p>
            <w:pPr>
              <w:pStyle w:val="null3"/>
              <w:jc w:val="both"/>
            </w:pPr>
            <w:r>
              <w:rPr>
                <w:rFonts w:ascii="仿宋_GB2312" w:hAnsi="仿宋_GB2312" w:cs="仿宋_GB2312" w:eastAsia="仿宋_GB2312"/>
                <w:sz w:val="24"/>
              </w:rPr>
              <w:t>（2）如因乙方工作人员在履行职务过程中</w:t>
            </w:r>
            <w:r>
              <w:rPr>
                <w:rFonts w:ascii="仿宋_GB2312" w:hAnsi="仿宋_GB2312" w:cs="仿宋_GB2312" w:eastAsia="仿宋_GB2312"/>
                <w:sz w:val="24"/>
              </w:rPr>
              <w:t>的</w:t>
            </w:r>
            <w:r>
              <w:rPr>
                <w:rFonts w:ascii="仿宋_GB2312" w:hAnsi="仿宋_GB2312" w:cs="仿宋_GB2312" w:eastAsia="仿宋_GB2312"/>
                <w:sz w:val="24"/>
              </w:rPr>
              <w:t>疏忽、失职、过错等故意或者过失原因给甲方造成损失或侵害，包括但不限于甲方本身的财产损失、由此而导致的甲方对任何第三方的法律责任等，乙方对此均应承担全部的赔偿责任。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3）争议解决办法：合同履行期间</w:t>
            </w:r>
            <w:r>
              <w:rPr>
                <w:rFonts w:ascii="仿宋_GB2312" w:hAnsi="仿宋_GB2312" w:cs="仿宋_GB2312" w:eastAsia="仿宋_GB2312"/>
                <w:sz w:val="24"/>
              </w:rPr>
              <w:t>，</w:t>
            </w:r>
            <w:r>
              <w:rPr>
                <w:rFonts w:ascii="仿宋_GB2312" w:hAnsi="仿宋_GB2312" w:cs="仿宋_GB2312" w:eastAsia="仿宋_GB2312"/>
                <w:sz w:val="24"/>
              </w:rPr>
              <w:t>若双方发生争议，可协商或由有关部门调解解决，协商或调解不成的，向项目所在地人民法院起诉。</w:t>
            </w:r>
          </w:p>
          <w:p>
            <w:pPr>
              <w:pStyle w:val="null3"/>
              <w:jc w:val="both"/>
            </w:pPr>
            <w:r>
              <w:rPr>
                <w:rFonts w:ascii="仿宋_GB2312" w:hAnsi="仿宋_GB2312" w:cs="仿宋_GB2312" w:eastAsia="仿宋_GB2312"/>
                <w:sz w:val="24"/>
              </w:rPr>
              <w:t>（注：带</w:t>
            </w:r>
            <w:r>
              <w:rPr>
                <w:rFonts w:ascii="仿宋_GB2312" w:hAnsi="仿宋_GB2312" w:cs="仿宋_GB2312" w:eastAsia="仿宋_GB2312"/>
                <w:sz w:val="24"/>
              </w:rPr>
              <w:t>“★”的参数需求为实质性要求，供应商必须响应并满足的参数需求，采购人、采购代理机构应当根据项目实际需求合理设定，并明确具体要求）</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480"/>
              <w:jc w:val="left"/>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报价包含完成本项目的所有费用，即包括：资料费、设计费、车旅费、打印费、税费、安全风险、成果（含权属）等与项目相关的所有费用。</w:t>
            </w:r>
          </w:p>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2025年12月底完成《规划纲要》起草，广泛征求社会各界意见和建议并修改完善，组织专家咨询论证，完成报审工作。</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九寨沟县（具体采购人指定地点）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按照《财政部关于进一步加强政府采购需求和履约验收管理的指导意见》（财库[2016]205号）及本项目规划依据中列举的国家相关法律法规和政策、咨询行业技术规范要求验收。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1、自合同签订之日起，乙方在甲方付款前提供等额增值税发票，达到付款条件起15日内，支付合同总金额的30.00%</w:t>
            </w:r>
          </w:p>
          <w:p>
            <w:pPr>
              <w:pStyle w:val="null3"/>
              <w:jc w:val="left"/>
            </w:pPr>
            <w:r>
              <w:rPr>
                <w:rFonts w:ascii="仿宋_GB2312" w:hAnsi="仿宋_GB2312" w:cs="仿宋_GB2312" w:eastAsia="仿宋_GB2312"/>
              </w:rPr>
              <w:t>2、规划通过专家评审后，乙方在甲方付款前提供等额增值税发票，达到付款条件起15日内，支付合同总金额的40.00%</w:t>
            </w:r>
          </w:p>
          <w:p>
            <w:pPr>
              <w:pStyle w:val="null3"/>
              <w:jc w:val="left"/>
            </w:pPr>
            <w:r>
              <w:rPr>
                <w:rFonts w:ascii="仿宋_GB2312" w:hAnsi="仿宋_GB2312" w:cs="仿宋_GB2312" w:eastAsia="仿宋_GB2312"/>
              </w:rPr>
              <w:t>3、通过九寨沟县人民代表大会审查通过后，乙方在甲方付款前提供等额增值税发票，达到付款条件起15日内，支付合同总金额的30.00%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合同双方之任何一方不能全面履行合同条款，均属违约。违约所造成的经济损失，概由违约方承担赔偿。双方就合同条款的解释、执行及工程密切相关的事项发生争议，应友好的协商解决，如协商不好，可持本合同到当地人民法院进行裁决。</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1、推荐成交候选供应商时，在执行磋商文件“5.3.11推荐成交候选供应商”相关要求后仍出现相同的情况下，少数民族地区的供应商排列顺序在非少数民族地区的供应商之前；均为少数民族地区的并列。 2、本项目不接受联合体投标。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第三章“技术、服务及其他要求”3.2.技术要求中的实质性要求的内容。</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第七章“拟签订采购合同文本”中属于3.3.2.商务要求的实质性要求的内容。</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 执照”；未换证的提供“营业执照、税务登记证 、组织机构代码证或三证合一的营业执照”；</w:t>
              <w:br/>
              <w:t>② 若为事业法人：提供“统一社会信用代码法人登 记证书”；未换证的提交“事业法人登记证书、 组织机构代码证”；</w:t>
              <w:br/>
              <w:t>③若为其他组织：提供“对应主管部门颁发的准许执业证明文件或营业执照” ；</w:t>
              <w:br/>
              <w:t>④若为自然人：提供“身份证明材料”。</w:t>
              <w:br/>
              <w:t>以上证件提供复印件并进行电子签章。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根据本项目提出的特殊要求</w:t>
            </w:r>
          </w:p>
        </w:tc>
        <w:tc>
          <w:tcPr>
            <w:tcW w:type="dxa" w:w="3322"/>
          </w:tcPr>
          <w:p>
            <w:pPr>
              <w:pStyle w:val="null3"/>
              <w:jc w:val="left"/>
            </w:pPr>
            <w:r>
              <w:rPr>
                <w:rFonts w:ascii="仿宋_GB2312" w:hAnsi="仿宋_GB2312" w:cs="仿宋_GB2312" w:eastAsia="仿宋_GB2312"/>
              </w:rPr>
              <w:t>本项目不接受联合体投标。</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技术要求、服务要求应答</w:t>
            </w:r>
          </w:p>
        </w:tc>
        <w:tc>
          <w:tcPr>
            <w:tcW w:type="dxa" w:w="3322"/>
          </w:tcPr>
          <w:p>
            <w:pPr>
              <w:pStyle w:val="null3"/>
              <w:jc w:val="left"/>
            </w:pPr>
            <w:r>
              <w:rPr>
                <w:rFonts w:ascii="仿宋_GB2312" w:hAnsi="仿宋_GB2312" w:cs="仿宋_GB2312" w:eastAsia="仿宋_GB2312"/>
              </w:rPr>
              <w:t>完全满足磋商文件第三章“3.2.技术要求”、“3.3.服务要求”中带“★”的实质性要求。</w:t>
            </w:r>
          </w:p>
        </w:tc>
        <w:tc>
          <w:tcPr>
            <w:tcW w:type="dxa" w:w="1910"/>
          </w:tcPr>
          <w:p>
            <w:pPr>
              <w:pStyle w:val="null3"/>
              <w:jc w:val="left"/>
            </w:pPr>
            <w:r>
              <w:rPr>
                <w:rFonts w:ascii="仿宋_GB2312" w:hAnsi="仿宋_GB2312" w:cs="仿宋_GB2312" w:eastAsia="仿宋_GB2312"/>
              </w:rPr>
              <w:t>供应商应提供的其他证明材料.docx,服务应答表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按磋商文件“5.3.6.最后报价”中“七“的规定执行</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未载明或者载明的标的名称、数量、计量单位、响应有效期及其他政府采购合同实质性内容与磋商文件要求不一致，且采购人无法接受的，属于无效响应。</w:t>
            </w:r>
          </w:p>
        </w:tc>
        <w:tc>
          <w:tcPr>
            <w:tcW w:type="dxa" w:w="3322"/>
          </w:tcPr>
          <w:p>
            <w:pPr>
              <w:pStyle w:val="null3"/>
              <w:jc w:val="left"/>
            </w:pPr>
            <w:r>
              <w:rPr>
                <w:rFonts w:ascii="仿宋_GB2312" w:hAnsi="仿宋_GB2312" w:cs="仿宋_GB2312" w:eastAsia="仿宋_GB2312"/>
              </w:rPr>
              <w:t>未载明或者载明的标的名称、数量、计量单位、响应有效期及其他政府采购合同实质性内容与磋商文件要求不一致，且采购单位无法接受的，属于无效响应。</w:t>
            </w:r>
          </w:p>
        </w:tc>
        <w:tc>
          <w:tcPr>
            <w:tcW w:type="dxa" w:w="1910"/>
          </w:tcPr>
          <w:p>
            <w:pPr>
              <w:pStyle w:val="null3"/>
              <w:jc w:val="left"/>
            </w:pPr>
            <w:r>
              <w:rPr>
                <w:rFonts w:ascii="仿宋_GB2312" w:hAnsi="仿宋_GB2312" w:cs="仿宋_GB2312" w:eastAsia="仿宋_GB2312"/>
              </w:rPr>
              <w:t>供应商应提供的其他证明材料.docx,报价表,投标（响应）函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磋商文件中除符合性审查内容1-4项外的其他实质性要求</w:t>
            </w:r>
          </w:p>
        </w:tc>
        <w:tc>
          <w:tcPr>
            <w:tcW w:type="dxa" w:w="3322"/>
          </w:tcPr>
          <w:p>
            <w:pPr>
              <w:pStyle w:val="null3"/>
              <w:jc w:val="left"/>
            </w:pPr>
            <w:r>
              <w:rPr>
                <w:rFonts w:ascii="仿宋_GB2312" w:hAnsi="仿宋_GB2312" w:cs="仿宋_GB2312" w:eastAsia="仿宋_GB2312"/>
              </w:rPr>
              <w:t>完全满足磋商文件中除符合性审查内容1-4项外的其他实质性要求。</w:t>
            </w:r>
          </w:p>
        </w:tc>
        <w:tc>
          <w:tcPr>
            <w:tcW w:type="dxa" w:w="1910"/>
          </w:tcPr>
          <w:p>
            <w:pPr>
              <w:pStyle w:val="null3"/>
              <w:jc w:val="left"/>
            </w:pPr>
            <w:r>
              <w:rPr>
                <w:rFonts w:ascii="仿宋_GB2312" w:hAnsi="仿宋_GB2312" w:cs="仿宋_GB2312" w:eastAsia="仿宋_GB2312"/>
              </w:rPr>
              <w:t>供应商应提供的其他证明材料.docx,报价表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项目服务方案、项目后期服务方案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根据供应商提供的服务方案进行综合评分： ①项目背景分析及认知（包含项目概述、总体要求、目标分析、编制提纲等）、②项目现场调研方案（包含调研时间、调研内容、调研方式、调研人员等）、③编制进度控制方案（包含项目时间进度、时间进度控制措施、质量控制措施等）、④项目人员配置方案（包含项目管理人员配置、技术人员配置、服务人员配置等）、⑤项目编制的质量保障及审核机制方案。方案内容齐全且不存在缺陷的得30分；每有一项内容缺失扣6分；每有一处存在缺陷的扣3分，该项6分扣完为止；不提供不得分。 注：以上缺陷是指存在项目名称错误、地点区域错误、方案内容前后矛盾、仅有框架或标题、适用的标准（方法）错误、明显复制其他项目内容等任意一种情形。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供应商应提供的其他证明材料.docx</w:t>
            </w:r>
          </w:p>
        </w:tc>
      </w:tr>
      <w:tr>
        <w:tc>
          <w:tcPr>
            <w:tcW w:type="dxa" w:w="831"/>
            <w:vMerge/>
          </w:tcPr>
          <w:p/>
        </w:tc>
        <w:tc>
          <w:tcPr>
            <w:tcW w:type="dxa" w:w="1661"/>
          </w:tcPr>
          <w:p>
            <w:pPr>
              <w:pStyle w:val="null3"/>
              <w:jc w:val="left"/>
            </w:pPr>
            <w:r>
              <w:rPr>
                <w:rFonts w:ascii="仿宋_GB2312" w:hAnsi="仿宋_GB2312" w:cs="仿宋_GB2312" w:eastAsia="仿宋_GB2312"/>
              </w:rPr>
              <w:t>项目后期服务方案</w:t>
            </w:r>
          </w:p>
        </w:tc>
        <w:tc>
          <w:tcPr>
            <w:tcW w:type="dxa" w:w="2575"/>
          </w:tcPr>
          <w:p>
            <w:pPr>
              <w:pStyle w:val="null3"/>
              <w:jc w:val="left"/>
            </w:pPr>
            <w:r>
              <w:rPr>
                <w:rFonts w:ascii="仿宋_GB2312" w:hAnsi="仿宋_GB2312" w:cs="仿宋_GB2312" w:eastAsia="仿宋_GB2312"/>
              </w:rPr>
              <w:t>根据供应商提供的项目后期服务方案进行综合评分： ①后期服务人员配置、②后期服务方式、③后期服务内容、④成果质量保障措施、⑤后期服务承诺、⑥保密制度及措施等。方案内容齐全且不存在缺陷的得21分；每有一项内容缺失扣3.5分；每有一处存在缺陷的扣1.75分，该项3.5分扣完为止；不提供不得分。注：以上缺陷是指存在项目名称错误、地点区域错误、方案内容前后矛盾、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21.0000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供应商应提供的其他证明材料.docx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1.项目负责人（1人）：供应商拟派本项目项目负责人具有经济类或与规划编制相关专业中级职称得1分，副高级职称得3分，正高级职称得5分，本项最高得5分。 2.其余人员：供应商拟派本项目团队人员中每具有一名经济类或与规划编制相关专业中级职称得1分，副高级职称得3分，正高级职称得5分，本项最高分得19分。注：以上人员不得重复得分，供应商需提供相关人员证书证明材料复印件、人员在职证明材料复印件并加盖供应商公章。</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供应商应提供的其他证明材料.docx</w:t>
            </w:r>
          </w:p>
        </w:tc>
      </w:tr>
      <w:tr>
        <w:tc>
          <w:tcPr>
            <w:tcW w:type="dxa" w:w="831"/>
            <w:vMerge/>
          </w:tcPr>
          <w:p/>
        </w:tc>
        <w:tc>
          <w:tcPr>
            <w:tcW w:type="dxa" w:w="1661"/>
          </w:tcPr>
          <w:p>
            <w:pPr>
              <w:pStyle w:val="null3"/>
              <w:jc w:val="left"/>
            </w:pPr>
            <w:r>
              <w:rPr>
                <w:rFonts w:ascii="仿宋_GB2312" w:hAnsi="仿宋_GB2312" w:cs="仿宋_GB2312" w:eastAsia="仿宋_GB2312"/>
              </w:rPr>
              <w:t>履约经验能力</w:t>
            </w:r>
          </w:p>
        </w:tc>
        <w:tc>
          <w:tcPr>
            <w:tcW w:type="dxa" w:w="2575"/>
          </w:tcPr>
          <w:p>
            <w:pPr>
              <w:pStyle w:val="null3"/>
              <w:jc w:val="left"/>
            </w:pPr>
            <w:r>
              <w:rPr>
                <w:rFonts w:ascii="仿宋_GB2312" w:hAnsi="仿宋_GB2312" w:cs="仿宋_GB2312" w:eastAsia="仿宋_GB2312"/>
              </w:rPr>
              <w:t>供应商自2020年1月1日（含）至本项目报名结束日（含）为止类似项目业绩证明（以合同签订时间为准），提供类似项目业绩清单。每一个有效项目业绩得5分，最高得15分。未提供项目业绩证明材料或不满足要求的不得分，个数以项目合同个数为准。注：提供合同复印件或中标（成交）通知书复印件并加盖供应商公章，否则不得分。时间以合同签订时间或中标（成交）通知书落款时间为准，二者都提供的以合同签订时间为准。</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供应商应提供的其他证明材料.docx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以满足磋商文件要求且最后报价最低的供应商的价格为磋商基准价，其价格分为满分。其他供应商的价格分统一按照下列公式计算：磋商报价得分=(磋商基准价／最后磋商报价)×10%×100；注:本项目专门面向中小企业采购。（保留小数点后两位）</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详见附件：供应商应提供的其他证明材料.docx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详见附件：采购合同（服务）.docx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